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2.svg" ContentType="image/svg+xml"/>
  <Override PartName="/word/media/image4.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9ADE35">
      <w:pPr>
        <w:pStyle w:val="14"/>
        <w:pBdr>
          <w:top w:val="none" w:color="auto" w:sz="0" w:space="0"/>
          <w:left w:val="none" w:color="auto" w:sz="0" w:space="0"/>
          <w:bottom w:val="none" w:color="auto" w:sz="0" w:space="0"/>
          <w:right w:val="none" w:color="auto" w:sz="0" w:space="0"/>
          <w:between w:val="none" w:color="auto" w:sz="0" w:space="0"/>
        </w:pBdr>
        <w:adjustRightInd w:val="0"/>
        <w:snapToGrid w:val="0"/>
        <w:spacing w:line="360" w:lineRule="auto"/>
        <w:jc w:val="center"/>
        <w:outlineLvl w:val="0"/>
        <w:rPr>
          <w:rFonts w:hint="eastAsia" w:asciiTheme="minorEastAsia" w:hAnsiTheme="minorEastAsia" w:eastAsiaTheme="minorEastAsia" w:cstheme="minorEastAsia"/>
          <w:b/>
          <w:bCs/>
          <w:color w:val="auto"/>
          <w:sz w:val="52"/>
          <w:szCs w:val="52"/>
          <w:lang w:eastAsia="zh-CN"/>
        </w:rPr>
      </w:pPr>
      <w:bookmarkStart w:id="0" w:name="_Toc30710"/>
      <w:r>
        <w:rPr>
          <w:rFonts w:hint="eastAsia" w:asciiTheme="minorEastAsia" w:hAnsiTheme="minorEastAsia" w:eastAsiaTheme="minorEastAsia" w:cstheme="minorEastAsia"/>
          <w:b/>
          <w:bCs/>
          <w:color w:val="auto"/>
          <w:sz w:val="52"/>
          <w:szCs w:val="52"/>
          <w:lang w:eastAsia="zh-CN"/>
        </w:rPr>
        <w:t>伊犁融媒体中心设备购置项目</w:t>
      </w:r>
      <w:bookmarkEnd w:id="0"/>
    </w:p>
    <w:p w14:paraId="271EA888">
      <w:pPr>
        <w:pStyle w:val="14"/>
        <w:pBdr>
          <w:top w:val="none" w:color="auto" w:sz="0" w:space="0"/>
          <w:left w:val="none" w:color="auto" w:sz="0" w:space="0"/>
          <w:bottom w:val="none" w:color="auto" w:sz="0" w:space="0"/>
          <w:right w:val="none" w:color="auto" w:sz="0" w:space="0"/>
          <w:between w:val="none" w:color="auto" w:sz="0" w:space="0"/>
        </w:pBdr>
        <w:adjustRightInd w:val="0"/>
        <w:snapToGrid w:val="0"/>
        <w:spacing w:line="360" w:lineRule="auto"/>
        <w:jc w:val="center"/>
        <w:rPr>
          <w:rFonts w:hint="eastAsia" w:asciiTheme="minorEastAsia" w:hAnsiTheme="minorEastAsia" w:eastAsiaTheme="minorEastAsia" w:cstheme="minorEastAsia"/>
          <w:b/>
          <w:bCs/>
          <w:color w:val="auto"/>
          <w:sz w:val="52"/>
          <w:szCs w:val="52"/>
          <w:lang w:eastAsia="zh-CN"/>
        </w:rPr>
      </w:pPr>
      <w:r>
        <w:rPr>
          <w:rFonts w:hint="eastAsia" w:asciiTheme="minorEastAsia" w:hAnsiTheme="minorEastAsia" w:eastAsiaTheme="minorEastAsia" w:cstheme="minorEastAsia"/>
          <w:b/>
          <w:bCs/>
          <w:color w:val="auto"/>
          <w:sz w:val="52"/>
          <w:szCs w:val="52"/>
          <w:lang w:eastAsia="zh-CN"/>
        </w:rPr>
        <w:t>（标项1）</w:t>
      </w:r>
    </w:p>
    <w:p w14:paraId="2D937E17">
      <w:pPr>
        <w:pStyle w:val="14"/>
        <w:pBdr>
          <w:top w:val="none" w:color="auto" w:sz="0" w:space="0"/>
          <w:left w:val="none" w:color="auto" w:sz="0" w:space="0"/>
          <w:bottom w:val="none" w:color="auto" w:sz="0" w:space="0"/>
          <w:right w:val="none" w:color="auto" w:sz="0" w:space="0"/>
          <w:between w:val="none" w:color="auto" w:sz="0" w:space="0"/>
        </w:pBdr>
        <w:adjustRightInd w:val="0"/>
        <w:snapToGrid w:val="0"/>
        <w:spacing w:line="360" w:lineRule="auto"/>
        <w:jc w:val="center"/>
        <w:rPr>
          <w:rFonts w:hint="eastAsia" w:asciiTheme="minorEastAsia" w:hAnsiTheme="minorEastAsia" w:eastAsiaTheme="minorEastAsia" w:cstheme="minorEastAsia"/>
          <w:b/>
          <w:bCs/>
          <w:color w:val="auto"/>
          <w:sz w:val="52"/>
          <w:szCs w:val="52"/>
          <w:lang w:eastAsia="zh-CN"/>
        </w:rPr>
      </w:pPr>
    </w:p>
    <w:p w14:paraId="5E343B3A">
      <w:pPr>
        <w:pStyle w:val="14"/>
        <w:pBdr>
          <w:top w:val="none" w:color="auto" w:sz="0" w:space="0"/>
          <w:left w:val="none" w:color="auto" w:sz="0" w:space="0"/>
          <w:bottom w:val="none" w:color="auto" w:sz="0" w:space="0"/>
          <w:right w:val="none" w:color="auto" w:sz="0" w:space="0"/>
          <w:between w:val="none" w:color="auto" w:sz="0" w:space="0"/>
        </w:pBdr>
        <w:adjustRightInd w:val="0"/>
        <w:snapToGrid w:val="0"/>
        <w:spacing w:line="360" w:lineRule="auto"/>
        <w:jc w:val="center"/>
        <w:rPr>
          <w:rFonts w:hint="eastAsia" w:asciiTheme="minorEastAsia" w:hAnsiTheme="minorEastAsia" w:eastAsiaTheme="minorEastAsia" w:cstheme="minorEastAsia"/>
          <w:color w:val="auto"/>
          <w:sz w:val="58"/>
          <w:szCs w:val="58"/>
          <w:lang w:eastAsia="zh-CN"/>
        </w:rPr>
      </w:pPr>
      <w:r>
        <w:rPr>
          <w:rFonts w:hint="eastAsia" w:asciiTheme="minorEastAsia" w:hAnsiTheme="minorEastAsia" w:eastAsiaTheme="minorEastAsia" w:cstheme="minorEastAsia"/>
          <w:b/>
          <w:bCs/>
          <w:color w:val="auto"/>
          <w:sz w:val="58"/>
          <w:szCs w:val="58"/>
          <w:lang w:eastAsia="zh-CN"/>
        </w:rPr>
        <w:t>招标文件</w:t>
      </w:r>
    </w:p>
    <w:p w14:paraId="14D10766">
      <w:pPr>
        <w:pStyle w:val="14"/>
        <w:pBdr>
          <w:top w:val="none" w:color="auto" w:sz="0" w:space="0"/>
          <w:left w:val="none" w:color="auto" w:sz="0" w:space="0"/>
          <w:bottom w:val="none" w:color="auto" w:sz="0" w:space="0"/>
          <w:right w:val="none" w:color="auto" w:sz="0" w:space="0"/>
          <w:between w:val="none" w:color="auto" w:sz="0" w:space="0"/>
        </w:pBdr>
        <w:adjustRightInd w:val="0"/>
        <w:snapToGrid w:val="0"/>
        <w:spacing w:before="120" w:beforeLines="50" w:line="360" w:lineRule="auto"/>
        <w:ind w:left="967" w:leftChars="403" w:firstLine="1814" w:firstLineChars="648"/>
        <w:rPr>
          <w:rFonts w:hint="eastAsia" w:asciiTheme="minorEastAsia" w:hAnsiTheme="minorEastAsia" w:eastAsiaTheme="minorEastAsia" w:cstheme="minorEastAsia"/>
          <w:b/>
          <w:bCs/>
          <w:color w:val="auto"/>
          <w:sz w:val="28"/>
          <w:szCs w:val="28"/>
          <w:lang w:eastAsia="zh-CN"/>
        </w:rPr>
      </w:pPr>
    </w:p>
    <w:p w14:paraId="32159A0A">
      <w:pPr>
        <w:pStyle w:val="14"/>
        <w:pBdr>
          <w:top w:val="none" w:color="auto" w:sz="0" w:space="0"/>
          <w:left w:val="none" w:color="auto" w:sz="0" w:space="0"/>
          <w:bottom w:val="none" w:color="auto" w:sz="0" w:space="0"/>
          <w:right w:val="none" w:color="auto" w:sz="0" w:space="0"/>
          <w:between w:val="none" w:color="auto" w:sz="0" w:space="0"/>
        </w:pBdr>
        <w:adjustRightInd w:val="0"/>
        <w:snapToGrid w:val="0"/>
        <w:spacing w:before="120" w:beforeLines="50" w:line="360" w:lineRule="auto"/>
        <w:ind w:firstLine="2520" w:firstLineChars="900"/>
        <w:rPr>
          <w:rFonts w:hint="eastAsia" w:asciiTheme="minorEastAsia" w:hAnsiTheme="minorEastAsia" w:eastAsiaTheme="minorEastAsia" w:cstheme="minorEastAsia"/>
          <w:color w:val="auto"/>
          <w:sz w:val="32"/>
          <w:szCs w:val="32"/>
          <w:lang w:eastAsia="zh-CN"/>
        </w:rPr>
      </w:pPr>
      <w:r>
        <w:rPr>
          <w:rFonts w:hint="eastAsia" w:asciiTheme="minorEastAsia" w:hAnsiTheme="minorEastAsia" w:eastAsiaTheme="minorEastAsia" w:cstheme="minorEastAsia"/>
          <w:b/>
          <w:bCs/>
          <w:color w:val="auto"/>
          <w:sz w:val="28"/>
          <w:szCs w:val="28"/>
          <w:lang w:eastAsia="zh-CN"/>
        </w:rPr>
        <w:t>项目编号：XJXDSY-2024-022-1</w:t>
      </w:r>
    </w:p>
    <w:p w14:paraId="01C33E24">
      <w:pPr>
        <w:pStyle w:val="14"/>
        <w:pBdr>
          <w:top w:val="none" w:color="auto" w:sz="0" w:space="0"/>
          <w:left w:val="none" w:color="auto" w:sz="0" w:space="0"/>
          <w:bottom w:val="none" w:color="auto" w:sz="0" w:space="0"/>
          <w:right w:val="none" w:color="auto" w:sz="0" w:space="0"/>
          <w:between w:val="none" w:color="auto" w:sz="0" w:space="0"/>
        </w:pBdr>
        <w:adjustRightInd w:val="0"/>
        <w:snapToGrid w:val="0"/>
        <w:spacing w:line="360" w:lineRule="auto"/>
        <w:rPr>
          <w:rFonts w:hint="eastAsia" w:asciiTheme="minorEastAsia" w:hAnsiTheme="minorEastAsia" w:eastAsiaTheme="minorEastAsia" w:cstheme="minorEastAsia"/>
          <w:b/>
          <w:color w:val="auto"/>
          <w:sz w:val="32"/>
          <w:szCs w:val="32"/>
          <w:lang w:eastAsia="zh-CN"/>
        </w:rPr>
      </w:pPr>
    </w:p>
    <w:p w14:paraId="3A3389A6">
      <w:pPr>
        <w:pStyle w:val="14"/>
        <w:pBdr>
          <w:top w:val="none" w:color="auto" w:sz="0" w:space="0"/>
          <w:left w:val="none" w:color="auto" w:sz="0" w:space="0"/>
          <w:bottom w:val="none" w:color="auto" w:sz="0" w:space="0"/>
          <w:right w:val="none" w:color="auto" w:sz="0" w:space="0"/>
          <w:between w:val="none" w:color="auto" w:sz="0" w:space="0"/>
        </w:pBdr>
        <w:adjustRightInd w:val="0"/>
        <w:snapToGrid w:val="0"/>
        <w:spacing w:line="360" w:lineRule="auto"/>
        <w:rPr>
          <w:rFonts w:hint="eastAsia" w:asciiTheme="minorEastAsia" w:hAnsiTheme="minorEastAsia" w:eastAsiaTheme="minorEastAsia" w:cstheme="minorEastAsia"/>
          <w:b/>
          <w:color w:val="auto"/>
          <w:sz w:val="32"/>
          <w:szCs w:val="32"/>
          <w:lang w:eastAsia="zh-CN"/>
        </w:rPr>
      </w:pPr>
    </w:p>
    <w:p w14:paraId="66348357">
      <w:pPr>
        <w:pStyle w:val="14"/>
        <w:pBdr>
          <w:top w:val="none" w:color="auto" w:sz="0" w:space="0"/>
          <w:left w:val="none" w:color="auto" w:sz="0" w:space="0"/>
          <w:bottom w:val="none" w:color="auto" w:sz="0" w:space="0"/>
          <w:right w:val="none" w:color="auto" w:sz="0" w:space="0"/>
          <w:between w:val="none" w:color="auto" w:sz="0" w:space="0"/>
        </w:pBdr>
        <w:adjustRightInd w:val="0"/>
        <w:snapToGrid w:val="0"/>
        <w:spacing w:line="360" w:lineRule="auto"/>
        <w:rPr>
          <w:rFonts w:hint="eastAsia" w:asciiTheme="minorEastAsia" w:hAnsiTheme="minorEastAsia" w:eastAsiaTheme="minorEastAsia" w:cstheme="minorEastAsia"/>
          <w:b/>
          <w:color w:val="auto"/>
          <w:sz w:val="32"/>
          <w:szCs w:val="32"/>
          <w:lang w:eastAsia="zh-CN"/>
        </w:rPr>
      </w:pPr>
    </w:p>
    <w:p w14:paraId="079F8FE1">
      <w:pPr>
        <w:pStyle w:val="14"/>
        <w:pBdr>
          <w:top w:val="none" w:color="auto" w:sz="0" w:space="0"/>
          <w:left w:val="none" w:color="auto" w:sz="0" w:space="0"/>
          <w:bottom w:val="none" w:color="auto" w:sz="0" w:space="0"/>
          <w:right w:val="none" w:color="auto" w:sz="0" w:space="0"/>
          <w:between w:val="none" w:color="auto" w:sz="0" w:space="0"/>
        </w:pBdr>
        <w:adjustRightInd w:val="0"/>
        <w:snapToGrid w:val="0"/>
        <w:spacing w:line="360" w:lineRule="auto"/>
        <w:rPr>
          <w:rFonts w:hint="eastAsia" w:asciiTheme="minorEastAsia" w:hAnsiTheme="minorEastAsia" w:eastAsiaTheme="minorEastAsia" w:cstheme="minorEastAsia"/>
          <w:b/>
          <w:color w:val="auto"/>
          <w:sz w:val="32"/>
          <w:szCs w:val="32"/>
          <w:lang w:eastAsia="zh-CN"/>
        </w:rPr>
      </w:pPr>
    </w:p>
    <w:p w14:paraId="0F5F541A">
      <w:pPr>
        <w:pStyle w:val="58"/>
        <w:pBdr>
          <w:top w:val="none" w:color="auto" w:sz="0" w:space="0"/>
          <w:left w:val="none" w:color="auto" w:sz="0" w:space="0"/>
          <w:bottom w:val="none" w:color="auto" w:sz="0" w:space="0"/>
          <w:right w:val="none" w:color="auto" w:sz="0" w:space="0"/>
          <w:between w:val="none" w:color="auto" w:sz="0" w:space="0"/>
        </w:pBdr>
        <w:autoSpaceDE w:val="0"/>
        <w:autoSpaceDN w:val="0"/>
        <w:adjustRightInd w:val="0"/>
        <w:spacing w:line="900" w:lineRule="exact"/>
        <w:ind w:firstLine="300" w:firstLineChars="100"/>
        <w:rPr>
          <w:rFonts w:hint="eastAsia" w:asciiTheme="minorEastAsia" w:hAnsiTheme="minorEastAsia" w:eastAsiaTheme="minorEastAsia" w:cstheme="minorEastAsia"/>
          <w:kern w:val="0"/>
          <w:sz w:val="30"/>
          <w:szCs w:val="30"/>
          <w:u w:val="single"/>
        </w:rPr>
      </w:pPr>
      <w:r>
        <w:rPr>
          <w:rFonts w:hint="eastAsia" w:asciiTheme="minorEastAsia" w:hAnsiTheme="minorEastAsia" w:eastAsiaTheme="minorEastAsia" w:cstheme="minorEastAsia"/>
          <w:kern w:val="0"/>
          <w:sz w:val="30"/>
          <w:szCs w:val="30"/>
        </w:rPr>
        <w:t>项目名称：</w:t>
      </w:r>
      <w:r>
        <w:rPr>
          <w:rFonts w:hint="eastAsia" w:asciiTheme="minorEastAsia" w:hAnsiTheme="minorEastAsia" w:eastAsiaTheme="minorEastAsia" w:cstheme="minorEastAsia"/>
          <w:kern w:val="0"/>
          <w:sz w:val="30"/>
          <w:szCs w:val="30"/>
          <w:u w:val="single"/>
          <w:lang w:eastAsia="zh-CN"/>
        </w:rPr>
        <w:t>伊犁融媒体中心设备购置项目</w:t>
      </w:r>
      <w:r>
        <w:rPr>
          <w:rFonts w:hint="eastAsia" w:asciiTheme="minorEastAsia" w:hAnsiTheme="minorEastAsia" w:eastAsiaTheme="minorEastAsia" w:cstheme="minorEastAsia"/>
          <w:kern w:val="0"/>
          <w:sz w:val="30"/>
          <w:szCs w:val="30"/>
          <w:u w:val="single"/>
        </w:rPr>
        <w:t>（</w:t>
      </w:r>
      <w:r>
        <w:rPr>
          <w:rFonts w:hint="eastAsia" w:asciiTheme="minorEastAsia" w:hAnsiTheme="minorEastAsia" w:eastAsiaTheme="minorEastAsia" w:cstheme="minorEastAsia"/>
          <w:kern w:val="0"/>
          <w:sz w:val="30"/>
          <w:szCs w:val="30"/>
          <w:u w:val="single"/>
          <w:lang w:eastAsia="zh-CN"/>
        </w:rPr>
        <w:t>标项1</w:t>
      </w:r>
      <w:r>
        <w:rPr>
          <w:rFonts w:hint="eastAsia" w:asciiTheme="minorEastAsia" w:hAnsiTheme="minorEastAsia" w:eastAsiaTheme="minorEastAsia" w:cstheme="minorEastAsia"/>
          <w:kern w:val="0"/>
          <w:sz w:val="30"/>
          <w:szCs w:val="30"/>
          <w:u w:val="single"/>
        </w:rPr>
        <w:t>）</w:t>
      </w:r>
    </w:p>
    <w:p w14:paraId="572A271C">
      <w:pPr>
        <w:pStyle w:val="58"/>
        <w:pBdr>
          <w:top w:val="none" w:color="auto" w:sz="0" w:space="0"/>
          <w:left w:val="none" w:color="auto" w:sz="0" w:space="0"/>
          <w:bottom w:val="none" w:color="auto" w:sz="0" w:space="0"/>
          <w:right w:val="none" w:color="auto" w:sz="0" w:space="0"/>
          <w:between w:val="none" w:color="auto" w:sz="0" w:space="0"/>
        </w:pBdr>
        <w:autoSpaceDE w:val="0"/>
        <w:autoSpaceDN w:val="0"/>
        <w:adjustRightInd w:val="0"/>
        <w:spacing w:line="900" w:lineRule="exact"/>
        <w:ind w:firstLine="300" w:firstLineChars="100"/>
        <w:rPr>
          <w:rFonts w:hint="eastAsia" w:asciiTheme="minorEastAsia" w:hAnsiTheme="minorEastAsia" w:eastAsiaTheme="minorEastAsia" w:cstheme="minorEastAsia"/>
          <w:kern w:val="0"/>
          <w:sz w:val="30"/>
          <w:szCs w:val="30"/>
        </w:rPr>
      </w:pPr>
      <w:r>
        <w:rPr>
          <w:rFonts w:hint="eastAsia" w:asciiTheme="minorEastAsia" w:hAnsiTheme="minorEastAsia" w:eastAsiaTheme="minorEastAsia" w:cstheme="minorEastAsia"/>
          <w:kern w:val="0"/>
          <w:sz w:val="30"/>
          <w:szCs w:val="30"/>
          <w:lang w:eastAsia="zh-CN"/>
        </w:rPr>
        <w:t>采购人</w:t>
      </w:r>
      <w:r>
        <w:rPr>
          <w:rFonts w:hint="eastAsia" w:asciiTheme="minorEastAsia" w:hAnsiTheme="minorEastAsia" w:eastAsiaTheme="minorEastAsia" w:cstheme="minorEastAsia"/>
          <w:kern w:val="0"/>
          <w:sz w:val="30"/>
          <w:szCs w:val="30"/>
        </w:rPr>
        <w:t>：</w:t>
      </w:r>
      <w:r>
        <w:rPr>
          <w:rFonts w:hint="eastAsia" w:asciiTheme="minorEastAsia" w:hAnsiTheme="minorEastAsia" w:eastAsiaTheme="minorEastAsia" w:cstheme="minorEastAsia"/>
          <w:kern w:val="0"/>
          <w:sz w:val="30"/>
          <w:szCs w:val="30"/>
          <w:u w:val="single"/>
        </w:rPr>
        <w:t>伊犁融媒体中心</w:t>
      </w:r>
      <w:r>
        <w:rPr>
          <w:rFonts w:hint="eastAsia" w:asciiTheme="minorEastAsia" w:hAnsiTheme="minorEastAsia" w:eastAsiaTheme="minorEastAsia" w:cstheme="minorEastAsia"/>
          <w:kern w:val="0"/>
          <w:sz w:val="30"/>
          <w:szCs w:val="30"/>
        </w:rPr>
        <w:t>（公章）</w:t>
      </w:r>
    </w:p>
    <w:p w14:paraId="072B49D2">
      <w:pPr>
        <w:pStyle w:val="58"/>
        <w:pBdr>
          <w:top w:val="none" w:color="auto" w:sz="0" w:space="0"/>
          <w:left w:val="none" w:color="auto" w:sz="0" w:space="0"/>
          <w:bottom w:val="none" w:color="auto" w:sz="0" w:space="0"/>
          <w:right w:val="none" w:color="auto" w:sz="0" w:space="0"/>
          <w:between w:val="none" w:color="auto" w:sz="0" w:space="0"/>
        </w:pBdr>
        <w:autoSpaceDE w:val="0"/>
        <w:autoSpaceDN w:val="0"/>
        <w:adjustRightInd w:val="0"/>
        <w:spacing w:line="900" w:lineRule="exact"/>
        <w:ind w:firstLine="300" w:firstLineChars="100"/>
        <w:rPr>
          <w:rFonts w:hint="eastAsia" w:asciiTheme="minorEastAsia" w:hAnsiTheme="minorEastAsia" w:eastAsiaTheme="minorEastAsia" w:cstheme="minorEastAsia"/>
          <w:bCs/>
          <w:kern w:val="0"/>
          <w:sz w:val="32"/>
          <w:szCs w:val="32"/>
          <w:u w:val="single"/>
        </w:rPr>
      </w:pPr>
      <w:r>
        <w:rPr>
          <w:rFonts w:hint="eastAsia" w:asciiTheme="minorEastAsia" w:hAnsiTheme="minorEastAsia" w:eastAsiaTheme="minorEastAsia" w:cstheme="minorEastAsia"/>
          <w:kern w:val="0"/>
          <w:sz w:val="30"/>
          <w:szCs w:val="30"/>
        </w:rPr>
        <w:t>项目联系人：</w:t>
      </w:r>
      <w:r>
        <w:rPr>
          <w:rFonts w:hint="eastAsia" w:asciiTheme="minorEastAsia" w:hAnsiTheme="minorEastAsia" w:eastAsiaTheme="minorEastAsia" w:cstheme="minorEastAsia"/>
          <w:kern w:val="0"/>
          <w:sz w:val="30"/>
          <w:szCs w:val="30"/>
          <w:u w:val="single"/>
        </w:rPr>
        <w:t xml:space="preserve">  雷恒阳</w:t>
      </w:r>
      <w:r>
        <w:rPr>
          <w:rFonts w:hint="eastAsia" w:asciiTheme="minorEastAsia" w:hAnsiTheme="minorEastAsia" w:eastAsiaTheme="minorEastAsia" w:cstheme="minorEastAsia"/>
          <w:kern w:val="0"/>
          <w:sz w:val="30"/>
          <w:szCs w:val="30"/>
          <w:u w:val="single"/>
          <w:lang w:val="en-US" w:eastAsia="zh-CN"/>
        </w:rPr>
        <w:t xml:space="preserve">  </w:t>
      </w:r>
      <w:r>
        <w:rPr>
          <w:rFonts w:hint="eastAsia" w:asciiTheme="minorEastAsia" w:hAnsiTheme="minorEastAsia" w:eastAsiaTheme="minorEastAsia" w:cstheme="minorEastAsia"/>
          <w:kern w:val="0"/>
          <w:sz w:val="30"/>
          <w:szCs w:val="30"/>
          <w:u w:val="single"/>
        </w:rPr>
        <w:t xml:space="preserve">  </w:t>
      </w:r>
      <w:r>
        <w:rPr>
          <w:rFonts w:hint="eastAsia" w:asciiTheme="minorEastAsia" w:hAnsiTheme="minorEastAsia" w:eastAsiaTheme="minorEastAsia" w:cstheme="minorEastAsia"/>
          <w:kern w:val="0"/>
          <w:sz w:val="30"/>
          <w:szCs w:val="30"/>
        </w:rPr>
        <w:t xml:space="preserve"> </w:t>
      </w:r>
      <w:r>
        <w:rPr>
          <w:rFonts w:hint="eastAsia" w:asciiTheme="minorEastAsia" w:hAnsiTheme="minorEastAsia" w:eastAsiaTheme="minorEastAsia" w:cstheme="minorEastAsia"/>
          <w:kern w:val="0"/>
          <w:sz w:val="30"/>
          <w:szCs w:val="30"/>
          <w:lang w:val="en-US" w:eastAsia="zh-CN"/>
        </w:rPr>
        <w:t xml:space="preserve">  </w:t>
      </w:r>
      <w:r>
        <w:rPr>
          <w:rFonts w:hint="eastAsia" w:asciiTheme="minorEastAsia" w:hAnsiTheme="minorEastAsia" w:eastAsiaTheme="minorEastAsia" w:cstheme="minorEastAsia"/>
          <w:kern w:val="0"/>
          <w:sz w:val="30"/>
          <w:szCs w:val="30"/>
        </w:rPr>
        <w:t>联系电话：</w:t>
      </w:r>
      <w:r>
        <w:rPr>
          <w:rFonts w:hint="eastAsia" w:asciiTheme="minorEastAsia" w:hAnsiTheme="minorEastAsia" w:eastAsiaTheme="minorEastAsia" w:cstheme="minorEastAsia"/>
          <w:kern w:val="0"/>
          <w:sz w:val="30"/>
          <w:szCs w:val="30"/>
          <w:u w:val="single"/>
        </w:rPr>
        <w:t xml:space="preserve"> 0999-8167737 </w:t>
      </w:r>
    </w:p>
    <w:p w14:paraId="22BBBF4E">
      <w:pPr>
        <w:pStyle w:val="58"/>
        <w:pBdr>
          <w:top w:val="none" w:color="auto" w:sz="0" w:space="0"/>
          <w:left w:val="none" w:color="auto" w:sz="0" w:space="0"/>
          <w:bottom w:val="none" w:color="auto" w:sz="0" w:space="0"/>
          <w:right w:val="none" w:color="auto" w:sz="0" w:space="0"/>
          <w:between w:val="none" w:color="auto" w:sz="0" w:space="0"/>
        </w:pBdr>
        <w:autoSpaceDE w:val="0"/>
        <w:autoSpaceDN w:val="0"/>
        <w:adjustRightInd w:val="0"/>
        <w:spacing w:line="900" w:lineRule="exact"/>
        <w:ind w:firstLine="300" w:firstLineChars="100"/>
        <w:rPr>
          <w:rFonts w:hint="eastAsia" w:asciiTheme="minorEastAsia" w:hAnsiTheme="minorEastAsia" w:eastAsiaTheme="minorEastAsia" w:cstheme="minorEastAsia"/>
          <w:kern w:val="0"/>
          <w:sz w:val="30"/>
          <w:szCs w:val="30"/>
        </w:rPr>
      </w:pPr>
      <w:r>
        <w:rPr>
          <w:rFonts w:hint="eastAsia" w:asciiTheme="minorEastAsia" w:hAnsiTheme="minorEastAsia" w:eastAsiaTheme="minorEastAsia" w:cstheme="minorEastAsia"/>
          <w:kern w:val="0"/>
          <w:sz w:val="30"/>
          <w:szCs w:val="30"/>
          <w:lang w:eastAsia="zh-CN"/>
        </w:rPr>
        <w:t>采购代理机构</w:t>
      </w:r>
      <w:r>
        <w:rPr>
          <w:rFonts w:hint="eastAsia" w:asciiTheme="minorEastAsia" w:hAnsiTheme="minorEastAsia" w:eastAsiaTheme="minorEastAsia" w:cstheme="minorEastAsia"/>
          <w:kern w:val="0"/>
          <w:sz w:val="30"/>
          <w:szCs w:val="30"/>
        </w:rPr>
        <w:t>：</w:t>
      </w:r>
      <w:r>
        <w:rPr>
          <w:rFonts w:hint="eastAsia" w:asciiTheme="minorEastAsia" w:hAnsiTheme="minorEastAsia" w:eastAsiaTheme="minorEastAsia" w:cstheme="minorEastAsia"/>
          <w:kern w:val="0"/>
          <w:sz w:val="30"/>
          <w:szCs w:val="30"/>
          <w:u w:val="single"/>
          <w:lang w:eastAsia="zh-CN"/>
        </w:rPr>
        <w:t>新疆现代胜元工程项目管理有限责任公司</w:t>
      </w:r>
      <w:r>
        <w:rPr>
          <w:rFonts w:hint="eastAsia" w:asciiTheme="minorEastAsia" w:hAnsiTheme="minorEastAsia" w:eastAsiaTheme="minorEastAsia" w:cstheme="minorEastAsia"/>
          <w:kern w:val="0"/>
          <w:sz w:val="30"/>
          <w:szCs w:val="30"/>
        </w:rPr>
        <w:t>（公章）</w:t>
      </w:r>
    </w:p>
    <w:p w14:paraId="744B498D">
      <w:pPr>
        <w:pStyle w:val="58"/>
        <w:pBdr>
          <w:top w:val="none" w:color="auto" w:sz="0" w:space="0"/>
          <w:left w:val="none" w:color="auto" w:sz="0" w:space="0"/>
          <w:bottom w:val="none" w:color="auto" w:sz="0" w:space="0"/>
          <w:right w:val="none" w:color="auto" w:sz="0" w:space="0"/>
          <w:between w:val="none" w:color="auto" w:sz="0" w:space="0"/>
        </w:pBdr>
        <w:autoSpaceDE w:val="0"/>
        <w:autoSpaceDN w:val="0"/>
        <w:adjustRightInd w:val="0"/>
        <w:spacing w:line="900" w:lineRule="exact"/>
        <w:ind w:firstLine="300" w:firstLineChars="100"/>
        <w:rPr>
          <w:rFonts w:hint="eastAsia" w:asciiTheme="minorEastAsia" w:hAnsiTheme="minorEastAsia" w:eastAsiaTheme="minorEastAsia" w:cstheme="minorEastAsia"/>
          <w:bCs/>
          <w:color w:val="auto"/>
          <w:sz w:val="30"/>
          <w:szCs w:val="30"/>
          <w:lang w:eastAsia="zh-CN"/>
        </w:rPr>
      </w:pPr>
      <w:r>
        <w:rPr>
          <w:rFonts w:hint="eastAsia" w:asciiTheme="minorEastAsia" w:hAnsiTheme="minorEastAsia" w:eastAsiaTheme="minorEastAsia" w:cstheme="minorEastAsia"/>
          <w:kern w:val="0"/>
          <w:sz w:val="30"/>
          <w:szCs w:val="30"/>
        </w:rPr>
        <w:t>项目负责人：</w:t>
      </w:r>
      <w:r>
        <w:rPr>
          <w:rFonts w:hint="eastAsia" w:asciiTheme="minorEastAsia" w:hAnsiTheme="minorEastAsia" w:eastAsiaTheme="minorEastAsia" w:cstheme="minorEastAsia"/>
          <w:kern w:val="0"/>
          <w:sz w:val="30"/>
          <w:szCs w:val="30"/>
          <w:u w:val="single"/>
          <w:lang w:eastAsia="zh-CN"/>
        </w:rPr>
        <w:t>秦宏、徐美娜</w:t>
      </w:r>
      <w:r>
        <w:rPr>
          <w:rFonts w:hint="eastAsia" w:asciiTheme="minorEastAsia" w:hAnsiTheme="minorEastAsia" w:eastAsiaTheme="minorEastAsia" w:cstheme="minorEastAsia"/>
          <w:bCs/>
          <w:kern w:val="0"/>
          <w:sz w:val="30"/>
          <w:szCs w:val="30"/>
          <w:u w:val="single"/>
        </w:rPr>
        <w:t xml:space="preserve"> </w:t>
      </w:r>
      <w:r>
        <w:rPr>
          <w:rFonts w:hint="eastAsia" w:asciiTheme="minorEastAsia" w:hAnsiTheme="minorEastAsia" w:eastAsiaTheme="minorEastAsia" w:cstheme="minorEastAsia"/>
          <w:kern w:val="0"/>
          <w:sz w:val="30"/>
          <w:szCs w:val="30"/>
        </w:rPr>
        <w:t xml:space="preserve">  联系电话：</w:t>
      </w:r>
      <w:r>
        <w:rPr>
          <w:rFonts w:hint="eastAsia" w:asciiTheme="minorEastAsia" w:hAnsiTheme="minorEastAsia" w:eastAsiaTheme="minorEastAsia" w:cstheme="minorEastAsia"/>
          <w:kern w:val="0"/>
          <w:sz w:val="30"/>
          <w:szCs w:val="30"/>
          <w:u w:val="single"/>
          <w:lang w:eastAsia="zh-CN"/>
        </w:rPr>
        <w:t>0999-8322267</w:t>
      </w:r>
    </w:p>
    <w:p w14:paraId="075196C5">
      <w:pPr>
        <w:pBdr>
          <w:top w:val="none" w:color="auto" w:sz="0" w:space="0"/>
          <w:left w:val="none" w:color="auto" w:sz="0" w:space="0"/>
          <w:bottom w:val="none" w:color="auto" w:sz="0" w:space="0"/>
          <w:right w:val="none" w:color="auto" w:sz="0" w:space="0"/>
          <w:between w:val="none" w:color="auto" w:sz="0" w:space="0"/>
        </w:pBdr>
        <w:tabs>
          <w:tab w:val="left" w:pos="4980"/>
        </w:tabs>
        <w:spacing w:line="900" w:lineRule="exact"/>
        <w:jc w:val="center"/>
        <w:rPr>
          <w:rFonts w:hint="eastAsia" w:asciiTheme="minorEastAsia" w:hAnsiTheme="minorEastAsia" w:eastAsiaTheme="minorEastAsia" w:cstheme="minorEastAsia"/>
          <w:b/>
          <w:color w:val="auto"/>
          <w:sz w:val="44"/>
          <w:szCs w:val="44"/>
        </w:rPr>
      </w:pPr>
      <w:r>
        <w:rPr>
          <w:rFonts w:hint="eastAsia" w:asciiTheme="minorEastAsia" w:hAnsiTheme="minorEastAsia" w:eastAsiaTheme="minorEastAsia" w:cstheme="minorEastAsia"/>
          <w:bCs/>
          <w:color w:val="auto"/>
          <w:sz w:val="30"/>
          <w:szCs w:val="30"/>
          <w:lang w:eastAsia="zh-CN"/>
        </w:rPr>
        <w:t>2024</w:t>
      </w:r>
      <w:r>
        <w:rPr>
          <w:rFonts w:hint="eastAsia" w:asciiTheme="minorEastAsia" w:hAnsiTheme="minorEastAsia" w:eastAsiaTheme="minorEastAsia" w:cstheme="minorEastAsia"/>
          <w:bCs/>
          <w:color w:val="auto"/>
          <w:sz w:val="30"/>
          <w:szCs w:val="30"/>
        </w:rPr>
        <w:t>年</w:t>
      </w:r>
      <w:r>
        <w:rPr>
          <w:rFonts w:hint="eastAsia" w:asciiTheme="minorEastAsia" w:hAnsiTheme="minorEastAsia" w:eastAsiaTheme="minorEastAsia" w:cstheme="minorEastAsia"/>
          <w:bCs/>
          <w:color w:val="auto"/>
          <w:sz w:val="30"/>
          <w:szCs w:val="30"/>
          <w:lang w:eastAsia="zh-CN"/>
        </w:rPr>
        <w:t xml:space="preserve"> </w:t>
      </w:r>
      <w:r>
        <w:rPr>
          <w:rFonts w:hint="eastAsia" w:asciiTheme="minorEastAsia" w:hAnsiTheme="minorEastAsia" w:eastAsiaTheme="minorEastAsia" w:cstheme="minorEastAsia"/>
          <w:bCs/>
          <w:color w:val="auto"/>
          <w:sz w:val="30"/>
          <w:szCs w:val="30"/>
          <w:lang w:val="en-US" w:eastAsia="zh-CN"/>
        </w:rPr>
        <w:t>10</w:t>
      </w:r>
      <w:r>
        <w:rPr>
          <w:rFonts w:hint="eastAsia" w:asciiTheme="minorEastAsia" w:hAnsiTheme="minorEastAsia" w:eastAsiaTheme="minorEastAsia" w:cstheme="minorEastAsia"/>
          <w:bCs/>
          <w:color w:val="auto"/>
          <w:sz w:val="30"/>
          <w:szCs w:val="30"/>
          <w:lang w:eastAsia="zh-CN"/>
        </w:rPr>
        <w:t xml:space="preserve"> </w:t>
      </w:r>
      <w:r>
        <w:rPr>
          <w:rFonts w:hint="eastAsia" w:asciiTheme="minorEastAsia" w:hAnsiTheme="minorEastAsia" w:eastAsiaTheme="minorEastAsia" w:cstheme="minorEastAsia"/>
          <w:bCs/>
          <w:color w:val="auto"/>
          <w:sz w:val="30"/>
          <w:szCs w:val="30"/>
        </w:rPr>
        <w:t>月</w:t>
      </w:r>
    </w:p>
    <w:p w14:paraId="21AAFE0D">
      <w:pPr>
        <w:pStyle w:val="32"/>
        <w:pBdr>
          <w:top w:val="none" w:color="auto" w:sz="0" w:space="0"/>
          <w:left w:val="none" w:color="auto" w:sz="0" w:space="0"/>
          <w:bottom w:val="none" w:color="auto" w:sz="0" w:space="0"/>
          <w:right w:val="none" w:color="auto" w:sz="0" w:space="0"/>
          <w:between w:val="none" w:color="auto" w:sz="0" w:space="0"/>
        </w:pBdr>
        <w:spacing w:before="0" w:line="360" w:lineRule="auto"/>
        <w:jc w:val="center"/>
        <w:outlineLvl w:val="0"/>
        <w:rPr>
          <w:rFonts w:hint="eastAsia" w:asciiTheme="minorEastAsia" w:hAnsiTheme="minorEastAsia" w:eastAsiaTheme="minorEastAsia" w:cstheme="minorEastAsia"/>
          <w:color w:val="auto"/>
          <w:sz w:val="44"/>
          <w:szCs w:val="44"/>
          <w:lang w:val="zh-CN"/>
        </w:rPr>
      </w:pPr>
      <w:bookmarkStart w:id="1" w:name="_Toc18230"/>
      <w:bookmarkStart w:id="2" w:name="_Toc16264"/>
      <w:bookmarkStart w:id="3" w:name="_Toc14092"/>
      <w:r>
        <w:rPr>
          <w:rFonts w:hint="eastAsia" w:asciiTheme="minorEastAsia" w:hAnsiTheme="minorEastAsia" w:eastAsiaTheme="minorEastAsia" w:cstheme="minorEastAsia"/>
          <w:color w:val="auto"/>
          <w:sz w:val="44"/>
          <w:szCs w:val="44"/>
          <w:lang w:val="zh-CN"/>
        </w:rPr>
        <w:t>目    录</w:t>
      </w:r>
      <w:bookmarkEnd w:id="1"/>
      <w:bookmarkEnd w:id="2"/>
      <w:bookmarkEnd w:id="3"/>
    </w:p>
    <w:p w14:paraId="5B3F82E4"/>
    <w:sdt>
      <w:sdtPr>
        <w:rPr>
          <w:rFonts w:hint="eastAsia" w:asciiTheme="minorEastAsia" w:hAnsiTheme="minorEastAsia" w:eastAsiaTheme="minorEastAsia" w:cstheme="minorEastAsia"/>
          <w:color w:val="auto"/>
          <w:sz w:val="21"/>
        </w:rPr>
        <w:id w:val="147469100"/>
        <w15:color w:val="DBDBDB"/>
        <w:docPartObj>
          <w:docPartGallery w:val="Table of Contents"/>
          <w:docPartUnique/>
        </w:docPartObj>
      </w:sdtPr>
      <w:sdtEndPr>
        <w:rPr>
          <w:rFonts w:hint="eastAsia" w:asciiTheme="minorEastAsia" w:hAnsiTheme="minorEastAsia" w:eastAsiaTheme="minorEastAsia" w:cstheme="minorEastAsia"/>
          <w:color w:val="auto"/>
          <w:sz w:val="22"/>
        </w:rPr>
      </w:sdtEndPr>
      <w:sdtContent>
        <w:p w14:paraId="745E2444">
          <w:pPr>
            <w:pStyle w:val="12"/>
            <w:numPr>
              <w:ilvl w:val="0"/>
              <w:numId w:val="0"/>
            </w:num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sz w:val="21"/>
            </w:rPr>
          </w:pPr>
        </w:p>
        <w:p w14:paraId="2FB7E7E9">
          <w:pPr>
            <w:pStyle w:val="18"/>
            <w:tabs>
              <w:tab w:val="right" w:leader="dot" w:pos="9746"/>
            </w:tabs>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2"/>
            </w:rPr>
            <w:fldChar w:fldCharType="begin"/>
          </w:r>
          <w:r>
            <w:rPr>
              <w:rFonts w:hint="eastAsia" w:asciiTheme="minorEastAsia" w:hAnsiTheme="minorEastAsia" w:eastAsiaTheme="minorEastAsia" w:cstheme="minorEastAsia"/>
              <w:color w:val="auto"/>
              <w:sz w:val="22"/>
            </w:rPr>
            <w:instrText xml:space="preserve">TOC \o "1-1" \h \u </w:instrText>
          </w:r>
          <w:r>
            <w:rPr>
              <w:rFonts w:hint="eastAsia" w:asciiTheme="minorEastAsia" w:hAnsiTheme="minorEastAsia" w:eastAsiaTheme="minorEastAsia" w:cstheme="minorEastAsia"/>
              <w:color w:val="auto"/>
              <w:sz w:val="22"/>
            </w:rPr>
            <w:fldChar w:fldCharType="separate"/>
          </w:r>
        </w:p>
        <w:p w14:paraId="6BB1B1D2">
          <w:pPr>
            <w:pStyle w:val="18"/>
            <w:tabs>
              <w:tab w:val="right" w:leader="dot" w:pos="9746"/>
            </w:tabs>
            <w:ind w:firstLine="280" w:firstLineChars="1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fldChar w:fldCharType="begin"/>
          </w:r>
          <w:r>
            <w:rPr>
              <w:rFonts w:hint="eastAsia" w:asciiTheme="minorEastAsia" w:hAnsiTheme="minorEastAsia" w:eastAsiaTheme="minorEastAsia" w:cstheme="minorEastAsia"/>
              <w:color w:val="auto"/>
              <w:sz w:val="28"/>
              <w:szCs w:val="28"/>
            </w:rPr>
            <w:instrText xml:space="preserve"> HYPERLINK \l _Toc17804 </w:instrText>
          </w:r>
          <w:r>
            <w:rPr>
              <w:rFonts w:hint="eastAsia" w:asciiTheme="minorEastAsia" w:hAnsiTheme="minorEastAsia" w:eastAsiaTheme="minorEastAsia" w:cstheme="minorEastAsia"/>
              <w:color w:val="auto"/>
              <w:sz w:val="28"/>
              <w:szCs w:val="28"/>
            </w:rPr>
            <w:fldChar w:fldCharType="separate"/>
          </w:r>
          <w:r>
            <w:rPr>
              <w:rFonts w:hint="eastAsia" w:asciiTheme="minorEastAsia" w:hAnsiTheme="minorEastAsia" w:eastAsiaTheme="minorEastAsia" w:cstheme="minorEastAsia"/>
              <w:color w:val="auto"/>
              <w:sz w:val="28"/>
              <w:szCs w:val="28"/>
              <w:lang w:eastAsia="zh-CN"/>
            </w:rPr>
            <w:t>第一部分  招标公告</w:t>
          </w:r>
          <w:r>
            <w:rPr>
              <w:rFonts w:hint="eastAsia" w:asciiTheme="minorEastAsia" w:hAnsiTheme="minorEastAsia" w:eastAsiaTheme="minorEastAsia" w:cstheme="minorEastAsia"/>
              <w:color w:val="auto"/>
              <w:sz w:val="28"/>
              <w:szCs w:val="28"/>
            </w:rPr>
            <w:tab/>
          </w:r>
          <w:r>
            <w:rPr>
              <w:rFonts w:hint="eastAsia" w:asciiTheme="minorEastAsia" w:hAnsiTheme="minorEastAsia" w:eastAsiaTheme="minorEastAsia" w:cstheme="minorEastAsia"/>
              <w:color w:val="auto"/>
              <w:sz w:val="28"/>
              <w:szCs w:val="28"/>
            </w:rPr>
            <w:fldChar w:fldCharType="begin"/>
          </w:r>
          <w:r>
            <w:rPr>
              <w:rFonts w:hint="eastAsia" w:asciiTheme="minorEastAsia" w:hAnsiTheme="minorEastAsia" w:eastAsiaTheme="minorEastAsia" w:cstheme="minorEastAsia"/>
              <w:color w:val="auto"/>
              <w:sz w:val="28"/>
              <w:szCs w:val="28"/>
            </w:rPr>
            <w:instrText xml:space="preserve"> PAGEREF _Toc17804 \h </w:instrText>
          </w:r>
          <w:r>
            <w:rPr>
              <w:rFonts w:hint="eastAsia" w:asciiTheme="minorEastAsia" w:hAnsiTheme="minorEastAsia" w:eastAsiaTheme="minorEastAsia" w:cstheme="minorEastAsia"/>
              <w:color w:val="auto"/>
              <w:sz w:val="28"/>
              <w:szCs w:val="28"/>
            </w:rPr>
            <w:fldChar w:fldCharType="separate"/>
          </w:r>
          <w:r>
            <w:rPr>
              <w:rFonts w:hint="eastAsia" w:asciiTheme="minorEastAsia" w:hAnsiTheme="minorEastAsia" w:eastAsiaTheme="minorEastAsia" w:cstheme="minorEastAsia"/>
              <w:color w:val="auto"/>
              <w:sz w:val="28"/>
              <w:szCs w:val="28"/>
            </w:rPr>
            <w:t>1</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rPr>
            <w:fldChar w:fldCharType="end"/>
          </w:r>
        </w:p>
        <w:p w14:paraId="7D298CB5">
          <w:pPr>
            <w:pStyle w:val="18"/>
            <w:tabs>
              <w:tab w:val="right" w:leader="dot" w:pos="9746"/>
            </w:tabs>
            <w:ind w:firstLine="280" w:firstLineChars="1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fldChar w:fldCharType="begin"/>
          </w:r>
          <w:r>
            <w:rPr>
              <w:rFonts w:hint="eastAsia" w:asciiTheme="minorEastAsia" w:hAnsiTheme="minorEastAsia" w:eastAsiaTheme="minorEastAsia" w:cstheme="minorEastAsia"/>
              <w:color w:val="auto"/>
              <w:sz w:val="28"/>
              <w:szCs w:val="28"/>
            </w:rPr>
            <w:instrText xml:space="preserve"> HYPERLINK \l _Toc2742 </w:instrText>
          </w:r>
          <w:r>
            <w:rPr>
              <w:rFonts w:hint="eastAsia" w:asciiTheme="minorEastAsia" w:hAnsiTheme="minorEastAsia" w:eastAsiaTheme="minorEastAsia" w:cstheme="minorEastAsia"/>
              <w:color w:val="auto"/>
              <w:sz w:val="28"/>
              <w:szCs w:val="28"/>
            </w:rPr>
            <w:fldChar w:fldCharType="separate"/>
          </w:r>
          <w:r>
            <w:rPr>
              <w:rFonts w:hint="eastAsia" w:asciiTheme="minorEastAsia" w:hAnsiTheme="minorEastAsia" w:eastAsiaTheme="minorEastAsia" w:cstheme="minorEastAsia"/>
              <w:color w:val="auto"/>
              <w:sz w:val="28"/>
              <w:szCs w:val="28"/>
            </w:rPr>
            <w:t>第二部分</w:t>
          </w:r>
          <w:r>
            <w:rPr>
              <w:rFonts w:hint="eastAsia" w:asciiTheme="minorEastAsia" w:hAnsiTheme="minorEastAsia" w:eastAsiaTheme="minorEastAsia" w:cstheme="minorEastAsia"/>
              <w:color w:val="auto"/>
              <w:sz w:val="28"/>
              <w:szCs w:val="28"/>
              <w:lang w:val="en-US" w:eastAsia="zh-CN"/>
            </w:rPr>
            <w:t xml:space="preserve">  </w:t>
          </w:r>
          <w:r>
            <w:rPr>
              <w:rFonts w:hint="eastAsia" w:asciiTheme="minorEastAsia" w:hAnsiTheme="minorEastAsia" w:eastAsiaTheme="minorEastAsia" w:cstheme="minorEastAsia"/>
              <w:color w:val="auto"/>
              <w:sz w:val="28"/>
              <w:szCs w:val="28"/>
            </w:rPr>
            <w:t>投标须知</w:t>
          </w:r>
          <w:r>
            <w:rPr>
              <w:rFonts w:hint="eastAsia" w:asciiTheme="minorEastAsia" w:hAnsiTheme="minorEastAsia" w:eastAsiaTheme="minorEastAsia" w:cstheme="minorEastAsia"/>
              <w:color w:val="auto"/>
              <w:sz w:val="28"/>
              <w:szCs w:val="28"/>
            </w:rPr>
            <w:tab/>
          </w:r>
          <w:r>
            <w:rPr>
              <w:rFonts w:hint="eastAsia" w:asciiTheme="minorEastAsia" w:hAnsiTheme="minorEastAsia" w:eastAsiaTheme="minorEastAsia" w:cstheme="minorEastAsia"/>
              <w:color w:val="auto"/>
              <w:sz w:val="28"/>
              <w:szCs w:val="28"/>
            </w:rPr>
            <w:fldChar w:fldCharType="begin"/>
          </w:r>
          <w:r>
            <w:rPr>
              <w:rFonts w:hint="eastAsia" w:asciiTheme="minorEastAsia" w:hAnsiTheme="minorEastAsia" w:eastAsiaTheme="minorEastAsia" w:cstheme="minorEastAsia"/>
              <w:color w:val="auto"/>
              <w:sz w:val="28"/>
              <w:szCs w:val="28"/>
            </w:rPr>
            <w:instrText xml:space="preserve"> PAGEREF _Toc2742 \h </w:instrText>
          </w:r>
          <w:r>
            <w:rPr>
              <w:rFonts w:hint="eastAsia" w:asciiTheme="minorEastAsia" w:hAnsiTheme="minorEastAsia" w:eastAsiaTheme="minorEastAsia" w:cstheme="minorEastAsia"/>
              <w:color w:val="auto"/>
              <w:sz w:val="28"/>
              <w:szCs w:val="28"/>
            </w:rPr>
            <w:fldChar w:fldCharType="separate"/>
          </w:r>
          <w:r>
            <w:rPr>
              <w:rFonts w:hint="eastAsia" w:asciiTheme="minorEastAsia" w:hAnsiTheme="minorEastAsia" w:eastAsiaTheme="minorEastAsia" w:cstheme="minorEastAsia"/>
              <w:color w:val="auto"/>
              <w:sz w:val="28"/>
              <w:szCs w:val="28"/>
            </w:rPr>
            <w:t>4</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rPr>
            <w:fldChar w:fldCharType="end"/>
          </w:r>
        </w:p>
        <w:p w14:paraId="798FC577">
          <w:pPr>
            <w:pStyle w:val="18"/>
            <w:tabs>
              <w:tab w:val="right" w:leader="dot" w:pos="9746"/>
            </w:tabs>
            <w:ind w:firstLine="280" w:firstLineChars="1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fldChar w:fldCharType="begin"/>
          </w:r>
          <w:r>
            <w:rPr>
              <w:rFonts w:hint="eastAsia" w:asciiTheme="minorEastAsia" w:hAnsiTheme="minorEastAsia" w:eastAsiaTheme="minorEastAsia" w:cstheme="minorEastAsia"/>
              <w:color w:val="auto"/>
              <w:sz w:val="28"/>
              <w:szCs w:val="28"/>
            </w:rPr>
            <w:instrText xml:space="preserve"> HYPERLINK \l _Toc11618 </w:instrText>
          </w:r>
          <w:r>
            <w:rPr>
              <w:rFonts w:hint="eastAsia" w:asciiTheme="minorEastAsia" w:hAnsiTheme="minorEastAsia" w:eastAsiaTheme="minorEastAsia" w:cstheme="minorEastAsia"/>
              <w:color w:val="auto"/>
              <w:sz w:val="28"/>
              <w:szCs w:val="28"/>
            </w:rPr>
            <w:fldChar w:fldCharType="separate"/>
          </w:r>
          <w:r>
            <w:rPr>
              <w:rFonts w:hint="eastAsia" w:asciiTheme="minorEastAsia" w:hAnsiTheme="minorEastAsia" w:eastAsiaTheme="minorEastAsia" w:cstheme="minorEastAsia"/>
              <w:color w:val="auto"/>
              <w:sz w:val="28"/>
              <w:szCs w:val="28"/>
              <w:lang w:eastAsia="zh-CN"/>
            </w:rPr>
            <w:t>第三部分  评标办法</w:t>
          </w:r>
          <w:r>
            <w:rPr>
              <w:rFonts w:hint="eastAsia" w:asciiTheme="minorEastAsia" w:hAnsiTheme="minorEastAsia" w:eastAsiaTheme="minorEastAsia" w:cstheme="minorEastAsia"/>
              <w:color w:val="auto"/>
              <w:sz w:val="28"/>
              <w:szCs w:val="28"/>
            </w:rPr>
            <w:tab/>
          </w:r>
          <w:r>
            <w:rPr>
              <w:rFonts w:hint="eastAsia" w:asciiTheme="minorEastAsia" w:hAnsiTheme="minorEastAsia" w:eastAsiaTheme="minorEastAsia" w:cstheme="minorEastAsia"/>
              <w:color w:val="auto"/>
              <w:sz w:val="28"/>
              <w:szCs w:val="28"/>
            </w:rPr>
            <w:fldChar w:fldCharType="begin"/>
          </w:r>
          <w:r>
            <w:rPr>
              <w:rFonts w:hint="eastAsia" w:asciiTheme="minorEastAsia" w:hAnsiTheme="minorEastAsia" w:eastAsiaTheme="minorEastAsia" w:cstheme="minorEastAsia"/>
              <w:color w:val="auto"/>
              <w:sz w:val="28"/>
              <w:szCs w:val="28"/>
            </w:rPr>
            <w:instrText xml:space="preserve"> PAGEREF _Toc11618 \h </w:instrText>
          </w:r>
          <w:r>
            <w:rPr>
              <w:rFonts w:hint="eastAsia" w:asciiTheme="minorEastAsia" w:hAnsiTheme="minorEastAsia" w:eastAsiaTheme="minorEastAsia" w:cstheme="minorEastAsia"/>
              <w:color w:val="auto"/>
              <w:sz w:val="28"/>
              <w:szCs w:val="28"/>
            </w:rPr>
            <w:fldChar w:fldCharType="separate"/>
          </w:r>
          <w:r>
            <w:rPr>
              <w:rFonts w:hint="eastAsia" w:asciiTheme="minorEastAsia" w:hAnsiTheme="minorEastAsia" w:eastAsiaTheme="minorEastAsia" w:cstheme="minorEastAsia"/>
              <w:color w:val="auto"/>
              <w:sz w:val="28"/>
              <w:szCs w:val="28"/>
            </w:rPr>
            <w:t>35</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rPr>
            <w:fldChar w:fldCharType="end"/>
          </w:r>
        </w:p>
        <w:p w14:paraId="201870F7">
          <w:pPr>
            <w:pStyle w:val="18"/>
            <w:tabs>
              <w:tab w:val="right" w:leader="dot" w:pos="9746"/>
            </w:tabs>
            <w:ind w:firstLine="280" w:firstLineChars="1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fldChar w:fldCharType="begin"/>
          </w:r>
          <w:r>
            <w:rPr>
              <w:rFonts w:hint="eastAsia" w:asciiTheme="minorEastAsia" w:hAnsiTheme="minorEastAsia" w:eastAsiaTheme="minorEastAsia" w:cstheme="minorEastAsia"/>
              <w:color w:val="auto"/>
              <w:sz w:val="28"/>
              <w:szCs w:val="28"/>
            </w:rPr>
            <w:instrText xml:space="preserve"> HYPERLINK \l _Toc5842 </w:instrText>
          </w:r>
          <w:r>
            <w:rPr>
              <w:rFonts w:hint="eastAsia" w:asciiTheme="minorEastAsia" w:hAnsiTheme="minorEastAsia" w:eastAsiaTheme="minorEastAsia" w:cstheme="minorEastAsia"/>
              <w:color w:val="auto"/>
              <w:sz w:val="28"/>
              <w:szCs w:val="28"/>
            </w:rPr>
            <w:fldChar w:fldCharType="separate"/>
          </w:r>
          <w:r>
            <w:rPr>
              <w:rFonts w:hint="eastAsia" w:asciiTheme="minorEastAsia" w:hAnsiTheme="minorEastAsia" w:eastAsiaTheme="minorEastAsia" w:cstheme="minorEastAsia"/>
              <w:color w:val="auto"/>
              <w:sz w:val="28"/>
              <w:szCs w:val="28"/>
              <w:lang w:eastAsia="zh-CN"/>
            </w:rPr>
            <w:t xml:space="preserve">第四部分 </w:t>
          </w:r>
          <w:r>
            <w:rPr>
              <w:rFonts w:hint="eastAsia" w:asciiTheme="minorEastAsia" w:hAnsiTheme="minorEastAsia" w:eastAsiaTheme="minorEastAsia" w:cstheme="minorEastAsia"/>
              <w:color w:val="auto"/>
              <w:sz w:val="28"/>
              <w:szCs w:val="28"/>
              <w:lang w:val="en-US" w:eastAsia="zh-CN"/>
            </w:rPr>
            <w:t xml:space="preserve"> </w:t>
          </w:r>
          <w:r>
            <w:rPr>
              <w:rFonts w:hint="eastAsia" w:asciiTheme="minorEastAsia" w:hAnsiTheme="minorEastAsia" w:eastAsiaTheme="minorEastAsia" w:cstheme="minorEastAsia"/>
              <w:color w:val="auto"/>
              <w:sz w:val="28"/>
              <w:szCs w:val="28"/>
              <w:lang w:eastAsia="zh-CN"/>
            </w:rPr>
            <w:t>采购内容及技术要求</w:t>
          </w:r>
          <w:r>
            <w:rPr>
              <w:rFonts w:hint="eastAsia" w:asciiTheme="minorEastAsia" w:hAnsiTheme="minorEastAsia" w:eastAsiaTheme="minorEastAsia" w:cstheme="minorEastAsia"/>
              <w:color w:val="auto"/>
              <w:sz w:val="28"/>
              <w:szCs w:val="28"/>
            </w:rPr>
            <w:tab/>
          </w:r>
          <w:r>
            <w:rPr>
              <w:rFonts w:hint="eastAsia" w:asciiTheme="minorEastAsia" w:hAnsiTheme="minorEastAsia" w:eastAsiaTheme="minorEastAsia" w:cstheme="minorEastAsia"/>
              <w:color w:val="auto"/>
              <w:sz w:val="28"/>
              <w:szCs w:val="28"/>
            </w:rPr>
            <w:fldChar w:fldCharType="begin"/>
          </w:r>
          <w:r>
            <w:rPr>
              <w:rFonts w:hint="eastAsia" w:asciiTheme="minorEastAsia" w:hAnsiTheme="minorEastAsia" w:eastAsiaTheme="minorEastAsia" w:cstheme="minorEastAsia"/>
              <w:color w:val="auto"/>
              <w:sz w:val="28"/>
              <w:szCs w:val="28"/>
            </w:rPr>
            <w:instrText xml:space="preserve"> PAGEREF _Toc5842 \h </w:instrText>
          </w:r>
          <w:r>
            <w:rPr>
              <w:rFonts w:hint="eastAsia" w:asciiTheme="minorEastAsia" w:hAnsiTheme="minorEastAsia" w:eastAsiaTheme="minorEastAsia" w:cstheme="minorEastAsia"/>
              <w:color w:val="auto"/>
              <w:sz w:val="28"/>
              <w:szCs w:val="28"/>
            </w:rPr>
            <w:fldChar w:fldCharType="separate"/>
          </w:r>
          <w:r>
            <w:rPr>
              <w:rFonts w:hint="eastAsia" w:asciiTheme="minorEastAsia" w:hAnsiTheme="minorEastAsia" w:eastAsiaTheme="minorEastAsia" w:cstheme="minorEastAsia"/>
              <w:color w:val="auto"/>
              <w:sz w:val="28"/>
              <w:szCs w:val="28"/>
            </w:rPr>
            <w:t>46</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rPr>
            <w:fldChar w:fldCharType="end"/>
          </w:r>
        </w:p>
        <w:p w14:paraId="43E8C700">
          <w:pPr>
            <w:pStyle w:val="18"/>
            <w:tabs>
              <w:tab w:val="right" w:leader="dot" w:pos="9746"/>
            </w:tabs>
            <w:ind w:firstLine="280" w:firstLineChars="1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fldChar w:fldCharType="begin"/>
          </w:r>
          <w:r>
            <w:rPr>
              <w:rFonts w:hint="eastAsia" w:asciiTheme="minorEastAsia" w:hAnsiTheme="minorEastAsia" w:eastAsiaTheme="minorEastAsia" w:cstheme="minorEastAsia"/>
              <w:color w:val="auto"/>
              <w:sz w:val="28"/>
              <w:szCs w:val="28"/>
            </w:rPr>
            <w:instrText xml:space="preserve"> HYPERLINK \l _Toc11863 </w:instrText>
          </w:r>
          <w:r>
            <w:rPr>
              <w:rFonts w:hint="eastAsia" w:asciiTheme="minorEastAsia" w:hAnsiTheme="minorEastAsia" w:eastAsiaTheme="minorEastAsia" w:cstheme="minorEastAsia"/>
              <w:color w:val="auto"/>
              <w:sz w:val="28"/>
              <w:szCs w:val="28"/>
            </w:rPr>
            <w:fldChar w:fldCharType="separate"/>
          </w:r>
          <w:r>
            <w:rPr>
              <w:rFonts w:hint="eastAsia" w:asciiTheme="minorEastAsia" w:hAnsiTheme="minorEastAsia" w:eastAsiaTheme="minorEastAsia" w:cstheme="minorEastAsia"/>
              <w:color w:val="auto"/>
              <w:sz w:val="28"/>
              <w:szCs w:val="28"/>
              <w:lang w:eastAsia="zh-CN"/>
            </w:rPr>
            <w:t>第五部分  合同条款及格式</w:t>
          </w:r>
          <w:r>
            <w:rPr>
              <w:rFonts w:hint="eastAsia" w:asciiTheme="minorEastAsia" w:hAnsiTheme="minorEastAsia" w:eastAsiaTheme="minorEastAsia" w:cstheme="minorEastAsia"/>
              <w:color w:val="auto"/>
              <w:sz w:val="28"/>
              <w:szCs w:val="28"/>
            </w:rPr>
            <w:tab/>
          </w:r>
          <w:r>
            <w:rPr>
              <w:rFonts w:hint="eastAsia" w:asciiTheme="minorEastAsia" w:hAnsiTheme="minorEastAsia" w:eastAsiaTheme="minorEastAsia" w:cstheme="minorEastAsia"/>
              <w:color w:val="auto"/>
              <w:sz w:val="28"/>
              <w:szCs w:val="28"/>
            </w:rPr>
            <w:fldChar w:fldCharType="begin"/>
          </w:r>
          <w:r>
            <w:rPr>
              <w:rFonts w:hint="eastAsia" w:asciiTheme="minorEastAsia" w:hAnsiTheme="minorEastAsia" w:eastAsiaTheme="minorEastAsia" w:cstheme="minorEastAsia"/>
              <w:color w:val="auto"/>
              <w:sz w:val="28"/>
              <w:szCs w:val="28"/>
            </w:rPr>
            <w:instrText xml:space="preserve"> PAGEREF _Toc11863 \h </w:instrText>
          </w:r>
          <w:r>
            <w:rPr>
              <w:rFonts w:hint="eastAsia" w:asciiTheme="minorEastAsia" w:hAnsiTheme="minorEastAsia" w:eastAsiaTheme="minorEastAsia" w:cstheme="minorEastAsia"/>
              <w:color w:val="auto"/>
              <w:sz w:val="28"/>
              <w:szCs w:val="28"/>
            </w:rPr>
            <w:fldChar w:fldCharType="separate"/>
          </w:r>
          <w:r>
            <w:rPr>
              <w:rFonts w:hint="eastAsia" w:asciiTheme="minorEastAsia" w:hAnsiTheme="minorEastAsia" w:eastAsiaTheme="minorEastAsia" w:cstheme="minorEastAsia"/>
              <w:color w:val="auto"/>
              <w:sz w:val="28"/>
              <w:szCs w:val="28"/>
            </w:rPr>
            <w:t>133</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rPr>
            <w:fldChar w:fldCharType="end"/>
          </w:r>
        </w:p>
        <w:p w14:paraId="7D75C73A">
          <w:pPr>
            <w:pStyle w:val="18"/>
            <w:tabs>
              <w:tab w:val="right" w:leader="dot" w:pos="9746"/>
            </w:tabs>
            <w:ind w:firstLine="280" w:firstLineChars="100"/>
          </w:pPr>
          <w:r>
            <w:rPr>
              <w:rFonts w:hint="eastAsia" w:asciiTheme="minorEastAsia" w:hAnsiTheme="minorEastAsia" w:eastAsiaTheme="minorEastAsia" w:cstheme="minorEastAsia"/>
              <w:color w:val="auto"/>
              <w:sz w:val="28"/>
              <w:szCs w:val="28"/>
            </w:rPr>
            <w:fldChar w:fldCharType="begin"/>
          </w:r>
          <w:r>
            <w:rPr>
              <w:rFonts w:hint="eastAsia" w:asciiTheme="minorEastAsia" w:hAnsiTheme="minorEastAsia" w:eastAsiaTheme="minorEastAsia" w:cstheme="minorEastAsia"/>
              <w:color w:val="auto"/>
              <w:sz w:val="28"/>
              <w:szCs w:val="28"/>
            </w:rPr>
            <w:instrText xml:space="preserve"> HYPERLINK \l _Toc21438 </w:instrText>
          </w:r>
          <w:r>
            <w:rPr>
              <w:rFonts w:hint="eastAsia" w:asciiTheme="minorEastAsia" w:hAnsiTheme="minorEastAsia" w:eastAsiaTheme="minorEastAsia" w:cstheme="minorEastAsia"/>
              <w:color w:val="auto"/>
              <w:sz w:val="28"/>
              <w:szCs w:val="28"/>
            </w:rPr>
            <w:fldChar w:fldCharType="separate"/>
          </w:r>
          <w:r>
            <w:rPr>
              <w:rFonts w:hint="eastAsia" w:asciiTheme="minorEastAsia" w:hAnsiTheme="minorEastAsia" w:eastAsiaTheme="minorEastAsia" w:cstheme="minorEastAsia"/>
              <w:color w:val="auto"/>
              <w:sz w:val="28"/>
              <w:szCs w:val="28"/>
            </w:rPr>
            <w:t>第</w:t>
          </w:r>
          <w:r>
            <w:rPr>
              <w:rFonts w:hint="eastAsia" w:asciiTheme="minorEastAsia" w:hAnsiTheme="minorEastAsia" w:eastAsiaTheme="minorEastAsia" w:cstheme="minorEastAsia"/>
              <w:color w:val="auto"/>
              <w:sz w:val="28"/>
              <w:szCs w:val="28"/>
              <w:lang w:eastAsia="zh-CN"/>
            </w:rPr>
            <w:t>六</w:t>
          </w:r>
          <w:r>
            <w:rPr>
              <w:rFonts w:hint="eastAsia" w:asciiTheme="minorEastAsia" w:hAnsiTheme="minorEastAsia" w:eastAsiaTheme="minorEastAsia" w:cstheme="minorEastAsia"/>
              <w:color w:val="auto"/>
              <w:sz w:val="28"/>
              <w:szCs w:val="28"/>
            </w:rPr>
            <w:t>部分</w:t>
          </w:r>
          <w:r>
            <w:rPr>
              <w:rFonts w:hint="eastAsia" w:asciiTheme="minorEastAsia" w:hAnsiTheme="minorEastAsia" w:eastAsiaTheme="minorEastAsia" w:cstheme="minorEastAsia"/>
              <w:color w:val="auto"/>
              <w:sz w:val="28"/>
              <w:szCs w:val="28"/>
              <w:lang w:val="en-US" w:eastAsia="zh-CN"/>
            </w:rPr>
            <w:t xml:space="preserve">  </w:t>
          </w:r>
          <w:r>
            <w:rPr>
              <w:rFonts w:hint="eastAsia" w:asciiTheme="minorEastAsia" w:hAnsiTheme="minorEastAsia" w:eastAsiaTheme="minorEastAsia" w:cstheme="minorEastAsia"/>
              <w:color w:val="auto"/>
              <w:sz w:val="28"/>
              <w:szCs w:val="28"/>
            </w:rPr>
            <w:t>投标文件格式</w:t>
          </w:r>
          <w:r>
            <w:rPr>
              <w:rFonts w:hint="eastAsia" w:asciiTheme="minorEastAsia" w:hAnsiTheme="minorEastAsia" w:eastAsiaTheme="minorEastAsia" w:cstheme="minorEastAsia"/>
              <w:color w:val="auto"/>
              <w:sz w:val="28"/>
              <w:szCs w:val="28"/>
            </w:rPr>
            <w:tab/>
          </w:r>
          <w:r>
            <w:rPr>
              <w:rFonts w:hint="eastAsia" w:asciiTheme="minorEastAsia" w:hAnsiTheme="minorEastAsia" w:eastAsiaTheme="minorEastAsia" w:cstheme="minorEastAsia"/>
              <w:color w:val="auto"/>
              <w:sz w:val="28"/>
              <w:szCs w:val="28"/>
            </w:rPr>
            <w:fldChar w:fldCharType="begin"/>
          </w:r>
          <w:r>
            <w:rPr>
              <w:rFonts w:hint="eastAsia" w:asciiTheme="minorEastAsia" w:hAnsiTheme="minorEastAsia" w:eastAsiaTheme="minorEastAsia" w:cstheme="minorEastAsia"/>
              <w:color w:val="auto"/>
              <w:sz w:val="28"/>
              <w:szCs w:val="28"/>
            </w:rPr>
            <w:instrText xml:space="preserve"> PAGEREF _Toc21438 \h </w:instrText>
          </w:r>
          <w:r>
            <w:rPr>
              <w:rFonts w:hint="eastAsia" w:asciiTheme="minorEastAsia" w:hAnsiTheme="minorEastAsia" w:eastAsiaTheme="minorEastAsia" w:cstheme="minorEastAsia"/>
              <w:color w:val="auto"/>
              <w:sz w:val="28"/>
              <w:szCs w:val="28"/>
            </w:rPr>
            <w:fldChar w:fldCharType="separate"/>
          </w:r>
          <w:r>
            <w:rPr>
              <w:rFonts w:hint="eastAsia" w:asciiTheme="minorEastAsia" w:hAnsiTheme="minorEastAsia" w:eastAsiaTheme="minorEastAsia" w:cstheme="minorEastAsia"/>
              <w:color w:val="auto"/>
              <w:sz w:val="28"/>
              <w:szCs w:val="28"/>
            </w:rPr>
            <w:t>150</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rPr>
            <w:fldChar w:fldCharType="end"/>
          </w:r>
        </w:p>
        <w:p w14:paraId="268836CF">
          <w:pPr>
            <w:pStyle w:val="12"/>
            <w:numPr>
              <w:ilvl w:val="0"/>
              <w:numId w:val="0"/>
            </w:num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fldChar w:fldCharType="end"/>
          </w:r>
        </w:p>
      </w:sdtContent>
    </w:sdt>
    <w:p w14:paraId="52AB7505">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rPr>
      </w:pPr>
    </w:p>
    <w:p w14:paraId="16B52825">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p>
    <w:p w14:paraId="3ED1D96D">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rPr>
      </w:pPr>
    </w:p>
    <w:p w14:paraId="138EF71A">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rPr>
      </w:pPr>
    </w:p>
    <w:p w14:paraId="6EAA6560">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rPr>
      </w:pPr>
    </w:p>
    <w:p w14:paraId="1A001847">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rPr>
      </w:pPr>
    </w:p>
    <w:p w14:paraId="10B00DC6">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rPr>
      </w:pPr>
    </w:p>
    <w:p w14:paraId="6E61FB01">
      <w:pPr>
        <w:pStyle w:val="37"/>
        <w:keepNext/>
        <w:keepLines/>
        <w:pBdr>
          <w:top w:val="none" w:color="auto" w:sz="0" w:space="0"/>
          <w:left w:val="none" w:color="auto" w:sz="0" w:space="0"/>
          <w:bottom w:val="none" w:color="auto" w:sz="0" w:space="0"/>
          <w:right w:val="none" w:color="auto" w:sz="0" w:space="0"/>
          <w:between w:val="none" w:color="auto" w:sz="0" w:space="0"/>
        </w:pBdr>
        <w:spacing w:before="120" w:after="300"/>
        <w:outlineLvl w:val="9"/>
        <w:rPr>
          <w:rFonts w:hint="eastAsia" w:asciiTheme="minorEastAsia" w:hAnsiTheme="minorEastAsia" w:eastAsiaTheme="minorEastAsia" w:cstheme="minorEastAsia"/>
          <w:b/>
          <w:bCs/>
          <w:color w:val="auto"/>
        </w:rPr>
        <w:sectPr>
          <w:headerReference r:id="rId3" w:type="default"/>
          <w:footerReference r:id="rId4" w:type="default"/>
          <w:pgSz w:w="11906" w:h="16838"/>
          <w:pgMar w:top="1440" w:right="1080" w:bottom="1440" w:left="1080" w:header="851" w:footer="992" w:gutter="0"/>
          <w:pgBorders>
            <w:top w:val="none" w:sz="0" w:space="0"/>
            <w:left w:val="none" w:sz="0" w:space="0"/>
            <w:bottom w:val="none" w:sz="0" w:space="0"/>
            <w:right w:val="none" w:sz="0" w:space="0"/>
          </w:pgBorders>
          <w:pgNumType w:start="1"/>
          <w:cols w:space="720" w:num="1"/>
          <w:docGrid w:type="linesAndChars" w:linePitch="312" w:charSpace="0"/>
        </w:sectPr>
      </w:pPr>
    </w:p>
    <w:p w14:paraId="0B51353D">
      <w:pPr>
        <w:pBdr>
          <w:top w:val="none" w:color="auto" w:sz="0" w:space="0"/>
          <w:left w:val="none" w:color="auto" w:sz="0" w:space="0"/>
          <w:bottom w:val="none" w:color="auto" w:sz="0" w:space="0"/>
          <w:right w:val="none" w:color="auto" w:sz="0" w:space="0"/>
          <w:between w:val="none" w:color="auto" w:sz="0" w:space="0"/>
        </w:pBdr>
        <w:spacing w:line="360" w:lineRule="auto"/>
        <w:ind w:firstLine="2711" w:firstLineChars="900"/>
        <w:jc w:val="both"/>
        <w:outlineLvl w:val="0"/>
        <w:rPr>
          <w:rFonts w:hint="eastAsia" w:asciiTheme="minorEastAsia" w:hAnsiTheme="minorEastAsia" w:eastAsiaTheme="minorEastAsia" w:cstheme="minorEastAsia"/>
          <w:b/>
          <w:color w:val="auto"/>
          <w:sz w:val="30"/>
          <w:szCs w:val="30"/>
          <w:lang w:eastAsia="zh-CN"/>
        </w:rPr>
      </w:pPr>
      <w:bookmarkStart w:id="4" w:name="_Toc17804"/>
      <w:bookmarkStart w:id="5" w:name="_Toc17523"/>
      <w:r>
        <w:rPr>
          <w:rFonts w:hint="eastAsia" w:asciiTheme="minorEastAsia" w:hAnsiTheme="minorEastAsia" w:eastAsiaTheme="minorEastAsia" w:cstheme="minorEastAsia"/>
          <w:b/>
          <w:color w:val="auto"/>
          <w:sz w:val="30"/>
          <w:szCs w:val="30"/>
          <w:lang w:eastAsia="zh-CN"/>
        </w:rPr>
        <w:t>第一部分   招标公告</w:t>
      </w:r>
      <w:bookmarkEnd w:id="4"/>
      <w:bookmarkEnd w:id="5"/>
    </w:p>
    <w:p w14:paraId="6783582F">
      <w:pPr>
        <w:pBdr>
          <w:top w:val="single" w:color="auto" w:sz="4" w:space="1"/>
          <w:left w:val="single" w:color="auto" w:sz="4" w:space="4"/>
          <w:bottom w:val="single" w:color="auto" w:sz="4" w:space="1"/>
          <w:right w:val="single" w:color="auto" w:sz="4" w:space="4"/>
        </w:pBdr>
        <w:spacing w:line="400" w:lineRule="exact"/>
        <w:jc w:val="center"/>
        <w:rPr>
          <w:rFonts w:hint="eastAsia" w:ascii="仿宋" w:hAnsi="仿宋" w:eastAsia="仿宋" w:cs="仿宋"/>
          <w:b/>
          <w:bCs/>
          <w:color w:val="auto"/>
          <w:lang w:eastAsia="zh-CN"/>
        </w:rPr>
      </w:pPr>
      <w:bookmarkStart w:id="6" w:name="_Toc17089"/>
      <w:bookmarkStart w:id="7" w:name="_Toc35393790"/>
      <w:bookmarkStart w:id="8" w:name="_Toc35393621"/>
      <w:bookmarkStart w:id="9" w:name="_Toc28359079"/>
      <w:bookmarkStart w:id="10" w:name="_Toc28359002"/>
      <w:bookmarkStart w:id="11" w:name="_Hlk24379207"/>
      <w:r>
        <w:rPr>
          <w:rFonts w:hint="eastAsia" w:ascii="仿宋" w:hAnsi="仿宋" w:eastAsia="仿宋" w:cs="仿宋"/>
          <w:b/>
          <w:bCs/>
          <w:color w:val="auto"/>
          <w:lang w:eastAsia="zh-CN"/>
        </w:rPr>
        <w:t>项目概况</w:t>
      </w:r>
    </w:p>
    <w:p w14:paraId="77C5F46A">
      <w:pPr>
        <w:pBdr>
          <w:top w:val="single" w:color="auto" w:sz="4" w:space="1"/>
          <w:left w:val="single" w:color="auto" w:sz="4" w:space="4"/>
          <w:bottom w:val="single" w:color="auto" w:sz="4" w:space="1"/>
          <w:right w:val="single" w:color="auto" w:sz="4" w:space="4"/>
        </w:pBdr>
        <w:spacing w:line="400" w:lineRule="exact"/>
        <w:ind w:firstLine="48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u w:val="single"/>
          <w:lang w:eastAsia="zh-CN"/>
        </w:rPr>
        <w:t>伊犁融媒体中心设备购置项目（标项1）</w:t>
      </w:r>
      <w:r>
        <w:rPr>
          <w:rFonts w:hint="eastAsia" w:asciiTheme="minorEastAsia" w:hAnsiTheme="minorEastAsia" w:eastAsiaTheme="minorEastAsia" w:cstheme="minorEastAsia"/>
          <w:color w:val="auto"/>
          <w:lang w:eastAsia="zh-CN"/>
        </w:rPr>
        <w:t>的潜在投标人应在</w:t>
      </w:r>
      <w:r>
        <w:rPr>
          <w:rFonts w:hint="eastAsia" w:asciiTheme="minorEastAsia" w:hAnsiTheme="minorEastAsia" w:eastAsiaTheme="minorEastAsia" w:cstheme="minorEastAsia"/>
          <w:color w:val="auto"/>
          <w:u w:val="single"/>
          <w:lang w:eastAsia="zh-CN"/>
        </w:rPr>
        <w:t>政采云平台（https://www.zcygov.cn/）</w:t>
      </w:r>
      <w:r>
        <w:rPr>
          <w:rFonts w:hint="eastAsia" w:asciiTheme="minorEastAsia" w:hAnsiTheme="minorEastAsia" w:eastAsiaTheme="minorEastAsia" w:cstheme="minorEastAsia"/>
          <w:color w:val="auto"/>
          <w:lang w:eastAsia="zh-CN"/>
        </w:rPr>
        <w:t>获取招标文件，并于</w:t>
      </w:r>
      <w:r>
        <w:rPr>
          <w:rFonts w:hint="eastAsia" w:asciiTheme="minorEastAsia" w:hAnsiTheme="minorEastAsia" w:eastAsiaTheme="minorEastAsia" w:cstheme="minorEastAsia"/>
          <w:color w:val="auto"/>
          <w:u w:val="single"/>
          <w:lang w:eastAsia="zh-CN"/>
        </w:rPr>
        <w:t xml:space="preserve"> 2024年</w:t>
      </w:r>
      <w:r>
        <w:rPr>
          <w:rFonts w:hint="eastAsia" w:asciiTheme="minorEastAsia" w:hAnsiTheme="minorEastAsia" w:eastAsiaTheme="minorEastAsia" w:cstheme="minorEastAsia"/>
          <w:color w:val="auto"/>
          <w:u w:val="single"/>
          <w:lang w:val="en-US" w:eastAsia="zh-CN"/>
        </w:rPr>
        <w:t xml:space="preserve"> 11</w:t>
      </w:r>
      <w:r>
        <w:rPr>
          <w:rFonts w:hint="eastAsia" w:asciiTheme="minorEastAsia" w:hAnsiTheme="minorEastAsia" w:eastAsiaTheme="minorEastAsia" w:cstheme="minorEastAsia"/>
          <w:color w:val="auto"/>
          <w:u w:val="single"/>
          <w:lang w:eastAsia="zh-CN"/>
        </w:rPr>
        <w:t>月</w:t>
      </w:r>
      <w:r>
        <w:rPr>
          <w:rFonts w:hint="eastAsia" w:asciiTheme="minorEastAsia" w:hAnsiTheme="minorEastAsia" w:eastAsiaTheme="minorEastAsia" w:cstheme="minorEastAsia"/>
          <w:color w:val="auto"/>
          <w:u w:val="single"/>
          <w:lang w:val="en-US" w:eastAsia="zh-CN"/>
        </w:rPr>
        <w:t>26</w:t>
      </w:r>
      <w:r>
        <w:rPr>
          <w:rFonts w:hint="eastAsia" w:asciiTheme="minorEastAsia" w:hAnsiTheme="minorEastAsia" w:eastAsiaTheme="minorEastAsia" w:cstheme="minorEastAsia"/>
          <w:color w:val="auto"/>
          <w:u w:val="single"/>
          <w:lang w:eastAsia="zh-CN"/>
        </w:rPr>
        <w:t xml:space="preserve"> 日</w:t>
      </w:r>
      <w:r>
        <w:rPr>
          <w:rFonts w:hint="eastAsia" w:asciiTheme="minorEastAsia" w:hAnsiTheme="minorEastAsia" w:eastAsiaTheme="minorEastAsia" w:cstheme="minorEastAsia"/>
          <w:bCs/>
          <w:color w:val="auto"/>
          <w:u w:val="single"/>
          <w:lang w:eastAsia="zh-CN"/>
        </w:rPr>
        <w:t>10点30分（</w:t>
      </w:r>
      <w:r>
        <w:rPr>
          <w:rFonts w:hint="eastAsia" w:asciiTheme="minorEastAsia" w:hAnsiTheme="minorEastAsia" w:eastAsiaTheme="minorEastAsia" w:cstheme="minorEastAsia"/>
          <w:bCs/>
          <w:color w:val="auto"/>
          <w:lang w:eastAsia="zh-CN"/>
        </w:rPr>
        <w:t>北京时间）前递交投标文件</w:t>
      </w:r>
      <w:r>
        <w:rPr>
          <w:rFonts w:hint="eastAsia" w:asciiTheme="minorEastAsia" w:hAnsiTheme="minorEastAsia" w:eastAsiaTheme="minorEastAsia" w:cstheme="minorEastAsia"/>
          <w:color w:val="auto"/>
          <w:lang w:eastAsia="zh-CN"/>
        </w:rPr>
        <w:t>。</w:t>
      </w:r>
    </w:p>
    <w:p w14:paraId="597989C1">
      <w:pPr>
        <w:pStyle w:val="3"/>
        <w:pBdr>
          <w:top w:val="none" w:color="auto" w:sz="0" w:space="0"/>
          <w:left w:val="none" w:color="auto" w:sz="0" w:space="0"/>
          <w:bottom w:val="none" w:color="auto" w:sz="0" w:space="0"/>
          <w:right w:val="none" w:color="auto" w:sz="0" w:space="0"/>
          <w:between w:val="none" w:color="auto" w:sz="0" w:space="0"/>
        </w:pBdr>
        <w:tabs>
          <w:tab w:val="left" w:pos="3171"/>
          <w:tab w:val="center" w:pos="4595"/>
        </w:tabs>
        <w:spacing w:line="400" w:lineRule="exact"/>
        <w:jc w:val="left"/>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eastAsia="zh-CN"/>
        </w:rPr>
        <w:t>一、项目基本情况</w:t>
      </w:r>
      <w:bookmarkEnd w:id="6"/>
      <w:bookmarkEnd w:id="7"/>
      <w:bookmarkEnd w:id="8"/>
      <w:bookmarkEnd w:id="9"/>
      <w:bookmarkEnd w:id="10"/>
    </w:p>
    <w:p w14:paraId="26A692E6">
      <w:pPr>
        <w:pBdr>
          <w:top w:val="none" w:color="auto" w:sz="0" w:space="0"/>
          <w:left w:val="none" w:color="auto" w:sz="0" w:space="0"/>
          <w:bottom w:val="none" w:color="auto" w:sz="0" w:space="0"/>
          <w:right w:val="none" w:color="auto" w:sz="0" w:space="0"/>
          <w:between w:val="none" w:color="auto" w:sz="0" w:space="0"/>
        </w:pBdr>
        <w:spacing w:line="400" w:lineRule="exact"/>
        <w:ind w:firstLine="48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项目编号：XJXDSY-2024-022-1</w:t>
      </w:r>
    </w:p>
    <w:p w14:paraId="5F5E369A">
      <w:pPr>
        <w:pBdr>
          <w:top w:val="none" w:color="auto" w:sz="0" w:space="0"/>
          <w:left w:val="none" w:color="auto" w:sz="0" w:space="0"/>
          <w:bottom w:val="none" w:color="auto" w:sz="0" w:space="0"/>
          <w:right w:val="none" w:color="auto" w:sz="0" w:space="0"/>
          <w:between w:val="none" w:color="auto" w:sz="0" w:space="0"/>
        </w:pBdr>
        <w:spacing w:line="400" w:lineRule="exact"/>
        <w:ind w:firstLine="48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项目名称：伊犁融媒体中心设备购置项目（标项1）</w:t>
      </w:r>
    </w:p>
    <w:p w14:paraId="3C61A2DD">
      <w:pPr>
        <w:pBdr>
          <w:top w:val="none" w:color="auto" w:sz="0" w:space="0"/>
          <w:left w:val="none" w:color="auto" w:sz="0" w:space="0"/>
          <w:bottom w:val="none" w:color="auto" w:sz="0" w:space="0"/>
          <w:right w:val="none" w:color="auto" w:sz="0" w:space="0"/>
          <w:between w:val="none" w:color="auto" w:sz="0" w:space="0"/>
        </w:pBdr>
        <w:spacing w:line="400" w:lineRule="exact"/>
        <w:ind w:firstLine="48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采购方式：公开招标</w:t>
      </w:r>
    </w:p>
    <w:bookmarkEnd w:id="11"/>
    <w:p w14:paraId="08B1C7DD">
      <w:pPr>
        <w:pBdr>
          <w:top w:val="none" w:color="auto" w:sz="0" w:space="0"/>
          <w:left w:val="none" w:color="auto" w:sz="0" w:space="0"/>
          <w:bottom w:val="none" w:color="auto" w:sz="0" w:space="0"/>
          <w:right w:val="none" w:color="auto" w:sz="0" w:space="0"/>
          <w:between w:val="none" w:color="auto" w:sz="0" w:space="0"/>
        </w:pBdr>
        <w:spacing w:line="400" w:lineRule="exact"/>
        <w:ind w:firstLine="48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预算金额（元）：7892200.00</w:t>
      </w:r>
    </w:p>
    <w:p w14:paraId="274D1904">
      <w:pPr>
        <w:pBdr>
          <w:top w:val="none" w:color="auto" w:sz="0" w:space="0"/>
          <w:left w:val="none" w:color="auto" w:sz="0" w:space="0"/>
          <w:bottom w:val="none" w:color="auto" w:sz="0" w:space="0"/>
          <w:right w:val="none" w:color="auto" w:sz="0" w:space="0"/>
          <w:between w:val="none" w:color="auto" w:sz="0" w:space="0"/>
        </w:pBdr>
        <w:spacing w:line="400" w:lineRule="exact"/>
        <w:ind w:firstLine="48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最高限价（元）：7892200.00</w:t>
      </w:r>
    </w:p>
    <w:p w14:paraId="25AA0350">
      <w:pPr>
        <w:pBdr>
          <w:top w:val="none" w:color="auto" w:sz="0" w:space="0"/>
          <w:left w:val="none" w:color="auto" w:sz="0" w:space="0"/>
          <w:bottom w:val="none" w:color="auto" w:sz="0" w:space="0"/>
          <w:right w:val="none" w:color="auto" w:sz="0" w:space="0"/>
          <w:between w:val="none" w:color="auto" w:sz="0" w:space="0"/>
        </w:pBdr>
        <w:spacing w:line="400" w:lineRule="exact"/>
        <w:ind w:firstLine="480" w:firstLineChars="200"/>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lang w:eastAsia="zh-CN"/>
        </w:rPr>
        <w:t>标项名称：</w:t>
      </w:r>
      <w:r>
        <w:rPr>
          <w:rFonts w:hint="eastAsia" w:asciiTheme="minorEastAsia" w:hAnsiTheme="minorEastAsia" w:eastAsiaTheme="minorEastAsia" w:cstheme="minorEastAsia"/>
          <w:color w:val="auto"/>
          <w:highlight w:val="none"/>
          <w:lang w:eastAsia="zh-CN"/>
        </w:rPr>
        <w:t>伊犁融媒体中心设备购置项目（标项1）</w:t>
      </w:r>
    </w:p>
    <w:p w14:paraId="53C57CFA">
      <w:pPr>
        <w:pBdr>
          <w:top w:val="none" w:color="auto" w:sz="0" w:space="0"/>
          <w:left w:val="none" w:color="auto" w:sz="0" w:space="0"/>
          <w:bottom w:val="none" w:color="auto" w:sz="0" w:space="0"/>
          <w:right w:val="none" w:color="auto" w:sz="0" w:space="0"/>
          <w:between w:val="none" w:color="auto" w:sz="0" w:space="0"/>
        </w:pBdr>
        <w:spacing w:line="400" w:lineRule="exact"/>
        <w:ind w:firstLine="48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数量：1</w:t>
      </w:r>
    </w:p>
    <w:p w14:paraId="5A586A72">
      <w:pPr>
        <w:pBdr>
          <w:top w:val="none" w:color="auto" w:sz="0" w:space="0"/>
          <w:left w:val="none" w:color="auto" w:sz="0" w:space="0"/>
          <w:bottom w:val="none" w:color="auto" w:sz="0" w:space="0"/>
          <w:right w:val="none" w:color="auto" w:sz="0" w:space="0"/>
          <w:between w:val="none" w:color="auto" w:sz="0" w:space="0"/>
        </w:pBdr>
        <w:spacing w:line="400" w:lineRule="exact"/>
        <w:ind w:firstLine="48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采购需求：融媒体电视播出及网络系统，具体详见采购文件。</w:t>
      </w:r>
    </w:p>
    <w:p w14:paraId="0CF87946">
      <w:pPr>
        <w:pBdr>
          <w:top w:val="none" w:color="auto" w:sz="0" w:space="0"/>
          <w:left w:val="none" w:color="auto" w:sz="0" w:space="0"/>
          <w:bottom w:val="none" w:color="auto" w:sz="0" w:space="0"/>
          <w:right w:val="none" w:color="auto" w:sz="0" w:space="0"/>
          <w:between w:val="none" w:color="auto" w:sz="0" w:space="0"/>
        </w:pBdr>
        <w:spacing w:line="400" w:lineRule="exact"/>
        <w:ind w:firstLine="48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合同履约期限：自合同签订之日起45日历天内交付使用。</w:t>
      </w:r>
    </w:p>
    <w:p w14:paraId="33512E73">
      <w:pPr>
        <w:pBdr>
          <w:top w:val="none" w:color="auto" w:sz="0" w:space="0"/>
          <w:left w:val="none" w:color="auto" w:sz="0" w:space="0"/>
          <w:bottom w:val="none" w:color="auto" w:sz="0" w:space="0"/>
          <w:right w:val="none" w:color="auto" w:sz="0" w:space="0"/>
          <w:between w:val="none" w:color="auto" w:sz="0" w:space="0"/>
        </w:pBdr>
        <w:spacing w:line="400" w:lineRule="exact"/>
        <w:ind w:firstLine="48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本项目不接受联合体。</w:t>
      </w:r>
    </w:p>
    <w:p w14:paraId="4C6FB836">
      <w:pPr>
        <w:pStyle w:val="3"/>
        <w:pBdr>
          <w:top w:val="none" w:color="auto" w:sz="0" w:space="0"/>
          <w:left w:val="none" w:color="auto" w:sz="0" w:space="0"/>
          <w:bottom w:val="none" w:color="auto" w:sz="0" w:space="0"/>
          <w:right w:val="none" w:color="auto" w:sz="0" w:space="0"/>
          <w:between w:val="none" w:color="auto" w:sz="0" w:space="0"/>
        </w:pBdr>
        <w:spacing w:line="400" w:lineRule="exact"/>
        <w:jc w:val="both"/>
        <w:rPr>
          <w:rFonts w:hint="eastAsia" w:asciiTheme="minorEastAsia" w:hAnsiTheme="minorEastAsia" w:eastAsiaTheme="minorEastAsia" w:cstheme="minorEastAsia"/>
          <w:color w:val="auto"/>
          <w:sz w:val="24"/>
          <w:szCs w:val="24"/>
          <w:lang w:eastAsia="zh-CN"/>
        </w:rPr>
      </w:pPr>
      <w:bookmarkStart w:id="12" w:name="_Toc30382"/>
      <w:bookmarkStart w:id="13" w:name="_Toc28359090"/>
      <w:bookmarkStart w:id="14" w:name="_Toc28359013"/>
      <w:bookmarkStart w:id="15" w:name="_Toc35393799"/>
      <w:bookmarkStart w:id="16" w:name="_Toc35393630"/>
      <w:r>
        <w:rPr>
          <w:rFonts w:hint="eastAsia" w:asciiTheme="minorEastAsia" w:hAnsiTheme="minorEastAsia" w:eastAsiaTheme="minorEastAsia" w:cstheme="minorEastAsia"/>
          <w:color w:val="auto"/>
          <w:sz w:val="24"/>
          <w:szCs w:val="24"/>
          <w:lang w:eastAsia="zh-CN"/>
        </w:rPr>
        <w:t>二、申请人的资格要求：</w:t>
      </w:r>
      <w:bookmarkEnd w:id="12"/>
      <w:bookmarkEnd w:id="13"/>
      <w:bookmarkEnd w:id="14"/>
      <w:bookmarkEnd w:id="15"/>
      <w:bookmarkEnd w:id="16"/>
    </w:p>
    <w:p w14:paraId="74FABF90">
      <w:pPr>
        <w:pBdr>
          <w:top w:val="none" w:color="auto" w:sz="0" w:space="0"/>
          <w:left w:val="none" w:color="auto" w:sz="0" w:space="0"/>
          <w:bottom w:val="none" w:color="auto" w:sz="0" w:space="0"/>
          <w:right w:val="none" w:color="auto" w:sz="0" w:space="0"/>
          <w:between w:val="none" w:color="auto" w:sz="0" w:space="0"/>
        </w:pBdr>
        <w:spacing w:line="400" w:lineRule="exact"/>
        <w:ind w:firstLine="480" w:firstLineChars="200"/>
        <w:rPr>
          <w:rFonts w:hint="eastAsia" w:asciiTheme="minorEastAsia" w:hAnsiTheme="minorEastAsia" w:eastAsiaTheme="minorEastAsia" w:cstheme="minorEastAsia"/>
          <w:color w:val="auto"/>
          <w:lang w:eastAsia="zh-CN"/>
        </w:rPr>
      </w:pPr>
      <w:bookmarkStart w:id="17" w:name="_Toc28359014"/>
      <w:bookmarkStart w:id="18" w:name="_Toc28359091"/>
      <w:r>
        <w:rPr>
          <w:rFonts w:hint="eastAsia" w:asciiTheme="minorEastAsia" w:hAnsiTheme="minorEastAsia" w:eastAsiaTheme="minorEastAsia" w:cstheme="minorEastAsia"/>
          <w:color w:val="auto"/>
          <w:lang w:eastAsia="zh-CN"/>
        </w:rPr>
        <w:t>1.满足《中华人民共和国政府采购法》第二十二条规定；</w:t>
      </w:r>
    </w:p>
    <w:p w14:paraId="5293F03F">
      <w:pPr>
        <w:pBdr>
          <w:top w:val="none" w:color="auto" w:sz="0" w:space="0"/>
          <w:left w:val="none" w:color="auto" w:sz="0" w:space="0"/>
          <w:bottom w:val="none" w:color="auto" w:sz="0" w:space="0"/>
          <w:right w:val="none" w:color="auto" w:sz="0" w:space="0"/>
          <w:between w:val="none" w:color="auto" w:sz="0" w:space="0"/>
        </w:pBdr>
        <w:spacing w:line="400" w:lineRule="exact"/>
        <w:ind w:firstLine="48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2.落实政府采购政策需满足的资格要求：无</w:t>
      </w:r>
    </w:p>
    <w:p w14:paraId="10748153">
      <w:pPr>
        <w:pBdr>
          <w:top w:val="none" w:color="auto" w:sz="0" w:space="0"/>
          <w:left w:val="none" w:color="auto" w:sz="0" w:space="0"/>
          <w:bottom w:val="none" w:color="auto" w:sz="0" w:space="0"/>
          <w:right w:val="none" w:color="auto" w:sz="0" w:space="0"/>
          <w:between w:val="none" w:color="auto" w:sz="0" w:space="0"/>
        </w:pBdr>
        <w:spacing w:line="400" w:lineRule="exact"/>
        <w:ind w:firstLine="48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3.本项目的特定资格要求：无</w:t>
      </w:r>
    </w:p>
    <w:p w14:paraId="6091F7DC">
      <w:pPr>
        <w:pStyle w:val="3"/>
        <w:pBdr>
          <w:top w:val="none" w:color="auto" w:sz="0" w:space="0"/>
          <w:left w:val="none" w:color="auto" w:sz="0" w:space="0"/>
          <w:bottom w:val="none" w:color="auto" w:sz="0" w:space="0"/>
          <w:right w:val="none" w:color="auto" w:sz="0" w:space="0"/>
          <w:between w:val="none" w:color="auto" w:sz="0" w:space="0"/>
        </w:pBdr>
        <w:spacing w:line="400" w:lineRule="exact"/>
        <w:jc w:val="both"/>
        <w:rPr>
          <w:rFonts w:hint="eastAsia" w:asciiTheme="minorEastAsia" w:hAnsiTheme="minorEastAsia" w:eastAsiaTheme="minorEastAsia" w:cstheme="minorEastAsia"/>
          <w:color w:val="auto"/>
          <w:sz w:val="24"/>
          <w:szCs w:val="24"/>
          <w:lang w:eastAsia="zh-CN"/>
        </w:rPr>
      </w:pPr>
      <w:bookmarkStart w:id="19" w:name="_Toc35393800"/>
      <w:bookmarkStart w:id="20" w:name="_Toc35393631"/>
      <w:bookmarkStart w:id="21" w:name="_Toc25270"/>
      <w:r>
        <w:rPr>
          <w:rFonts w:hint="eastAsia" w:asciiTheme="minorEastAsia" w:hAnsiTheme="minorEastAsia" w:eastAsiaTheme="minorEastAsia" w:cstheme="minorEastAsia"/>
          <w:color w:val="auto"/>
          <w:sz w:val="24"/>
          <w:szCs w:val="24"/>
          <w:lang w:eastAsia="zh-CN"/>
        </w:rPr>
        <w:t>三、获取采购文件</w:t>
      </w:r>
      <w:bookmarkEnd w:id="17"/>
      <w:bookmarkEnd w:id="18"/>
      <w:bookmarkEnd w:id="19"/>
      <w:bookmarkEnd w:id="20"/>
      <w:bookmarkEnd w:id="21"/>
    </w:p>
    <w:p w14:paraId="5ADEA14A">
      <w:pPr>
        <w:pBdr>
          <w:top w:val="none" w:color="auto" w:sz="0" w:space="0"/>
          <w:left w:val="none" w:color="auto" w:sz="0" w:space="0"/>
          <w:bottom w:val="none" w:color="auto" w:sz="0" w:space="0"/>
          <w:right w:val="none" w:color="auto" w:sz="0" w:space="0"/>
          <w:between w:val="none" w:color="auto" w:sz="0" w:space="0"/>
        </w:pBdr>
        <w:spacing w:line="400" w:lineRule="exact"/>
        <w:ind w:firstLine="48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 xml:space="preserve">时间：2024年 </w:t>
      </w:r>
      <w:r>
        <w:rPr>
          <w:rFonts w:hint="eastAsia" w:asciiTheme="minorEastAsia" w:hAnsiTheme="minorEastAsia" w:eastAsiaTheme="minorEastAsia" w:cstheme="minorEastAsia"/>
          <w:color w:val="auto"/>
          <w:lang w:val="en-US" w:eastAsia="zh-CN"/>
        </w:rPr>
        <w:t>11</w:t>
      </w:r>
      <w:r>
        <w:rPr>
          <w:rFonts w:hint="eastAsia" w:asciiTheme="minorEastAsia" w:hAnsiTheme="minorEastAsia" w:eastAsiaTheme="minorEastAsia" w:cstheme="minorEastAsia"/>
          <w:color w:val="auto"/>
          <w:lang w:eastAsia="zh-CN"/>
        </w:rPr>
        <w:t xml:space="preserve"> 月 </w:t>
      </w:r>
      <w:r>
        <w:rPr>
          <w:rFonts w:hint="eastAsia" w:asciiTheme="minorEastAsia" w:hAnsiTheme="minorEastAsia" w:eastAsiaTheme="minorEastAsia" w:cstheme="minorEastAsia"/>
          <w:color w:val="auto"/>
          <w:lang w:val="en-US" w:eastAsia="zh-CN"/>
        </w:rPr>
        <w:t>06</w:t>
      </w:r>
      <w:r>
        <w:rPr>
          <w:rFonts w:hint="eastAsia" w:asciiTheme="minorEastAsia" w:hAnsiTheme="minorEastAsia" w:eastAsiaTheme="minorEastAsia" w:cstheme="minorEastAsia"/>
          <w:color w:val="auto"/>
          <w:lang w:eastAsia="zh-CN"/>
        </w:rPr>
        <w:t xml:space="preserve"> 日至2024年 </w:t>
      </w:r>
      <w:r>
        <w:rPr>
          <w:rFonts w:hint="eastAsia" w:asciiTheme="minorEastAsia" w:hAnsiTheme="minorEastAsia" w:eastAsiaTheme="minorEastAsia" w:cstheme="minorEastAsia"/>
          <w:color w:val="auto"/>
          <w:lang w:val="en-US" w:eastAsia="zh-CN"/>
        </w:rPr>
        <w:t>11</w:t>
      </w:r>
      <w:r>
        <w:rPr>
          <w:rFonts w:hint="eastAsia" w:asciiTheme="minorEastAsia" w:hAnsiTheme="minorEastAsia" w:eastAsiaTheme="minorEastAsia" w:cstheme="minorEastAsia"/>
          <w:color w:val="auto"/>
          <w:lang w:eastAsia="zh-CN"/>
        </w:rPr>
        <w:t xml:space="preserve"> 月 </w:t>
      </w:r>
      <w:r>
        <w:rPr>
          <w:rFonts w:hint="eastAsia" w:asciiTheme="minorEastAsia" w:hAnsiTheme="minorEastAsia" w:eastAsiaTheme="minorEastAsia" w:cstheme="minorEastAsia"/>
          <w:color w:val="auto"/>
          <w:lang w:val="en-US" w:eastAsia="zh-CN"/>
        </w:rPr>
        <w:t>13</w:t>
      </w:r>
      <w:r>
        <w:rPr>
          <w:rFonts w:hint="eastAsia" w:asciiTheme="minorEastAsia" w:hAnsiTheme="minorEastAsia" w:eastAsiaTheme="minorEastAsia" w:cstheme="minorEastAsia"/>
          <w:color w:val="auto"/>
          <w:lang w:eastAsia="zh-CN"/>
        </w:rPr>
        <w:t xml:space="preserve"> 日，每天上午00:00至12:00，下午12:00至23:59（北京时间，法定节假日除外）；</w:t>
      </w:r>
    </w:p>
    <w:p w14:paraId="29DE8314">
      <w:pPr>
        <w:pBdr>
          <w:top w:val="none" w:color="auto" w:sz="0" w:space="0"/>
          <w:left w:val="none" w:color="auto" w:sz="0" w:space="0"/>
          <w:bottom w:val="none" w:color="auto" w:sz="0" w:space="0"/>
          <w:right w:val="none" w:color="auto" w:sz="0" w:space="0"/>
          <w:between w:val="none" w:color="auto" w:sz="0" w:space="0"/>
        </w:pBdr>
        <w:spacing w:line="400" w:lineRule="exact"/>
        <w:ind w:firstLine="480" w:firstLineChars="200"/>
        <w:rPr>
          <w:rFonts w:hint="eastAsia" w:asciiTheme="minorEastAsia" w:hAnsiTheme="minorEastAsia" w:eastAsiaTheme="minorEastAsia" w:cstheme="minorEastAsia"/>
          <w:color w:val="auto"/>
        </w:rPr>
      </w:pPr>
      <w:bookmarkStart w:id="22" w:name="_Toc28359015"/>
      <w:bookmarkStart w:id="23" w:name="_Toc35393632"/>
      <w:bookmarkStart w:id="24" w:name="_Toc35393801"/>
      <w:bookmarkStart w:id="25" w:name="_Toc28359092"/>
      <w:r>
        <w:rPr>
          <w:rFonts w:hint="eastAsia" w:asciiTheme="minorEastAsia" w:hAnsiTheme="minorEastAsia" w:eastAsiaTheme="minorEastAsia" w:cstheme="minorEastAsia"/>
          <w:color w:val="auto"/>
        </w:rPr>
        <w:t>地点：政采云平台https://www.zcygov.cn/在线申请获取采购文件；</w:t>
      </w:r>
    </w:p>
    <w:p w14:paraId="58575F05">
      <w:pPr>
        <w:pBdr>
          <w:top w:val="none" w:color="auto" w:sz="0" w:space="0"/>
          <w:left w:val="none" w:color="auto" w:sz="0" w:space="0"/>
          <w:bottom w:val="none" w:color="auto" w:sz="0" w:space="0"/>
          <w:right w:val="none" w:color="auto" w:sz="0" w:space="0"/>
          <w:between w:val="none" w:color="auto" w:sz="0" w:space="0"/>
        </w:pBdr>
        <w:spacing w:line="400" w:lineRule="exact"/>
        <w:ind w:firstLine="48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方式：供应商登陆政采云平台http://www.zcygov.cn/，（登录政府采购云平台 → 项目采购 → 获取采购文件 → 申请获取采购文件，如有操作性问题，可与政采云在线客服进行咨询，咨询电话：400-881-7190）；</w:t>
      </w:r>
    </w:p>
    <w:p w14:paraId="2AE52AF8">
      <w:pPr>
        <w:pBdr>
          <w:top w:val="none" w:color="auto" w:sz="0" w:space="0"/>
          <w:left w:val="none" w:color="auto" w:sz="0" w:space="0"/>
          <w:bottom w:val="none" w:color="auto" w:sz="0" w:space="0"/>
          <w:right w:val="none" w:color="auto" w:sz="0" w:space="0"/>
          <w:between w:val="none" w:color="auto" w:sz="0" w:space="0"/>
        </w:pBdr>
        <w:spacing w:line="400" w:lineRule="exact"/>
        <w:ind w:firstLine="48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售价（元）：0</w:t>
      </w:r>
    </w:p>
    <w:p w14:paraId="34AE3201">
      <w:pPr>
        <w:pStyle w:val="3"/>
        <w:pBdr>
          <w:top w:val="none" w:color="auto" w:sz="0" w:space="0"/>
          <w:left w:val="none" w:color="auto" w:sz="0" w:space="0"/>
          <w:bottom w:val="none" w:color="auto" w:sz="0" w:space="0"/>
          <w:right w:val="none" w:color="auto" w:sz="0" w:space="0"/>
          <w:between w:val="none" w:color="auto" w:sz="0" w:space="0"/>
        </w:pBdr>
        <w:spacing w:line="400" w:lineRule="exact"/>
        <w:jc w:val="both"/>
        <w:rPr>
          <w:rFonts w:hint="eastAsia" w:asciiTheme="minorEastAsia" w:hAnsiTheme="minorEastAsia" w:eastAsiaTheme="minorEastAsia" w:cstheme="minorEastAsia"/>
          <w:color w:val="auto"/>
          <w:sz w:val="24"/>
          <w:szCs w:val="24"/>
          <w:lang w:eastAsia="zh-CN"/>
        </w:rPr>
      </w:pPr>
      <w:bookmarkStart w:id="26" w:name="_Toc19195"/>
      <w:r>
        <w:rPr>
          <w:rFonts w:hint="eastAsia" w:asciiTheme="minorEastAsia" w:hAnsiTheme="minorEastAsia" w:eastAsiaTheme="minorEastAsia" w:cstheme="minorEastAsia"/>
          <w:color w:val="auto"/>
          <w:sz w:val="24"/>
          <w:szCs w:val="24"/>
          <w:lang w:eastAsia="zh-CN"/>
        </w:rPr>
        <w:t>四、</w:t>
      </w:r>
      <w:bookmarkEnd w:id="22"/>
      <w:bookmarkEnd w:id="23"/>
      <w:bookmarkEnd w:id="24"/>
      <w:bookmarkEnd w:id="25"/>
      <w:r>
        <w:rPr>
          <w:rFonts w:hint="eastAsia" w:asciiTheme="minorEastAsia" w:hAnsiTheme="minorEastAsia" w:eastAsiaTheme="minorEastAsia" w:cstheme="minorEastAsia"/>
          <w:color w:val="auto"/>
          <w:sz w:val="24"/>
          <w:szCs w:val="24"/>
          <w:lang w:eastAsia="zh-CN"/>
        </w:rPr>
        <w:t>提交投标文件截止时间、开标时间和地点</w:t>
      </w:r>
      <w:bookmarkEnd w:id="26"/>
    </w:p>
    <w:p w14:paraId="19C115E6">
      <w:pPr>
        <w:pBdr>
          <w:top w:val="none" w:color="auto" w:sz="0" w:space="0"/>
          <w:left w:val="none" w:color="auto" w:sz="0" w:space="0"/>
          <w:bottom w:val="none" w:color="auto" w:sz="0" w:space="0"/>
          <w:right w:val="none" w:color="auto" w:sz="0" w:space="0"/>
          <w:between w:val="none" w:color="auto" w:sz="0" w:space="0"/>
        </w:pBdr>
        <w:spacing w:line="400" w:lineRule="exact"/>
        <w:ind w:firstLine="48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 xml:space="preserve">提交投标文件截止时间：2024年 </w:t>
      </w:r>
      <w:r>
        <w:rPr>
          <w:rFonts w:hint="eastAsia" w:asciiTheme="minorEastAsia" w:hAnsiTheme="minorEastAsia" w:eastAsiaTheme="minorEastAsia" w:cstheme="minorEastAsia"/>
          <w:color w:val="auto"/>
          <w:lang w:val="en-US" w:eastAsia="zh-CN"/>
        </w:rPr>
        <w:t>11</w:t>
      </w:r>
      <w:r>
        <w:rPr>
          <w:rFonts w:hint="eastAsia" w:asciiTheme="minorEastAsia" w:hAnsiTheme="minorEastAsia" w:eastAsiaTheme="minorEastAsia" w:cstheme="minorEastAsia"/>
          <w:color w:val="auto"/>
          <w:lang w:eastAsia="zh-CN"/>
        </w:rPr>
        <w:t xml:space="preserve"> 月 </w:t>
      </w:r>
      <w:r>
        <w:rPr>
          <w:rFonts w:hint="eastAsia" w:asciiTheme="minorEastAsia" w:hAnsiTheme="minorEastAsia" w:eastAsiaTheme="minorEastAsia" w:cstheme="minorEastAsia"/>
          <w:color w:val="auto"/>
          <w:lang w:val="en-US" w:eastAsia="zh-CN"/>
        </w:rPr>
        <w:t>26</w:t>
      </w:r>
      <w:r>
        <w:rPr>
          <w:rFonts w:hint="eastAsia" w:asciiTheme="minorEastAsia" w:hAnsiTheme="minorEastAsia" w:eastAsiaTheme="minorEastAsia" w:cstheme="minorEastAsia"/>
          <w:color w:val="auto"/>
          <w:lang w:eastAsia="zh-CN"/>
        </w:rPr>
        <w:t xml:space="preserve">  日10:30（北京时间）</w:t>
      </w:r>
    </w:p>
    <w:p w14:paraId="1F71E19D">
      <w:pPr>
        <w:pBdr>
          <w:top w:val="none" w:color="auto" w:sz="0" w:space="0"/>
          <w:left w:val="none" w:color="auto" w:sz="0" w:space="0"/>
          <w:bottom w:val="none" w:color="auto" w:sz="0" w:space="0"/>
          <w:right w:val="none" w:color="auto" w:sz="0" w:space="0"/>
          <w:between w:val="none" w:color="auto" w:sz="0" w:space="0"/>
        </w:pBdr>
        <w:spacing w:line="400" w:lineRule="exact"/>
        <w:ind w:firstLine="48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地点：请登录政采云投标客户端，在截止时间前将加密的电子响应文件（.jmbs）上传到新疆政府采购网对应的位置（逾期上传或者未上传指定地点的响应文件，采购人不予受理）。</w:t>
      </w:r>
    </w:p>
    <w:p w14:paraId="6EE8FB54">
      <w:pPr>
        <w:pStyle w:val="23"/>
        <w:numPr>
          <w:ilvl w:val="0"/>
          <w:numId w:val="0"/>
        </w:numPr>
        <w:pBdr>
          <w:top w:val="none" w:color="auto" w:sz="0" w:space="0"/>
          <w:left w:val="none" w:color="auto" w:sz="0" w:space="0"/>
          <w:bottom w:val="none" w:color="auto" w:sz="0" w:space="0"/>
          <w:right w:val="none" w:color="auto" w:sz="0" w:space="0"/>
          <w:between w:val="none" w:color="auto" w:sz="0" w:space="0"/>
        </w:pBdr>
        <w:tabs>
          <w:tab w:val="clear" w:pos="780"/>
        </w:tabs>
        <w:spacing w:line="400" w:lineRule="exact"/>
        <w:ind w:left="0" w:leftChars="0" w:firstLine="480" w:firstLineChars="200"/>
        <w:rPr>
          <w:rFonts w:hint="eastAsia" w:asciiTheme="minorEastAsia" w:hAnsiTheme="minorEastAsia" w:eastAsiaTheme="minorEastAsia" w:cstheme="minorEastAsia"/>
          <w:color w:val="auto"/>
          <w:sz w:val="24"/>
          <w:lang w:eastAsia="zh-CN"/>
        </w:rPr>
      </w:pPr>
      <w:r>
        <w:rPr>
          <w:rFonts w:hint="eastAsia" w:asciiTheme="minorEastAsia" w:hAnsiTheme="minorEastAsia" w:eastAsiaTheme="minorEastAsia" w:cstheme="minorEastAsia"/>
          <w:color w:val="auto"/>
          <w:sz w:val="24"/>
          <w:szCs w:val="24"/>
          <w:lang w:val="en-US" w:eastAsia="zh-CN" w:bidi="en-US"/>
        </w:rPr>
        <w:t>1.</w:t>
      </w:r>
      <w:r>
        <w:rPr>
          <w:rFonts w:hint="eastAsia" w:asciiTheme="minorEastAsia" w:hAnsiTheme="minorEastAsia" w:eastAsiaTheme="minorEastAsia" w:cstheme="minorEastAsia"/>
          <w:color w:val="auto"/>
          <w:sz w:val="24"/>
          <w:lang w:eastAsia="zh-CN"/>
        </w:rPr>
        <w:t xml:space="preserve">开标时间：2024年 </w:t>
      </w:r>
      <w:r>
        <w:rPr>
          <w:rFonts w:hint="eastAsia" w:asciiTheme="minorEastAsia" w:hAnsiTheme="minorEastAsia" w:eastAsiaTheme="minorEastAsia" w:cstheme="minorEastAsia"/>
          <w:color w:val="auto"/>
          <w:sz w:val="24"/>
          <w:lang w:val="en-US" w:eastAsia="zh-CN"/>
        </w:rPr>
        <w:t>11</w:t>
      </w:r>
      <w:r>
        <w:rPr>
          <w:rFonts w:hint="eastAsia" w:asciiTheme="minorEastAsia" w:hAnsiTheme="minorEastAsia" w:eastAsiaTheme="minorEastAsia" w:cstheme="minorEastAsia"/>
          <w:color w:val="auto"/>
          <w:sz w:val="24"/>
          <w:lang w:eastAsia="zh-CN"/>
        </w:rPr>
        <w:t xml:space="preserve"> 月 </w:t>
      </w:r>
      <w:r>
        <w:rPr>
          <w:rFonts w:hint="eastAsia" w:asciiTheme="minorEastAsia" w:hAnsiTheme="minorEastAsia" w:eastAsiaTheme="minorEastAsia" w:cstheme="minorEastAsia"/>
          <w:color w:val="auto"/>
          <w:sz w:val="24"/>
          <w:lang w:val="en-US" w:eastAsia="zh-CN"/>
        </w:rPr>
        <w:t>26</w:t>
      </w:r>
      <w:r>
        <w:rPr>
          <w:rFonts w:hint="eastAsia" w:asciiTheme="minorEastAsia" w:hAnsiTheme="minorEastAsia" w:eastAsiaTheme="minorEastAsia" w:cstheme="minorEastAsia"/>
          <w:color w:val="auto"/>
          <w:sz w:val="24"/>
          <w:lang w:eastAsia="zh-CN"/>
        </w:rPr>
        <w:t xml:space="preserve"> 日10:30 （北京时间）</w:t>
      </w:r>
    </w:p>
    <w:p w14:paraId="7AFEC7AA">
      <w:pPr>
        <w:pStyle w:val="23"/>
        <w:numPr>
          <w:ilvl w:val="0"/>
          <w:numId w:val="0"/>
        </w:numPr>
        <w:pBdr>
          <w:top w:val="none" w:color="auto" w:sz="0" w:space="0"/>
          <w:left w:val="none" w:color="auto" w:sz="0" w:space="0"/>
          <w:bottom w:val="none" w:color="auto" w:sz="0" w:space="0"/>
          <w:right w:val="none" w:color="auto" w:sz="0" w:space="0"/>
          <w:between w:val="none" w:color="auto" w:sz="0" w:space="0"/>
        </w:pBdr>
        <w:tabs>
          <w:tab w:val="clear" w:pos="780"/>
        </w:tabs>
        <w:spacing w:line="400" w:lineRule="exact"/>
        <w:ind w:left="0" w:leftChars="0" w:firstLine="480" w:firstLineChars="200"/>
        <w:rPr>
          <w:rFonts w:hint="eastAsia" w:asciiTheme="minorEastAsia" w:hAnsiTheme="minorEastAsia" w:eastAsiaTheme="minorEastAsia" w:cstheme="minorEastAsia"/>
          <w:color w:val="auto"/>
          <w:sz w:val="24"/>
          <w:lang w:eastAsia="zh-CN"/>
        </w:rPr>
      </w:pPr>
      <w:r>
        <w:rPr>
          <w:rFonts w:hint="eastAsia" w:asciiTheme="minorEastAsia" w:hAnsiTheme="minorEastAsia" w:eastAsiaTheme="minorEastAsia" w:cstheme="minorEastAsia"/>
          <w:color w:val="auto"/>
          <w:sz w:val="24"/>
          <w:szCs w:val="24"/>
          <w:lang w:val="en-US" w:eastAsia="zh-CN" w:bidi="en-US"/>
        </w:rPr>
        <w:t>2.</w:t>
      </w:r>
      <w:r>
        <w:rPr>
          <w:rFonts w:hint="eastAsia" w:asciiTheme="minorEastAsia" w:hAnsiTheme="minorEastAsia" w:eastAsiaTheme="minorEastAsia" w:cstheme="minorEastAsia"/>
          <w:color w:val="auto"/>
          <w:sz w:val="24"/>
        </w:rPr>
        <w:t>开标地点：政采云开标大厅（https://www.zcygov.cn）</w:t>
      </w:r>
    </w:p>
    <w:p w14:paraId="1B3EB23B">
      <w:pPr>
        <w:pStyle w:val="3"/>
        <w:pBdr>
          <w:top w:val="none" w:color="auto" w:sz="0" w:space="0"/>
          <w:left w:val="none" w:color="auto" w:sz="0" w:space="0"/>
          <w:bottom w:val="none" w:color="auto" w:sz="0" w:space="0"/>
          <w:right w:val="none" w:color="auto" w:sz="0" w:space="0"/>
          <w:between w:val="none" w:color="auto" w:sz="0" w:space="0"/>
        </w:pBdr>
        <w:spacing w:line="400" w:lineRule="exact"/>
        <w:jc w:val="both"/>
        <w:rPr>
          <w:rFonts w:hint="eastAsia" w:asciiTheme="minorEastAsia" w:hAnsiTheme="minorEastAsia" w:eastAsiaTheme="minorEastAsia" w:cstheme="minorEastAsia"/>
          <w:color w:val="auto"/>
          <w:sz w:val="24"/>
          <w:szCs w:val="24"/>
          <w:lang w:eastAsia="zh-CN"/>
        </w:rPr>
      </w:pPr>
      <w:bookmarkStart w:id="27" w:name="_Toc35393803"/>
      <w:bookmarkStart w:id="28" w:name="_Toc28359017"/>
      <w:bookmarkStart w:id="29" w:name="_Toc35393634"/>
      <w:bookmarkStart w:id="30" w:name="_Toc31675"/>
      <w:bookmarkStart w:id="31" w:name="_Toc28359094"/>
      <w:r>
        <w:rPr>
          <w:rFonts w:hint="eastAsia" w:asciiTheme="minorEastAsia" w:hAnsiTheme="minorEastAsia" w:eastAsiaTheme="minorEastAsia" w:cstheme="minorEastAsia"/>
          <w:color w:val="auto"/>
          <w:sz w:val="24"/>
          <w:szCs w:val="24"/>
          <w:lang w:eastAsia="zh-CN"/>
        </w:rPr>
        <w:t>五、公告期限</w:t>
      </w:r>
      <w:bookmarkEnd w:id="27"/>
      <w:bookmarkEnd w:id="28"/>
      <w:bookmarkEnd w:id="29"/>
      <w:bookmarkEnd w:id="30"/>
      <w:bookmarkEnd w:id="31"/>
    </w:p>
    <w:p w14:paraId="4F484372">
      <w:pPr>
        <w:pBdr>
          <w:top w:val="none" w:color="auto" w:sz="0" w:space="0"/>
          <w:left w:val="none" w:color="auto" w:sz="0" w:space="0"/>
          <w:bottom w:val="none" w:color="auto" w:sz="0" w:space="0"/>
          <w:right w:val="none" w:color="auto" w:sz="0" w:space="0"/>
          <w:between w:val="none" w:color="auto" w:sz="0" w:space="0"/>
        </w:pBdr>
        <w:spacing w:line="400" w:lineRule="exact"/>
        <w:ind w:firstLine="48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自本公告发布之日起5个工作日。</w:t>
      </w:r>
    </w:p>
    <w:p w14:paraId="2250473B">
      <w:pPr>
        <w:pStyle w:val="3"/>
        <w:pBdr>
          <w:top w:val="none" w:color="auto" w:sz="0" w:space="0"/>
          <w:left w:val="none" w:color="auto" w:sz="0" w:space="0"/>
          <w:bottom w:val="none" w:color="auto" w:sz="0" w:space="0"/>
          <w:right w:val="none" w:color="auto" w:sz="0" w:space="0"/>
          <w:between w:val="none" w:color="auto" w:sz="0" w:space="0"/>
        </w:pBdr>
        <w:spacing w:line="400" w:lineRule="exact"/>
        <w:jc w:val="both"/>
        <w:rPr>
          <w:rFonts w:hint="eastAsia" w:asciiTheme="minorEastAsia" w:hAnsiTheme="minorEastAsia" w:eastAsiaTheme="minorEastAsia" w:cstheme="minorEastAsia"/>
          <w:color w:val="auto"/>
          <w:sz w:val="24"/>
          <w:szCs w:val="24"/>
        </w:rPr>
      </w:pPr>
      <w:bookmarkStart w:id="32" w:name="_Toc35393804"/>
      <w:bookmarkStart w:id="33" w:name="_Toc15105"/>
      <w:bookmarkStart w:id="34" w:name="_Toc35393635"/>
      <w:r>
        <w:rPr>
          <w:rFonts w:hint="eastAsia" w:asciiTheme="minorEastAsia" w:hAnsiTheme="minorEastAsia" w:eastAsiaTheme="minorEastAsia" w:cstheme="minorEastAsia"/>
          <w:color w:val="auto"/>
          <w:sz w:val="24"/>
          <w:szCs w:val="24"/>
        </w:rPr>
        <w:t>六、其他补充事宜</w:t>
      </w:r>
      <w:bookmarkEnd w:id="32"/>
      <w:bookmarkEnd w:id="33"/>
      <w:bookmarkEnd w:id="34"/>
    </w:p>
    <w:p w14:paraId="7CC95B9A">
      <w:pPr>
        <w:pStyle w:val="50"/>
        <w:pBdr>
          <w:top w:val="none" w:color="auto" w:sz="0" w:space="0"/>
          <w:left w:val="none" w:color="auto" w:sz="0" w:space="0"/>
          <w:bottom w:val="none" w:color="auto" w:sz="0" w:space="0"/>
          <w:right w:val="none" w:color="auto" w:sz="0" w:space="0"/>
          <w:between w:val="none" w:color="auto" w:sz="0" w:space="0"/>
        </w:pBdr>
        <w:spacing w:line="400" w:lineRule="exact"/>
        <w:ind w:firstLine="0" w:firstLineChars="0"/>
        <w:outlineLvl w:val="9"/>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1.本项目采用全流程不见面电子开评标，投标供应商需要使用CA加密设备，供应商可通过新疆数字证书认证中心官网（https://www.xjca.com.cn/）或下载“新疆政务通”APP自行进行申领。</w:t>
      </w:r>
    </w:p>
    <w:p w14:paraId="53CC137D">
      <w:pPr>
        <w:pStyle w:val="50"/>
        <w:pBdr>
          <w:top w:val="none" w:color="auto" w:sz="0" w:space="0"/>
          <w:left w:val="none" w:color="auto" w:sz="0" w:space="0"/>
          <w:bottom w:val="none" w:color="auto" w:sz="0" w:space="0"/>
          <w:right w:val="none" w:color="auto" w:sz="0" w:space="0"/>
          <w:between w:val="none" w:color="auto" w:sz="0" w:space="0"/>
        </w:pBdr>
        <w:spacing w:line="400" w:lineRule="exact"/>
        <w:ind w:firstLine="0" w:firstLineChars="0"/>
        <w:outlineLvl w:val="9"/>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eastAsia="zh-CN"/>
        </w:rPr>
        <w:t>2.本项目实行网上投标，采用加密电子投标文件(供应商须使用CA加密设备通过政采云电子投标客户端制作投标文件)。若供应商参与投标，自行承担投标一切费用。</w:t>
      </w:r>
    </w:p>
    <w:p w14:paraId="571475A8">
      <w:pPr>
        <w:pStyle w:val="50"/>
        <w:pBdr>
          <w:top w:val="none" w:color="auto" w:sz="0" w:space="0"/>
          <w:left w:val="none" w:color="auto" w:sz="0" w:space="0"/>
          <w:bottom w:val="none" w:color="auto" w:sz="0" w:space="0"/>
          <w:right w:val="none" w:color="auto" w:sz="0" w:space="0"/>
          <w:between w:val="none" w:color="auto" w:sz="0" w:space="0"/>
        </w:pBdr>
        <w:spacing w:line="400" w:lineRule="exact"/>
        <w:ind w:firstLine="0" w:firstLineChars="0"/>
        <w:outlineLvl w:val="9"/>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eastAsia="zh-CN"/>
        </w:rPr>
        <w:t>3.各供应商在开标前应确保成为新疆维吾尔自治区政府采购网正式注册入库供应商，并完成CA数字证书申领。因未注册入库、未办理CA数字证书等原因造成无法投标或投标失败等后果由供应商自行承担。</w:t>
      </w:r>
    </w:p>
    <w:p w14:paraId="46F2804D">
      <w:pPr>
        <w:pStyle w:val="50"/>
        <w:pBdr>
          <w:top w:val="none" w:color="auto" w:sz="0" w:space="0"/>
          <w:left w:val="none" w:color="auto" w:sz="0" w:space="0"/>
          <w:bottom w:val="none" w:color="auto" w:sz="0" w:space="0"/>
          <w:right w:val="none" w:color="auto" w:sz="0" w:space="0"/>
          <w:between w:val="none" w:color="auto" w:sz="0" w:space="0"/>
        </w:pBdr>
        <w:spacing w:line="400" w:lineRule="exact"/>
        <w:ind w:firstLine="0" w:firstLineChars="0"/>
        <w:outlineLvl w:val="9"/>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eastAsia="zh-CN"/>
        </w:rPr>
        <w:t>4.供应商将政采云电子交易客户端下载、安装完成后，可通过账号密码或CA登录客户端进行投标文件制作。在使用政采云投标客户端时，建议使用WIN7+64位及以上操作系统。客户端请至新疆政府采购网（http://www.ccgp-xinjiang.gov.cn/）下载专区查看，如有问题可拨打政采云客户服务热线400-881-7190进行咨询。</w:t>
      </w:r>
    </w:p>
    <w:p w14:paraId="6030F4BE">
      <w:pPr>
        <w:pStyle w:val="50"/>
        <w:pBdr>
          <w:top w:val="none" w:color="auto" w:sz="0" w:space="0"/>
          <w:left w:val="none" w:color="auto" w:sz="0" w:space="0"/>
          <w:bottom w:val="none" w:color="auto" w:sz="0" w:space="0"/>
          <w:right w:val="none" w:color="auto" w:sz="0" w:space="0"/>
          <w:between w:val="none" w:color="auto" w:sz="0" w:space="0"/>
        </w:pBdr>
        <w:spacing w:line="400" w:lineRule="exact"/>
        <w:ind w:firstLine="0" w:firstLineChars="0"/>
        <w:outlineLvl w:val="9"/>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eastAsia="zh-CN"/>
        </w:rPr>
        <w:t>5.供应商在开标时须使用制作加密电子投标文件所使用的CA锁及电脑，电脑须提前配置好浏览器（建议使用谷歌浏览器），以便开标时解密。</w:t>
      </w:r>
    </w:p>
    <w:p w14:paraId="512A1702">
      <w:pPr>
        <w:pStyle w:val="50"/>
        <w:pBdr>
          <w:top w:val="none" w:color="auto" w:sz="0" w:space="0"/>
          <w:left w:val="none" w:color="auto" w:sz="0" w:space="0"/>
          <w:bottom w:val="none" w:color="auto" w:sz="0" w:space="0"/>
          <w:right w:val="none" w:color="auto" w:sz="0" w:space="0"/>
          <w:between w:val="none" w:color="auto" w:sz="0" w:space="0"/>
        </w:pBdr>
        <w:spacing w:line="400" w:lineRule="exact"/>
        <w:ind w:firstLine="0" w:firstLineChars="0"/>
        <w:outlineLvl w:val="9"/>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6.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政采云在线客服获取服务支持。</w:t>
      </w:r>
    </w:p>
    <w:p w14:paraId="56C1767A">
      <w:pPr>
        <w:pStyle w:val="50"/>
        <w:pBdr>
          <w:top w:val="none" w:color="auto" w:sz="0" w:space="0"/>
          <w:left w:val="none" w:color="auto" w:sz="0" w:space="0"/>
          <w:bottom w:val="none" w:color="auto" w:sz="0" w:space="0"/>
          <w:right w:val="none" w:color="auto" w:sz="0" w:space="0"/>
          <w:between w:val="none" w:color="auto" w:sz="0" w:space="0"/>
        </w:pBdr>
        <w:spacing w:line="400" w:lineRule="exact"/>
        <w:ind w:firstLine="0" w:firstLineChars="0"/>
        <w:outlineLvl w:val="9"/>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eastAsia="zh-CN"/>
        </w:rPr>
        <w:t>7.为了保证开评标顺利进行、政采云线上开标功能完全实现，供应商开标所使用的电脑设备须具有视频及语音功能。</w:t>
      </w:r>
    </w:p>
    <w:p w14:paraId="56EAFC7D">
      <w:pPr>
        <w:pBdr>
          <w:top w:val="none" w:color="auto" w:sz="0" w:space="0"/>
          <w:left w:val="none" w:color="auto" w:sz="0" w:space="0"/>
          <w:bottom w:val="none" w:color="auto" w:sz="0" w:space="0"/>
          <w:right w:val="none" w:color="auto" w:sz="0" w:space="0"/>
          <w:between w:val="none" w:color="auto" w:sz="0" w:space="0"/>
        </w:pBdr>
        <w:spacing w:line="400" w:lineRule="exact"/>
        <w:ind w:firstLine="482" w:firstLineChars="200"/>
        <w:outlineLvl w:val="9"/>
        <w:rPr>
          <w:rFonts w:hint="eastAsia" w:asciiTheme="minorEastAsia" w:hAnsiTheme="minorEastAsia" w:eastAsiaTheme="minorEastAsia" w:cstheme="minorEastAsia"/>
          <w:b/>
          <w:bCs/>
          <w:color w:val="auto"/>
          <w:lang w:eastAsia="zh-CN"/>
        </w:rPr>
      </w:pPr>
      <w:r>
        <w:rPr>
          <w:rFonts w:hint="eastAsia" w:asciiTheme="minorEastAsia" w:hAnsiTheme="minorEastAsia" w:eastAsiaTheme="minorEastAsia" w:cstheme="minorEastAsia"/>
          <w:b/>
          <w:bCs/>
          <w:color w:val="auto"/>
          <w:lang w:eastAsia="zh-CN"/>
        </w:rPr>
        <w:t>特别提示：</w:t>
      </w:r>
    </w:p>
    <w:p w14:paraId="0FE51CE8">
      <w:pPr>
        <w:pBdr>
          <w:top w:val="none" w:color="auto" w:sz="0" w:space="0"/>
          <w:left w:val="none" w:color="auto" w:sz="0" w:space="0"/>
          <w:bottom w:val="none" w:color="auto" w:sz="0" w:space="0"/>
          <w:right w:val="none" w:color="auto" w:sz="0" w:space="0"/>
          <w:between w:val="none" w:color="auto" w:sz="0" w:space="0"/>
        </w:pBdr>
        <w:tabs>
          <w:tab w:val="left" w:pos="540"/>
        </w:tabs>
        <w:spacing w:line="400" w:lineRule="exact"/>
        <w:jc w:val="both"/>
        <w:outlineLvl w:val="9"/>
        <w:rPr>
          <w:rFonts w:hint="eastAsia" w:asciiTheme="minorEastAsia" w:hAnsiTheme="minorEastAsia" w:eastAsiaTheme="minorEastAsia" w:cstheme="minorEastAsia"/>
          <w:b w:val="0"/>
          <w:sz w:val="24"/>
          <w:szCs w:val="24"/>
          <w:lang w:eastAsia="zh-CN"/>
        </w:rPr>
      </w:pPr>
      <w:bookmarkStart w:id="35" w:name="_Toc28359018"/>
      <w:bookmarkStart w:id="36" w:name="_Toc35393805"/>
      <w:bookmarkStart w:id="37" w:name="_Toc35393636"/>
      <w:bookmarkStart w:id="38" w:name="_Toc28359095"/>
      <w:bookmarkStart w:id="39" w:name="_Toc7691"/>
      <w:r>
        <w:rPr>
          <w:rFonts w:hint="eastAsia" w:asciiTheme="minorEastAsia" w:hAnsiTheme="minorEastAsia" w:eastAsiaTheme="minorEastAsia" w:cstheme="minorEastAsia"/>
          <w:b w:val="0"/>
          <w:sz w:val="24"/>
          <w:szCs w:val="24"/>
          <w:lang w:eastAsia="zh-CN"/>
        </w:rPr>
        <w:t>1、采购限额标准以上，200万元以下的货物和服务采购项目、400万元以下的工程采购项目，适宜由中小企业提供的，采购人应当专门面向中小企业采购。</w:t>
      </w:r>
    </w:p>
    <w:p w14:paraId="6392AD6C">
      <w:pPr>
        <w:pBdr>
          <w:top w:val="none" w:color="auto" w:sz="0" w:space="0"/>
          <w:left w:val="none" w:color="auto" w:sz="0" w:space="0"/>
          <w:bottom w:val="none" w:color="auto" w:sz="0" w:space="0"/>
          <w:right w:val="none" w:color="auto" w:sz="0" w:space="0"/>
          <w:between w:val="none" w:color="auto" w:sz="0" w:space="0"/>
        </w:pBdr>
        <w:tabs>
          <w:tab w:val="left" w:pos="540"/>
        </w:tabs>
        <w:spacing w:line="400" w:lineRule="exact"/>
        <w:jc w:val="both"/>
        <w:outlineLvl w:val="9"/>
        <w:rPr>
          <w:rFonts w:hint="eastAsia" w:asciiTheme="minorEastAsia" w:hAnsiTheme="minorEastAsia" w:eastAsiaTheme="minorEastAsia" w:cstheme="minorEastAsia"/>
          <w:b w:val="0"/>
          <w:sz w:val="24"/>
          <w:szCs w:val="24"/>
          <w:lang w:eastAsia="zh-CN"/>
        </w:rPr>
      </w:pPr>
      <w:r>
        <w:rPr>
          <w:rFonts w:hint="eastAsia" w:asciiTheme="minorEastAsia" w:hAnsiTheme="minorEastAsia" w:eastAsiaTheme="minorEastAsia" w:cstheme="minorEastAsia"/>
          <w:b w:val="0"/>
          <w:sz w:val="24"/>
          <w:szCs w:val="24"/>
          <w:lang w:eastAsia="zh-CN"/>
        </w:rPr>
        <w:t>2、超过200万元的货物和服务采购项目，预留该部分采购项目预算总额的30%以上专门面向中小企业采购，其中预留给小微企业的比例不低于60%。</w:t>
      </w:r>
    </w:p>
    <w:p w14:paraId="0D13EA78">
      <w:pPr>
        <w:pBdr>
          <w:top w:val="none" w:color="auto" w:sz="0" w:space="0"/>
          <w:left w:val="none" w:color="auto" w:sz="0" w:space="0"/>
          <w:bottom w:val="none" w:color="auto" w:sz="0" w:space="0"/>
          <w:right w:val="none" w:color="auto" w:sz="0" w:space="0"/>
          <w:between w:val="none" w:color="auto" w:sz="0" w:space="0"/>
        </w:pBdr>
        <w:tabs>
          <w:tab w:val="left" w:pos="540"/>
        </w:tabs>
        <w:spacing w:line="400" w:lineRule="exact"/>
        <w:jc w:val="both"/>
        <w:outlineLvl w:val="9"/>
        <w:rPr>
          <w:rFonts w:hint="eastAsia" w:asciiTheme="minorEastAsia" w:hAnsiTheme="minorEastAsia" w:eastAsiaTheme="minorEastAsia" w:cstheme="minorEastAsia"/>
          <w:b w:val="0"/>
          <w:sz w:val="24"/>
          <w:szCs w:val="24"/>
          <w:lang w:eastAsia="zh-CN"/>
        </w:rPr>
      </w:pPr>
      <w:r>
        <w:rPr>
          <w:rFonts w:hint="eastAsia" w:asciiTheme="minorEastAsia" w:hAnsiTheme="minorEastAsia" w:eastAsiaTheme="minorEastAsia" w:cstheme="minorEastAsia"/>
          <w:b w:val="0"/>
          <w:sz w:val="24"/>
          <w:szCs w:val="24"/>
          <w:lang w:eastAsia="zh-CN"/>
        </w:rPr>
        <w:t>3、超过400万元的工程采购项目中适宜由中小企业提供的，预留该部分采购项目预算总额的40%以上专门面向中小企业采购，其中预留给小微企业的比例不低于60%。</w:t>
      </w:r>
    </w:p>
    <w:p w14:paraId="5016B617">
      <w:pPr>
        <w:pBdr>
          <w:top w:val="none" w:color="auto" w:sz="0" w:space="0"/>
          <w:left w:val="none" w:color="auto" w:sz="0" w:space="0"/>
          <w:bottom w:val="none" w:color="auto" w:sz="0" w:space="0"/>
          <w:right w:val="none" w:color="auto" w:sz="0" w:space="0"/>
          <w:between w:val="none" w:color="auto" w:sz="0" w:space="0"/>
        </w:pBdr>
        <w:tabs>
          <w:tab w:val="left" w:pos="540"/>
        </w:tabs>
        <w:spacing w:line="400" w:lineRule="exact"/>
        <w:jc w:val="both"/>
        <w:outlineLvl w:val="9"/>
        <w:rPr>
          <w:rFonts w:hint="eastAsia" w:asciiTheme="minorEastAsia" w:hAnsiTheme="minorEastAsia" w:eastAsiaTheme="minorEastAsia" w:cstheme="minorEastAsia"/>
          <w:b w:val="0"/>
          <w:sz w:val="24"/>
          <w:szCs w:val="24"/>
          <w:lang w:eastAsia="zh-CN"/>
        </w:rPr>
      </w:pPr>
      <w:r>
        <w:rPr>
          <w:rFonts w:hint="eastAsia" w:asciiTheme="minorEastAsia" w:hAnsiTheme="minorEastAsia" w:eastAsiaTheme="minorEastAsia" w:cstheme="minorEastAsia"/>
          <w:b w:val="0"/>
          <w:sz w:val="24"/>
          <w:szCs w:val="24"/>
          <w:lang w:eastAsia="zh-CN"/>
        </w:rPr>
        <w:t>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1254688D">
      <w:pPr>
        <w:numPr>
          <w:ilvl w:val="0"/>
          <w:numId w:val="4"/>
        </w:numPr>
        <w:pBdr>
          <w:top w:val="none" w:color="auto" w:sz="0" w:space="0"/>
          <w:left w:val="none" w:color="auto" w:sz="0" w:space="0"/>
          <w:bottom w:val="none" w:color="auto" w:sz="0" w:space="0"/>
          <w:right w:val="none" w:color="auto" w:sz="0" w:space="0"/>
          <w:between w:val="none" w:color="auto" w:sz="0" w:space="0"/>
        </w:pBdr>
        <w:tabs>
          <w:tab w:val="left" w:pos="540"/>
        </w:tabs>
        <w:spacing w:line="400" w:lineRule="exact"/>
        <w:jc w:val="both"/>
        <w:outlineLvl w:val="9"/>
        <w:rPr>
          <w:rFonts w:hint="eastAsia" w:asciiTheme="minorEastAsia" w:hAnsiTheme="minorEastAsia" w:eastAsiaTheme="minorEastAsia" w:cstheme="minorEastAsia"/>
          <w:b w:val="0"/>
          <w:sz w:val="24"/>
          <w:szCs w:val="24"/>
          <w:lang w:eastAsia="zh-CN"/>
        </w:rPr>
      </w:pPr>
      <w:r>
        <w:rPr>
          <w:rFonts w:hint="eastAsia" w:asciiTheme="minorEastAsia" w:hAnsiTheme="minorEastAsia" w:eastAsiaTheme="minorEastAsia" w:cstheme="minorEastAsia"/>
          <w:b w:val="0"/>
          <w:sz w:val="24"/>
          <w:szCs w:val="24"/>
          <w:lang w:eastAsia="zh-CN"/>
        </w:rPr>
        <w:t>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4B3B94AE">
      <w:pPr>
        <w:pStyle w:val="3"/>
        <w:pBdr>
          <w:top w:val="none" w:color="auto" w:sz="0" w:space="0"/>
          <w:left w:val="none" w:color="auto" w:sz="0" w:space="0"/>
          <w:bottom w:val="none" w:color="auto" w:sz="0" w:space="0"/>
          <w:right w:val="none" w:color="auto" w:sz="0" w:space="0"/>
          <w:between w:val="none" w:color="auto" w:sz="0" w:space="0"/>
        </w:pBdr>
        <w:spacing w:line="400" w:lineRule="exact"/>
        <w:jc w:val="both"/>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eastAsia="zh-CN"/>
        </w:rPr>
        <w:t>七、</w:t>
      </w:r>
      <w:bookmarkEnd w:id="35"/>
      <w:bookmarkEnd w:id="36"/>
      <w:bookmarkEnd w:id="37"/>
      <w:bookmarkEnd w:id="38"/>
      <w:r>
        <w:rPr>
          <w:rFonts w:hint="eastAsia" w:asciiTheme="minorEastAsia" w:hAnsiTheme="minorEastAsia" w:eastAsiaTheme="minorEastAsia" w:cstheme="minorEastAsia"/>
          <w:color w:val="auto"/>
          <w:sz w:val="24"/>
          <w:szCs w:val="24"/>
          <w:lang w:eastAsia="zh-CN"/>
        </w:rPr>
        <w:t>对本次采购提出询问，请按以下方式联系</w:t>
      </w:r>
      <w:bookmarkEnd w:id="39"/>
    </w:p>
    <w:p w14:paraId="47C3BE89">
      <w:pPr>
        <w:pBdr>
          <w:top w:val="none" w:color="auto" w:sz="0" w:space="0"/>
          <w:left w:val="none" w:color="auto" w:sz="0" w:space="0"/>
          <w:bottom w:val="none" w:color="auto" w:sz="0" w:space="0"/>
          <w:right w:val="none" w:color="auto" w:sz="0" w:space="0"/>
          <w:between w:val="none" w:color="auto" w:sz="0" w:space="0"/>
        </w:pBdr>
        <w:spacing w:line="400" w:lineRule="exact"/>
        <w:ind w:firstLine="240" w:firstLineChars="1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1.采购人信息</w:t>
      </w:r>
    </w:p>
    <w:p w14:paraId="3B717A1E">
      <w:pPr>
        <w:pBdr>
          <w:top w:val="none" w:color="auto" w:sz="0" w:space="0"/>
          <w:left w:val="none" w:color="auto" w:sz="0" w:space="0"/>
          <w:bottom w:val="none" w:color="auto" w:sz="0" w:space="0"/>
          <w:right w:val="none" w:color="auto" w:sz="0" w:space="0"/>
          <w:between w:val="none" w:color="auto" w:sz="0" w:space="0"/>
        </w:pBdr>
        <w:spacing w:line="400" w:lineRule="exact"/>
        <w:ind w:firstLine="48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 xml:space="preserve">名    称：伊犁融媒体中心  </w:t>
      </w:r>
    </w:p>
    <w:p w14:paraId="0B669D67">
      <w:pPr>
        <w:pBdr>
          <w:top w:val="none" w:color="auto" w:sz="0" w:space="0"/>
          <w:left w:val="none" w:color="auto" w:sz="0" w:space="0"/>
          <w:bottom w:val="none" w:color="auto" w:sz="0" w:space="0"/>
          <w:right w:val="none" w:color="auto" w:sz="0" w:space="0"/>
          <w:between w:val="none" w:color="auto" w:sz="0" w:space="0"/>
        </w:pBdr>
        <w:spacing w:line="400" w:lineRule="exact"/>
        <w:ind w:firstLine="48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地    址：伊宁市红旗路48号</w:t>
      </w:r>
    </w:p>
    <w:p w14:paraId="7AB13D59">
      <w:pPr>
        <w:pBdr>
          <w:top w:val="none" w:color="auto" w:sz="0" w:space="0"/>
          <w:left w:val="none" w:color="auto" w:sz="0" w:space="0"/>
          <w:bottom w:val="none" w:color="auto" w:sz="0" w:space="0"/>
          <w:right w:val="none" w:color="auto" w:sz="0" w:space="0"/>
          <w:between w:val="none" w:color="auto" w:sz="0" w:space="0"/>
        </w:pBdr>
        <w:spacing w:line="400" w:lineRule="exact"/>
        <w:ind w:firstLine="48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联系方式：0999-8167737</w:t>
      </w:r>
    </w:p>
    <w:p w14:paraId="7C8B83BA">
      <w:pPr>
        <w:pBdr>
          <w:top w:val="none" w:color="auto" w:sz="0" w:space="0"/>
          <w:left w:val="none" w:color="auto" w:sz="0" w:space="0"/>
          <w:bottom w:val="none" w:color="auto" w:sz="0" w:space="0"/>
          <w:right w:val="none" w:color="auto" w:sz="0" w:space="0"/>
          <w:between w:val="none" w:color="auto" w:sz="0" w:space="0"/>
        </w:pBdr>
        <w:spacing w:line="400" w:lineRule="exact"/>
        <w:ind w:firstLine="240" w:firstLineChars="1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2.采购代理机构信息</w:t>
      </w:r>
    </w:p>
    <w:p w14:paraId="0F497547">
      <w:pPr>
        <w:pBdr>
          <w:top w:val="none" w:color="auto" w:sz="0" w:space="0"/>
          <w:left w:val="none" w:color="auto" w:sz="0" w:space="0"/>
          <w:bottom w:val="none" w:color="auto" w:sz="0" w:space="0"/>
          <w:right w:val="none" w:color="auto" w:sz="0" w:space="0"/>
          <w:between w:val="none" w:color="auto" w:sz="0" w:space="0"/>
        </w:pBdr>
        <w:spacing w:line="400" w:lineRule="exact"/>
        <w:ind w:firstLine="48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名    称：新疆现代胜元工程项目管理有限责任公司</w:t>
      </w:r>
    </w:p>
    <w:p w14:paraId="1024DE44">
      <w:pPr>
        <w:pBdr>
          <w:top w:val="none" w:color="auto" w:sz="0" w:space="0"/>
          <w:left w:val="none" w:color="auto" w:sz="0" w:space="0"/>
          <w:bottom w:val="none" w:color="auto" w:sz="0" w:space="0"/>
          <w:right w:val="none" w:color="auto" w:sz="0" w:space="0"/>
          <w:between w:val="none" w:color="auto" w:sz="0" w:space="0"/>
        </w:pBdr>
        <w:spacing w:line="400" w:lineRule="exact"/>
        <w:ind w:left="1680" w:leftChars="200" w:hanging="1200" w:hangingChars="5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地　　址：伊宁市阿合买提江南路19号伊河北岸旧城改造项目一期2号综合楼206室</w:t>
      </w:r>
    </w:p>
    <w:p w14:paraId="716F9664">
      <w:pPr>
        <w:pBdr>
          <w:top w:val="none" w:color="auto" w:sz="0" w:space="0"/>
          <w:left w:val="none" w:color="auto" w:sz="0" w:space="0"/>
          <w:bottom w:val="none" w:color="auto" w:sz="0" w:space="0"/>
          <w:right w:val="none" w:color="auto" w:sz="0" w:space="0"/>
          <w:between w:val="none" w:color="auto" w:sz="0" w:space="0"/>
        </w:pBdr>
        <w:spacing w:line="400" w:lineRule="exact"/>
        <w:ind w:firstLine="48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联系方式：0999-8322267、13779126671</w:t>
      </w:r>
    </w:p>
    <w:p w14:paraId="60E9634D">
      <w:pPr>
        <w:pBdr>
          <w:top w:val="none" w:color="auto" w:sz="0" w:space="0"/>
          <w:left w:val="none" w:color="auto" w:sz="0" w:space="0"/>
          <w:bottom w:val="none" w:color="auto" w:sz="0" w:space="0"/>
          <w:right w:val="none" w:color="auto" w:sz="0" w:space="0"/>
          <w:between w:val="none" w:color="auto" w:sz="0" w:space="0"/>
        </w:pBdr>
        <w:spacing w:line="400" w:lineRule="exact"/>
        <w:ind w:firstLine="240" w:firstLineChars="1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3.项目联系方式</w:t>
      </w:r>
    </w:p>
    <w:p w14:paraId="74936D3E">
      <w:pPr>
        <w:pBdr>
          <w:top w:val="none" w:color="auto" w:sz="0" w:space="0"/>
          <w:left w:val="none" w:color="auto" w:sz="0" w:space="0"/>
          <w:bottom w:val="none" w:color="auto" w:sz="0" w:space="0"/>
          <w:right w:val="none" w:color="auto" w:sz="0" w:space="0"/>
          <w:between w:val="none" w:color="auto" w:sz="0" w:space="0"/>
        </w:pBdr>
        <w:spacing w:line="400" w:lineRule="exact"/>
        <w:ind w:firstLine="48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项目联系人：秦宏、徐美娜</w:t>
      </w:r>
    </w:p>
    <w:p w14:paraId="56D2CF6B">
      <w:pPr>
        <w:pBdr>
          <w:top w:val="none" w:color="auto" w:sz="0" w:space="0"/>
          <w:left w:val="none" w:color="auto" w:sz="0" w:space="0"/>
          <w:bottom w:val="none" w:color="auto" w:sz="0" w:space="0"/>
          <w:right w:val="none" w:color="auto" w:sz="0" w:space="0"/>
          <w:between w:val="none" w:color="auto" w:sz="0" w:space="0"/>
        </w:pBdr>
        <w:spacing w:line="400" w:lineRule="exact"/>
        <w:ind w:firstLine="48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电 话：0999-8322267、13779126671</w:t>
      </w:r>
    </w:p>
    <w:p w14:paraId="706C2B49">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p>
    <w:p w14:paraId="00C5938C">
      <w:pPr>
        <w:pStyle w:val="24"/>
        <w:pBdr>
          <w:top w:val="none" w:color="auto" w:sz="0" w:space="0"/>
          <w:left w:val="none" w:color="auto" w:sz="0" w:space="0"/>
          <w:bottom w:val="none" w:color="auto" w:sz="0" w:space="0"/>
          <w:right w:val="none" w:color="auto" w:sz="0" w:space="0"/>
          <w:between w:val="none" w:color="auto" w:sz="0" w:space="0"/>
        </w:pBdr>
        <w:ind w:left="480" w:firstLine="480"/>
        <w:rPr>
          <w:rFonts w:hint="eastAsia" w:asciiTheme="minorEastAsia" w:hAnsiTheme="minorEastAsia" w:eastAsiaTheme="minorEastAsia" w:cstheme="minorEastAsia"/>
          <w:color w:val="auto"/>
          <w:lang w:eastAsia="zh-CN"/>
        </w:rPr>
      </w:pPr>
    </w:p>
    <w:p w14:paraId="36BA176F">
      <w:pPr>
        <w:pStyle w:val="24"/>
        <w:pBdr>
          <w:top w:val="none" w:color="auto" w:sz="0" w:space="0"/>
          <w:left w:val="none" w:color="auto" w:sz="0" w:space="0"/>
          <w:bottom w:val="none" w:color="auto" w:sz="0" w:space="0"/>
          <w:right w:val="none" w:color="auto" w:sz="0" w:space="0"/>
          <w:between w:val="none" w:color="auto" w:sz="0" w:space="0"/>
        </w:pBdr>
        <w:ind w:left="480" w:firstLine="480"/>
        <w:rPr>
          <w:rFonts w:hint="eastAsia" w:asciiTheme="minorEastAsia" w:hAnsiTheme="minorEastAsia" w:eastAsiaTheme="minorEastAsia" w:cstheme="minorEastAsia"/>
          <w:color w:val="auto"/>
          <w:lang w:eastAsia="zh-CN"/>
        </w:rPr>
      </w:pPr>
    </w:p>
    <w:p w14:paraId="1C21D24C">
      <w:pPr>
        <w:pStyle w:val="24"/>
        <w:pBdr>
          <w:top w:val="none" w:color="auto" w:sz="0" w:space="0"/>
          <w:left w:val="none" w:color="auto" w:sz="0" w:space="0"/>
          <w:bottom w:val="none" w:color="auto" w:sz="0" w:space="0"/>
          <w:right w:val="none" w:color="auto" w:sz="0" w:space="0"/>
          <w:between w:val="none" w:color="auto" w:sz="0" w:space="0"/>
        </w:pBdr>
        <w:ind w:left="480" w:firstLine="480"/>
        <w:rPr>
          <w:rFonts w:hint="eastAsia" w:asciiTheme="minorEastAsia" w:hAnsiTheme="minorEastAsia" w:eastAsiaTheme="minorEastAsia" w:cstheme="minorEastAsia"/>
          <w:color w:val="auto"/>
          <w:lang w:eastAsia="zh-CN"/>
        </w:rPr>
      </w:pPr>
    </w:p>
    <w:p w14:paraId="588D6BCC">
      <w:pPr>
        <w:pBdr>
          <w:top w:val="none" w:color="auto" w:sz="0" w:space="0"/>
          <w:left w:val="none" w:color="auto" w:sz="0" w:space="0"/>
          <w:bottom w:val="none" w:color="auto" w:sz="0" w:space="0"/>
          <w:right w:val="none" w:color="auto" w:sz="0" w:space="0"/>
          <w:between w:val="none" w:color="auto" w:sz="0" w:space="0"/>
        </w:pBdr>
        <w:snapToGrid w:val="0"/>
        <w:spacing w:line="360" w:lineRule="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 xml:space="preserve">      </w:t>
      </w:r>
    </w:p>
    <w:p w14:paraId="446D682C">
      <w:pPr>
        <w:pBdr>
          <w:top w:val="none" w:color="auto" w:sz="0" w:space="0"/>
          <w:left w:val="none" w:color="auto" w:sz="0" w:space="0"/>
          <w:bottom w:val="none" w:color="auto" w:sz="0" w:space="0"/>
          <w:right w:val="none" w:color="auto" w:sz="0" w:space="0"/>
          <w:between w:val="none" w:color="auto" w:sz="0" w:space="0"/>
        </w:pBdr>
        <w:snapToGrid w:val="0"/>
        <w:spacing w:line="360" w:lineRule="auto"/>
        <w:rPr>
          <w:rFonts w:hint="eastAsia" w:asciiTheme="minorEastAsia" w:hAnsiTheme="minorEastAsia" w:eastAsiaTheme="minorEastAsia" w:cstheme="minorEastAsia"/>
          <w:color w:val="auto"/>
          <w:lang w:eastAsia="zh-CN"/>
        </w:rPr>
      </w:pPr>
    </w:p>
    <w:p w14:paraId="34422B83">
      <w:pPr>
        <w:pStyle w:val="37"/>
        <w:keepNext/>
        <w:keepLines/>
        <w:pBdr>
          <w:top w:val="none" w:color="auto" w:sz="0" w:space="0"/>
          <w:left w:val="none" w:color="auto" w:sz="0" w:space="0"/>
          <w:bottom w:val="none" w:color="auto" w:sz="0" w:space="0"/>
          <w:right w:val="none" w:color="auto" w:sz="0" w:space="0"/>
          <w:between w:val="none" w:color="auto" w:sz="0" w:space="0"/>
        </w:pBdr>
        <w:spacing w:before="0" w:after="240"/>
        <w:ind w:firstLine="2530" w:firstLineChars="700"/>
        <w:jc w:val="both"/>
        <w:outlineLvl w:val="0"/>
        <w:rPr>
          <w:rFonts w:hint="eastAsia" w:asciiTheme="minorEastAsia" w:hAnsiTheme="minorEastAsia" w:eastAsiaTheme="minorEastAsia" w:cstheme="minorEastAsia"/>
          <w:b/>
          <w:bCs/>
          <w:color w:val="auto"/>
        </w:rPr>
      </w:pPr>
      <w:bookmarkStart w:id="40" w:name="_Toc2742"/>
      <w:r>
        <w:rPr>
          <w:rFonts w:hint="eastAsia" w:asciiTheme="minorEastAsia" w:hAnsiTheme="minorEastAsia" w:eastAsiaTheme="minorEastAsia" w:cstheme="minorEastAsia"/>
          <w:b/>
          <w:bCs/>
          <w:color w:val="auto"/>
        </w:rPr>
        <w:t>第二部分</w:t>
      </w:r>
      <w:r>
        <w:rPr>
          <w:rFonts w:hint="eastAsia" w:asciiTheme="minorEastAsia" w:hAnsiTheme="minorEastAsia" w:eastAsiaTheme="minorEastAsia" w:cstheme="minorEastAsia"/>
          <w:b/>
          <w:bCs/>
          <w:color w:val="auto"/>
          <w:lang w:val="en-US" w:eastAsia="zh-CN"/>
        </w:rPr>
        <w:t xml:space="preserve">  </w:t>
      </w:r>
      <w:r>
        <w:rPr>
          <w:rFonts w:hint="eastAsia" w:asciiTheme="minorEastAsia" w:hAnsiTheme="minorEastAsia" w:eastAsiaTheme="minorEastAsia" w:cstheme="minorEastAsia"/>
          <w:b/>
          <w:bCs/>
          <w:color w:val="auto"/>
          <w:szCs w:val="21"/>
        </w:rPr>
        <w:t>投标</w:t>
      </w:r>
      <w:r>
        <w:rPr>
          <w:rFonts w:hint="eastAsia" w:asciiTheme="minorEastAsia" w:hAnsiTheme="minorEastAsia" w:eastAsiaTheme="minorEastAsia" w:cstheme="minorEastAsia"/>
          <w:b/>
          <w:bCs/>
          <w:color w:val="auto"/>
        </w:rPr>
        <w:t>须知</w:t>
      </w:r>
      <w:bookmarkEnd w:id="40"/>
    </w:p>
    <w:p w14:paraId="698C1E06">
      <w:pPr>
        <w:pStyle w:val="38"/>
        <w:pBdr>
          <w:top w:val="none" w:color="auto" w:sz="0" w:space="0"/>
          <w:left w:val="none" w:color="auto" w:sz="0" w:space="0"/>
          <w:bottom w:val="none" w:color="auto" w:sz="0" w:space="0"/>
          <w:right w:val="none" w:color="auto" w:sz="0" w:space="0"/>
          <w:between w:val="none" w:color="auto" w:sz="0" w:space="0"/>
        </w:pBdr>
        <w:spacing w:after="0"/>
        <w:jc w:val="center"/>
        <w:outlineLvl w:val="1"/>
        <w:rPr>
          <w:rFonts w:hint="eastAsia" w:asciiTheme="minorEastAsia" w:hAnsiTheme="minorEastAsia" w:eastAsiaTheme="minorEastAsia" w:cstheme="minorEastAsia"/>
          <w:b/>
          <w:bCs/>
          <w:color w:val="auto"/>
          <w:sz w:val="28"/>
          <w:szCs w:val="28"/>
        </w:rPr>
      </w:pPr>
      <w:r>
        <w:rPr>
          <w:rFonts w:hint="eastAsia" w:asciiTheme="minorEastAsia" w:hAnsiTheme="minorEastAsia" w:eastAsiaTheme="minorEastAsia" w:cstheme="minorEastAsia"/>
          <w:b/>
          <w:bCs/>
          <w:color w:val="auto"/>
          <w:sz w:val="28"/>
          <w:szCs w:val="28"/>
        </w:rPr>
        <w:t>投标须知前附表</w:t>
      </w:r>
    </w:p>
    <w:tbl>
      <w:tblPr>
        <w:tblStyle w:val="25"/>
        <w:tblW w:w="9022" w:type="dxa"/>
        <w:jc w:val="center"/>
        <w:tblLayout w:type="fixed"/>
        <w:tblCellMar>
          <w:top w:w="0" w:type="dxa"/>
          <w:left w:w="108" w:type="dxa"/>
          <w:bottom w:w="0" w:type="dxa"/>
          <w:right w:w="108" w:type="dxa"/>
        </w:tblCellMar>
      </w:tblPr>
      <w:tblGrid>
        <w:gridCol w:w="703"/>
        <w:gridCol w:w="1517"/>
        <w:gridCol w:w="6802"/>
      </w:tblGrid>
      <w:tr w14:paraId="3D408637">
        <w:tblPrEx>
          <w:tblCellMar>
            <w:top w:w="0" w:type="dxa"/>
            <w:left w:w="108" w:type="dxa"/>
            <w:bottom w:w="0" w:type="dxa"/>
            <w:right w:w="108" w:type="dxa"/>
          </w:tblCellMar>
        </w:tblPrEx>
        <w:trPr>
          <w:trHeight w:val="28" w:hRule="atLeast"/>
          <w:jc w:val="center"/>
        </w:trPr>
        <w:tc>
          <w:tcPr>
            <w:tcW w:w="703" w:type="dxa"/>
            <w:tcBorders>
              <w:top w:val="single" w:color="auto" w:sz="4" w:space="0"/>
              <w:left w:val="single" w:color="auto" w:sz="4" w:space="0"/>
              <w:bottom w:val="single" w:color="auto" w:sz="4" w:space="0"/>
              <w:right w:val="single" w:color="auto" w:sz="4" w:space="0"/>
            </w:tcBorders>
            <w:vAlign w:val="center"/>
          </w:tcPr>
          <w:p w14:paraId="3F68B96D">
            <w:pPr>
              <w:widowControl/>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b/>
                <w:color w:val="auto"/>
              </w:rPr>
            </w:pPr>
            <w:r>
              <w:rPr>
                <w:rFonts w:hint="eastAsia" w:asciiTheme="minorEastAsia" w:hAnsiTheme="minorEastAsia" w:eastAsiaTheme="minorEastAsia" w:cstheme="minorEastAsia"/>
                <w:b/>
                <w:color w:val="auto"/>
              </w:rPr>
              <w:t>序号</w:t>
            </w:r>
          </w:p>
        </w:tc>
        <w:tc>
          <w:tcPr>
            <w:tcW w:w="1517" w:type="dxa"/>
            <w:tcBorders>
              <w:top w:val="single" w:color="auto" w:sz="4" w:space="0"/>
              <w:left w:val="single" w:color="auto" w:sz="4" w:space="0"/>
              <w:bottom w:val="single" w:color="auto" w:sz="4" w:space="0"/>
              <w:right w:val="single" w:color="auto" w:sz="4" w:space="0"/>
            </w:tcBorders>
            <w:vAlign w:val="center"/>
          </w:tcPr>
          <w:p w14:paraId="2F9E5DFF">
            <w:pPr>
              <w:widowControl/>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b/>
                <w:color w:val="auto"/>
              </w:rPr>
            </w:pPr>
            <w:r>
              <w:rPr>
                <w:rFonts w:hint="eastAsia" w:asciiTheme="minorEastAsia" w:hAnsiTheme="minorEastAsia" w:eastAsiaTheme="minorEastAsia" w:cstheme="minorEastAsia"/>
                <w:b/>
                <w:color w:val="auto"/>
              </w:rPr>
              <w:t>名  称</w:t>
            </w:r>
          </w:p>
        </w:tc>
        <w:tc>
          <w:tcPr>
            <w:tcW w:w="6802" w:type="dxa"/>
            <w:tcBorders>
              <w:top w:val="single" w:color="auto" w:sz="4" w:space="0"/>
              <w:left w:val="single" w:color="auto" w:sz="4" w:space="0"/>
              <w:bottom w:val="single" w:color="auto" w:sz="4" w:space="0"/>
              <w:right w:val="single" w:color="auto" w:sz="4" w:space="0"/>
            </w:tcBorders>
            <w:vAlign w:val="center"/>
          </w:tcPr>
          <w:p w14:paraId="6988B97B">
            <w:pPr>
              <w:widowControl/>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b/>
                <w:color w:val="auto"/>
              </w:rPr>
            </w:pPr>
            <w:r>
              <w:rPr>
                <w:rFonts w:hint="eastAsia" w:asciiTheme="minorEastAsia" w:hAnsiTheme="minorEastAsia" w:eastAsiaTheme="minorEastAsia" w:cstheme="minorEastAsia"/>
                <w:b/>
                <w:color w:val="auto"/>
              </w:rPr>
              <w:t>编  列  内  容</w:t>
            </w:r>
          </w:p>
        </w:tc>
      </w:tr>
      <w:tr w14:paraId="09B205DA">
        <w:tblPrEx>
          <w:tblCellMar>
            <w:top w:w="0" w:type="dxa"/>
            <w:left w:w="108" w:type="dxa"/>
            <w:bottom w:w="0" w:type="dxa"/>
            <w:right w:w="108" w:type="dxa"/>
          </w:tblCellMar>
        </w:tblPrEx>
        <w:trPr>
          <w:trHeight w:val="1635" w:hRule="atLeast"/>
          <w:jc w:val="center"/>
        </w:trPr>
        <w:tc>
          <w:tcPr>
            <w:tcW w:w="703" w:type="dxa"/>
            <w:tcBorders>
              <w:top w:val="single" w:color="auto" w:sz="4" w:space="0"/>
              <w:left w:val="single" w:color="auto" w:sz="4" w:space="0"/>
              <w:bottom w:val="single" w:color="auto" w:sz="4" w:space="0"/>
              <w:right w:val="single" w:color="auto" w:sz="4" w:space="0"/>
            </w:tcBorders>
            <w:vAlign w:val="center"/>
          </w:tcPr>
          <w:p w14:paraId="6F69C059">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1</w:t>
            </w:r>
          </w:p>
        </w:tc>
        <w:tc>
          <w:tcPr>
            <w:tcW w:w="1517" w:type="dxa"/>
            <w:tcBorders>
              <w:top w:val="single" w:color="auto" w:sz="4" w:space="0"/>
              <w:left w:val="single" w:color="auto" w:sz="4" w:space="0"/>
              <w:bottom w:val="single" w:color="auto" w:sz="4" w:space="0"/>
              <w:right w:val="single" w:color="auto" w:sz="4" w:space="0"/>
            </w:tcBorders>
            <w:vAlign w:val="center"/>
          </w:tcPr>
          <w:p w14:paraId="47050467">
            <w:pPr>
              <w:pStyle w:val="34"/>
              <w:pBdr>
                <w:top w:val="none" w:color="auto" w:sz="0" w:space="0"/>
                <w:left w:val="none" w:color="auto" w:sz="0" w:space="0"/>
                <w:bottom w:val="none" w:color="auto" w:sz="0" w:space="0"/>
                <w:right w:val="none" w:color="auto" w:sz="0" w:space="0"/>
                <w:between w:val="none" w:color="auto" w:sz="0" w:space="0"/>
              </w:pBdr>
              <w:spacing w:line="240" w:lineRule="auto"/>
              <w:ind w:firstLine="0"/>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项目名称、项目编号、采购需求、合同履约期限</w:t>
            </w:r>
          </w:p>
        </w:tc>
        <w:tc>
          <w:tcPr>
            <w:tcW w:w="6802" w:type="dxa"/>
            <w:tcBorders>
              <w:top w:val="single" w:color="auto" w:sz="4" w:space="0"/>
              <w:left w:val="single" w:color="auto" w:sz="4" w:space="0"/>
              <w:bottom w:val="single" w:color="auto" w:sz="4" w:space="0"/>
              <w:right w:val="single" w:color="auto" w:sz="4" w:space="0"/>
            </w:tcBorders>
            <w:vAlign w:val="center"/>
          </w:tcPr>
          <w:p w14:paraId="2686B6D1">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项目名称：伊犁融媒体中心设备购置项目（标项1）</w:t>
            </w:r>
          </w:p>
          <w:p w14:paraId="192029C6">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项目编号：XJXDSY-2024-022-1</w:t>
            </w:r>
          </w:p>
          <w:p w14:paraId="61E389AE">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采购需求：融媒体电视播出及网络系统，具体详见采购文件。</w:t>
            </w:r>
          </w:p>
          <w:p w14:paraId="546D8C73">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合同履约期限：自合同签订之日起45日历天内交付使用。</w:t>
            </w:r>
          </w:p>
        </w:tc>
      </w:tr>
      <w:tr w14:paraId="73CFE239">
        <w:tblPrEx>
          <w:tblCellMar>
            <w:top w:w="0" w:type="dxa"/>
            <w:left w:w="108" w:type="dxa"/>
            <w:bottom w:w="0" w:type="dxa"/>
            <w:right w:w="108" w:type="dxa"/>
          </w:tblCellMar>
        </w:tblPrEx>
        <w:trPr>
          <w:trHeight w:val="1328" w:hRule="atLeast"/>
          <w:jc w:val="center"/>
        </w:trPr>
        <w:tc>
          <w:tcPr>
            <w:tcW w:w="703" w:type="dxa"/>
            <w:tcBorders>
              <w:top w:val="single" w:color="auto" w:sz="4" w:space="0"/>
              <w:left w:val="single" w:color="auto" w:sz="4" w:space="0"/>
              <w:bottom w:val="single" w:color="auto" w:sz="4" w:space="0"/>
              <w:right w:val="single" w:color="auto" w:sz="4" w:space="0"/>
            </w:tcBorders>
            <w:vAlign w:val="center"/>
          </w:tcPr>
          <w:p w14:paraId="0D974029">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2</w:t>
            </w:r>
          </w:p>
        </w:tc>
        <w:tc>
          <w:tcPr>
            <w:tcW w:w="1517" w:type="dxa"/>
            <w:tcBorders>
              <w:top w:val="single" w:color="auto" w:sz="4" w:space="0"/>
              <w:left w:val="single" w:color="auto" w:sz="4" w:space="0"/>
              <w:bottom w:val="single" w:color="auto" w:sz="4" w:space="0"/>
              <w:right w:val="single" w:color="auto" w:sz="4" w:space="0"/>
            </w:tcBorders>
            <w:vAlign w:val="center"/>
          </w:tcPr>
          <w:p w14:paraId="7E850EB3">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采购人信息</w:t>
            </w:r>
          </w:p>
        </w:tc>
        <w:tc>
          <w:tcPr>
            <w:tcW w:w="6802" w:type="dxa"/>
            <w:tcBorders>
              <w:top w:val="single" w:color="auto" w:sz="4" w:space="0"/>
              <w:left w:val="single" w:color="auto" w:sz="4" w:space="0"/>
              <w:bottom w:val="single" w:color="auto" w:sz="4" w:space="0"/>
              <w:right w:val="single" w:color="auto" w:sz="4" w:space="0"/>
            </w:tcBorders>
            <w:vAlign w:val="center"/>
          </w:tcPr>
          <w:p w14:paraId="5191F6DE">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 xml:space="preserve">采购人：伊犁融媒体中心  </w:t>
            </w:r>
          </w:p>
          <w:p w14:paraId="67B876A4">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地  址：伊宁市红旗路48号</w:t>
            </w:r>
          </w:p>
          <w:p w14:paraId="2AAC632C">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联系人：雷恒阳</w:t>
            </w:r>
          </w:p>
          <w:p w14:paraId="3265508C">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联系电话：0999-8167737</w:t>
            </w:r>
          </w:p>
        </w:tc>
      </w:tr>
      <w:tr w14:paraId="0FB88F6D">
        <w:tblPrEx>
          <w:tblCellMar>
            <w:top w:w="0" w:type="dxa"/>
            <w:left w:w="108" w:type="dxa"/>
            <w:bottom w:w="0" w:type="dxa"/>
            <w:right w:w="108" w:type="dxa"/>
          </w:tblCellMar>
        </w:tblPrEx>
        <w:trPr>
          <w:trHeight w:val="1371" w:hRule="atLeast"/>
          <w:jc w:val="center"/>
        </w:trPr>
        <w:tc>
          <w:tcPr>
            <w:tcW w:w="703" w:type="dxa"/>
            <w:tcBorders>
              <w:top w:val="single" w:color="auto" w:sz="4" w:space="0"/>
              <w:left w:val="single" w:color="auto" w:sz="4" w:space="0"/>
              <w:bottom w:val="single" w:color="auto" w:sz="4" w:space="0"/>
              <w:right w:val="single" w:color="auto" w:sz="4" w:space="0"/>
            </w:tcBorders>
            <w:vAlign w:val="center"/>
          </w:tcPr>
          <w:p w14:paraId="09269CF8">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3</w:t>
            </w:r>
          </w:p>
        </w:tc>
        <w:tc>
          <w:tcPr>
            <w:tcW w:w="1517" w:type="dxa"/>
            <w:tcBorders>
              <w:top w:val="single" w:color="auto" w:sz="4" w:space="0"/>
              <w:left w:val="single" w:color="auto" w:sz="4" w:space="0"/>
              <w:bottom w:val="single" w:color="auto" w:sz="4" w:space="0"/>
              <w:right w:val="single" w:color="auto" w:sz="4" w:space="0"/>
            </w:tcBorders>
            <w:vAlign w:val="center"/>
          </w:tcPr>
          <w:p w14:paraId="29609E1A">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采购代理机构</w:t>
            </w:r>
          </w:p>
        </w:tc>
        <w:tc>
          <w:tcPr>
            <w:tcW w:w="6802" w:type="dxa"/>
            <w:tcBorders>
              <w:top w:val="single" w:color="auto" w:sz="4" w:space="0"/>
              <w:left w:val="single" w:color="auto" w:sz="4" w:space="0"/>
              <w:bottom w:val="single" w:color="auto" w:sz="4" w:space="0"/>
              <w:right w:val="single" w:color="auto" w:sz="4" w:space="0"/>
            </w:tcBorders>
            <w:vAlign w:val="center"/>
          </w:tcPr>
          <w:p w14:paraId="7A9E1446">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名称：新疆现代胜元工程项目管理有限责任公司</w:t>
            </w:r>
          </w:p>
          <w:p w14:paraId="1D7CB08D">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地址：伊宁市阿合买提江南路19号伊河北岸旧城改造项目一期2号综合楼206室</w:t>
            </w:r>
          </w:p>
          <w:p w14:paraId="538DD315">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 xml:space="preserve">联系人：秦宏、徐美娜  </w:t>
            </w:r>
          </w:p>
          <w:p w14:paraId="02E7BFDF">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联系电话：0999-8322267、13779126671</w:t>
            </w:r>
          </w:p>
        </w:tc>
      </w:tr>
      <w:tr w14:paraId="677CC7D0">
        <w:tblPrEx>
          <w:tblCellMar>
            <w:top w:w="0" w:type="dxa"/>
            <w:left w:w="108" w:type="dxa"/>
            <w:bottom w:w="0" w:type="dxa"/>
            <w:right w:w="108" w:type="dxa"/>
          </w:tblCellMar>
        </w:tblPrEx>
        <w:trPr>
          <w:trHeight w:val="468" w:hRule="atLeast"/>
          <w:jc w:val="center"/>
        </w:trPr>
        <w:tc>
          <w:tcPr>
            <w:tcW w:w="703" w:type="dxa"/>
            <w:tcBorders>
              <w:top w:val="single" w:color="auto" w:sz="4" w:space="0"/>
              <w:left w:val="single" w:color="auto" w:sz="4" w:space="0"/>
              <w:bottom w:val="single" w:color="auto" w:sz="4" w:space="0"/>
              <w:right w:val="single" w:color="auto" w:sz="4" w:space="0"/>
            </w:tcBorders>
            <w:vAlign w:val="center"/>
          </w:tcPr>
          <w:p w14:paraId="36631208">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4</w:t>
            </w:r>
          </w:p>
        </w:tc>
        <w:tc>
          <w:tcPr>
            <w:tcW w:w="1517" w:type="dxa"/>
            <w:tcBorders>
              <w:top w:val="single" w:color="auto" w:sz="4" w:space="0"/>
              <w:left w:val="single" w:color="auto" w:sz="4" w:space="0"/>
              <w:bottom w:val="single" w:color="auto" w:sz="4" w:space="0"/>
              <w:right w:val="single" w:color="auto" w:sz="4" w:space="0"/>
            </w:tcBorders>
            <w:vAlign w:val="center"/>
          </w:tcPr>
          <w:p w14:paraId="11B787B0">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最终交货地点</w:t>
            </w:r>
          </w:p>
        </w:tc>
        <w:tc>
          <w:tcPr>
            <w:tcW w:w="6802" w:type="dxa"/>
            <w:tcBorders>
              <w:top w:val="single" w:color="auto" w:sz="4" w:space="0"/>
              <w:left w:val="single" w:color="auto" w:sz="4" w:space="0"/>
              <w:bottom w:val="single" w:color="auto" w:sz="4" w:space="0"/>
              <w:right w:val="single" w:color="auto" w:sz="4" w:space="0"/>
            </w:tcBorders>
            <w:vAlign w:val="center"/>
          </w:tcPr>
          <w:p w14:paraId="48DD290E">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采购人指定地点</w:t>
            </w:r>
          </w:p>
        </w:tc>
      </w:tr>
      <w:tr w14:paraId="1667D3B5">
        <w:tblPrEx>
          <w:tblCellMar>
            <w:top w:w="0" w:type="dxa"/>
            <w:left w:w="108" w:type="dxa"/>
            <w:bottom w:w="0" w:type="dxa"/>
            <w:right w:w="108" w:type="dxa"/>
          </w:tblCellMar>
        </w:tblPrEx>
        <w:trPr>
          <w:trHeight w:val="1368" w:hRule="atLeast"/>
          <w:jc w:val="center"/>
        </w:trPr>
        <w:tc>
          <w:tcPr>
            <w:tcW w:w="703" w:type="dxa"/>
            <w:tcBorders>
              <w:top w:val="single" w:color="auto" w:sz="4" w:space="0"/>
              <w:left w:val="single" w:color="auto" w:sz="4" w:space="0"/>
              <w:bottom w:val="single" w:color="auto" w:sz="4" w:space="0"/>
              <w:right w:val="single" w:color="auto" w:sz="4" w:space="0"/>
            </w:tcBorders>
            <w:vAlign w:val="center"/>
          </w:tcPr>
          <w:p w14:paraId="390A6C93">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5</w:t>
            </w:r>
          </w:p>
        </w:tc>
        <w:tc>
          <w:tcPr>
            <w:tcW w:w="1517" w:type="dxa"/>
            <w:tcBorders>
              <w:top w:val="single" w:color="auto" w:sz="4" w:space="0"/>
              <w:left w:val="single" w:color="auto" w:sz="4" w:space="0"/>
              <w:bottom w:val="single" w:color="auto" w:sz="4" w:space="0"/>
              <w:right w:val="single" w:color="auto" w:sz="4" w:space="0"/>
            </w:tcBorders>
            <w:vAlign w:val="center"/>
          </w:tcPr>
          <w:p w14:paraId="5FF42076">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资格要求</w:t>
            </w:r>
          </w:p>
        </w:tc>
        <w:tc>
          <w:tcPr>
            <w:tcW w:w="6802" w:type="dxa"/>
            <w:tcBorders>
              <w:top w:val="single" w:color="auto" w:sz="4" w:space="0"/>
              <w:left w:val="single" w:color="auto" w:sz="4" w:space="0"/>
              <w:bottom w:val="single" w:color="auto" w:sz="4" w:space="0"/>
              <w:right w:val="single" w:color="auto" w:sz="4" w:space="0"/>
            </w:tcBorders>
            <w:vAlign w:val="center"/>
          </w:tcPr>
          <w:p w14:paraId="4551EA2C">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1.满足《中华人民共和国政府采购法》第二十二条规定；</w:t>
            </w:r>
          </w:p>
          <w:p w14:paraId="03946067">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2.落实政府采购政策需满足的资格要求：无</w:t>
            </w:r>
          </w:p>
          <w:p w14:paraId="2DE46509">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3.本项目的特定资格要求：无</w:t>
            </w:r>
          </w:p>
          <w:p w14:paraId="3F28AC53">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4.其它：</w:t>
            </w:r>
            <w:r>
              <w:rPr>
                <w:rFonts w:hint="eastAsia" w:cs="仿宋" w:asciiTheme="minorEastAsia" w:hAnsiTheme="minorEastAsia" w:eastAsiaTheme="minorEastAsia"/>
                <w:sz w:val="24"/>
                <w:szCs w:val="24"/>
              </w:rPr>
              <w:t>单位负责人为同一人或者存在直接控股、管理关系的不同供应商，不得参加同一合同项下的政府采购活动；</w:t>
            </w:r>
          </w:p>
        </w:tc>
      </w:tr>
      <w:tr w14:paraId="77701997">
        <w:tblPrEx>
          <w:tblCellMar>
            <w:top w:w="0" w:type="dxa"/>
            <w:left w:w="108" w:type="dxa"/>
            <w:bottom w:w="0" w:type="dxa"/>
            <w:right w:w="108" w:type="dxa"/>
          </w:tblCellMar>
        </w:tblPrEx>
        <w:trPr>
          <w:trHeight w:val="432" w:hRule="atLeast"/>
          <w:jc w:val="center"/>
        </w:trPr>
        <w:tc>
          <w:tcPr>
            <w:tcW w:w="703" w:type="dxa"/>
            <w:tcBorders>
              <w:top w:val="single" w:color="auto" w:sz="4" w:space="0"/>
              <w:left w:val="single" w:color="auto" w:sz="4" w:space="0"/>
              <w:bottom w:val="single" w:color="auto" w:sz="4" w:space="0"/>
              <w:right w:val="single" w:color="auto" w:sz="4" w:space="0"/>
            </w:tcBorders>
            <w:vAlign w:val="center"/>
          </w:tcPr>
          <w:p w14:paraId="28317B48">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6</w:t>
            </w:r>
          </w:p>
        </w:tc>
        <w:tc>
          <w:tcPr>
            <w:tcW w:w="1517" w:type="dxa"/>
            <w:tcBorders>
              <w:top w:val="single" w:color="auto" w:sz="4" w:space="0"/>
              <w:left w:val="single" w:color="auto" w:sz="4" w:space="0"/>
              <w:bottom w:val="single" w:color="auto" w:sz="4" w:space="0"/>
              <w:right w:val="single" w:color="auto" w:sz="4" w:space="0"/>
            </w:tcBorders>
            <w:vAlign w:val="center"/>
          </w:tcPr>
          <w:p w14:paraId="0D53394C">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资金来源</w:t>
            </w:r>
          </w:p>
        </w:tc>
        <w:tc>
          <w:tcPr>
            <w:tcW w:w="6802" w:type="dxa"/>
            <w:tcBorders>
              <w:top w:val="single" w:color="auto" w:sz="4" w:space="0"/>
              <w:left w:val="single" w:color="auto" w:sz="4" w:space="0"/>
              <w:bottom w:val="single" w:color="auto" w:sz="4" w:space="0"/>
              <w:right w:val="single" w:color="auto" w:sz="4" w:space="0"/>
            </w:tcBorders>
            <w:vAlign w:val="center"/>
          </w:tcPr>
          <w:p w14:paraId="4CC9DEAB">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0000FF"/>
                <w:lang w:eastAsia="zh-CN"/>
              </w:rPr>
            </w:pPr>
            <w:r>
              <w:rPr>
                <w:rFonts w:hint="eastAsia" w:asciiTheme="minorEastAsia" w:hAnsiTheme="minorEastAsia" w:eastAsiaTheme="minorEastAsia" w:cstheme="minorEastAsia"/>
                <w:color w:val="auto"/>
                <w:highlight w:val="none"/>
                <w:lang w:eastAsia="zh-CN"/>
              </w:rPr>
              <w:t>援疆资金</w:t>
            </w:r>
          </w:p>
        </w:tc>
      </w:tr>
      <w:tr w14:paraId="04594810">
        <w:tblPrEx>
          <w:tblCellMar>
            <w:top w:w="0" w:type="dxa"/>
            <w:left w:w="108" w:type="dxa"/>
            <w:bottom w:w="0" w:type="dxa"/>
            <w:right w:w="108" w:type="dxa"/>
          </w:tblCellMar>
        </w:tblPrEx>
        <w:trPr>
          <w:trHeight w:val="420" w:hRule="atLeast"/>
          <w:jc w:val="center"/>
        </w:trPr>
        <w:tc>
          <w:tcPr>
            <w:tcW w:w="703" w:type="dxa"/>
            <w:tcBorders>
              <w:top w:val="single" w:color="auto" w:sz="4" w:space="0"/>
              <w:left w:val="single" w:color="auto" w:sz="4" w:space="0"/>
              <w:bottom w:val="single" w:color="auto" w:sz="4" w:space="0"/>
              <w:right w:val="single" w:color="auto" w:sz="4" w:space="0"/>
            </w:tcBorders>
            <w:vAlign w:val="center"/>
          </w:tcPr>
          <w:p w14:paraId="22929D09">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7</w:t>
            </w:r>
          </w:p>
        </w:tc>
        <w:tc>
          <w:tcPr>
            <w:tcW w:w="1517" w:type="dxa"/>
            <w:tcBorders>
              <w:top w:val="single" w:color="auto" w:sz="4" w:space="0"/>
              <w:left w:val="single" w:color="auto" w:sz="4" w:space="0"/>
              <w:bottom w:val="single" w:color="auto" w:sz="4" w:space="0"/>
              <w:right w:val="single" w:color="auto" w:sz="4" w:space="0"/>
            </w:tcBorders>
            <w:vAlign w:val="center"/>
          </w:tcPr>
          <w:p w14:paraId="6D9F1A63">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招标方式</w:t>
            </w:r>
          </w:p>
        </w:tc>
        <w:tc>
          <w:tcPr>
            <w:tcW w:w="6802" w:type="dxa"/>
            <w:tcBorders>
              <w:top w:val="single" w:color="auto" w:sz="4" w:space="0"/>
              <w:left w:val="single" w:color="auto" w:sz="4" w:space="0"/>
              <w:bottom w:val="single" w:color="auto" w:sz="4" w:space="0"/>
              <w:right w:val="single" w:color="auto" w:sz="4" w:space="0"/>
            </w:tcBorders>
            <w:vAlign w:val="center"/>
          </w:tcPr>
          <w:p w14:paraId="0BC44A0B">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 xml:space="preserve">公开招标(本项目采用不见面网上电子招投标)  </w:t>
            </w:r>
          </w:p>
        </w:tc>
      </w:tr>
      <w:tr w14:paraId="02453233">
        <w:tblPrEx>
          <w:tblCellMar>
            <w:top w:w="0" w:type="dxa"/>
            <w:left w:w="108" w:type="dxa"/>
            <w:bottom w:w="0" w:type="dxa"/>
            <w:right w:w="108" w:type="dxa"/>
          </w:tblCellMar>
        </w:tblPrEx>
        <w:trPr>
          <w:trHeight w:val="2022" w:hRule="atLeast"/>
          <w:jc w:val="center"/>
        </w:trPr>
        <w:tc>
          <w:tcPr>
            <w:tcW w:w="703" w:type="dxa"/>
            <w:tcBorders>
              <w:top w:val="single" w:color="auto" w:sz="4" w:space="0"/>
              <w:left w:val="single" w:color="auto" w:sz="4" w:space="0"/>
              <w:bottom w:val="single" w:color="auto" w:sz="4" w:space="0"/>
              <w:right w:val="single" w:color="auto" w:sz="4" w:space="0"/>
            </w:tcBorders>
            <w:vAlign w:val="center"/>
          </w:tcPr>
          <w:p w14:paraId="702E4CE6">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8</w:t>
            </w:r>
          </w:p>
        </w:tc>
        <w:tc>
          <w:tcPr>
            <w:tcW w:w="1517" w:type="dxa"/>
            <w:tcBorders>
              <w:top w:val="single" w:color="auto" w:sz="4" w:space="0"/>
              <w:left w:val="single" w:color="auto" w:sz="4" w:space="0"/>
              <w:bottom w:val="single" w:color="auto" w:sz="4" w:space="0"/>
              <w:right w:val="single" w:color="auto" w:sz="4" w:space="0"/>
            </w:tcBorders>
            <w:vAlign w:val="center"/>
          </w:tcPr>
          <w:p w14:paraId="3B491182">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供应商信用查询</w:t>
            </w:r>
          </w:p>
        </w:tc>
        <w:tc>
          <w:tcPr>
            <w:tcW w:w="6802" w:type="dxa"/>
            <w:tcBorders>
              <w:top w:val="single" w:color="auto" w:sz="4" w:space="0"/>
              <w:left w:val="single" w:color="auto" w:sz="4" w:space="0"/>
              <w:bottom w:val="single" w:color="auto" w:sz="4" w:space="0"/>
              <w:right w:val="single" w:color="auto" w:sz="4" w:space="0"/>
            </w:tcBorders>
            <w:vAlign w:val="center"/>
          </w:tcPr>
          <w:p w14:paraId="7D318F1A">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1、查询渠道：信用中国（网址：http://www.creditchina.gov.cn）、中国政府采购网(网址：http://www.ccgp.gov.cn）。</w:t>
            </w:r>
          </w:p>
          <w:p w14:paraId="714BC158">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2、使用规则：对列入失信被执行人、重大税收违法案件当事人名单、政府采购严重违法失信行为记录名单及其他不符合《中华人民共和国政府采购法》第二十二条规定条件的供应商，将被拒绝其参与政府采购活动。</w:t>
            </w:r>
          </w:p>
        </w:tc>
      </w:tr>
      <w:tr w14:paraId="715C744C">
        <w:tblPrEx>
          <w:tblCellMar>
            <w:top w:w="0" w:type="dxa"/>
            <w:left w:w="108" w:type="dxa"/>
            <w:bottom w:w="0" w:type="dxa"/>
            <w:right w:w="108" w:type="dxa"/>
          </w:tblCellMar>
        </w:tblPrEx>
        <w:trPr>
          <w:trHeight w:val="535" w:hRule="atLeast"/>
          <w:jc w:val="center"/>
        </w:trPr>
        <w:tc>
          <w:tcPr>
            <w:tcW w:w="703" w:type="dxa"/>
            <w:tcBorders>
              <w:top w:val="single" w:color="auto" w:sz="4" w:space="0"/>
              <w:left w:val="single" w:color="auto" w:sz="4" w:space="0"/>
              <w:bottom w:val="single" w:color="auto" w:sz="4" w:space="0"/>
              <w:right w:val="single" w:color="auto" w:sz="4" w:space="0"/>
            </w:tcBorders>
            <w:vAlign w:val="center"/>
          </w:tcPr>
          <w:p w14:paraId="33A3914A">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9</w:t>
            </w:r>
          </w:p>
        </w:tc>
        <w:tc>
          <w:tcPr>
            <w:tcW w:w="1517" w:type="dxa"/>
            <w:tcBorders>
              <w:top w:val="single" w:color="auto" w:sz="4" w:space="0"/>
              <w:left w:val="single" w:color="auto" w:sz="4" w:space="0"/>
              <w:bottom w:val="single" w:color="auto" w:sz="4" w:space="0"/>
              <w:right w:val="single" w:color="auto" w:sz="4" w:space="0"/>
            </w:tcBorders>
            <w:vAlign w:val="center"/>
          </w:tcPr>
          <w:p w14:paraId="250997A8">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是否接受联合体投标</w:t>
            </w:r>
          </w:p>
        </w:tc>
        <w:tc>
          <w:tcPr>
            <w:tcW w:w="6802" w:type="dxa"/>
            <w:tcBorders>
              <w:top w:val="single" w:color="auto" w:sz="4" w:space="0"/>
              <w:left w:val="single" w:color="auto" w:sz="4" w:space="0"/>
              <w:bottom w:val="single" w:color="auto" w:sz="4" w:space="0"/>
              <w:right w:val="single" w:color="auto" w:sz="4" w:space="0"/>
            </w:tcBorders>
            <w:vAlign w:val="center"/>
          </w:tcPr>
          <w:p w14:paraId="7C0BD55B">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■不接受</w:t>
            </w:r>
          </w:p>
          <w:p w14:paraId="6D04EF47">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□接  受</w:t>
            </w:r>
          </w:p>
        </w:tc>
      </w:tr>
      <w:tr w14:paraId="2B0695B2">
        <w:tblPrEx>
          <w:tblCellMar>
            <w:top w:w="0" w:type="dxa"/>
            <w:left w:w="108" w:type="dxa"/>
            <w:bottom w:w="0" w:type="dxa"/>
            <w:right w:w="108" w:type="dxa"/>
          </w:tblCellMar>
        </w:tblPrEx>
        <w:trPr>
          <w:trHeight w:val="28" w:hRule="atLeast"/>
          <w:jc w:val="center"/>
        </w:trPr>
        <w:tc>
          <w:tcPr>
            <w:tcW w:w="703" w:type="dxa"/>
            <w:tcBorders>
              <w:top w:val="single" w:color="auto" w:sz="4" w:space="0"/>
              <w:left w:val="single" w:color="auto" w:sz="4" w:space="0"/>
              <w:bottom w:val="single" w:color="auto" w:sz="4" w:space="0"/>
              <w:right w:val="single" w:color="auto" w:sz="4" w:space="0"/>
            </w:tcBorders>
            <w:vAlign w:val="center"/>
          </w:tcPr>
          <w:p w14:paraId="02E66B0B">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10</w:t>
            </w:r>
          </w:p>
        </w:tc>
        <w:tc>
          <w:tcPr>
            <w:tcW w:w="1517" w:type="dxa"/>
            <w:tcBorders>
              <w:top w:val="single" w:color="auto" w:sz="4" w:space="0"/>
              <w:left w:val="single" w:color="auto" w:sz="4" w:space="0"/>
              <w:bottom w:val="single" w:color="auto" w:sz="4" w:space="0"/>
              <w:right w:val="single" w:color="auto" w:sz="4" w:space="0"/>
            </w:tcBorders>
            <w:vAlign w:val="center"/>
          </w:tcPr>
          <w:p w14:paraId="5CA539F8">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投标截止时间 （开标时间）</w:t>
            </w:r>
          </w:p>
        </w:tc>
        <w:tc>
          <w:tcPr>
            <w:tcW w:w="6802" w:type="dxa"/>
            <w:tcBorders>
              <w:top w:val="single" w:color="auto" w:sz="4" w:space="0"/>
              <w:left w:val="single" w:color="auto" w:sz="4" w:space="0"/>
              <w:bottom w:val="single" w:color="auto" w:sz="4" w:space="0"/>
              <w:right w:val="single" w:color="auto" w:sz="4" w:space="0"/>
            </w:tcBorders>
            <w:vAlign w:val="center"/>
          </w:tcPr>
          <w:p w14:paraId="49ADC90B">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 xml:space="preserve">截止时间：2024年 </w:t>
            </w:r>
            <w:r>
              <w:rPr>
                <w:rFonts w:hint="eastAsia" w:asciiTheme="minorEastAsia" w:hAnsiTheme="minorEastAsia" w:eastAsiaTheme="minorEastAsia" w:cstheme="minorEastAsia"/>
                <w:color w:val="auto"/>
                <w:lang w:val="en-US" w:eastAsia="zh-CN"/>
              </w:rPr>
              <w:t>11</w:t>
            </w:r>
            <w:r>
              <w:rPr>
                <w:rFonts w:hint="eastAsia" w:asciiTheme="minorEastAsia" w:hAnsiTheme="minorEastAsia" w:eastAsiaTheme="minorEastAsia" w:cstheme="minorEastAsia"/>
                <w:color w:val="auto"/>
                <w:lang w:eastAsia="zh-CN"/>
              </w:rPr>
              <w:t xml:space="preserve"> 月 </w:t>
            </w:r>
            <w:r>
              <w:rPr>
                <w:rFonts w:hint="eastAsia" w:asciiTheme="minorEastAsia" w:hAnsiTheme="minorEastAsia" w:eastAsiaTheme="minorEastAsia" w:cstheme="minorEastAsia"/>
                <w:color w:val="auto"/>
                <w:lang w:val="en-US" w:eastAsia="zh-CN"/>
              </w:rPr>
              <w:t>26</w:t>
            </w:r>
            <w:r>
              <w:rPr>
                <w:rFonts w:hint="eastAsia" w:asciiTheme="minorEastAsia" w:hAnsiTheme="minorEastAsia" w:eastAsiaTheme="minorEastAsia" w:cstheme="minorEastAsia"/>
                <w:color w:val="auto"/>
                <w:lang w:eastAsia="zh-CN"/>
              </w:rPr>
              <w:t xml:space="preserve">  日上午10时30分（北京时间）</w:t>
            </w:r>
          </w:p>
        </w:tc>
      </w:tr>
      <w:tr w14:paraId="4936256F">
        <w:tblPrEx>
          <w:tblCellMar>
            <w:top w:w="0" w:type="dxa"/>
            <w:left w:w="108" w:type="dxa"/>
            <w:bottom w:w="0" w:type="dxa"/>
            <w:right w:w="108" w:type="dxa"/>
          </w:tblCellMar>
        </w:tblPrEx>
        <w:trPr>
          <w:trHeight w:val="532" w:hRule="atLeast"/>
          <w:jc w:val="center"/>
        </w:trPr>
        <w:tc>
          <w:tcPr>
            <w:tcW w:w="703" w:type="dxa"/>
            <w:tcBorders>
              <w:top w:val="single" w:color="auto" w:sz="4" w:space="0"/>
              <w:left w:val="single" w:color="auto" w:sz="4" w:space="0"/>
              <w:bottom w:val="single" w:color="auto" w:sz="4" w:space="0"/>
              <w:right w:val="single" w:color="auto" w:sz="4" w:space="0"/>
            </w:tcBorders>
            <w:vAlign w:val="center"/>
          </w:tcPr>
          <w:p w14:paraId="36A99A51">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11</w:t>
            </w:r>
          </w:p>
        </w:tc>
        <w:tc>
          <w:tcPr>
            <w:tcW w:w="1517" w:type="dxa"/>
            <w:tcBorders>
              <w:top w:val="single" w:color="auto" w:sz="4" w:space="0"/>
              <w:left w:val="single" w:color="auto" w:sz="4" w:space="0"/>
              <w:bottom w:val="single" w:color="auto" w:sz="4" w:space="0"/>
              <w:right w:val="single" w:color="auto" w:sz="4" w:space="0"/>
            </w:tcBorders>
            <w:vAlign w:val="center"/>
          </w:tcPr>
          <w:p w14:paraId="2391E84C">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投标有效期</w:t>
            </w:r>
          </w:p>
        </w:tc>
        <w:tc>
          <w:tcPr>
            <w:tcW w:w="6802" w:type="dxa"/>
            <w:tcBorders>
              <w:top w:val="single" w:color="auto" w:sz="4" w:space="0"/>
              <w:left w:val="single" w:color="auto" w:sz="4" w:space="0"/>
              <w:bottom w:val="single" w:color="auto" w:sz="4" w:space="0"/>
              <w:right w:val="single" w:color="auto" w:sz="4" w:space="0"/>
            </w:tcBorders>
            <w:vAlign w:val="center"/>
          </w:tcPr>
          <w:p w14:paraId="2F898167">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 xml:space="preserve"> 60 日历天</w:t>
            </w:r>
          </w:p>
        </w:tc>
      </w:tr>
      <w:tr w14:paraId="172EEAC9">
        <w:tblPrEx>
          <w:tblCellMar>
            <w:top w:w="0" w:type="dxa"/>
            <w:left w:w="108" w:type="dxa"/>
            <w:bottom w:w="0" w:type="dxa"/>
            <w:right w:w="108" w:type="dxa"/>
          </w:tblCellMar>
        </w:tblPrEx>
        <w:trPr>
          <w:trHeight w:val="8187" w:hRule="atLeast"/>
          <w:jc w:val="center"/>
        </w:trPr>
        <w:tc>
          <w:tcPr>
            <w:tcW w:w="703" w:type="dxa"/>
            <w:tcBorders>
              <w:top w:val="single" w:color="auto" w:sz="4" w:space="0"/>
              <w:left w:val="single" w:color="auto" w:sz="4" w:space="0"/>
              <w:bottom w:val="single" w:color="auto" w:sz="4" w:space="0"/>
              <w:right w:val="single" w:color="auto" w:sz="4" w:space="0"/>
            </w:tcBorders>
            <w:vAlign w:val="center"/>
          </w:tcPr>
          <w:p w14:paraId="3D46E512">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12</w:t>
            </w:r>
          </w:p>
        </w:tc>
        <w:tc>
          <w:tcPr>
            <w:tcW w:w="1517" w:type="dxa"/>
            <w:tcBorders>
              <w:top w:val="single" w:color="auto" w:sz="4" w:space="0"/>
              <w:left w:val="single" w:color="auto" w:sz="4" w:space="0"/>
              <w:bottom w:val="single" w:color="auto" w:sz="4" w:space="0"/>
              <w:right w:val="single" w:color="auto" w:sz="4" w:space="0"/>
            </w:tcBorders>
            <w:vAlign w:val="center"/>
          </w:tcPr>
          <w:p w14:paraId="63CEC3E5">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投标保证金</w:t>
            </w:r>
          </w:p>
        </w:tc>
        <w:tc>
          <w:tcPr>
            <w:tcW w:w="6802" w:type="dxa"/>
            <w:tcBorders>
              <w:top w:val="single" w:color="auto" w:sz="4" w:space="0"/>
              <w:left w:val="single" w:color="auto" w:sz="4" w:space="0"/>
              <w:bottom w:val="single" w:color="auto" w:sz="4" w:space="0"/>
              <w:right w:val="single" w:color="auto" w:sz="4" w:space="0"/>
            </w:tcBorders>
            <w:vAlign w:val="center"/>
          </w:tcPr>
          <w:p w14:paraId="0E3E18AA">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投标保证金金额：</w:t>
            </w:r>
            <w:r>
              <w:rPr>
                <w:rFonts w:hint="eastAsia" w:asciiTheme="minorEastAsia" w:hAnsiTheme="minorEastAsia" w:eastAsiaTheme="minorEastAsia" w:cstheme="minorEastAsia"/>
                <w:color w:val="auto"/>
                <w:lang w:val="en-US" w:eastAsia="zh-CN"/>
              </w:rPr>
              <w:t>82</w:t>
            </w:r>
            <w:r>
              <w:rPr>
                <w:rFonts w:hint="eastAsia" w:asciiTheme="minorEastAsia" w:hAnsiTheme="minorEastAsia" w:eastAsiaTheme="minorEastAsia" w:cstheme="minorEastAsia"/>
                <w:color w:val="auto"/>
                <w:lang w:eastAsia="zh-CN"/>
              </w:rPr>
              <w:t>000.00元（捌万贰仟元整）。</w:t>
            </w:r>
          </w:p>
          <w:p w14:paraId="7F44D785">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 xml:space="preserve">投标保证金的形式：投标保证金应当以支票、汇票、本票或者金融机构、担保机构出具的保函等非现金形式提交。 </w:t>
            </w:r>
          </w:p>
          <w:p w14:paraId="0667DD34">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账户名：</w:t>
            </w:r>
            <w:r>
              <w:rPr>
                <w:rFonts w:hint="eastAsia" w:asciiTheme="minorEastAsia" w:hAnsiTheme="minorEastAsia" w:eastAsiaTheme="minorEastAsia" w:cstheme="minorEastAsia"/>
                <w:color w:val="auto"/>
                <w:highlight w:val="none"/>
                <w:lang w:eastAsia="zh-CN"/>
              </w:rPr>
              <w:t>新疆现代胜元工程项目管理有限责任公司伊犁分公司</w:t>
            </w:r>
          </w:p>
          <w:p w14:paraId="01FD5513">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开户行：中国建设银行股份有限公司伊宁新华西路支行</w:t>
            </w:r>
          </w:p>
          <w:p w14:paraId="679D8732">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行  号：105898000122</w:t>
            </w:r>
          </w:p>
          <w:p w14:paraId="4B23D0EF">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帐  号：65050165605500001309</w:t>
            </w:r>
          </w:p>
          <w:p w14:paraId="0FE62AFC">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递交时间：同提交响应文件的截止时间（以到账时间为准，节假日除外）。</w:t>
            </w:r>
          </w:p>
          <w:p w14:paraId="4183D8C8">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1、以本票、汇票形式缴纳投标保证金的（备注标明项目名称或项目编号，否则视为无效），并提供汇款凭证作为本项目缴纳保证金的证明材料；</w:t>
            </w:r>
          </w:p>
          <w:p w14:paraId="32DD4998">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2、中标供应商应在与采购人签订合同之日起 5 个工作日内，保证金收受机构根据成交供应商应提供的打款凭证及时办理投标保证金无息退还手续；未中标供应商的投标保证金，保证金收受机构根据供应商应提供的打款凭证及时办理投标保证金无息退还手续；因供应商自身原因耽搁领取，超过退还时限，不承担延后退还责任。</w:t>
            </w:r>
          </w:p>
          <w:p w14:paraId="47D9EA29">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3、以保函形式应按以下要求办理：</w:t>
            </w:r>
          </w:p>
          <w:p w14:paraId="67302F3B">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（1）保函按照“一项目一保函”的原则；</w:t>
            </w:r>
          </w:p>
          <w:p w14:paraId="6B7F902A">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（2）保函须在采购文件规定的投标截止时间前办理完成，并将对应的保函随响应文件一起上传到政采云平台；</w:t>
            </w:r>
          </w:p>
          <w:p w14:paraId="07CEF4FF">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（3）提供合法真实有效的保函作为本项目缴纳保证金的证明材料；</w:t>
            </w:r>
          </w:p>
          <w:p w14:paraId="2D93B90D">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（4）已开具的保函，供应商不可单方面提出退保、注销等要求。</w:t>
            </w:r>
          </w:p>
        </w:tc>
      </w:tr>
      <w:tr w14:paraId="6DBD1DA6">
        <w:tblPrEx>
          <w:tblCellMar>
            <w:top w:w="0" w:type="dxa"/>
            <w:left w:w="108" w:type="dxa"/>
            <w:bottom w:w="0" w:type="dxa"/>
            <w:right w:w="108" w:type="dxa"/>
          </w:tblCellMar>
        </w:tblPrEx>
        <w:trPr>
          <w:trHeight w:val="545" w:hRule="atLeast"/>
          <w:jc w:val="center"/>
        </w:trPr>
        <w:tc>
          <w:tcPr>
            <w:tcW w:w="703" w:type="dxa"/>
            <w:tcBorders>
              <w:top w:val="single" w:color="auto" w:sz="4" w:space="0"/>
              <w:left w:val="single" w:color="auto" w:sz="4" w:space="0"/>
              <w:bottom w:val="single" w:color="auto" w:sz="4" w:space="0"/>
              <w:right w:val="single" w:color="auto" w:sz="4" w:space="0"/>
            </w:tcBorders>
            <w:vAlign w:val="center"/>
          </w:tcPr>
          <w:p w14:paraId="7DF1EA4C">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13</w:t>
            </w:r>
          </w:p>
        </w:tc>
        <w:tc>
          <w:tcPr>
            <w:tcW w:w="1517" w:type="dxa"/>
            <w:tcBorders>
              <w:top w:val="single" w:color="auto" w:sz="4" w:space="0"/>
              <w:left w:val="single" w:color="auto" w:sz="4" w:space="0"/>
              <w:bottom w:val="single" w:color="auto" w:sz="4" w:space="0"/>
              <w:right w:val="single" w:color="auto" w:sz="4" w:space="0"/>
            </w:tcBorders>
            <w:vAlign w:val="center"/>
          </w:tcPr>
          <w:p w14:paraId="44B6582D">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是否允许递交备选投标方案</w:t>
            </w:r>
          </w:p>
        </w:tc>
        <w:tc>
          <w:tcPr>
            <w:tcW w:w="6802" w:type="dxa"/>
            <w:tcBorders>
              <w:top w:val="single" w:color="auto" w:sz="4" w:space="0"/>
              <w:left w:val="single" w:color="auto" w:sz="4" w:space="0"/>
              <w:bottom w:val="single" w:color="auto" w:sz="4" w:space="0"/>
              <w:right w:val="single" w:color="auto" w:sz="4" w:space="0"/>
            </w:tcBorders>
            <w:vAlign w:val="center"/>
          </w:tcPr>
          <w:p w14:paraId="226185D9">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■不允许</w:t>
            </w:r>
          </w:p>
          <w:p w14:paraId="1258A4F6">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□允  许</w:t>
            </w:r>
          </w:p>
        </w:tc>
      </w:tr>
      <w:tr w14:paraId="3011D4CF">
        <w:tblPrEx>
          <w:tblCellMar>
            <w:top w:w="0" w:type="dxa"/>
            <w:left w:w="108" w:type="dxa"/>
            <w:bottom w:w="0" w:type="dxa"/>
            <w:right w:w="108" w:type="dxa"/>
          </w:tblCellMar>
        </w:tblPrEx>
        <w:trPr>
          <w:trHeight w:val="3249" w:hRule="atLeast"/>
          <w:jc w:val="center"/>
        </w:trPr>
        <w:tc>
          <w:tcPr>
            <w:tcW w:w="703" w:type="dxa"/>
            <w:tcBorders>
              <w:top w:val="single" w:color="auto" w:sz="4" w:space="0"/>
              <w:left w:val="single" w:color="auto" w:sz="4" w:space="0"/>
              <w:bottom w:val="single" w:color="auto" w:sz="4" w:space="0"/>
              <w:right w:val="single" w:color="auto" w:sz="4" w:space="0"/>
            </w:tcBorders>
            <w:vAlign w:val="center"/>
          </w:tcPr>
          <w:p w14:paraId="0B27508F">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14</w:t>
            </w:r>
          </w:p>
        </w:tc>
        <w:tc>
          <w:tcPr>
            <w:tcW w:w="1517" w:type="dxa"/>
            <w:tcBorders>
              <w:top w:val="single" w:color="auto" w:sz="4" w:space="0"/>
              <w:left w:val="single" w:color="auto" w:sz="4" w:space="0"/>
              <w:bottom w:val="single" w:color="auto" w:sz="4" w:space="0"/>
              <w:right w:val="single" w:color="auto" w:sz="4" w:space="0"/>
            </w:tcBorders>
            <w:vAlign w:val="center"/>
          </w:tcPr>
          <w:p w14:paraId="7E4A3D1C">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招标文件领取</w:t>
            </w:r>
          </w:p>
        </w:tc>
        <w:tc>
          <w:tcPr>
            <w:tcW w:w="6802" w:type="dxa"/>
            <w:tcBorders>
              <w:top w:val="single" w:color="auto" w:sz="4" w:space="0"/>
              <w:left w:val="single" w:color="auto" w:sz="4" w:space="0"/>
              <w:bottom w:val="single" w:color="auto" w:sz="4" w:space="0"/>
              <w:right w:val="single" w:color="auto" w:sz="4" w:space="0"/>
            </w:tcBorders>
            <w:vAlign w:val="center"/>
          </w:tcPr>
          <w:p w14:paraId="01176019">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 xml:space="preserve">时间：2024年 </w:t>
            </w:r>
            <w:r>
              <w:rPr>
                <w:rFonts w:hint="eastAsia" w:asciiTheme="minorEastAsia" w:hAnsiTheme="minorEastAsia" w:eastAsiaTheme="minorEastAsia" w:cstheme="minorEastAsia"/>
                <w:color w:val="auto"/>
                <w:lang w:val="en-US" w:eastAsia="zh-CN"/>
              </w:rPr>
              <w:t>11</w:t>
            </w:r>
            <w:r>
              <w:rPr>
                <w:rFonts w:hint="eastAsia" w:asciiTheme="minorEastAsia" w:hAnsiTheme="minorEastAsia" w:eastAsiaTheme="minorEastAsia" w:cstheme="minorEastAsia"/>
                <w:color w:val="auto"/>
                <w:lang w:eastAsia="zh-CN"/>
              </w:rPr>
              <w:t xml:space="preserve"> 月 </w:t>
            </w:r>
            <w:r>
              <w:rPr>
                <w:rFonts w:hint="eastAsia" w:asciiTheme="minorEastAsia" w:hAnsiTheme="minorEastAsia" w:eastAsiaTheme="minorEastAsia" w:cstheme="minorEastAsia"/>
                <w:color w:val="auto"/>
                <w:lang w:val="en-US" w:eastAsia="zh-CN"/>
              </w:rPr>
              <w:t>06</w:t>
            </w:r>
            <w:r>
              <w:rPr>
                <w:rFonts w:hint="eastAsia" w:asciiTheme="minorEastAsia" w:hAnsiTheme="minorEastAsia" w:eastAsiaTheme="minorEastAsia" w:cstheme="minorEastAsia"/>
                <w:color w:val="auto"/>
                <w:lang w:eastAsia="zh-CN"/>
              </w:rPr>
              <w:t xml:space="preserve"> 日至2024年 </w:t>
            </w:r>
            <w:r>
              <w:rPr>
                <w:rFonts w:hint="eastAsia" w:asciiTheme="minorEastAsia" w:hAnsiTheme="minorEastAsia" w:eastAsiaTheme="minorEastAsia" w:cstheme="minorEastAsia"/>
                <w:color w:val="auto"/>
                <w:lang w:val="en-US" w:eastAsia="zh-CN"/>
              </w:rPr>
              <w:t>11</w:t>
            </w:r>
            <w:r>
              <w:rPr>
                <w:rFonts w:hint="eastAsia" w:asciiTheme="minorEastAsia" w:hAnsiTheme="minorEastAsia" w:eastAsiaTheme="minorEastAsia" w:cstheme="minorEastAsia"/>
                <w:color w:val="auto"/>
                <w:lang w:eastAsia="zh-CN"/>
              </w:rPr>
              <w:t xml:space="preserve"> 月 </w:t>
            </w:r>
            <w:r>
              <w:rPr>
                <w:rFonts w:hint="eastAsia" w:asciiTheme="minorEastAsia" w:hAnsiTheme="minorEastAsia" w:eastAsiaTheme="minorEastAsia" w:cstheme="minorEastAsia"/>
                <w:color w:val="auto"/>
                <w:lang w:val="en-US" w:eastAsia="zh-CN"/>
              </w:rPr>
              <w:t>13</w:t>
            </w:r>
            <w:r>
              <w:rPr>
                <w:rFonts w:hint="eastAsia" w:asciiTheme="minorEastAsia" w:hAnsiTheme="minorEastAsia" w:eastAsiaTheme="minorEastAsia" w:cstheme="minorEastAsia"/>
                <w:color w:val="auto"/>
                <w:lang w:eastAsia="zh-CN"/>
              </w:rPr>
              <w:t xml:space="preserve"> 日，每天上午00:00至12:00，下午12:00至23:59（北京时间，法定节假日除外）；</w:t>
            </w:r>
          </w:p>
          <w:p w14:paraId="78CE5B8C">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地点：供应商登陆政采云平台http://www.zcygov.cn/，在线申请获取招标文件 （登录政府采购云平台 → 项目采购 → 获取招标文件 ，如有操作性问题，可与政采云在线客服进行咨询，咨询电话：400-881-7190）。</w:t>
            </w:r>
          </w:p>
          <w:p w14:paraId="1F9AFA1B">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方式：（1）线上获取（登录政府采购云平台 → 项目采购 → 获取招标文件），本次招标不提供纸质版招标文件 。</w:t>
            </w:r>
          </w:p>
          <w:p w14:paraId="1779A093">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（2）供应商获取招标文件前应注册成为政府采购云平台正式供应商。</w:t>
            </w:r>
          </w:p>
        </w:tc>
      </w:tr>
      <w:tr w14:paraId="59B46280">
        <w:tblPrEx>
          <w:tblCellMar>
            <w:top w:w="0" w:type="dxa"/>
            <w:left w:w="108" w:type="dxa"/>
            <w:bottom w:w="0" w:type="dxa"/>
            <w:right w:w="108" w:type="dxa"/>
          </w:tblCellMar>
        </w:tblPrEx>
        <w:trPr>
          <w:trHeight w:val="914" w:hRule="atLeast"/>
          <w:jc w:val="center"/>
        </w:trPr>
        <w:tc>
          <w:tcPr>
            <w:tcW w:w="703" w:type="dxa"/>
            <w:tcBorders>
              <w:top w:val="single" w:color="auto" w:sz="4" w:space="0"/>
              <w:left w:val="single" w:color="auto" w:sz="4" w:space="0"/>
              <w:bottom w:val="single" w:color="auto" w:sz="4" w:space="0"/>
              <w:right w:val="single" w:color="auto" w:sz="4" w:space="0"/>
            </w:tcBorders>
            <w:vAlign w:val="center"/>
          </w:tcPr>
          <w:p w14:paraId="371DE5E3">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15</w:t>
            </w:r>
          </w:p>
        </w:tc>
        <w:tc>
          <w:tcPr>
            <w:tcW w:w="1517" w:type="dxa"/>
            <w:tcBorders>
              <w:top w:val="single" w:color="auto" w:sz="4" w:space="0"/>
              <w:left w:val="single" w:color="auto" w:sz="4" w:space="0"/>
              <w:bottom w:val="single" w:color="auto" w:sz="4" w:space="0"/>
              <w:right w:val="single" w:color="auto" w:sz="4" w:space="0"/>
            </w:tcBorders>
            <w:vAlign w:val="center"/>
          </w:tcPr>
          <w:p w14:paraId="11090365">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投标文件形式</w:t>
            </w:r>
          </w:p>
        </w:tc>
        <w:tc>
          <w:tcPr>
            <w:tcW w:w="6802" w:type="dxa"/>
            <w:tcBorders>
              <w:top w:val="single" w:color="auto" w:sz="4" w:space="0"/>
              <w:left w:val="single" w:color="auto" w:sz="4" w:space="0"/>
              <w:bottom w:val="single" w:color="auto" w:sz="4" w:space="0"/>
              <w:right w:val="single" w:color="auto" w:sz="4" w:space="0"/>
            </w:tcBorders>
            <w:vAlign w:val="center"/>
          </w:tcPr>
          <w:p w14:paraId="100E5973">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“电子加密投标文件”是指通过“政采云电子交易客户端”完成投标文件编制后生成并加密的数据电文形式的投标文件。</w:t>
            </w:r>
          </w:p>
        </w:tc>
      </w:tr>
      <w:tr w14:paraId="11ADF9E8">
        <w:tblPrEx>
          <w:tblCellMar>
            <w:top w:w="0" w:type="dxa"/>
            <w:left w:w="108" w:type="dxa"/>
            <w:bottom w:w="0" w:type="dxa"/>
            <w:right w:w="108" w:type="dxa"/>
          </w:tblCellMar>
        </w:tblPrEx>
        <w:trPr>
          <w:trHeight w:val="1076" w:hRule="atLeast"/>
          <w:jc w:val="center"/>
        </w:trPr>
        <w:tc>
          <w:tcPr>
            <w:tcW w:w="703" w:type="dxa"/>
            <w:tcBorders>
              <w:top w:val="single" w:color="auto" w:sz="4" w:space="0"/>
              <w:left w:val="single" w:color="auto" w:sz="4" w:space="0"/>
              <w:bottom w:val="single" w:color="auto" w:sz="4" w:space="0"/>
              <w:right w:val="single" w:color="auto" w:sz="4" w:space="0"/>
            </w:tcBorders>
            <w:vAlign w:val="center"/>
          </w:tcPr>
          <w:p w14:paraId="7833A7E1">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16</w:t>
            </w:r>
          </w:p>
        </w:tc>
        <w:tc>
          <w:tcPr>
            <w:tcW w:w="1517" w:type="dxa"/>
            <w:tcBorders>
              <w:top w:val="single" w:color="auto" w:sz="4" w:space="0"/>
              <w:left w:val="single" w:color="auto" w:sz="4" w:space="0"/>
              <w:bottom w:val="single" w:color="auto" w:sz="4" w:space="0"/>
              <w:right w:val="single" w:color="auto" w:sz="4" w:space="0"/>
            </w:tcBorders>
            <w:vAlign w:val="center"/>
          </w:tcPr>
          <w:p w14:paraId="431CBBF7">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投标文件份数及要求</w:t>
            </w:r>
          </w:p>
        </w:tc>
        <w:tc>
          <w:tcPr>
            <w:tcW w:w="6802" w:type="dxa"/>
            <w:tcBorders>
              <w:top w:val="single" w:color="auto" w:sz="4" w:space="0"/>
              <w:left w:val="single" w:color="auto" w:sz="4" w:space="0"/>
              <w:bottom w:val="single" w:color="auto" w:sz="4" w:space="0"/>
              <w:right w:val="single" w:color="auto" w:sz="4" w:space="0"/>
            </w:tcBorders>
            <w:vAlign w:val="center"/>
          </w:tcPr>
          <w:p w14:paraId="6C2BC861">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1、一份电子加密标书（“.jmbs”格式）。</w:t>
            </w:r>
          </w:p>
          <w:p w14:paraId="21C0D1C0">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2、每份电子投标文件应包括资格证明文件和商务及技术文件两部分。</w:t>
            </w:r>
          </w:p>
        </w:tc>
      </w:tr>
      <w:tr w14:paraId="514C0A22">
        <w:tblPrEx>
          <w:tblCellMar>
            <w:top w:w="0" w:type="dxa"/>
            <w:left w:w="108" w:type="dxa"/>
            <w:bottom w:w="0" w:type="dxa"/>
            <w:right w:w="108" w:type="dxa"/>
          </w:tblCellMar>
        </w:tblPrEx>
        <w:trPr>
          <w:trHeight w:val="3200" w:hRule="atLeast"/>
          <w:jc w:val="center"/>
        </w:trPr>
        <w:tc>
          <w:tcPr>
            <w:tcW w:w="703" w:type="dxa"/>
            <w:tcBorders>
              <w:top w:val="single" w:color="auto" w:sz="4" w:space="0"/>
              <w:left w:val="single" w:color="auto" w:sz="4" w:space="0"/>
              <w:bottom w:val="single" w:color="auto" w:sz="4" w:space="0"/>
              <w:right w:val="single" w:color="auto" w:sz="4" w:space="0"/>
            </w:tcBorders>
            <w:vAlign w:val="center"/>
          </w:tcPr>
          <w:p w14:paraId="5A58E483">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17</w:t>
            </w:r>
          </w:p>
        </w:tc>
        <w:tc>
          <w:tcPr>
            <w:tcW w:w="1517" w:type="dxa"/>
            <w:tcBorders>
              <w:top w:val="single" w:color="auto" w:sz="4" w:space="0"/>
              <w:left w:val="single" w:color="auto" w:sz="4" w:space="0"/>
              <w:bottom w:val="single" w:color="auto" w:sz="4" w:space="0"/>
              <w:right w:val="single" w:color="auto" w:sz="4" w:space="0"/>
            </w:tcBorders>
            <w:vAlign w:val="center"/>
          </w:tcPr>
          <w:p w14:paraId="1F436E60">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投标文件的上传和递交</w:t>
            </w:r>
          </w:p>
        </w:tc>
        <w:tc>
          <w:tcPr>
            <w:tcW w:w="6802" w:type="dxa"/>
            <w:tcBorders>
              <w:top w:val="single" w:color="auto" w:sz="4" w:space="0"/>
              <w:left w:val="single" w:color="auto" w:sz="4" w:space="0"/>
              <w:bottom w:val="single" w:color="auto" w:sz="4" w:space="0"/>
              <w:right w:val="single" w:color="auto" w:sz="4" w:space="0"/>
            </w:tcBorders>
            <w:vAlign w:val="center"/>
          </w:tcPr>
          <w:p w14:paraId="78EE2B38">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电子加密投标文件：投标文件制作完成并生成加密标书，在投标截止时间前，供应商需将加密的投标文件上传至政采云平台，在开标时间开始后，待采购组织机构发出解密通知后</w:t>
            </w:r>
            <w:r>
              <w:rPr>
                <w:rFonts w:hint="eastAsia" w:asciiTheme="minorEastAsia" w:hAnsiTheme="minorEastAsia" w:eastAsiaTheme="minorEastAsia" w:cstheme="minorEastAsia"/>
                <w:color w:val="auto"/>
                <w:u w:val="single"/>
                <w:lang w:eastAsia="zh-CN"/>
              </w:rPr>
              <w:t>30</w:t>
            </w:r>
            <w:r>
              <w:rPr>
                <w:rFonts w:hint="eastAsia" w:asciiTheme="minorEastAsia" w:hAnsiTheme="minorEastAsia" w:eastAsiaTheme="minorEastAsia" w:cstheme="minorEastAsia"/>
                <w:color w:val="auto"/>
                <w:lang w:eastAsia="zh-CN"/>
              </w:rPr>
              <w:t>分钟内解密投标文件。</w:t>
            </w:r>
          </w:p>
          <w:p w14:paraId="63FCF515">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b/>
                <w:bCs/>
                <w:color w:val="auto"/>
                <w:lang w:eastAsia="zh-CN"/>
              </w:rPr>
            </w:pPr>
            <w:r>
              <w:rPr>
                <w:rFonts w:hint="eastAsia" w:asciiTheme="minorEastAsia" w:hAnsiTheme="minorEastAsia" w:eastAsiaTheme="minorEastAsia" w:cstheme="minorEastAsia"/>
                <w:color w:val="auto"/>
                <w:lang w:eastAsia="zh-CN"/>
              </w:rPr>
              <w:t>a.供应商未能在投标截止时间前成功上传电子加密投标文件的</w:t>
            </w:r>
            <w:r>
              <w:rPr>
                <w:rFonts w:hint="eastAsia" w:asciiTheme="minorEastAsia" w:hAnsiTheme="minorEastAsia" w:eastAsiaTheme="minorEastAsia" w:cstheme="minorEastAsia"/>
                <w:b/>
                <w:bCs/>
                <w:color w:val="auto"/>
                <w:lang w:eastAsia="zh-CN"/>
              </w:rPr>
              <w:t>投标无效。</w:t>
            </w:r>
          </w:p>
          <w:p w14:paraId="7A531CA3">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b/>
                <w:bCs/>
                <w:color w:val="auto"/>
                <w:lang w:eastAsia="zh-CN"/>
              </w:rPr>
            </w:pPr>
            <w:r>
              <w:rPr>
                <w:rFonts w:hint="eastAsia" w:asciiTheme="minorEastAsia" w:hAnsiTheme="minorEastAsia" w:eastAsiaTheme="minorEastAsia" w:cstheme="minorEastAsia"/>
                <w:color w:val="auto"/>
                <w:lang w:eastAsia="zh-CN"/>
              </w:rPr>
              <w:t>b.供应商未能在规定的时间内成功解密上传的电子加密投标文件或解密异常的视为</w:t>
            </w:r>
            <w:r>
              <w:rPr>
                <w:rFonts w:hint="eastAsia" w:asciiTheme="minorEastAsia" w:hAnsiTheme="minorEastAsia" w:eastAsiaTheme="minorEastAsia" w:cstheme="minorEastAsia"/>
                <w:b/>
                <w:bCs/>
                <w:color w:val="auto"/>
                <w:lang w:eastAsia="zh-CN"/>
              </w:rPr>
              <w:t>投标无效。</w:t>
            </w:r>
          </w:p>
          <w:p w14:paraId="617E9CA3">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c.供应商成功上传电子加密投标文件后，可自行打印投标文件接收回执。</w:t>
            </w:r>
          </w:p>
        </w:tc>
      </w:tr>
      <w:tr w14:paraId="31FD2A0B">
        <w:tblPrEx>
          <w:tblCellMar>
            <w:top w:w="0" w:type="dxa"/>
            <w:left w:w="108" w:type="dxa"/>
            <w:bottom w:w="0" w:type="dxa"/>
            <w:right w:w="108" w:type="dxa"/>
          </w:tblCellMar>
        </w:tblPrEx>
        <w:trPr>
          <w:trHeight w:val="1076" w:hRule="atLeast"/>
          <w:jc w:val="center"/>
        </w:trPr>
        <w:tc>
          <w:tcPr>
            <w:tcW w:w="703" w:type="dxa"/>
            <w:tcBorders>
              <w:top w:val="single" w:color="auto" w:sz="4" w:space="0"/>
              <w:left w:val="single" w:color="auto" w:sz="4" w:space="0"/>
              <w:bottom w:val="single" w:color="auto" w:sz="4" w:space="0"/>
              <w:right w:val="single" w:color="auto" w:sz="4" w:space="0"/>
            </w:tcBorders>
            <w:vAlign w:val="center"/>
          </w:tcPr>
          <w:p w14:paraId="6D2D89EC">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18</w:t>
            </w:r>
          </w:p>
        </w:tc>
        <w:tc>
          <w:tcPr>
            <w:tcW w:w="1517" w:type="dxa"/>
            <w:tcBorders>
              <w:top w:val="single" w:color="auto" w:sz="4" w:space="0"/>
              <w:left w:val="single" w:color="auto" w:sz="4" w:space="0"/>
              <w:bottom w:val="single" w:color="auto" w:sz="4" w:space="0"/>
              <w:right w:val="single" w:color="auto" w:sz="4" w:space="0"/>
            </w:tcBorders>
            <w:vAlign w:val="center"/>
          </w:tcPr>
          <w:p w14:paraId="07111F32">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评标委员会的组建</w:t>
            </w:r>
          </w:p>
        </w:tc>
        <w:tc>
          <w:tcPr>
            <w:tcW w:w="6802" w:type="dxa"/>
            <w:tcBorders>
              <w:top w:val="single" w:color="auto" w:sz="4" w:space="0"/>
              <w:left w:val="single" w:color="auto" w:sz="4" w:space="0"/>
              <w:bottom w:val="single" w:color="auto" w:sz="4" w:space="0"/>
              <w:right w:val="single" w:color="auto" w:sz="4" w:space="0"/>
            </w:tcBorders>
            <w:vAlign w:val="center"/>
          </w:tcPr>
          <w:p w14:paraId="36E66967">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采购人依法组建评标委员会共</w:t>
            </w:r>
            <w:r>
              <w:rPr>
                <w:rFonts w:hint="eastAsia" w:asciiTheme="minorEastAsia" w:hAnsiTheme="minorEastAsia" w:eastAsiaTheme="minorEastAsia" w:cstheme="minorEastAsia"/>
                <w:color w:val="auto"/>
                <w:u w:val="single"/>
                <w:lang w:eastAsia="zh-CN"/>
              </w:rPr>
              <w:t xml:space="preserve"> 5 </w:t>
            </w:r>
            <w:r>
              <w:rPr>
                <w:rFonts w:hint="eastAsia" w:asciiTheme="minorEastAsia" w:hAnsiTheme="minorEastAsia" w:eastAsiaTheme="minorEastAsia" w:cstheme="minorEastAsia"/>
                <w:color w:val="auto"/>
                <w:lang w:eastAsia="zh-CN"/>
              </w:rPr>
              <w:t>人组成，其中采购人代表</w:t>
            </w:r>
            <w:r>
              <w:rPr>
                <w:rFonts w:hint="eastAsia" w:asciiTheme="minorEastAsia" w:hAnsiTheme="minorEastAsia" w:eastAsiaTheme="minorEastAsia" w:cstheme="minorEastAsia"/>
                <w:color w:val="auto"/>
                <w:u w:val="single"/>
                <w:lang w:eastAsia="zh-CN"/>
              </w:rPr>
              <w:t>1</w:t>
            </w:r>
            <w:r>
              <w:rPr>
                <w:rFonts w:hint="eastAsia" w:asciiTheme="minorEastAsia" w:hAnsiTheme="minorEastAsia" w:eastAsiaTheme="minorEastAsia" w:cstheme="minorEastAsia"/>
                <w:color w:val="auto"/>
                <w:lang w:eastAsia="zh-CN"/>
              </w:rPr>
              <w:t>人和专家评委</w:t>
            </w:r>
            <w:r>
              <w:rPr>
                <w:rFonts w:hint="eastAsia" w:asciiTheme="minorEastAsia" w:hAnsiTheme="minorEastAsia" w:eastAsiaTheme="minorEastAsia" w:cstheme="minorEastAsia"/>
                <w:color w:val="auto"/>
                <w:u w:val="single"/>
                <w:lang w:eastAsia="zh-CN"/>
              </w:rPr>
              <w:t>4</w:t>
            </w:r>
            <w:r>
              <w:rPr>
                <w:rFonts w:hint="eastAsia" w:asciiTheme="minorEastAsia" w:hAnsiTheme="minorEastAsia" w:eastAsiaTheme="minorEastAsia" w:cstheme="minorEastAsia"/>
                <w:color w:val="auto"/>
                <w:lang w:eastAsia="zh-CN"/>
              </w:rPr>
              <w:t>人。</w:t>
            </w:r>
          </w:p>
          <w:p w14:paraId="40665CA6">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评审小组确定方式：新疆政府采购网随机抽取</w:t>
            </w:r>
          </w:p>
        </w:tc>
      </w:tr>
      <w:tr w14:paraId="72251517">
        <w:tblPrEx>
          <w:tblCellMar>
            <w:top w:w="0" w:type="dxa"/>
            <w:left w:w="108" w:type="dxa"/>
            <w:bottom w:w="0" w:type="dxa"/>
            <w:right w:w="108" w:type="dxa"/>
          </w:tblCellMar>
        </w:tblPrEx>
        <w:trPr>
          <w:trHeight w:val="823" w:hRule="atLeast"/>
          <w:jc w:val="center"/>
        </w:trPr>
        <w:tc>
          <w:tcPr>
            <w:tcW w:w="703" w:type="dxa"/>
            <w:tcBorders>
              <w:top w:val="single" w:color="auto" w:sz="4" w:space="0"/>
              <w:left w:val="single" w:color="auto" w:sz="4" w:space="0"/>
              <w:bottom w:val="single" w:color="auto" w:sz="4" w:space="0"/>
              <w:right w:val="single" w:color="auto" w:sz="4" w:space="0"/>
            </w:tcBorders>
            <w:vAlign w:val="center"/>
          </w:tcPr>
          <w:p w14:paraId="5842A463">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19</w:t>
            </w:r>
          </w:p>
        </w:tc>
        <w:tc>
          <w:tcPr>
            <w:tcW w:w="1517" w:type="dxa"/>
            <w:tcBorders>
              <w:top w:val="single" w:color="auto" w:sz="4" w:space="0"/>
              <w:left w:val="single" w:color="auto" w:sz="4" w:space="0"/>
              <w:bottom w:val="single" w:color="auto" w:sz="4" w:space="0"/>
              <w:right w:val="single" w:color="auto" w:sz="4" w:space="0"/>
            </w:tcBorders>
            <w:vAlign w:val="center"/>
          </w:tcPr>
          <w:p w14:paraId="0FA9533E">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是否授权评标委员会确定中标候选人</w:t>
            </w:r>
          </w:p>
        </w:tc>
        <w:tc>
          <w:tcPr>
            <w:tcW w:w="6802" w:type="dxa"/>
            <w:tcBorders>
              <w:top w:val="single" w:color="auto" w:sz="4" w:space="0"/>
              <w:left w:val="single" w:color="auto" w:sz="4" w:space="0"/>
              <w:bottom w:val="single" w:color="auto" w:sz="4" w:space="0"/>
              <w:right w:val="single" w:color="auto" w:sz="4" w:space="0"/>
            </w:tcBorders>
            <w:vAlign w:val="center"/>
          </w:tcPr>
          <w:p w14:paraId="6DEB2CDD">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val="zh-CN" w:eastAsia="zh-CN"/>
              </w:rPr>
            </w:pPr>
            <w:r>
              <w:rPr>
                <w:rFonts w:hint="eastAsia" w:asciiTheme="minorEastAsia" w:hAnsiTheme="minorEastAsia" w:eastAsiaTheme="minorEastAsia" w:cstheme="minorEastAsia"/>
                <w:color w:val="auto"/>
                <w:lang w:eastAsia="zh-CN"/>
              </w:rPr>
              <w:t>是，评标委员会推荐3名中标候选人。</w:t>
            </w:r>
            <w:r>
              <w:rPr>
                <w:rFonts w:hint="eastAsia" w:asciiTheme="minorEastAsia" w:hAnsiTheme="minorEastAsia" w:eastAsiaTheme="minorEastAsia" w:cstheme="minorEastAsia"/>
                <w:color w:val="auto"/>
                <w:lang w:eastAsia="zh-CN"/>
              </w:rPr>
              <w:tab/>
            </w:r>
          </w:p>
        </w:tc>
      </w:tr>
      <w:tr w14:paraId="34499D09">
        <w:tblPrEx>
          <w:tblCellMar>
            <w:top w:w="0" w:type="dxa"/>
            <w:left w:w="108" w:type="dxa"/>
            <w:bottom w:w="0" w:type="dxa"/>
            <w:right w:w="108" w:type="dxa"/>
          </w:tblCellMar>
        </w:tblPrEx>
        <w:trPr>
          <w:trHeight w:val="756" w:hRule="atLeast"/>
          <w:jc w:val="center"/>
        </w:trPr>
        <w:tc>
          <w:tcPr>
            <w:tcW w:w="703" w:type="dxa"/>
            <w:tcBorders>
              <w:top w:val="single" w:color="auto" w:sz="4" w:space="0"/>
              <w:left w:val="single" w:color="auto" w:sz="4" w:space="0"/>
              <w:bottom w:val="single" w:color="auto" w:sz="4" w:space="0"/>
              <w:right w:val="single" w:color="auto" w:sz="4" w:space="0"/>
            </w:tcBorders>
            <w:vAlign w:val="center"/>
          </w:tcPr>
          <w:p w14:paraId="13A70879">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20</w:t>
            </w:r>
          </w:p>
        </w:tc>
        <w:tc>
          <w:tcPr>
            <w:tcW w:w="1517" w:type="dxa"/>
            <w:tcBorders>
              <w:top w:val="single" w:color="auto" w:sz="4" w:space="0"/>
              <w:left w:val="single" w:color="auto" w:sz="4" w:space="0"/>
              <w:bottom w:val="single" w:color="auto" w:sz="4" w:space="0"/>
              <w:right w:val="single" w:color="auto" w:sz="4" w:space="0"/>
            </w:tcBorders>
            <w:vAlign w:val="center"/>
          </w:tcPr>
          <w:p w14:paraId="09FCB9D7">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递交投标文件地点</w:t>
            </w:r>
          </w:p>
        </w:tc>
        <w:tc>
          <w:tcPr>
            <w:tcW w:w="6802" w:type="dxa"/>
            <w:tcBorders>
              <w:top w:val="single" w:color="auto" w:sz="4" w:space="0"/>
              <w:left w:val="single" w:color="auto" w:sz="4" w:space="0"/>
              <w:bottom w:val="single" w:color="auto" w:sz="4" w:space="0"/>
              <w:right w:val="single" w:color="auto" w:sz="4" w:space="0"/>
            </w:tcBorders>
            <w:vAlign w:val="center"/>
          </w:tcPr>
          <w:p w14:paraId="3F722334">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 xml:space="preserve">投标截止时间： 2024年 </w:t>
            </w:r>
            <w:r>
              <w:rPr>
                <w:rFonts w:hint="eastAsia" w:asciiTheme="minorEastAsia" w:hAnsiTheme="minorEastAsia" w:eastAsiaTheme="minorEastAsia" w:cstheme="minorEastAsia"/>
                <w:color w:val="auto"/>
                <w:lang w:val="en-US" w:eastAsia="zh-CN"/>
              </w:rPr>
              <w:t>11</w:t>
            </w:r>
            <w:r>
              <w:rPr>
                <w:rFonts w:hint="eastAsia" w:asciiTheme="minorEastAsia" w:hAnsiTheme="minorEastAsia" w:eastAsiaTheme="minorEastAsia" w:cstheme="minorEastAsia"/>
                <w:color w:val="auto"/>
                <w:lang w:eastAsia="zh-CN"/>
              </w:rPr>
              <w:t xml:space="preserve"> 月 </w:t>
            </w:r>
            <w:r>
              <w:rPr>
                <w:rFonts w:hint="eastAsia" w:asciiTheme="minorEastAsia" w:hAnsiTheme="minorEastAsia" w:eastAsiaTheme="minorEastAsia" w:cstheme="minorEastAsia"/>
                <w:color w:val="auto"/>
                <w:lang w:val="en-US" w:eastAsia="zh-CN"/>
              </w:rPr>
              <w:t>26</w:t>
            </w:r>
            <w:r>
              <w:rPr>
                <w:rFonts w:hint="eastAsia" w:asciiTheme="minorEastAsia" w:hAnsiTheme="minorEastAsia" w:eastAsiaTheme="minorEastAsia" w:cstheme="minorEastAsia"/>
                <w:color w:val="auto"/>
                <w:lang w:eastAsia="zh-CN"/>
              </w:rPr>
              <w:t xml:space="preserve"> 日上午10时30分（北京时间）</w:t>
            </w:r>
          </w:p>
          <w:p w14:paraId="18BD6147">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投标地点：新疆政府采购云平台（www.zcygov.cn）</w:t>
            </w:r>
          </w:p>
        </w:tc>
      </w:tr>
      <w:tr w14:paraId="30FF78F0">
        <w:tblPrEx>
          <w:tblCellMar>
            <w:top w:w="0" w:type="dxa"/>
            <w:left w:w="108" w:type="dxa"/>
            <w:bottom w:w="0" w:type="dxa"/>
            <w:right w:w="108" w:type="dxa"/>
          </w:tblCellMar>
        </w:tblPrEx>
        <w:trPr>
          <w:trHeight w:val="709" w:hRule="atLeast"/>
          <w:jc w:val="center"/>
        </w:trPr>
        <w:tc>
          <w:tcPr>
            <w:tcW w:w="703" w:type="dxa"/>
            <w:tcBorders>
              <w:top w:val="single" w:color="auto" w:sz="4" w:space="0"/>
              <w:left w:val="single" w:color="auto" w:sz="4" w:space="0"/>
              <w:right w:val="single" w:color="auto" w:sz="4" w:space="0"/>
            </w:tcBorders>
            <w:vAlign w:val="center"/>
          </w:tcPr>
          <w:p w14:paraId="071A3D9C">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21</w:t>
            </w:r>
          </w:p>
        </w:tc>
        <w:tc>
          <w:tcPr>
            <w:tcW w:w="1517" w:type="dxa"/>
            <w:tcBorders>
              <w:top w:val="single" w:color="auto" w:sz="4" w:space="0"/>
              <w:left w:val="single" w:color="auto" w:sz="4" w:space="0"/>
              <w:right w:val="single" w:color="auto" w:sz="4" w:space="0"/>
            </w:tcBorders>
            <w:vAlign w:val="center"/>
          </w:tcPr>
          <w:p w14:paraId="14BA4D43">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开标时间和地点</w:t>
            </w:r>
          </w:p>
        </w:tc>
        <w:tc>
          <w:tcPr>
            <w:tcW w:w="6802" w:type="dxa"/>
            <w:tcBorders>
              <w:top w:val="single" w:color="auto" w:sz="4" w:space="0"/>
              <w:left w:val="single" w:color="auto" w:sz="4" w:space="0"/>
              <w:right w:val="single" w:color="auto" w:sz="4" w:space="0"/>
            </w:tcBorders>
            <w:vAlign w:val="center"/>
          </w:tcPr>
          <w:p w14:paraId="4A32B0AC">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 xml:space="preserve">开标时间：2024年 </w:t>
            </w:r>
            <w:r>
              <w:rPr>
                <w:rFonts w:hint="eastAsia" w:asciiTheme="minorEastAsia" w:hAnsiTheme="minorEastAsia" w:eastAsiaTheme="minorEastAsia" w:cstheme="minorEastAsia"/>
                <w:color w:val="auto"/>
                <w:lang w:val="en-US" w:eastAsia="zh-CN"/>
              </w:rPr>
              <w:t>11</w:t>
            </w:r>
            <w:r>
              <w:rPr>
                <w:rFonts w:hint="eastAsia" w:asciiTheme="minorEastAsia" w:hAnsiTheme="minorEastAsia" w:eastAsiaTheme="minorEastAsia" w:cstheme="minorEastAsia"/>
                <w:color w:val="auto"/>
                <w:lang w:eastAsia="zh-CN"/>
              </w:rPr>
              <w:t xml:space="preserve"> 月 </w:t>
            </w:r>
            <w:r>
              <w:rPr>
                <w:rFonts w:hint="eastAsia" w:asciiTheme="minorEastAsia" w:hAnsiTheme="minorEastAsia" w:eastAsiaTheme="minorEastAsia" w:cstheme="minorEastAsia"/>
                <w:color w:val="auto"/>
                <w:lang w:val="en-US" w:eastAsia="zh-CN"/>
              </w:rPr>
              <w:t>26</w:t>
            </w:r>
            <w:r>
              <w:rPr>
                <w:rFonts w:hint="eastAsia" w:asciiTheme="minorEastAsia" w:hAnsiTheme="minorEastAsia" w:eastAsiaTheme="minorEastAsia" w:cstheme="minorEastAsia"/>
                <w:color w:val="auto"/>
                <w:lang w:eastAsia="zh-CN"/>
              </w:rPr>
              <w:t xml:space="preserve"> 日上午10时30分（北京时间）</w:t>
            </w:r>
          </w:p>
          <w:p w14:paraId="15B08C35">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 xml:space="preserve">开标地点：新疆政府采购云平台（www.zcygov.cn）         </w:t>
            </w:r>
          </w:p>
        </w:tc>
      </w:tr>
      <w:tr w14:paraId="69149CF8">
        <w:tblPrEx>
          <w:tblCellMar>
            <w:top w:w="0" w:type="dxa"/>
            <w:left w:w="108" w:type="dxa"/>
            <w:bottom w:w="0" w:type="dxa"/>
            <w:right w:w="108" w:type="dxa"/>
          </w:tblCellMar>
        </w:tblPrEx>
        <w:trPr>
          <w:trHeight w:val="197" w:hRule="atLeast"/>
          <w:jc w:val="center"/>
        </w:trPr>
        <w:tc>
          <w:tcPr>
            <w:tcW w:w="703" w:type="dxa"/>
            <w:vMerge w:val="restart"/>
            <w:tcBorders>
              <w:top w:val="single" w:color="auto" w:sz="4" w:space="0"/>
              <w:left w:val="single" w:color="auto" w:sz="4" w:space="0"/>
              <w:bottom w:val="single" w:color="auto" w:sz="4" w:space="0"/>
              <w:right w:val="single" w:color="auto" w:sz="4" w:space="0"/>
            </w:tcBorders>
            <w:vAlign w:val="center"/>
          </w:tcPr>
          <w:p w14:paraId="53CF650E">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22</w:t>
            </w:r>
          </w:p>
        </w:tc>
        <w:tc>
          <w:tcPr>
            <w:tcW w:w="1517" w:type="dxa"/>
            <w:vMerge w:val="restart"/>
            <w:tcBorders>
              <w:top w:val="single" w:color="auto" w:sz="4" w:space="0"/>
              <w:left w:val="single" w:color="auto" w:sz="4" w:space="0"/>
              <w:bottom w:val="single" w:color="auto" w:sz="4" w:space="0"/>
              <w:right w:val="single" w:color="auto" w:sz="4" w:space="0"/>
            </w:tcBorders>
            <w:vAlign w:val="center"/>
          </w:tcPr>
          <w:p w14:paraId="5664AA11">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重要说明</w:t>
            </w:r>
          </w:p>
        </w:tc>
        <w:tc>
          <w:tcPr>
            <w:tcW w:w="6802" w:type="dxa"/>
            <w:tcBorders>
              <w:top w:val="single" w:color="auto" w:sz="4" w:space="0"/>
              <w:left w:val="single" w:color="auto" w:sz="4" w:space="0"/>
              <w:bottom w:val="single" w:color="auto" w:sz="4" w:space="0"/>
              <w:right w:val="single" w:color="auto" w:sz="4" w:space="0"/>
            </w:tcBorders>
            <w:vAlign w:val="center"/>
          </w:tcPr>
          <w:p w14:paraId="6EDD422A">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1.本项目采用全流程不见面电子开评标，投标供应商需要使用CA加密设备，供应商可通过新疆数字证书认证中心官网（https://www.xjca.com.cn/）或下载“新疆政务通”APP自行进行申领。</w:t>
            </w:r>
          </w:p>
          <w:p w14:paraId="394025FE">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2.本项目实行网上投标，采用加密电子投标文件(供应商须使用CA加密设备通过政采云电子投标客户端制作投标文件)。若供应商参与投标，自行承担投标一切费用。</w:t>
            </w:r>
          </w:p>
          <w:p w14:paraId="6CFE47EE">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3.各供应商在开标前应确保成为新疆维吾尔自治区政府采购网正式注册入库供应商，并完成CA数字证书申领。因未注册入库、未办理CA数字证书等原因造成无法投标或投标失败等后果由供应商自行承担。</w:t>
            </w:r>
          </w:p>
          <w:p w14:paraId="721A5A50">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4.供应商将政采云电子交易客户端下载、安装完成后，可通过账号密码或CA登录客户端进行投标文件制作。在使用政采云投标客户端时，建议使用WIN7+64位及以上操作系统。客户端请至新疆政府采购网（http://www.ccgp-xinjiang.gov.cn/）下载专区查看，如有问题可拨打政采云客户服务热线400-881-7190进行咨询。</w:t>
            </w:r>
          </w:p>
          <w:p w14:paraId="78079BC8">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5.供应商在开标时须使用制作加密电子投标文件所使用的CA锁及电脑，电脑须提前配置好浏览器（建议使用谷歌浏览器），以便开标时解锁。</w:t>
            </w:r>
          </w:p>
          <w:p w14:paraId="56F03713">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6.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供应商钉钉群号：供应商钉钉群号：政采云新疆供应商服务十群：33132402、十一群：30213207（如已加入1-9群，无需重复加入，十一个群联动直播），钉钉工具软件具有回放功能，直播培训结束后可在钉钉群中回放观看学习。</w:t>
            </w:r>
          </w:p>
          <w:p w14:paraId="587DB1A3">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7.为了保证开评标顺利进行，政采云线上开标功能完全实现，供应商开标所使用的电脑设备须具有视频及语音功能。</w:t>
            </w:r>
          </w:p>
        </w:tc>
      </w:tr>
      <w:tr w14:paraId="637AC182">
        <w:tblPrEx>
          <w:tblCellMar>
            <w:top w:w="0" w:type="dxa"/>
            <w:left w:w="108" w:type="dxa"/>
            <w:bottom w:w="0" w:type="dxa"/>
            <w:right w:w="108" w:type="dxa"/>
          </w:tblCellMar>
        </w:tblPrEx>
        <w:trPr>
          <w:trHeight w:val="710" w:hRule="atLeast"/>
          <w:jc w:val="center"/>
        </w:trPr>
        <w:tc>
          <w:tcPr>
            <w:tcW w:w="703" w:type="dxa"/>
            <w:vMerge w:val="continue"/>
            <w:tcBorders>
              <w:top w:val="single" w:color="auto" w:sz="4" w:space="0"/>
              <w:left w:val="single" w:color="auto" w:sz="4" w:space="0"/>
              <w:bottom w:val="single" w:color="auto" w:sz="4" w:space="0"/>
              <w:right w:val="single" w:color="auto" w:sz="4" w:space="0"/>
            </w:tcBorders>
            <w:vAlign w:val="center"/>
          </w:tcPr>
          <w:p w14:paraId="56D6BF5E">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lang w:eastAsia="zh-CN"/>
              </w:rPr>
            </w:pPr>
          </w:p>
        </w:tc>
        <w:tc>
          <w:tcPr>
            <w:tcW w:w="1517" w:type="dxa"/>
            <w:vMerge w:val="continue"/>
            <w:tcBorders>
              <w:top w:val="single" w:color="auto" w:sz="4" w:space="0"/>
              <w:left w:val="single" w:color="auto" w:sz="4" w:space="0"/>
              <w:bottom w:val="single" w:color="auto" w:sz="4" w:space="0"/>
              <w:right w:val="single" w:color="auto" w:sz="4" w:space="0"/>
            </w:tcBorders>
            <w:vAlign w:val="center"/>
          </w:tcPr>
          <w:p w14:paraId="07785ADC">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lang w:eastAsia="zh-CN"/>
              </w:rPr>
            </w:pPr>
          </w:p>
        </w:tc>
        <w:tc>
          <w:tcPr>
            <w:tcW w:w="6802" w:type="dxa"/>
            <w:tcBorders>
              <w:top w:val="single" w:color="auto" w:sz="4" w:space="0"/>
              <w:left w:val="single" w:color="auto" w:sz="4" w:space="0"/>
              <w:bottom w:val="single" w:color="auto" w:sz="4" w:space="0"/>
              <w:right w:val="single" w:color="auto" w:sz="4" w:space="0"/>
            </w:tcBorders>
            <w:vAlign w:val="center"/>
          </w:tcPr>
          <w:p w14:paraId="2F425801">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1、电子招投标情况说明：</w:t>
            </w:r>
          </w:p>
          <w:p w14:paraId="1F36ED0A">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（1）电子招投标：本项目以数据电文形式，依托“政府采购云平台（www.zcygov.cn）”进行招投标活动。</w:t>
            </w:r>
          </w:p>
          <w:p w14:paraId="193067D6">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2）投标准备：注册账号--点击“商家入驻”，进行政府采购供应商资料填写；申领CA数字证书---申领流程详见“新疆政府采购网-下载专区-电子交易客户端-CA驱动和申领流程”；安装“政采云电子交易客户端”----前往“新疆政府采购网-下载专区-电子交易客户端”进行下载并安装。</w:t>
            </w:r>
          </w:p>
          <w:p w14:paraId="710C2FFE">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（3）招标文件 的获取：使用账号登录或者短信验证码或者使用CA登录政采云平台；进入“项目采购”应用，在获取招标文件 菜单中选择项目，获取招标文件 。申请获取招标文件 前须上传的资格证明文件扫描件有：</w:t>
            </w:r>
          </w:p>
          <w:p w14:paraId="7B9A0666">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1).具备三证合一营业执照副本原件；</w:t>
            </w:r>
          </w:p>
          <w:p w14:paraId="5EF4833E">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2).法定代表人投标需提供法定代表人资格证明书，委托代理人投标需提供法定代表人授权委托书；</w:t>
            </w:r>
          </w:p>
          <w:p w14:paraId="655BDC07">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（4）投标文件的制作：在“政采云电子交易客户端”中完成“填写基本信息”、“导入投标文件”、“标书关联”、“标书检查”、“电子签名”、“生成电子标书”等操作。</w:t>
            </w:r>
          </w:p>
          <w:p w14:paraId="1014F813">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（5）投标文件的传输递交：供应商在投标截止时间前将加密的投标文件上传至政府采购云平台。</w:t>
            </w:r>
          </w:p>
          <w:p w14:paraId="0F7DAA3A">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（6）投标文件的解密：供应商按照平台提示和招标文件的规定在半小时内完成在线解密。通过“政府采购云平台”上传递交的投标文件无法按时解密，由供应商自行负责，其</w:t>
            </w:r>
            <w:r>
              <w:rPr>
                <w:rFonts w:hint="eastAsia" w:asciiTheme="minorEastAsia" w:hAnsiTheme="minorEastAsia" w:eastAsiaTheme="minorEastAsia" w:cstheme="minorEastAsia"/>
                <w:b/>
                <w:bCs/>
                <w:color w:val="auto"/>
                <w:lang w:eastAsia="zh-CN"/>
              </w:rPr>
              <w:t>投标无效。</w:t>
            </w:r>
          </w:p>
          <w:p w14:paraId="62F824D2">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（7）具体操作指南：详见政采云平台“服务中心-帮助文档-项目采购-操作流程-电子招投标-政府采购项目电子交易管理操作指南-供应商”。</w:t>
            </w:r>
          </w:p>
          <w:p w14:paraId="64A97D81">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（8）供应商在进行上述操作时，如遇技术问题可登录政采云（https://</w:t>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"http://www.zcygov.cn/"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color w:val="auto"/>
                <w:lang w:eastAsia="zh-CN"/>
              </w:rPr>
              <w:t>www.zcygov.cn/</w:t>
            </w:r>
            <w:r>
              <w:rPr>
                <w:rFonts w:hint="eastAsia" w:asciiTheme="minorEastAsia" w:hAnsiTheme="minorEastAsia" w:eastAsiaTheme="minorEastAsia" w:cstheme="minorEastAsia"/>
                <w:color w:val="auto"/>
                <w:lang w:eastAsia="zh-CN"/>
              </w:rPr>
              <w:fldChar w:fldCharType="end"/>
            </w:r>
            <w:r>
              <w:rPr>
                <w:rFonts w:hint="eastAsia" w:asciiTheme="minorEastAsia" w:hAnsiTheme="minorEastAsia" w:eastAsiaTheme="minorEastAsia" w:cstheme="minorEastAsia"/>
                <w:color w:val="auto"/>
                <w:lang w:eastAsia="zh-CN"/>
              </w:rPr>
              <w:t>），点击右侧咨询小采，获取采小蜜智能服务管家帮助，或拨打政采云服务热线 400-881-7190 获取热线服务帮助。</w:t>
            </w:r>
          </w:p>
          <w:p w14:paraId="5540A94F">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温馨提醒：供应商应提前上传，以便在上传时遇到技术问题，有充足的时间请教平台的技术人员。</w:t>
            </w:r>
          </w:p>
          <w:p w14:paraId="2CAC27AC">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2、供应商认为招标文件使自己的权益受到损害的，可以自获取招标文件之日（招标文件公告期限届满之前获取招标文件的，以完成获取招标文件申请后下载招标文件的时间为准）或者招标文件公告期限届满之日（公告发布后的第6个工作日）起7个工作日内且应当在采购响应截止时间之前，以书面形式一次性向采购人和采购代理机构提出同一环节的质疑。否则，被质疑人可不予接受。质疑供应商对采购人、采购代理机构的答复不满意或者采购人、采购代理机构未在规定的时间内作出答复的，可以在答复期满后十五个工作日内向同级政府采购监督管理部门投诉。质疑函范本、投诉书范本请到新疆政府采购网下载专区下载，未按规定获取招标文件或逾期提出的不予受理、答复。</w:t>
            </w:r>
          </w:p>
        </w:tc>
      </w:tr>
      <w:tr w14:paraId="36FA3CF0">
        <w:tblPrEx>
          <w:tblCellMar>
            <w:top w:w="0" w:type="dxa"/>
            <w:left w:w="108" w:type="dxa"/>
            <w:bottom w:w="0" w:type="dxa"/>
            <w:right w:w="108" w:type="dxa"/>
          </w:tblCellMar>
        </w:tblPrEx>
        <w:trPr>
          <w:trHeight w:val="90" w:hRule="atLeast"/>
          <w:jc w:val="center"/>
        </w:trPr>
        <w:tc>
          <w:tcPr>
            <w:tcW w:w="703" w:type="dxa"/>
            <w:tcBorders>
              <w:top w:val="single" w:color="auto" w:sz="4" w:space="0"/>
              <w:left w:val="single" w:color="auto" w:sz="4" w:space="0"/>
              <w:bottom w:val="single" w:color="auto" w:sz="4" w:space="0"/>
              <w:right w:val="single" w:color="auto" w:sz="4" w:space="0"/>
            </w:tcBorders>
            <w:vAlign w:val="center"/>
          </w:tcPr>
          <w:p w14:paraId="775E71C3">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23</w:t>
            </w:r>
          </w:p>
        </w:tc>
        <w:tc>
          <w:tcPr>
            <w:tcW w:w="1517" w:type="dxa"/>
            <w:tcBorders>
              <w:top w:val="single" w:color="auto" w:sz="4" w:space="0"/>
              <w:left w:val="single" w:color="auto" w:sz="4" w:space="0"/>
              <w:bottom w:val="single" w:color="auto" w:sz="4" w:space="0"/>
              <w:right w:val="single" w:color="auto" w:sz="4" w:space="0"/>
            </w:tcBorders>
            <w:vAlign w:val="center"/>
          </w:tcPr>
          <w:p w14:paraId="7D3F485D">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中标结果公示媒介</w:t>
            </w:r>
          </w:p>
        </w:tc>
        <w:tc>
          <w:tcPr>
            <w:tcW w:w="6802" w:type="dxa"/>
            <w:tcBorders>
              <w:top w:val="single" w:color="auto" w:sz="4" w:space="0"/>
              <w:left w:val="single" w:color="auto" w:sz="4" w:space="0"/>
              <w:bottom w:val="single" w:color="auto" w:sz="4" w:space="0"/>
              <w:right w:val="single" w:color="auto" w:sz="4" w:space="0"/>
            </w:tcBorders>
            <w:vAlign w:val="center"/>
          </w:tcPr>
          <w:p w14:paraId="7FC801CE">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新疆政府采购网（http://www.ccgp-xinjiang.gov.cn/）公示期为1个工作日。</w:t>
            </w:r>
          </w:p>
        </w:tc>
      </w:tr>
      <w:tr w14:paraId="0C1E826F">
        <w:tblPrEx>
          <w:tblCellMar>
            <w:top w:w="0" w:type="dxa"/>
            <w:left w:w="108" w:type="dxa"/>
            <w:bottom w:w="0" w:type="dxa"/>
            <w:right w:w="108" w:type="dxa"/>
          </w:tblCellMar>
        </w:tblPrEx>
        <w:trPr>
          <w:trHeight w:val="410" w:hRule="atLeast"/>
          <w:jc w:val="center"/>
        </w:trPr>
        <w:tc>
          <w:tcPr>
            <w:tcW w:w="703" w:type="dxa"/>
            <w:tcBorders>
              <w:top w:val="single" w:color="auto" w:sz="4" w:space="0"/>
              <w:left w:val="single" w:color="auto" w:sz="4" w:space="0"/>
              <w:bottom w:val="single" w:color="auto" w:sz="4" w:space="0"/>
              <w:right w:val="single" w:color="auto" w:sz="4" w:space="0"/>
            </w:tcBorders>
            <w:vAlign w:val="center"/>
          </w:tcPr>
          <w:p w14:paraId="2F7FDB3F">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24</w:t>
            </w:r>
          </w:p>
        </w:tc>
        <w:tc>
          <w:tcPr>
            <w:tcW w:w="1517" w:type="dxa"/>
            <w:tcBorders>
              <w:top w:val="single" w:color="auto" w:sz="4" w:space="0"/>
              <w:left w:val="single" w:color="auto" w:sz="4" w:space="0"/>
              <w:bottom w:val="single" w:color="auto" w:sz="4" w:space="0"/>
              <w:right w:val="single" w:color="auto" w:sz="4" w:space="0"/>
            </w:tcBorders>
            <w:vAlign w:val="center"/>
          </w:tcPr>
          <w:p w14:paraId="6766E948">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招标代理服务费</w:t>
            </w:r>
          </w:p>
        </w:tc>
        <w:tc>
          <w:tcPr>
            <w:tcW w:w="6802" w:type="dxa"/>
            <w:tcBorders>
              <w:top w:val="single" w:color="auto" w:sz="4" w:space="0"/>
              <w:left w:val="single" w:color="auto" w:sz="4" w:space="0"/>
              <w:bottom w:val="single" w:color="auto" w:sz="4" w:space="0"/>
              <w:right w:val="single" w:color="auto" w:sz="4" w:space="0"/>
            </w:tcBorders>
            <w:vAlign w:val="center"/>
          </w:tcPr>
          <w:p w14:paraId="4366577E">
            <w:pPr>
              <w:pBdr>
                <w:top w:val="none" w:color="auto" w:sz="0" w:space="0"/>
                <w:left w:val="none" w:color="auto" w:sz="0" w:space="0"/>
                <w:bottom w:val="none" w:color="auto" w:sz="0" w:space="0"/>
                <w:right w:val="none" w:color="auto" w:sz="0" w:space="0"/>
                <w:between w:val="none" w:color="auto" w:sz="0" w:space="0"/>
              </w:pBdr>
              <w:jc w:val="left"/>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本次采购代理服务费由中标单位支付，中标供应商在收到中标通知书时，须向新疆现代胜元工程项目管理有限责任公司支付代理服务费，依据《招标代理服务收费管理暂行办法》（国家计委[2002] 1980 号）的标准。</w:t>
            </w:r>
          </w:p>
        </w:tc>
      </w:tr>
      <w:tr w14:paraId="10A9B67F">
        <w:tblPrEx>
          <w:tblCellMar>
            <w:top w:w="0" w:type="dxa"/>
            <w:left w:w="108" w:type="dxa"/>
            <w:bottom w:w="0" w:type="dxa"/>
            <w:right w:w="108" w:type="dxa"/>
          </w:tblCellMar>
        </w:tblPrEx>
        <w:trPr>
          <w:trHeight w:val="399" w:hRule="atLeast"/>
          <w:jc w:val="center"/>
        </w:trPr>
        <w:tc>
          <w:tcPr>
            <w:tcW w:w="703" w:type="dxa"/>
            <w:tcBorders>
              <w:top w:val="single" w:color="auto" w:sz="4" w:space="0"/>
              <w:left w:val="single" w:color="auto" w:sz="4" w:space="0"/>
              <w:bottom w:val="single" w:color="auto" w:sz="4" w:space="0"/>
              <w:right w:val="single" w:color="auto" w:sz="4" w:space="0"/>
            </w:tcBorders>
            <w:vAlign w:val="center"/>
          </w:tcPr>
          <w:p w14:paraId="71AABFDA">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25</w:t>
            </w:r>
          </w:p>
        </w:tc>
        <w:tc>
          <w:tcPr>
            <w:tcW w:w="8319" w:type="dxa"/>
            <w:gridSpan w:val="2"/>
            <w:tcBorders>
              <w:top w:val="single" w:color="auto" w:sz="4" w:space="0"/>
              <w:left w:val="single" w:color="auto" w:sz="4" w:space="0"/>
              <w:bottom w:val="single" w:color="auto" w:sz="4" w:space="0"/>
              <w:right w:val="single" w:color="auto" w:sz="4" w:space="0"/>
            </w:tcBorders>
            <w:vAlign w:val="center"/>
          </w:tcPr>
          <w:p w14:paraId="3E8F0B1A">
            <w:pPr>
              <w:pBdr>
                <w:top w:val="none" w:color="auto" w:sz="0" w:space="0"/>
                <w:left w:val="none" w:color="auto" w:sz="0" w:space="0"/>
                <w:bottom w:val="none" w:color="auto" w:sz="0" w:space="0"/>
                <w:right w:val="none" w:color="auto" w:sz="0" w:space="0"/>
                <w:between w:val="none" w:color="auto" w:sz="0" w:space="0"/>
              </w:pBdr>
              <w:jc w:val="left"/>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评标办法：本项目采用综合评分法</w:t>
            </w:r>
          </w:p>
        </w:tc>
      </w:tr>
      <w:tr w14:paraId="315165F0">
        <w:tblPrEx>
          <w:tblCellMar>
            <w:top w:w="0" w:type="dxa"/>
            <w:left w:w="108" w:type="dxa"/>
            <w:bottom w:w="0" w:type="dxa"/>
            <w:right w:w="108" w:type="dxa"/>
          </w:tblCellMar>
        </w:tblPrEx>
        <w:trPr>
          <w:trHeight w:val="497" w:hRule="atLeast"/>
          <w:jc w:val="center"/>
        </w:trPr>
        <w:tc>
          <w:tcPr>
            <w:tcW w:w="703" w:type="dxa"/>
            <w:tcBorders>
              <w:top w:val="single" w:color="auto" w:sz="4" w:space="0"/>
              <w:left w:val="single" w:color="auto" w:sz="4" w:space="0"/>
              <w:bottom w:val="single" w:color="auto" w:sz="4" w:space="0"/>
              <w:right w:val="single" w:color="auto" w:sz="4" w:space="0"/>
            </w:tcBorders>
            <w:vAlign w:val="center"/>
          </w:tcPr>
          <w:p w14:paraId="59CAD5A4">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26</w:t>
            </w:r>
          </w:p>
        </w:tc>
        <w:tc>
          <w:tcPr>
            <w:tcW w:w="8319" w:type="dxa"/>
            <w:gridSpan w:val="2"/>
            <w:tcBorders>
              <w:top w:val="single" w:color="auto" w:sz="4" w:space="0"/>
              <w:left w:val="single" w:color="auto" w:sz="4" w:space="0"/>
              <w:bottom w:val="single" w:color="auto" w:sz="4" w:space="0"/>
              <w:right w:val="single" w:color="auto" w:sz="4" w:space="0"/>
            </w:tcBorders>
            <w:vAlign w:val="center"/>
          </w:tcPr>
          <w:p w14:paraId="5572D48F">
            <w:pPr>
              <w:pBdr>
                <w:top w:val="none" w:color="auto" w:sz="0" w:space="0"/>
                <w:left w:val="none" w:color="auto" w:sz="0" w:space="0"/>
                <w:bottom w:val="none" w:color="auto" w:sz="0" w:space="0"/>
                <w:right w:val="none" w:color="auto" w:sz="0" w:space="0"/>
                <w:between w:val="none" w:color="auto" w:sz="0" w:space="0"/>
              </w:pBdr>
              <w:jc w:val="left"/>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不管投标结果如何，投标人均应承担自己投标所需一切费用。</w:t>
            </w:r>
          </w:p>
        </w:tc>
      </w:tr>
      <w:tr w14:paraId="3E80DD50">
        <w:tblPrEx>
          <w:tblCellMar>
            <w:top w:w="0" w:type="dxa"/>
            <w:left w:w="108" w:type="dxa"/>
            <w:bottom w:w="0" w:type="dxa"/>
            <w:right w:w="108" w:type="dxa"/>
          </w:tblCellMar>
        </w:tblPrEx>
        <w:trPr>
          <w:trHeight w:val="745" w:hRule="atLeast"/>
          <w:jc w:val="center"/>
        </w:trPr>
        <w:tc>
          <w:tcPr>
            <w:tcW w:w="703" w:type="dxa"/>
            <w:tcBorders>
              <w:top w:val="single" w:color="auto" w:sz="4" w:space="0"/>
              <w:left w:val="single" w:color="auto" w:sz="4" w:space="0"/>
              <w:bottom w:val="single" w:color="auto" w:sz="4" w:space="0"/>
              <w:right w:val="single" w:color="auto" w:sz="4" w:space="0"/>
            </w:tcBorders>
            <w:vAlign w:val="center"/>
          </w:tcPr>
          <w:p w14:paraId="1AC088EC">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27</w:t>
            </w:r>
          </w:p>
        </w:tc>
        <w:tc>
          <w:tcPr>
            <w:tcW w:w="8319" w:type="dxa"/>
            <w:gridSpan w:val="2"/>
            <w:tcBorders>
              <w:top w:val="single" w:color="auto" w:sz="4" w:space="0"/>
              <w:left w:val="single" w:color="auto" w:sz="4" w:space="0"/>
              <w:bottom w:val="single" w:color="auto" w:sz="4" w:space="0"/>
              <w:right w:val="single" w:color="auto" w:sz="4" w:space="0"/>
            </w:tcBorders>
            <w:vAlign w:val="center"/>
          </w:tcPr>
          <w:p w14:paraId="67518C51">
            <w:pPr>
              <w:pBdr>
                <w:top w:val="none" w:color="auto" w:sz="0" w:space="0"/>
                <w:left w:val="none" w:color="auto" w:sz="0" w:space="0"/>
                <w:bottom w:val="none" w:color="auto" w:sz="0" w:space="0"/>
                <w:right w:val="none" w:color="auto" w:sz="0" w:space="0"/>
                <w:between w:val="none" w:color="auto" w:sz="0" w:space="0"/>
              </w:pBdr>
              <w:jc w:val="left"/>
              <w:rPr>
                <w:rFonts w:hint="eastAsia" w:asciiTheme="minorEastAsia" w:hAnsiTheme="minorEastAsia" w:eastAsiaTheme="minorEastAsia" w:cstheme="minorEastAsia"/>
                <w:b/>
                <w:bCs/>
                <w:color w:val="auto"/>
                <w:lang w:eastAsia="zh-CN"/>
              </w:rPr>
            </w:pPr>
            <w:r>
              <w:rPr>
                <w:rFonts w:hint="eastAsia" w:asciiTheme="minorEastAsia" w:hAnsiTheme="minorEastAsia" w:eastAsiaTheme="minorEastAsia" w:cstheme="minorEastAsia"/>
                <w:b/>
                <w:bCs/>
                <w:color w:val="0000FF"/>
                <w:lang w:eastAsia="zh-CN"/>
              </w:rPr>
              <w:t>本次采购最高限价：7892200.00元（大写：柒佰捌拾玖万贰仟贰佰贰拾元整），投标总报价超过采购最高限价的按废标处理。</w:t>
            </w:r>
          </w:p>
        </w:tc>
      </w:tr>
      <w:tr w14:paraId="0F605903">
        <w:tblPrEx>
          <w:tblCellMar>
            <w:top w:w="0" w:type="dxa"/>
            <w:left w:w="108" w:type="dxa"/>
            <w:bottom w:w="0" w:type="dxa"/>
            <w:right w:w="108" w:type="dxa"/>
          </w:tblCellMar>
        </w:tblPrEx>
        <w:trPr>
          <w:trHeight w:val="2037" w:hRule="atLeast"/>
          <w:jc w:val="center"/>
        </w:trPr>
        <w:tc>
          <w:tcPr>
            <w:tcW w:w="703" w:type="dxa"/>
            <w:vMerge w:val="restart"/>
            <w:tcBorders>
              <w:top w:val="single" w:color="auto" w:sz="4" w:space="0"/>
              <w:left w:val="single" w:color="auto" w:sz="4" w:space="0"/>
              <w:bottom w:val="single" w:color="auto" w:sz="4" w:space="0"/>
              <w:right w:val="single" w:color="auto" w:sz="4" w:space="0"/>
            </w:tcBorders>
            <w:vAlign w:val="center"/>
          </w:tcPr>
          <w:p w14:paraId="70B71064">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28</w:t>
            </w:r>
          </w:p>
        </w:tc>
        <w:tc>
          <w:tcPr>
            <w:tcW w:w="1517" w:type="dxa"/>
            <w:vMerge w:val="restart"/>
            <w:tcBorders>
              <w:top w:val="single" w:color="auto" w:sz="4" w:space="0"/>
              <w:left w:val="single" w:color="auto" w:sz="4" w:space="0"/>
              <w:bottom w:val="single" w:color="auto" w:sz="4" w:space="0"/>
              <w:right w:val="single" w:color="auto" w:sz="4" w:space="0"/>
            </w:tcBorders>
            <w:vAlign w:val="center"/>
          </w:tcPr>
          <w:p w14:paraId="39FCAD5C">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中小微企业政策文件</w:t>
            </w:r>
          </w:p>
        </w:tc>
        <w:tc>
          <w:tcPr>
            <w:tcW w:w="6802" w:type="dxa"/>
            <w:tcBorders>
              <w:top w:val="single" w:color="auto" w:sz="4" w:space="0"/>
              <w:left w:val="single" w:color="auto" w:sz="4" w:space="0"/>
              <w:bottom w:val="single" w:color="auto" w:sz="4" w:space="0"/>
              <w:right w:val="single" w:color="auto" w:sz="4" w:space="0"/>
            </w:tcBorders>
            <w:vAlign w:val="center"/>
          </w:tcPr>
          <w:p w14:paraId="2D9384F4">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1）根据财政部、工业和信息化部关于印发《政府采购促进中小企业发展管理办法》的通知（财库[2020]46号），投标人及其所投产品的制造商均属于《工业和信息化部、国家统计局、国家发展和改革委员会、财政部关于印发中小企业划型标准规定的通知》（工信部联企业[2011]300号）中规定的小型、微型企业标准的，按招标文件格式提供《中小企业声明函》。</w:t>
            </w:r>
          </w:p>
        </w:tc>
      </w:tr>
      <w:tr w14:paraId="2507842F">
        <w:tblPrEx>
          <w:tblCellMar>
            <w:top w:w="0" w:type="dxa"/>
            <w:left w:w="108" w:type="dxa"/>
            <w:bottom w:w="0" w:type="dxa"/>
            <w:right w:w="108" w:type="dxa"/>
          </w:tblCellMar>
        </w:tblPrEx>
        <w:trPr>
          <w:trHeight w:val="84" w:hRule="atLeast"/>
          <w:jc w:val="center"/>
        </w:trPr>
        <w:tc>
          <w:tcPr>
            <w:tcW w:w="703" w:type="dxa"/>
            <w:vMerge w:val="continue"/>
            <w:tcBorders>
              <w:top w:val="single" w:color="auto" w:sz="4" w:space="0"/>
              <w:left w:val="single" w:color="auto" w:sz="4" w:space="0"/>
              <w:bottom w:val="single" w:color="auto" w:sz="4" w:space="0"/>
              <w:right w:val="single" w:color="auto" w:sz="4" w:space="0"/>
            </w:tcBorders>
            <w:vAlign w:val="center"/>
          </w:tcPr>
          <w:p w14:paraId="7E438FCB">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lang w:eastAsia="zh-CN"/>
              </w:rPr>
            </w:pPr>
          </w:p>
        </w:tc>
        <w:tc>
          <w:tcPr>
            <w:tcW w:w="1517" w:type="dxa"/>
            <w:vMerge w:val="continue"/>
            <w:tcBorders>
              <w:top w:val="single" w:color="auto" w:sz="4" w:space="0"/>
              <w:left w:val="single" w:color="auto" w:sz="4" w:space="0"/>
              <w:bottom w:val="single" w:color="auto" w:sz="4" w:space="0"/>
              <w:right w:val="single" w:color="auto" w:sz="4" w:space="0"/>
            </w:tcBorders>
            <w:vAlign w:val="center"/>
          </w:tcPr>
          <w:p w14:paraId="00F0586F">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lang w:eastAsia="zh-CN"/>
              </w:rPr>
            </w:pPr>
          </w:p>
        </w:tc>
        <w:tc>
          <w:tcPr>
            <w:tcW w:w="6802" w:type="dxa"/>
            <w:tcBorders>
              <w:top w:val="single" w:color="auto" w:sz="4" w:space="0"/>
              <w:left w:val="single" w:color="auto" w:sz="4" w:space="0"/>
              <w:bottom w:val="single" w:color="auto" w:sz="4" w:space="0"/>
              <w:right w:val="single" w:color="auto" w:sz="4" w:space="0"/>
            </w:tcBorders>
            <w:vAlign w:val="center"/>
          </w:tcPr>
          <w:p w14:paraId="1F7D4D34">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2）根据财政部、司令部《关于政府采购支持监狱企业发展有关问题》的通知财库[2014]68号，监狱企业参加本项目投标时，应当提供由省级以上监狱管理局、戒毒管理局（新疆生产建设兵团）出具的属于监狱企业的证明文件。监狱企业视同小型、微型企业。</w:t>
            </w:r>
          </w:p>
        </w:tc>
      </w:tr>
      <w:tr w14:paraId="6EE587C6">
        <w:tblPrEx>
          <w:tblCellMar>
            <w:top w:w="0" w:type="dxa"/>
            <w:left w:w="108" w:type="dxa"/>
            <w:bottom w:w="0" w:type="dxa"/>
            <w:right w:w="108" w:type="dxa"/>
          </w:tblCellMar>
        </w:tblPrEx>
        <w:trPr>
          <w:trHeight w:val="84" w:hRule="atLeast"/>
          <w:jc w:val="center"/>
        </w:trPr>
        <w:tc>
          <w:tcPr>
            <w:tcW w:w="703" w:type="dxa"/>
            <w:vMerge w:val="continue"/>
            <w:tcBorders>
              <w:top w:val="single" w:color="auto" w:sz="4" w:space="0"/>
              <w:left w:val="single" w:color="auto" w:sz="4" w:space="0"/>
              <w:bottom w:val="single" w:color="auto" w:sz="4" w:space="0"/>
              <w:right w:val="single" w:color="auto" w:sz="4" w:space="0"/>
            </w:tcBorders>
            <w:vAlign w:val="center"/>
          </w:tcPr>
          <w:p w14:paraId="2C66B835">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lang w:eastAsia="zh-CN"/>
              </w:rPr>
            </w:pPr>
          </w:p>
        </w:tc>
        <w:tc>
          <w:tcPr>
            <w:tcW w:w="1517" w:type="dxa"/>
            <w:vMerge w:val="continue"/>
            <w:tcBorders>
              <w:top w:val="single" w:color="auto" w:sz="4" w:space="0"/>
              <w:left w:val="single" w:color="auto" w:sz="4" w:space="0"/>
              <w:bottom w:val="single" w:color="auto" w:sz="4" w:space="0"/>
              <w:right w:val="single" w:color="auto" w:sz="4" w:space="0"/>
            </w:tcBorders>
            <w:vAlign w:val="center"/>
          </w:tcPr>
          <w:p w14:paraId="7BB5A321">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lang w:eastAsia="zh-CN"/>
              </w:rPr>
            </w:pPr>
          </w:p>
        </w:tc>
        <w:tc>
          <w:tcPr>
            <w:tcW w:w="6802" w:type="dxa"/>
            <w:tcBorders>
              <w:top w:val="single" w:color="auto" w:sz="4" w:space="0"/>
              <w:left w:val="single" w:color="auto" w:sz="4" w:space="0"/>
              <w:bottom w:val="single" w:color="auto" w:sz="4" w:space="0"/>
              <w:right w:val="single" w:color="auto" w:sz="4" w:space="0"/>
            </w:tcBorders>
            <w:vAlign w:val="center"/>
          </w:tcPr>
          <w:p w14:paraId="02401154">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3）根据财政部、民政部、中国残疾人联合会《关于促进残疾人就业政府采购政策的通知》（财库[2017]141号），在政府采购活动中，残疾人福利性单位视同小型、微型企业。投标人属于残疾人福利性单位的，按照招标文件格式提供残疾人福利性单位声明函。</w:t>
            </w:r>
          </w:p>
        </w:tc>
      </w:tr>
      <w:tr w14:paraId="267DF5AA">
        <w:tblPrEx>
          <w:tblCellMar>
            <w:top w:w="0" w:type="dxa"/>
            <w:left w:w="108" w:type="dxa"/>
            <w:bottom w:w="0" w:type="dxa"/>
            <w:right w:w="108" w:type="dxa"/>
          </w:tblCellMar>
        </w:tblPrEx>
        <w:trPr>
          <w:trHeight w:val="1107" w:hRule="atLeast"/>
          <w:jc w:val="center"/>
        </w:trPr>
        <w:tc>
          <w:tcPr>
            <w:tcW w:w="703" w:type="dxa"/>
            <w:tcBorders>
              <w:top w:val="single" w:color="auto" w:sz="4" w:space="0"/>
              <w:left w:val="single" w:color="auto" w:sz="4" w:space="0"/>
              <w:bottom w:val="single" w:color="auto" w:sz="4" w:space="0"/>
              <w:right w:val="single" w:color="auto" w:sz="4" w:space="0"/>
            </w:tcBorders>
            <w:vAlign w:val="center"/>
          </w:tcPr>
          <w:p w14:paraId="7696A2FA">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29</w:t>
            </w:r>
          </w:p>
        </w:tc>
        <w:tc>
          <w:tcPr>
            <w:tcW w:w="1517" w:type="dxa"/>
            <w:tcBorders>
              <w:top w:val="single" w:color="auto" w:sz="4" w:space="0"/>
              <w:left w:val="single" w:color="auto" w:sz="4" w:space="0"/>
              <w:bottom w:val="single" w:color="auto" w:sz="4" w:space="0"/>
              <w:right w:val="single" w:color="auto" w:sz="4" w:space="0"/>
            </w:tcBorders>
            <w:vAlign w:val="center"/>
          </w:tcPr>
          <w:p w14:paraId="0BF73EE5">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中小微企业政策文件说明</w:t>
            </w:r>
          </w:p>
        </w:tc>
        <w:tc>
          <w:tcPr>
            <w:tcW w:w="6802" w:type="dxa"/>
            <w:tcBorders>
              <w:top w:val="single" w:color="auto" w:sz="4" w:space="0"/>
              <w:left w:val="single" w:color="auto" w:sz="4" w:space="0"/>
              <w:bottom w:val="single" w:color="auto" w:sz="4" w:space="0"/>
              <w:right w:val="single" w:color="auto" w:sz="4" w:space="0"/>
            </w:tcBorders>
            <w:vAlign w:val="center"/>
          </w:tcPr>
          <w:p w14:paraId="2734843A">
            <w:pPr>
              <w:numPr>
                <w:ilvl w:val="0"/>
                <w:numId w:val="5"/>
              </w:num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lang w:eastAsia="zh-CN"/>
              </w:rPr>
              <w:t>价格扣除比例10%支持中小企业发展：给予小型和微型企业产品的价格10%-20%的扣除，用扣除后的价格参与评审，本项目具体扣除比例为</w:t>
            </w:r>
            <w:r>
              <w:rPr>
                <w:rFonts w:hint="eastAsia" w:asciiTheme="minorEastAsia" w:hAnsiTheme="minorEastAsia" w:eastAsiaTheme="minorEastAsia" w:cstheme="minorEastAsia"/>
                <w:color w:val="auto"/>
                <w:highlight w:val="none"/>
                <w:u w:val="single"/>
                <w:lang w:eastAsia="zh-CN"/>
              </w:rPr>
              <w:t>10%</w:t>
            </w:r>
            <w:r>
              <w:rPr>
                <w:rFonts w:hint="eastAsia" w:asciiTheme="minorEastAsia" w:hAnsiTheme="minorEastAsia" w:eastAsiaTheme="minorEastAsia" w:cstheme="minorEastAsia"/>
                <w:color w:val="auto"/>
                <w:highlight w:val="none"/>
                <w:lang w:eastAsia="zh-CN"/>
              </w:rPr>
              <w:t>。用扣除后的价格参与评审。残疾人福利性单位视同小型、微型企业，享受同等价格扣除，但同时属于残疾人福利性单位和小微企业的，不重复价格扣除。</w:t>
            </w:r>
          </w:p>
          <w:p w14:paraId="24C15EEB">
            <w:pPr>
              <w:numPr>
                <w:ilvl w:val="0"/>
                <w:numId w:val="5"/>
              </w:num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lang w:eastAsia="zh-CN"/>
              </w:rPr>
              <w:t>专门面向中小企业采购的项目或者采购包，不再执行价格评审优惠的扶持政策。</w:t>
            </w:r>
          </w:p>
          <w:p w14:paraId="2963198A">
            <w:pPr>
              <w:numPr>
                <w:ilvl w:val="0"/>
                <w:numId w:val="5"/>
              </w:num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b w:val="0"/>
                <w:bCs w:val="0"/>
                <w:color w:val="auto"/>
                <w:highlight w:val="none"/>
                <w:lang w:eastAsia="zh-CN"/>
              </w:rPr>
            </w:pPr>
            <w:r>
              <w:rPr>
                <w:rFonts w:hint="eastAsia" w:asciiTheme="minorEastAsia" w:hAnsiTheme="minorEastAsia" w:eastAsiaTheme="minorEastAsia" w:cstheme="minorEastAsia"/>
                <w:b w:val="0"/>
                <w:bCs w:val="0"/>
                <w:color w:val="auto"/>
                <w:highlight w:val="none"/>
                <w:lang w:eastAsia="zh-CN"/>
              </w:rPr>
              <w:t>本项目所属行业：</w:t>
            </w:r>
            <w:r>
              <w:rPr>
                <w:rFonts w:hint="eastAsia" w:asciiTheme="minorEastAsia" w:hAnsiTheme="minorEastAsia" w:eastAsiaTheme="minorEastAsia" w:cstheme="minorEastAsia"/>
                <w:b w:val="0"/>
                <w:bCs w:val="0"/>
                <w:color w:val="auto"/>
                <w:highlight w:val="none"/>
                <w:u w:val="single"/>
                <w:lang w:eastAsia="zh-CN"/>
              </w:rPr>
              <w:t>工业（制造业）</w:t>
            </w:r>
            <w:r>
              <w:rPr>
                <w:rFonts w:hint="eastAsia" w:asciiTheme="minorEastAsia" w:hAnsiTheme="minorEastAsia" w:eastAsiaTheme="minorEastAsia" w:cstheme="minorEastAsia"/>
                <w:b w:val="0"/>
                <w:bCs w:val="0"/>
                <w:color w:val="auto"/>
                <w:highlight w:val="none"/>
                <w:lang w:eastAsia="zh-CN"/>
              </w:rPr>
              <w:t>。</w:t>
            </w:r>
          </w:p>
          <w:p w14:paraId="59D79780">
            <w:pPr>
              <w:numPr>
                <w:ilvl w:val="0"/>
                <w:numId w:val="5"/>
              </w:num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b/>
                <w:bCs/>
                <w:color w:val="auto"/>
                <w:highlight w:val="none"/>
                <w:lang w:eastAsia="zh-CN"/>
              </w:rPr>
            </w:pPr>
            <w:r>
              <w:rPr>
                <w:rFonts w:hint="eastAsia" w:asciiTheme="minorEastAsia" w:hAnsiTheme="minorEastAsia" w:eastAsiaTheme="minorEastAsia" w:cstheme="minorEastAsia"/>
                <w:color w:val="auto"/>
                <w:highlight w:val="none"/>
                <w:lang w:val="en-US" w:eastAsia="zh-CN"/>
              </w:rPr>
              <w:t>1</w:t>
            </w:r>
            <w:r>
              <w:rPr>
                <w:rFonts w:hint="eastAsia" w:asciiTheme="minorEastAsia" w:hAnsiTheme="minorEastAsia" w:eastAsiaTheme="minorEastAsia" w:cstheme="minorEastAsia"/>
                <w:color w:val="auto"/>
                <w:highlight w:val="none"/>
                <w:lang w:eastAsia="zh-CN"/>
              </w:rPr>
              <w:t xml:space="preserve">.中小企业应当按照《财政部工业和信息化部关于印发&lt;政府采购促进中小企业发展管理办法&gt;的通知》（财库〔2020〕46 号）规定和《工业和信息化部、国家统计局、国家发展和改革委员会、财政部关于印发中小企业划型标准规定的通知》（工信部联企业〔2011〕300 号）如实填写并提交《中小企业声明函》。中小企业对其声明内容的真实性负责，声明函内容不实的，属于提供虚假材料谋取中标、成交，依照《中华人民共和国政府采购法》等国家有关规定追究相应责任； </w:t>
            </w:r>
            <w:r>
              <w:rPr>
                <w:rFonts w:hint="eastAsia" w:asciiTheme="minorEastAsia" w:hAnsiTheme="minorEastAsia" w:eastAsiaTheme="minorEastAsia" w:cstheme="minorEastAsia"/>
                <w:color w:val="auto"/>
                <w:highlight w:val="none"/>
                <w:lang w:val="en-US" w:eastAsia="zh-CN"/>
              </w:rPr>
              <w:t>2</w:t>
            </w:r>
            <w:r>
              <w:rPr>
                <w:rFonts w:hint="eastAsia" w:asciiTheme="minorEastAsia" w:hAnsiTheme="minorEastAsia" w:eastAsiaTheme="minorEastAsia" w:cstheme="minorEastAsia"/>
                <w:color w:val="auto"/>
                <w:highlight w:val="none"/>
                <w:lang w:eastAsia="zh-CN"/>
              </w:rPr>
              <w:t>.本项目预留部分采购项目预算专门面向中小企业采购。对于预留份额，提供的货物由符合政策要求的中小企业制造、服务由符合政策要求的中小企业承接。</w:t>
            </w:r>
            <w:r>
              <w:rPr>
                <w:rFonts w:hint="eastAsia" w:asciiTheme="minorEastAsia" w:hAnsiTheme="minorEastAsia" w:eastAsiaTheme="minorEastAsia" w:cstheme="minorEastAsia"/>
                <w:b/>
                <w:bCs/>
                <w:color w:val="auto"/>
                <w:highlight w:val="none"/>
                <w:lang w:eastAsia="zh-CN"/>
              </w:rPr>
              <w:t>（如有）</w:t>
            </w:r>
          </w:p>
          <w:p w14:paraId="3EDBF792">
            <w:pPr>
              <w:numPr>
                <w:ilvl w:val="0"/>
                <w:numId w:val="5"/>
              </w:num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lang w:eastAsia="zh-CN"/>
              </w:rPr>
              <w:t>投标人属于中型企业的，必须将本项目合同分包给一家或者多家小微企业，小微企业承担的合同份额不低于合同金额的24%，接受分包合同的中小企业与分包企业之间不得存在直接控股、管理关系。投标时须按格式提供《分包意向协议书》（格式自拟）以及接受分包的供应商的《中小企业声明函》。</w:t>
            </w:r>
            <w:r>
              <w:rPr>
                <w:rFonts w:hint="eastAsia" w:asciiTheme="minorEastAsia" w:hAnsiTheme="minorEastAsia" w:eastAsiaTheme="minorEastAsia" w:cstheme="minorEastAsia"/>
                <w:b/>
                <w:bCs/>
                <w:color w:val="auto"/>
                <w:highlight w:val="none"/>
                <w:lang w:eastAsia="zh-CN"/>
              </w:rPr>
              <w:t>（如有）</w:t>
            </w:r>
          </w:p>
          <w:p w14:paraId="17B56F5D">
            <w:pPr>
              <w:numPr>
                <w:ilvl w:val="0"/>
                <w:numId w:val="5"/>
              </w:num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lang w:eastAsia="zh-CN"/>
              </w:rPr>
              <w:t>不符合上述适用情形的投标人无需提供上述声明函件。</w:t>
            </w:r>
          </w:p>
        </w:tc>
      </w:tr>
      <w:tr w14:paraId="68B91ED0">
        <w:tblPrEx>
          <w:tblCellMar>
            <w:top w:w="0" w:type="dxa"/>
            <w:left w:w="108" w:type="dxa"/>
            <w:bottom w:w="0" w:type="dxa"/>
            <w:right w:w="108" w:type="dxa"/>
          </w:tblCellMar>
        </w:tblPrEx>
        <w:trPr>
          <w:trHeight w:val="90" w:hRule="atLeast"/>
          <w:jc w:val="center"/>
        </w:trPr>
        <w:tc>
          <w:tcPr>
            <w:tcW w:w="703" w:type="dxa"/>
            <w:tcBorders>
              <w:top w:val="single" w:color="auto" w:sz="4" w:space="0"/>
              <w:left w:val="single" w:color="auto" w:sz="4" w:space="0"/>
              <w:bottom w:val="single" w:color="auto" w:sz="4" w:space="0"/>
              <w:right w:val="single" w:color="auto" w:sz="4" w:space="0"/>
            </w:tcBorders>
            <w:vAlign w:val="center"/>
          </w:tcPr>
          <w:p w14:paraId="49463B0C">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30</w:t>
            </w:r>
          </w:p>
        </w:tc>
        <w:tc>
          <w:tcPr>
            <w:tcW w:w="1517" w:type="dxa"/>
            <w:tcBorders>
              <w:top w:val="single" w:color="auto" w:sz="4" w:space="0"/>
              <w:left w:val="single" w:color="auto" w:sz="4" w:space="0"/>
              <w:bottom w:val="single" w:color="auto" w:sz="4" w:space="0"/>
              <w:right w:val="single" w:color="auto" w:sz="4" w:space="0"/>
            </w:tcBorders>
            <w:vAlign w:val="center"/>
          </w:tcPr>
          <w:p w14:paraId="40689A6C">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lang w:val="zh-CN" w:eastAsia="zh-CN"/>
              </w:rPr>
            </w:pPr>
          </w:p>
          <w:p w14:paraId="26540F5B">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lang w:val="zh-CN" w:eastAsia="zh-CN"/>
              </w:rPr>
            </w:pPr>
            <w:r>
              <w:rPr>
                <w:rFonts w:hint="eastAsia" w:asciiTheme="minorEastAsia" w:hAnsiTheme="minorEastAsia" w:eastAsiaTheme="minorEastAsia" w:cstheme="minorEastAsia"/>
                <w:color w:val="auto"/>
                <w:lang w:val="zh-CN" w:eastAsia="zh-CN"/>
              </w:rPr>
              <w:t>履约保证金</w:t>
            </w:r>
          </w:p>
          <w:p w14:paraId="01DDE14A">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lang w:eastAsia="zh-CN"/>
              </w:rPr>
            </w:pPr>
          </w:p>
        </w:tc>
        <w:tc>
          <w:tcPr>
            <w:tcW w:w="6802" w:type="dxa"/>
            <w:tcBorders>
              <w:top w:val="single" w:color="auto" w:sz="4" w:space="0"/>
              <w:left w:val="single" w:color="auto" w:sz="4" w:space="0"/>
              <w:bottom w:val="single" w:color="auto" w:sz="4" w:space="0"/>
              <w:right w:val="single" w:color="auto" w:sz="4" w:space="0"/>
            </w:tcBorders>
            <w:vAlign w:val="center"/>
          </w:tcPr>
          <w:p w14:paraId="38189572">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 xml:space="preserve">履约保证金金额：合同总价的10%  </w:t>
            </w:r>
          </w:p>
          <w:p w14:paraId="222A0DC9">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履约保证金形式：以履约保证金保函形式</w:t>
            </w:r>
          </w:p>
          <w:p w14:paraId="425F9A8E">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提交履约保证金的时间：签订合同前</w:t>
            </w:r>
          </w:p>
        </w:tc>
      </w:tr>
      <w:tr w14:paraId="61DDE5C6">
        <w:tblPrEx>
          <w:tblCellMar>
            <w:top w:w="0" w:type="dxa"/>
            <w:left w:w="108" w:type="dxa"/>
            <w:bottom w:w="0" w:type="dxa"/>
            <w:right w:w="108" w:type="dxa"/>
          </w:tblCellMar>
        </w:tblPrEx>
        <w:trPr>
          <w:trHeight w:val="843" w:hRule="atLeast"/>
          <w:jc w:val="center"/>
        </w:trPr>
        <w:tc>
          <w:tcPr>
            <w:tcW w:w="703" w:type="dxa"/>
            <w:tcBorders>
              <w:top w:val="single" w:color="auto" w:sz="4" w:space="0"/>
              <w:left w:val="single" w:color="auto" w:sz="4" w:space="0"/>
              <w:bottom w:val="single" w:color="auto" w:sz="4" w:space="0"/>
              <w:right w:val="single" w:color="auto" w:sz="4" w:space="0"/>
            </w:tcBorders>
            <w:vAlign w:val="center"/>
          </w:tcPr>
          <w:p w14:paraId="20DFFA9D">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31</w:t>
            </w:r>
          </w:p>
        </w:tc>
        <w:tc>
          <w:tcPr>
            <w:tcW w:w="1517" w:type="dxa"/>
            <w:tcBorders>
              <w:top w:val="single" w:color="auto" w:sz="4" w:space="0"/>
              <w:left w:val="single" w:color="auto" w:sz="4" w:space="0"/>
              <w:bottom w:val="single" w:color="auto" w:sz="4" w:space="0"/>
              <w:right w:val="single" w:color="auto" w:sz="4" w:space="0"/>
            </w:tcBorders>
            <w:vAlign w:val="center"/>
          </w:tcPr>
          <w:p w14:paraId="4B9E25D6">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付款方式</w:t>
            </w:r>
          </w:p>
        </w:tc>
        <w:tc>
          <w:tcPr>
            <w:tcW w:w="6802" w:type="dxa"/>
            <w:tcBorders>
              <w:top w:val="single" w:color="auto" w:sz="4" w:space="0"/>
              <w:left w:val="single" w:color="auto" w:sz="4" w:space="0"/>
              <w:bottom w:val="single" w:color="auto" w:sz="4" w:space="0"/>
              <w:right w:val="single" w:color="auto" w:sz="4" w:space="0"/>
            </w:tcBorders>
            <w:vAlign w:val="center"/>
          </w:tcPr>
          <w:p w14:paraId="0D1E638E">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highlight w:val="none"/>
                <w:lang w:val="zh-CN" w:eastAsia="zh-CN"/>
              </w:rPr>
            </w:pPr>
            <w:r>
              <w:rPr>
                <w:rFonts w:hint="eastAsia" w:asciiTheme="minorEastAsia" w:hAnsiTheme="minorEastAsia" w:eastAsiaTheme="minorEastAsia" w:cstheme="minorEastAsia"/>
                <w:color w:val="auto"/>
                <w:highlight w:val="none"/>
                <w:lang w:val="zh-CN" w:eastAsia="zh-CN"/>
              </w:rPr>
              <w:t>合同签订后支付百分之</w:t>
            </w:r>
            <w:r>
              <w:rPr>
                <w:rFonts w:hint="eastAsia" w:asciiTheme="minorEastAsia" w:hAnsiTheme="minorEastAsia" w:eastAsiaTheme="minorEastAsia" w:cstheme="minorEastAsia"/>
                <w:color w:val="auto"/>
                <w:highlight w:val="none"/>
                <w:lang w:eastAsia="zh-CN"/>
              </w:rPr>
              <w:t>80</w:t>
            </w:r>
            <w:r>
              <w:rPr>
                <w:rFonts w:hint="eastAsia" w:asciiTheme="minorEastAsia" w:hAnsiTheme="minorEastAsia" w:eastAsiaTheme="minorEastAsia" w:cstheme="minorEastAsia"/>
                <w:color w:val="auto"/>
                <w:highlight w:val="none"/>
                <w:lang w:val="zh-CN" w:eastAsia="zh-CN"/>
              </w:rPr>
              <w:t>%，货到验收合格后支付百分之15%，一年内支付剩余百分之5%（具体以合同签订为准）。</w:t>
            </w:r>
          </w:p>
        </w:tc>
      </w:tr>
      <w:tr w14:paraId="1829FB82">
        <w:tblPrEx>
          <w:tblCellMar>
            <w:top w:w="0" w:type="dxa"/>
            <w:left w:w="108" w:type="dxa"/>
            <w:bottom w:w="0" w:type="dxa"/>
            <w:right w:w="108" w:type="dxa"/>
          </w:tblCellMar>
        </w:tblPrEx>
        <w:trPr>
          <w:trHeight w:val="84" w:hRule="atLeast"/>
          <w:jc w:val="center"/>
        </w:trPr>
        <w:tc>
          <w:tcPr>
            <w:tcW w:w="2220" w:type="dxa"/>
            <w:gridSpan w:val="2"/>
            <w:tcBorders>
              <w:top w:val="single" w:color="auto" w:sz="4" w:space="0"/>
              <w:left w:val="single" w:color="auto" w:sz="4" w:space="0"/>
              <w:bottom w:val="single" w:color="auto" w:sz="4" w:space="0"/>
              <w:right w:val="single" w:color="auto" w:sz="4" w:space="0"/>
            </w:tcBorders>
            <w:vAlign w:val="center"/>
          </w:tcPr>
          <w:p w14:paraId="18C4B6B2">
            <w:pPr>
              <w:pBdr>
                <w:top w:val="none" w:color="auto" w:sz="0" w:space="0"/>
                <w:left w:val="none" w:color="auto" w:sz="0" w:space="0"/>
                <w:bottom w:val="none" w:color="auto" w:sz="0" w:space="0"/>
                <w:right w:val="none" w:color="auto" w:sz="0" w:space="0"/>
                <w:between w:val="none" w:color="auto" w:sz="0" w:space="0"/>
              </w:pBdr>
              <w:ind w:firstLine="720" w:firstLineChars="300"/>
              <w:jc w:val="both"/>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备注</w:t>
            </w:r>
          </w:p>
        </w:tc>
        <w:tc>
          <w:tcPr>
            <w:tcW w:w="6802" w:type="dxa"/>
            <w:tcBorders>
              <w:top w:val="single" w:color="auto" w:sz="4" w:space="0"/>
              <w:left w:val="single" w:color="auto" w:sz="4" w:space="0"/>
              <w:bottom w:val="single" w:color="auto" w:sz="4" w:space="0"/>
              <w:right w:val="single" w:color="auto" w:sz="4" w:space="0"/>
            </w:tcBorders>
            <w:vAlign w:val="center"/>
          </w:tcPr>
          <w:p w14:paraId="4DA1955E">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1、着重提醒各供应商注意，并认真查看招标文件中的每一个条款及要求，因误读招标文件而造成的后果，采购人概不负责。</w:t>
            </w:r>
          </w:p>
          <w:p w14:paraId="4AEC14A9">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2、供应商使用相同IP地址的，一经发现，相关部门将进一步核实，查实后按串通投标处理。</w:t>
            </w:r>
          </w:p>
          <w:p w14:paraId="5DE1653E">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3、为保证本项目质量，良好的售后服务，最低报价不作为中标的唯一依据。</w:t>
            </w:r>
          </w:p>
          <w:p w14:paraId="2AF5F12A">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4、采购人若发现成交候选供应商在投标过程中提供虚假证明文件，故意隐瞒公司不良信誉和财务状况，以及其他可能对合同圆满履行造成风险的因素等，则按规定取消其成交资格，并上报监管部门依法进行处理。</w:t>
            </w:r>
          </w:p>
          <w:p w14:paraId="3831927A">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5、其它：</w:t>
            </w:r>
          </w:p>
          <w:p w14:paraId="60CD3154">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（1）供应商严格遵守国家的法律法规及招标纪律，无违法违纪及商业贿赂行为。</w:t>
            </w:r>
          </w:p>
          <w:p w14:paraId="3AEA49A5">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（2）不管投标结果如何，供应商均应自行承担投标所需一切费用。</w:t>
            </w:r>
          </w:p>
          <w:p w14:paraId="49180885">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（3）供应商应以书面形式保证中标后由本公司组织实施，不得以任何理由将项目转包给其他机构。</w:t>
            </w:r>
          </w:p>
          <w:p w14:paraId="3A0BBE64">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4）请在领取招标文件的有效日期内领取文件，过期将无法领取。本项目招标公告发布截止日后，请持续关注本项目后续网上发布澄清变更等内容。若再次发布招标公告，第一次成功领取招标文件的潜在供应商应重新领取招标文件。</w:t>
            </w:r>
          </w:p>
          <w:p w14:paraId="6F93E7A1">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（5）招标文件中如出现前后不一致情况，均以须知前附表内容为准。</w:t>
            </w:r>
          </w:p>
        </w:tc>
      </w:tr>
    </w:tbl>
    <w:p w14:paraId="5C31E5AE">
      <w:pPr>
        <w:pStyle w:val="34"/>
        <w:pBdr>
          <w:top w:val="none" w:color="auto" w:sz="0" w:space="0"/>
          <w:left w:val="none" w:color="auto" w:sz="0" w:space="0"/>
          <w:bottom w:val="none" w:color="auto" w:sz="0" w:space="0"/>
          <w:right w:val="none" w:color="auto" w:sz="0" w:space="0"/>
          <w:between w:val="none" w:color="auto" w:sz="0" w:space="0"/>
        </w:pBdr>
        <w:ind w:firstLine="0"/>
        <w:rPr>
          <w:rFonts w:hint="eastAsia" w:asciiTheme="minorEastAsia" w:hAnsiTheme="minorEastAsia" w:eastAsiaTheme="minorEastAsia" w:cstheme="minorEastAsia"/>
          <w:color w:val="auto"/>
          <w:lang w:eastAsia="zh-CN"/>
        </w:rPr>
      </w:pPr>
    </w:p>
    <w:p w14:paraId="7C21EF55">
      <w:pPr>
        <w:pageBreakBefore/>
        <w:pBdr>
          <w:top w:val="none" w:color="auto" w:sz="0" w:space="0"/>
          <w:left w:val="none" w:color="auto" w:sz="0" w:space="0"/>
          <w:bottom w:val="none" w:color="auto" w:sz="0" w:space="0"/>
          <w:right w:val="none" w:color="auto" w:sz="0" w:space="0"/>
          <w:between w:val="none" w:color="auto" w:sz="0" w:space="0"/>
        </w:pBdr>
        <w:spacing w:before="312" w:beforeLines="100" w:after="312" w:afterLines="100" w:line="440" w:lineRule="exact"/>
        <w:jc w:val="center"/>
        <w:outlineLvl w:val="1"/>
        <w:rPr>
          <w:rFonts w:hint="eastAsia" w:asciiTheme="minorEastAsia" w:hAnsiTheme="minorEastAsia" w:eastAsiaTheme="minorEastAsia" w:cstheme="minorEastAsia"/>
          <w:b/>
          <w:color w:val="auto"/>
          <w:sz w:val="28"/>
          <w:szCs w:val="32"/>
          <w:lang w:eastAsia="zh-CN"/>
        </w:rPr>
      </w:pPr>
      <w:r>
        <w:rPr>
          <w:rFonts w:hint="eastAsia" w:asciiTheme="minorEastAsia" w:hAnsiTheme="minorEastAsia" w:eastAsiaTheme="minorEastAsia" w:cstheme="minorEastAsia"/>
          <w:b/>
          <w:color w:val="auto"/>
          <w:sz w:val="28"/>
          <w:szCs w:val="28"/>
          <w:lang w:eastAsia="zh-CN"/>
        </w:rPr>
        <w:t>二、投标人须知</w:t>
      </w:r>
    </w:p>
    <w:p w14:paraId="3CE77C27">
      <w:pPr>
        <w:pBdr>
          <w:top w:val="none" w:color="auto" w:sz="0" w:space="0"/>
          <w:left w:val="none" w:color="auto" w:sz="0" w:space="0"/>
          <w:bottom w:val="none" w:color="auto" w:sz="0" w:space="0"/>
          <w:right w:val="none" w:color="auto" w:sz="0" w:space="0"/>
          <w:between w:val="none" w:color="auto" w:sz="0" w:space="0"/>
        </w:pBdr>
        <w:spacing w:line="440" w:lineRule="exact"/>
        <w:jc w:val="center"/>
        <w:outlineLvl w:val="2"/>
        <w:rPr>
          <w:rFonts w:hint="eastAsia" w:asciiTheme="minorEastAsia" w:hAnsiTheme="minorEastAsia" w:eastAsiaTheme="minorEastAsia" w:cstheme="minorEastAsia"/>
          <w:color w:val="auto"/>
          <w:sz w:val="28"/>
          <w:szCs w:val="28"/>
          <w:lang w:eastAsia="zh-CN"/>
        </w:rPr>
      </w:pPr>
      <w:bookmarkStart w:id="41" w:name="_Toc469495724"/>
      <w:r>
        <w:rPr>
          <w:rFonts w:hint="eastAsia" w:asciiTheme="minorEastAsia" w:hAnsiTheme="minorEastAsia" w:eastAsiaTheme="minorEastAsia" w:cstheme="minorEastAsia"/>
          <w:b/>
          <w:color w:val="auto"/>
          <w:sz w:val="28"/>
          <w:szCs w:val="28"/>
          <w:lang w:eastAsia="zh-CN"/>
        </w:rPr>
        <w:t>（一）</w:t>
      </w:r>
      <w:r>
        <w:rPr>
          <w:rFonts w:hint="eastAsia" w:asciiTheme="minorEastAsia" w:hAnsiTheme="minorEastAsia" w:eastAsiaTheme="minorEastAsia" w:cstheme="minorEastAsia"/>
          <w:b/>
          <w:color w:val="auto"/>
          <w:sz w:val="28"/>
          <w:szCs w:val="32"/>
          <w:lang w:eastAsia="zh-CN"/>
        </w:rPr>
        <w:t>总  则</w:t>
      </w:r>
      <w:bookmarkEnd w:id="41"/>
    </w:p>
    <w:p w14:paraId="1792A9C7">
      <w:pPr>
        <w:pBdr>
          <w:top w:val="none" w:color="auto" w:sz="0" w:space="0"/>
          <w:left w:val="none" w:color="auto" w:sz="0" w:space="0"/>
          <w:bottom w:val="none" w:color="auto" w:sz="0" w:space="0"/>
          <w:right w:val="none" w:color="auto" w:sz="0" w:space="0"/>
          <w:between w:val="none" w:color="auto" w:sz="0" w:space="0"/>
        </w:pBdr>
        <w:snapToGrid w:val="0"/>
        <w:spacing w:line="440" w:lineRule="exact"/>
        <w:ind w:firstLine="236" w:firstLineChars="98"/>
        <w:rPr>
          <w:rFonts w:hint="eastAsia" w:asciiTheme="minorEastAsia" w:hAnsiTheme="minorEastAsia" w:eastAsiaTheme="minorEastAsia" w:cstheme="minorEastAsia"/>
          <w:b/>
          <w:color w:val="auto"/>
          <w:szCs w:val="21"/>
          <w:lang w:eastAsia="zh-CN"/>
        </w:rPr>
      </w:pPr>
      <w:r>
        <w:rPr>
          <w:rFonts w:hint="eastAsia" w:asciiTheme="minorEastAsia" w:hAnsiTheme="minorEastAsia" w:eastAsiaTheme="minorEastAsia" w:cstheme="minorEastAsia"/>
          <w:b/>
          <w:color w:val="auto"/>
          <w:szCs w:val="21"/>
          <w:lang w:eastAsia="zh-CN"/>
        </w:rPr>
        <w:t>1.项目概况</w:t>
      </w:r>
    </w:p>
    <w:p w14:paraId="70880750">
      <w:pPr>
        <w:pBdr>
          <w:top w:val="none" w:color="auto" w:sz="0" w:space="0"/>
          <w:left w:val="none" w:color="auto" w:sz="0" w:space="0"/>
          <w:bottom w:val="none" w:color="auto" w:sz="0" w:space="0"/>
          <w:right w:val="none" w:color="auto" w:sz="0" w:space="0"/>
          <w:between w:val="none" w:color="auto" w:sz="0" w:space="0"/>
        </w:pBdr>
        <w:snapToGrid w:val="0"/>
        <w:spacing w:line="440" w:lineRule="exact"/>
        <w:ind w:firstLine="235" w:firstLineChars="98"/>
        <w:rPr>
          <w:rFonts w:hint="eastAsia" w:asciiTheme="minorEastAsia" w:hAnsiTheme="minorEastAsia" w:eastAsiaTheme="minorEastAsia" w:cstheme="minorEastAsia"/>
          <w:color w:val="auto"/>
          <w:szCs w:val="21"/>
          <w:u w:val="single"/>
          <w:lang w:eastAsia="zh-CN"/>
        </w:rPr>
      </w:pPr>
      <w:r>
        <w:rPr>
          <w:rFonts w:hint="eastAsia" w:asciiTheme="minorEastAsia" w:hAnsiTheme="minorEastAsia" w:eastAsiaTheme="minorEastAsia" w:cstheme="minorEastAsia"/>
          <w:color w:val="auto"/>
          <w:szCs w:val="21"/>
          <w:lang w:eastAsia="zh-CN"/>
        </w:rPr>
        <w:t>1.1本次招标采购项目名称：见投标人须知前附表。</w:t>
      </w:r>
    </w:p>
    <w:p w14:paraId="2D8D87F7">
      <w:pPr>
        <w:pBdr>
          <w:top w:val="none" w:color="auto" w:sz="0" w:space="0"/>
          <w:left w:val="none" w:color="auto" w:sz="0" w:space="0"/>
          <w:bottom w:val="none" w:color="auto" w:sz="0" w:space="0"/>
          <w:right w:val="none" w:color="auto" w:sz="0" w:space="0"/>
          <w:between w:val="none" w:color="auto" w:sz="0" w:space="0"/>
        </w:pBdr>
        <w:snapToGrid w:val="0"/>
        <w:spacing w:line="440" w:lineRule="exact"/>
        <w:ind w:firstLine="235" w:firstLineChars="9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 xml:space="preserve">    项目编号：见投标人须知前附表。</w:t>
      </w:r>
    </w:p>
    <w:p w14:paraId="29A5EAF8">
      <w:pPr>
        <w:pBdr>
          <w:top w:val="none" w:color="auto" w:sz="0" w:space="0"/>
          <w:left w:val="none" w:color="auto" w:sz="0" w:space="0"/>
          <w:bottom w:val="none" w:color="auto" w:sz="0" w:space="0"/>
          <w:right w:val="none" w:color="auto" w:sz="0" w:space="0"/>
          <w:between w:val="none" w:color="auto" w:sz="0" w:space="0"/>
        </w:pBdr>
        <w:snapToGrid w:val="0"/>
        <w:spacing w:line="440" w:lineRule="exact"/>
        <w:ind w:firstLine="235" w:firstLineChars="9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 xml:space="preserve">    采购人：见投标人须知前附表。</w:t>
      </w:r>
    </w:p>
    <w:p w14:paraId="5D33F692">
      <w:pPr>
        <w:pBdr>
          <w:top w:val="none" w:color="auto" w:sz="0" w:space="0"/>
          <w:left w:val="none" w:color="auto" w:sz="0" w:space="0"/>
          <w:bottom w:val="none" w:color="auto" w:sz="0" w:space="0"/>
          <w:right w:val="none" w:color="auto" w:sz="0" w:space="0"/>
          <w:between w:val="none" w:color="auto" w:sz="0" w:space="0"/>
        </w:pBdr>
        <w:snapToGrid w:val="0"/>
        <w:spacing w:line="440" w:lineRule="exact"/>
        <w:ind w:firstLine="235" w:firstLineChars="98"/>
        <w:rPr>
          <w:rFonts w:hint="eastAsia" w:asciiTheme="minorEastAsia" w:hAnsiTheme="minorEastAsia" w:eastAsiaTheme="minorEastAsia" w:cstheme="minorEastAsia"/>
          <w:color w:val="auto"/>
          <w:szCs w:val="21"/>
          <w:u w:val="single"/>
          <w:lang w:eastAsia="zh-CN"/>
        </w:rPr>
      </w:pPr>
      <w:r>
        <w:rPr>
          <w:rFonts w:hint="eastAsia" w:asciiTheme="minorEastAsia" w:hAnsiTheme="minorEastAsia" w:eastAsiaTheme="minorEastAsia" w:cstheme="minorEastAsia"/>
          <w:color w:val="auto"/>
          <w:szCs w:val="21"/>
          <w:lang w:eastAsia="zh-CN"/>
        </w:rPr>
        <w:t xml:space="preserve">    合同履约期限：见投标人须知前附表。</w:t>
      </w:r>
    </w:p>
    <w:p w14:paraId="2D872E02">
      <w:pPr>
        <w:pBdr>
          <w:top w:val="none" w:color="auto" w:sz="0" w:space="0"/>
          <w:left w:val="none" w:color="auto" w:sz="0" w:space="0"/>
          <w:bottom w:val="none" w:color="auto" w:sz="0" w:space="0"/>
          <w:right w:val="none" w:color="auto" w:sz="0" w:space="0"/>
          <w:between w:val="none" w:color="auto" w:sz="0" w:space="0"/>
        </w:pBdr>
        <w:snapToGrid w:val="0"/>
        <w:spacing w:line="440" w:lineRule="exact"/>
        <w:ind w:firstLine="235" w:firstLineChars="98"/>
        <w:jc w:val="both"/>
        <w:rPr>
          <w:rFonts w:hint="eastAsia" w:asciiTheme="minorEastAsia" w:hAnsiTheme="minorEastAsia" w:eastAsiaTheme="minorEastAsia" w:cstheme="minorEastAsia"/>
          <w:color w:val="auto"/>
          <w:szCs w:val="21"/>
          <w:u w:val="single"/>
          <w:lang w:eastAsia="zh-CN"/>
        </w:rPr>
      </w:pPr>
      <w:r>
        <w:rPr>
          <w:rFonts w:hint="eastAsia" w:asciiTheme="minorEastAsia" w:hAnsiTheme="minorEastAsia" w:eastAsiaTheme="minorEastAsia" w:cstheme="minorEastAsia"/>
          <w:color w:val="auto"/>
          <w:szCs w:val="21"/>
          <w:lang w:eastAsia="zh-CN"/>
        </w:rPr>
        <w:t>1.2采购人及联系人: 见投标人须知前附表。</w:t>
      </w:r>
    </w:p>
    <w:p w14:paraId="35FCDCF1">
      <w:pPr>
        <w:pBdr>
          <w:top w:val="none" w:color="auto" w:sz="0" w:space="0"/>
          <w:left w:val="none" w:color="auto" w:sz="0" w:space="0"/>
          <w:bottom w:val="none" w:color="auto" w:sz="0" w:space="0"/>
          <w:right w:val="none" w:color="auto" w:sz="0" w:space="0"/>
          <w:between w:val="none" w:color="auto" w:sz="0" w:space="0"/>
        </w:pBdr>
        <w:snapToGrid w:val="0"/>
        <w:spacing w:line="440" w:lineRule="exact"/>
        <w:ind w:firstLine="235" w:firstLineChars="98"/>
        <w:rPr>
          <w:rFonts w:hint="eastAsia" w:asciiTheme="minorEastAsia" w:hAnsiTheme="minorEastAsia" w:eastAsiaTheme="minorEastAsia" w:cstheme="minorEastAsia"/>
          <w:color w:val="auto"/>
          <w:szCs w:val="21"/>
          <w:u w:val="single"/>
          <w:lang w:eastAsia="zh-CN"/>
        </w:rPr>
      </w:pPr>
      <w:r>
        <w:rPr>
          <w:rFonts w:hint="eastAsia" w:asciiTheme="minorEastAsia" w:hAnsiTheme="minorEastAsia" w:eastAsiaTheme="minorEastAsia" w:cstheme="minorEastAsia"/>
          <w:color w:val="auto"/>
          <w:szCs w:val="21"/>
          <w:lang w:eastAsia="zh-CN"/>
        </w:rPr>
        <w:t xml:space="preserve"> 代理机构及联系人: 见投标人须知前附表。</w:t>
      </w:r>
    </w:p>
    <w:p w14:paraId="40B4D7B4">
      <w:pPr>
        <w:pBdr>
          <w:top w:val="none" w:color="auto" w:sz="0" w:space="0"/>
          <w:left w:val="none" w:color="auto" w:sz="0" w:space="0"/>
          <w:bottom w:val="none" w:color="auto" w:sz="0" w:space="0"/>
          <w:right w:val="none" w:color="auto" w:sz="0" w:space="0"/>
          <w:between w:val="none" w:color="auto" w:sz="0" w:space="0"/>
        </w:pBdr>
        <w:snapToGrid w:val="0"/>
        <w:spacing w:line="440" w:lineRule="exact"/>
        <w:ind w:firstLine="235" w:firstLineChars="9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1.3资金来源：见投标人须知前附表。</w:t>
      </w:r>
    </w:p>
    <w:p w14:paraId="74C3D92C">
      <w:pPr>
        <w:pBdr>
          <w:top w:val="none" w:color="auto" w:sz="0" w:space="0"/>
          <w:left w:val="none" w:color="auto" w:sz="0" w:space="0"/>
          <w:bottom w:val="none" w:color="auto" w:sz="0" w:space="0"/>
          <w:right w:val="none" w:color="auto" w:sz="0" w:space="0"/>
          <w:between w:val="none" w:color="auto" w:sz="0" w:space="0"/>
        </w:pBdr>
        <w:snapToGrid w:val="0"/>
        <w:spacing w:line="440" w:lineRule="exact"/>
        <w:ind w:firstLine="235" w:firstLineChars="9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1.4本项目预算：见投标人须知前附表。</w:t>
      </w:r>
    </w:p>
    <w:p w14:paraId="186F6373">
      <w:pPr>
        <w:pBdr>
          <w:top w:val="none" w:color="auto" w:sz="0" w:space="0"/>
          <w:left w:val="none" w:color="auto" w:sz="0" w:space="0"/>
          <w:bottom w:val="none" w:color="auto" w:sz="0" w:space="0"/>
          <w:right w:val="none" w:color="auto" w:sz="0" w:space="0"/>
          <w:between w:val="none" w:color="auto" w:sz="0" w:space="0"/>
        </w:pBdr>
        <w:snapToGrid w:val="0"/>
        <w:spacing w:line="440" w:lineRule="exact"/>
        <w:ind w:firstLine="235" w:firstLineChars="9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1.5本项目最高限价：见投标人须知前附表。</w:t>
      </w:r>
    </w:p>
    <w:p w14:paraId="0446ED00">
      <w:pPr>
        <w:pBdr>
          <w:top w:val="none" w:color="auto" w:sz="0" w:space="0"/>
          <w:left w:val="none" w:color="auto" w:sz="0" w:space="0"/>
          <w:bottom w:val="none" w:color="auto" w:sz="0" w:space="0"/>
          <w:right w:val="none" w:color="auto" w:sz="0" w:space="0"/>
          <w:between w:val="none" w:color="auto" w:sz="0" w:space="0"/>
        </w:pBdr>
        <w:snapToGrid w:val="0"/>
        <w:spacing w:line="440" w:lineRule="exact"/>
        <w:ind w:firstLine="236" w:firstLineChars="98"/>
        <w:rPr>
          <w:rFonts w:hint="eastAsia" w:asciiTheme="minorEastAsia" w:hAnsiTheme="minorEastAsia" w:eastAsiaTheme="minorEastAsia" w:cstheme="minorEastAsia"/>
          <w:b/>
          <w:color w:val="auto"/>
          <w:szCs w:val="21"/>
          <w:lang w:eastAsia="zh-CN"/>
        </w:rPr>
      </w:pPr>
      <w:r>
        <w:rPr>
          <w:rFonts w:hint="eastAsia" w:asciiTheme="minorEastAsia" w:hAnsiTheme="minorEastAsia" w:eastAsiaTheme="minorEastAsia" w:cstheme="minorEastAsia"/>
          <w:b/>
          <w:color w:val="auto"/>
          <w:szCs w:val="21"/>
          <w:lang w:eastAsia="zh-CN"/>
        </w:rPr>
        <w:t>2.招标范围：</w:t>
      </w:r>
    </w:p>
    <w:p w14:paraId="2FFED1A6">
      <w:pPr>
        <w:pBdr>
          <w:top w:val="none" w:color="auto" w:sz="0" w:space="0"/>
          <w:left w:val="none" w:color="auto" w:sz="0" w:space="0"/>
          <w:bottom w:val="none" w:color="auto" w:sz="0" w:space="0"/>
          <w:right w:val="none" w:color="auto" w:sz="0" w:space="0"/>
          <w:between w:val="none" w:color="auto" w:sz="0" w:space="0"/>
        </w:pBdr>
        <w:snapToGrid w:val="0"/>
        <w:spacing w:line="440" w:lineRule="exact"/>
        <w:ind w:firstLine="235" w:firstLineChars="98"/>
        <w:rPr>
          <w:rFonts w:hint="eastAsia" w:asciiTheme="minorEastAsia" w:hAnsiTheme="minorEastAsia" w:eastAsiaTheme="minorEastAsia" w:cstheme="minorEastAsia"/>
          <w:color w:val="auto"/>
          <w:szCs w:val="21"/>
          <w:u w:val="single"/>
          <w:lang w:eastAsia="zh-CN"/>
        </w:rPr>
      </w:pPr>
      <w:r>
        <w:rPr>
          <w:rFonts w:hint="eastAsia" w:asciiTheme="minorEastAsia" w:hAnsiTheme="minorEastAsia" w:eastAsiaTheme="minorEastAsia" w:cstheme="minorEastAsia"/>
          <w:color w:val="auto"/>
          <w:szCs w:val="21"/>
          <w:lang w:eastAsia="zh-CN"/>
        </w:rPr>
        <w:t>2.1 采购内容：见投标人须知前附表。</w:t>
      </w:r>
    </w:p>
    <w:p w14:paraId="5DBD8D11">
      <w:pPr>
        <w:pBdr>
          <w:top w:val="none" w:color="auto" w:sz="0" w:space="0"/>
          <w:left w:val="none" w:color="auto" w:sz="0" w:space="0"/>
          <w:bottom w:val="none" w:color="auto" w:sz="0" w:space="0"/>
          <w:right w:val="none" w:color="auto" w:sz="0" w:space="0"/>
          <w:between w:val="none" w:color="auto" w:sz="0" w:space="0"/>
        </w:pBdr>
        <w:snapToGrid w:val="0"/>
        <w:spacing w:line="440" w:lineRule="exact"/>
        <w:ind w:firstLine="235" w:firstLineChars="9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2.2 技术要求：详见采购文件第四部分采购内容及技术要求。</w:t>
      </w:r>
    </w:p>
    <w:p w14:paraId="4BD9B51E">
      <w:pPr>
        <w:pBdr>
          <w:top w:val="none" w:color="auto" w:sz="0" w:space="0"/>
          <w:left w:val="none" w:color="auto" w:sz="0" w:space="0"/>
          <w:bottom w:val="none" w:color="auto" w:sz="0" w:space="0"/>
          <w:right w:val="none" w:color="auto" w:sz="0" w:space="0"/>
          <w:between w:val="none" w:color="auto" w:sz="0" w:space="0"/>
        </w:pBdr>
        <w:snapToGrid w:val="0"/>
        <w:spacing w:line="440" w:lineRule="exact"/>
        <w:ind w:firstLine="236" w:firstLineChars="98"/>
        <w:rPr>
          <w:rFonts w:hint="eastAsia" w:asciiTheme="minorEastAsia" w:hAnsiTheme="minorEastAsia" w:eastAsiaTheme="minorEastAsia" w:cstheme="minorEastAsia"/>
          <w:b/>
          <w:color w:val="auto"/>
          <w:szCs w:val="21"/>
          <w:lang w:eastAsia="zh-CN"/>
        </w:rPr>
      </w:pPr>
      <w:r>
        <w:rPr>
          <w:rFonts w:hint="eastAsia" w:asciiTheme="minorEastAsia" w:hAnsiTheme="minorEastAsia" w:eastAsiaTheme="minorEastAsia" w:cstheme="minorEastAsia"/>
          <w:b/>
          <w:color w:val="auto"/>
          <w:szCs w:val="21"/>
          <w:lang w:eastAsia="zh-CN"/>
        </w:rPr>
        <w:t>3.特别说明：</w:t>
      </w:r>
    </w:p>
    <w:p w14:paraId="7A0627F8">
      <w:pPr>
        <w:pBdr>
          <w:top w:val="none" w:color="auto" w:sz="0" w:space="0"/>
          <w:left w:val="none" w:color="auto" w:sz="0" w:space="0"/>
          <w:bottom w:val="none" w:color="auto" w:sz="0" w:space="0"/>
          <w:right w:val="none" w:color="auto" w:sz="0" w:space="0"/>
          <w:between w:val="none" w:color="auto" w:sz="0" w:space="0"/>
        </w:pBdr>
        <w:snapToGrid w:val="0"/>
        <w:spacing w:line="440" w:lineRule="exact"/>
        <w:ind w:firstLine="235" w:firstLineChars="9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3.1供应商投标所使用的资格、信誉、荣誉、业绩与企业认证等必须为供应商所拥有。</w:t>
      </w:r>
    </w:p>
    <w:p w14:paraId="593860C2">
      <w:pPr>
        <w:pBdr>
          <w:top w:val="none" w:color="auto" w:sz="0" w:space="0"/>
          <w:left w:val="none" w:color="auto" w:sz="0" w:space="0"/>
          <w:bottom w:val="none" w:color="auto" w:sz="0" w:space="0"/>
          <w:right w:val="none" w:color="auto" w:sz="0" w:space="0"/>
          <w:between w:val="none" w:color="auto" w:sz="0" w:space="0"/>
        </w:pBdr>
        <w:snapToGrid w:val="0"/>
        <w:spacing w:line="440" w:lineRule="exact"/>
        <w:ind w:firstLine="235" w:firstLineChars="9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3.2供应商应仔细阅读招标文件规定的事项、格式、条款和技术规范等的所有内容，按照招标文件的要求提交投标文件，并对所提供的全部资料的真实性承担法律责任。如供应商没有按照招标文件要求提交全部资料，或者投标文件没有对招标文件在各方面都做出实质性响应，可能导致其投标被认定为</w:t>
      </w:r>
      <w:r>
        <w:rPr>
          <w:rFonts w:hint="eastAsia" w:asciiTheme="minorEastAsia" w:hAnsiTheme="minorEastAsia" w:eastAsiaTheme="minorEastAsia" w:cstheme="minorEastAsia"/>
          <w:b/>
          <w:bCs/>
          <w:color w:val="auto"/>
          <w:szCs w:val="21"/>
          <w:lang w:eastAsia="zh-CN"/>
        </w:rPr>
        <w:t>投标无效。</w:t>
      </w:r>
    </w:p>
    <w:p w14:paraId="62E4E27E">
      <w:pPr>
        <w:pBdr>
          <w:top w:val="none" w:color="auto" w:sz="0" w:space="0"/>
          <w:left w:val="none" w:color="auto" w:sz="0" w:space="0"/>
          <w:bottom w:val="none" w:color="auto" w:sz="0" w:space="0"/>
          <w:right w:val="none" w:color="auto" w:sz="0" w:space="0"/>
          <w:between w:val="none" w:color="auto" w:sz="0" w:space="0"/>
        </w:pBdr>
        <w:snapToGrid w:val="0"/>
        <w:spacing w:line="440" w:lineRule="exact"/>
        <w:ind w:firstLine="235" w:firstLineChars="9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3.3供应商商在投标活动中提供任何虚假材料,其投标无效并承担相应法律责任。</w:t>
      </w:r>
    </w:p>
    <w:p w14:paraId="01D1EAD2">
      <w:pPr>
        <w:pBdr>
          <w:top w:val="none" w:color="auto" w:sz="0" w:space="0"/>
          <w:left w:val="none" w:color="auto" w:sz="0" w:space="0"/>
          <w:bottom w:val="none" w:color="auto" w:sz="0" w:space="0"/>
          <w:right w:val="none" w:color="auto" w:sz="0" w:space="0"/>
          <w:between w:val="none" w:color="auto" w:sz="0" w:space="0"/>
        </w:pBdr>
        <w:snapToGrid w:val="0"/>
        <w:spacing w:line="440" w:lineRule="exact"/>
        <w:ind w:firstLine="235" w:firstLineChars="9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3.4如一个分包内只有一种产品，不同投标人所投产品为同一品牌的，按如下方式处理：</w:t>
      </w:r>
    </w:p>
    <w:p w14:paraId="6D2A351B">
      <w:pPr>
        <w:pBdr>
          <w:top w:val="none" w:color="auto" w:sz="0" w:space="0"/>
          <w:left w:val="none" w:color="auto" w:sz="0" w:space="0"/>
          <w:bottom w:val="none" w:color="auto" w:sz="0" w:space="0"/>
          <w:right w:val="none" w:color="auto" w:sz="0" w:space="0"/>
          <w:between w:val="none" w:color="auto" w:sz="0" w:space="0"/>
        </w:pBdr>
        <w:snapToGrid w:val="0"/>
        <w:spacing w:line="440" w:lineRule="exact"/>
        <w:ind w:firstLine="235" w:firstLineChars="9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3.4.1如本项目使用综合评分法，提供相同品牌产品且通过资格审查、符合性审查的不同投标人，按一家投标人计算，评审后得分最高的同品牌投标人获得中标人推荐资格；评审得分相同的，由采购人或者采购人委托评标委员会按照招标文件中评标办法规定的方式确定一个投标人获得中标人推荐资格；未规定的采取随机抽取方式确定，其他同品牌投标人不作为中标候选人。</w:t>
      </w:r>
    </w:p>
    <w:p w14:paraId="07443D35">
      <w:pPr>
        <w:pBdr>
          <w:top w:val="none" w:color="auto" w:sz="0" w:space="0"/>
          <w:left w:val="none" w:color="auto" w:sz="0" w:space="0"/>
          <w:bottom w:val="none" w:color="auto" w:sz="0" w:space="0"/>
          <w:right w:val="none" w:color="auto" w:sz="0" w:space="0"/>
          <w:between w:val="none" w:color="auto" w:sz="0" w:space="0"/>
        </w:pBdr>
        <w:snapToGrid w:val="0"/>
        <w:spacing w:line="440" w:lineRule="exact"/>
        <w:ind w:firstLine="235" w:firstLineChars="9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3.5如一个分包内包含多种产品的，采购人或采购代理机构将在投标人须知资料表中载明核心产品，多家投标人提供的核心产品品牌相同的，按第3.4.1条规定处理。</w:t>
      </w:r>
    </w:p>
    <w:p w14:paraId="5FECD020">
      <w:pPr>
        <w:pBdr>
          <w:top w:val="none" w:color="auto" w:sz="0" w:space="0"/>
          <w:left w:val="none" w:color="auto" w:sz="0" w:space="0"/>
          <w:bottom w:val="none" w:color="auto" w:sz="0" w:space="0"/>
          <w:right w:val="none" w:color="auto" w:sz="0" w:space="0"/>
          <w:between w:val="none" w:color="auto" w:sz="0" w:space="0"/>
        </w:pBdr>
        <w:snapToGrid w:val="0"/>
        <w:spacing w:line="440" w:lineRule="exact"/>
        <w:ind w:firstLine="235" w:firstLineChars="9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3.6若须知前附表中写明专门面向中小企业采购的，如投标人为非中小企业，其投标将被认定为</w:t>
      </w:r>
      <w:r>
        <w:rPr>
          <w:rFonts w:hint="eastAsia" w:asciiTheme="minorEastAsia" w:hAnsiTheme="minorEastAsia" w:eastAsiaTheme="minorEastAsia" w:cstheme="minorEastAsia"/>
          <w:b/>
          <w:bCs/>
          <w:color w:val="auto"/>
          <w:szCs w:val="21"/>
          <w:lang w:eastAsia="zh-CN"/>
        </w:rPr>
        <w:t>投标无效。</w:t>
      </w:r>
    </w:p>
    <w:p w14:paraId="1AF94C78">
      <w:pPr>
        <w:pBdr>
          <w:top w:val="none" w:color="auto" w:sz="0" w:space="0"/>
          <w:left w:val="none" w:color="auto" w:sz="0" w:space="0"/>
          <w:bottom w:val="none" w:color="auto" w:sz="0" w:space="0"/>
          <w:right w:val="none" w:color="auto" w:sz="0" w:space="0"/>
          <w:between w:val="none" w:color="auto" w:sz="0" w:space="0"/>
        </w:pBdr>
        <w:snapToGrid w:val="0"/>
        <w:spacing w:line="440" w:lineRule="exact"/>
        <w:ind w:firstLine="235" w:firstLineChars="9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3.7单位负责人为同一人或者存在直接控股、管理关系的不同供应商，其相关投标将被认定为</w:t>
      </w:r>
      <w:r>
        <w:rPr>
          <w:rFonts w:hint="eastAsia" w:asciiTheme="minorEastAsia" w:hAnsiTheme="minorEastAsia" w:eastAsiaTheme="minorEastAsia" w:cstheme="minorEastAsia"/>
          <w:b/>
          <w:bCs/>
          <w:color w:val="auto"/>
          <w:szCs w:val="21"/>
          <w:lang w:eastAsia="zh-CN"/>
        </w:rPr>
        <w:t>投标无效。</w:t>
      </w:r>
    </w:p>
    <w:p w14:paraId="68F76032">
      <w:pPr>
        <w:pBdr>
          <w:top w:val="none" w:color="auto" w:sz="0" w:space="0"/>
          <w:left w:val="none" w:color="auto" w:sz="0" w:space="0"/>
          <w:bottom w:val="none" w:color="auto" w:sz="0" w:space="0"/>
          <w:right w:val="none" w:color="auto" w:sz="0" w:space="0"/>
          <w:between w:val="none" w:color="auto" w:sz="0" w:space="0"/>
        </w:pBdr>
        <w:snapToGrid w:val="0"/>
        <w:spacing w:line="440" w:lineRule="exact"/>
        <w:ind w:firstLine="235" w:firstLineChars="98"/>
        <w:rPr>
          <w:rFonts w:hint="eastAsia" w:asciiTheme="minorEastAsia" w:hAnsiTheme="minorEastAsia" w:eastAsiaTheme="minorEastAsia" w:cstheme="minorEastAsia"/>
          <w:b/>
          <w:bCs/>
          <w:color w:val="auto"/>
          <w:szCs w:val="21"/>
          <w:lang w:eastAsia="zh-CN"/>
        </w:rPr>
      </w:pPr>
      <w:r>
        <w:rPr>
          <w:rFonts w:hint="eastAsia" w:asciiTheme="minorEastAsia" w:hAnsiTheme="minorEastAsia" w:eastAsiaTheme="minorEastAsia" w:cstheme="minorEastAsia"/>
          <w:color w:val="auto"/>
          <w:szCs w:val="21"/>
          <w:lang w:eastAsia="zh-CN"/>
        </w:rPr>
        <w:t>3.8如为本项目提供过整体设计、规范编制或者项目管理、监理、检测等服务的供应商，不得再参加本项目上述服务以外的其他采购活动。否则其投标将被认定为</w:t>
      </w:r>
      <w:r>
        <w:rPr>
          <w:rFonts w:hint="eastAsia" w:asciiTheme="minorEastAsia" w:hAnsiTheme="minorEastAsia" w:eastAsiaTheme="minorEastAsia" w:cstheme="minorEastAsia"/>
          <w:b/>
          <w:bCs/>
          <w:color w:val="auto"/>
          <w:szCs w:val="21"/>
          <w:lang w:eastAsia="zh-CN"/>
        </w:rPr>
        <w:t>投标无效。</w:t>
      </w:r>
    </w:p>
    <w:p w14:paraId="75325EBD">
      <w:pPr>
        <w:pBdr>
          <w:top w:val="none" w:color="auto" w:sz="0" w:space="0"/>
          <w:left w:val="none" w:color="auto" w:sz="0" w:space="0"/>
          <w:bottom w:val="none" w:color="auto" w:sz="0" w:space="0"/>
          <w:right w:val="none" w:color="auto" w:sz="0" w:space="0"/>
          <w:between w:val="none" w:color="auto" w:sz="0" w:space="0"/>
        </w:pBdr>
        <w:snapToGrid w:val="0"/>
        <w:spacing w:line="440" w:lineRule="exact"/>
        <w:ind w:firstLine="235" w:firstLineChars="9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3.9 投标人在投标过程中不得向采购人提供或给予影响其正常决策行为的任何有价值物品或服务。一经发现，其投标将被认定为</w:t>
      </w:r>
      <w:r>
        <w:rPr>
          <w:rFonts w:hint="eastAsia" w:asciiTheme="minorEastAsia" w:hAnsiTheme="minorEastAsia" w:eastAsiaTheme="minorEastAsia" w:cstheme="minorEastAsia"/>
          <w:b/>
          <w:bCs/>
          <w:color w:val="auto"/>
          <w:szCs w:val="21"/>
          <w:lang w:eastAsia="zh-CN"/>
        </w:rPr>
        <w:t>投标无效。</w:t>
      </w:r>
    </w:p>
    <w:p w14:paraId="28696D2D">
      <w:pPr>
        <w:pBdr>
          <w:top w:val="none" w:color="auto" w:sz="0" w:space="0"/>
          <w:left w:val="none" w:color="auto" w:sz="0" w:space="0"/>
          <w:bottom w:val="none" w:color="auto" w:sz="0" w:space="0"/>
          <w:right w:val="none" w:color="auto" w:sz="0" w:space="0"/>
          <w:between w:val="none" w:color="auto" w:sz="0" w:space="0"/>
        </w:pBdr>
        <w:snapToGrid w:val="0"/>
        <w:spacing w:line="440" w:lineRule="exact"/>
        <w:ind w:firstLine="235" w:firstLineChars="9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3.10本项目采购人、采购代理机构、投标人、评标委员会的相关行为均受《中华人民共和国政府采购法》、《中华人民共和国政府采购法实施条例》及本项目本级和上级财政部门政府采购有关规定的约束，其权利受到上述法律法规的保护。</w:t>
      </w:r>
    </w:p>
    <w:p w14:paraId="6F8E1C34">
      <w:pPr>
        <w:pBdr>
          <w:top w:val="none" w:color="auto" w:sz="0" w:space="0"/>
          <w:left w:val="none" w:color="auto" w:sz="0" w:space="0"/>
          <w:bottom w:val="none" w:color="auto" w:sz="0" w:space="0"/>
          <w:right w:val="none" w:color="auto" w:sz="0" w:space="0"/>
          <w:between w:val="none" w:color="auto" w:sz="0" w:space="0"/>
        </w:pBdr>
        <w:snapToGrid w:val="0"/>
        <w:spacing w:line="440" w:lineRule="exact"/>
        <w:ind w:firstLine="236" w:firstLineChars="98"/>
        <w:rPr>
          <w:rFonts w:hint="eastAsia" w:asciiTheme="minorEastAsia" w:hAnsiTheme="minorEastAsia" w:eastAsiaTheme="minorEastAsia" w:cstheme="minorEastAsia"/>
          <w:b/>
          <w:color w:val="auto"/>
          <w:szCs w:val="21"/>
          <w:lang w:eastAsia="zh-CN"/>
        </w:rPr>
      </w:pPr>
      <w:r>
        <w:rPr>
          <w:rFonts w:hint="eastAsia" w:asciiTheme="minorEastAsia" w:hAnsiTheme="minorEastAsia" w:eastAsiaTheme="minorEastAsia" w:cstheme="minorEastAsia"/>
          <w:b/>
          <w:color w:val="auto"/>
          <w:szCs w:val="21"/>
          <w:lang w:eastAsia="zh-CN"/>
        </w:rPr>
        <w:t>4.招标方式：</w:t>
      </w:r>
    </w:p>
    <w:p w14:paraId="39DCF452">
      <w:pPr>
        <w:pBdr>
          <w:top w:val="none" w:color="auto" w:sz="0" w:space="0"/>
          <w:left w:val="none" w:color="auto" w:sz="0" w:space="0"/>
          <w:bottom w:val="none" w:color="auto" w:sz="0" w:space="0"/>
          <w:right w:val="none" w:color="auto" w:sz="0" w:space="0"/>
          <w:between w:val="none" w:color="auto" w:sz="0" w:space="0"/>
        </w:pBdr>
        <w:snapToGrid w:val="0"/>
        <w:spacing w:line="440" w:lineRule="exact"/>
        <w:ind w:firstLine="235" w:firstLineChars="9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4.1本项目招标方式：见投标人须知前附表。</w:t>
      </w:r>
    </w:p>
    <w:p w14:paraId="6C95CA53">
      <w:pPr>
        <w:pBdr>
          <w:top w:val="none" w:color="auto" w:sz="0" w:space="0"/>
          <w:left w:val="none" w:color="auto" w:sz="0" w:space="0"/>
          <w:bottom w:val="none" w:color="auto" w:sz="0" w:space="0"/>
          <w:right w:val="none" w:color="auto" w:sz="0" w:space="0"/>
          <w:between w:val="none" w:color="auto" w:sz="0" w:space="0"/>
        </w:pBdr>
        <w:snapToGrid w:val="0"/>
        <w:spacing w:line="440" w:lineRule="exact"/>
        <w:ind w:firstLine="236" w:firstLineChars="98"/>
        <w:rPr>
          <w:rFonts w:hint="eastAsia" w:asciiTheme="minorEastAsia" w:hAnsiTheme="minorEastAsia" w:eastAsiaTheme="minorEastAsia" w:cstheme="minorEastAsia"/>
          <w:b/>
          <w:color w:val="auto"/>
          <w:szCs w:val="21"/>
          <w:lang w:eastAsia="zh-CN"/>
        </w:rPr>
      </w:pPr>
      <w:r>
        <w:rPr>
          <w:rFonts w:hint="eastAsia" w:asciiTheme="minorEastAsia" w:hAnsiTheme="minorEastAsia" w:eastAsiaTheme="minorEastAsia" w:cstheme="minorEastAsia"/>
          <w:b/>
          <w:color w:val="auto"/>
          <w:szCs w:val="21"/>
          <w:lang w:eastAsia="zh-CN"/>
        </w:rPr>
        <w:t>5.交货地点及要求：</w:t>
      </w:r>
    </w:p>
    <w:p w14:paraId="497FB881">
      <w:pPr>
        <w:pBdr>
          <w:top w:val="none" w:color="auto" w:sz="0" w:space="0"/>
          <w:left w:val="none" w:color="auto" w:sz="0" w:space="0"/>
          <w:bottom w:val="none" w:color="auto" w:sz="0" w:space="0"/>
          <w:right w:val="none" w:color="auto" w:sz="0" w:space="0"/>
          <w:between w:val="none" w:color="auto" w:sz="0" w:space="0"/>
        </w:pBdr>
        <w:snapToGrid w:val="0"/>
        <w:spacing w:line="440" w:lineRule="exact"/>
        <w:ind w:firstLine="235" w:firstLineChars="9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5.1到达采购人指定交货地点，若由于供应商自身原因损坏，由供应商免费更换；若由于采购人原因损坏需在后期补充采购的，供应商须按此次的中标价及时供给，且在质保期内有责任免费调换规格不适宜或质量不合格的产品。</w:t>
      </w:r>
    </w:p>
    <w:p w14:paraId="43D60B7F">
      <w:pPr>
        <w:pBdr>
          <w:top w:val="none" w:color="auto" w:sz="0" w:space="0"/>
          <w:left w:val="none" w:color="auto" w:sz="0" w:space="0"/>
          <w:bottom w:val="none" w:color="auto" w:sz="0" w:space="0"/>
          <w:right w:val="none" w:color="auto" w:sz="0" w:space="0"/>
          <w:between w:val="none" w:color="auto" w:sz="0" w:space="0"/>
        </w:pBdr>
        <w:snapToGrid w:val="0"/>
        <w:spacing w:line="440" w:lineRule="exact"/>
        <w:ind w:firstLine="236" w:firstLineChars="98"/>
        <w:rPr>
          <w:rFonts w:hint="eastAsia" w:asciiTheme="minorEastAsia" w:hAnsiTheme="minorEastAsia" w:eastAsiaTheme="minorEastAsia" w:cstheme="minorEastAsia"/>
          <w:b/>
          <w:color w:val="auto"/>
          <w:szCs w:val="21"/>
          <w:lang w:eastAsia="zh-CN"/>
        </w:rPr>
      </w:pPr>
      <w:r>
        <w:rPr>
          <w:rFonts w:hint="eastAsia" w:asciiTheme="minorEastAsia" w:hAnsiTheme="minorEastAsia" w:eastAsiaTheme="minorEastAsia" w:cstheme="minorEastAsia"/>
          <w:b/>
          <w:color w:val="auto"/>
          <w:szCs w:val="21"/>
          <w:lang w:eastAsia="zh-CN"/>
        </w:rPr>
        <w:t>6.评标办法：</w:t>
      </w:r>
    </w:p>
    <w:p w14:paraId="0583F0CA">
      <w:pPr>
        <w:pBdr>
          <w:top w:val="none" w:color="auto" w:sz="0" w:space="0"/>
          <w:left w:val="none" w:color="auto" w:sz="0" w:space="0"/>
          <w:bottom w:val="none" w:color="auto" w:sz="0" w:space="0"/>
          <w:right w:val="none" w:color="auto" w:sz="0" w:space="0"/>
          <w:between w:val="none" w:color="auto" w:sz="0" w:space="0"/>
        </w:pBdr>
        <w:snapToGrid w:val="0"/>
        <w:spacing w:line="440" w:lineRule="exact"/>
        <w:ind w:firstLine="235" w:firstLineChars="9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6.1本次招标评标采用</w:t>
      </w:r>
      <w:r>
        <w:rPr>
          <w:rFonts w:hint="eastAsia" w:asciiTheme="minorEastAsia" w:hAnsiTheme="minorEastAsia" w:eastAsiaTheme="minorEastAsia" w:cstheme="minorEastAsia"/>
          <w:color w:val="auto"/>
          <w:szCs w:val="21"/>
          <w:u w:val="single"/>
          <w:lang w:eastAsia="zh-CN"/>
        </w:rPr>
        <w:t xml:space="preserve"> 综合评分法 </w:t>
      </w:r>
      <w:r>
        <w:rPr>
          <w:rFonts w:hint="eastAsia" w:asciiTheme="minorEastAsia" w:hAnsiTheme="minorEastAsia" w:eastAsiaTheme="minorEastAsia" w:cstheme="minorEastAsia"/>
          <w:color w:val="auto"/>
          <w:szCs w:val="21"/>
          <w:lang w:eastAsia="zh-CN"/>
        </w:rPr>
        <w:t>（详见第三部分评标办法）</w:t>
      </w:r>
    </w:p>
    <w:p w14:paraId="31B92D35">
      <w:pPr>
        <w:pBdr>
          <w:top w:val="none" w:color="auto" w:sz="0" w:space="0"/>
          <w:left w:val="none" w:color="auto" w:sz="0" w:space="0"/>
          <w:bottom w:val="none" w:color="auto" w:sz="0" w:space="0"/>
          <w:right w:val="none" w:color="auto" w:sz="0" w:space="0"/>
          <w:between w:val="none" w:color="auto" w:sz="0" w:space="0"/>
        </w:pBdr>
        <w:snapToGrid w:val="0"/>
        <w:spacing w:line="440" w:lineRule="exact"/>
        <w:ind w:firstLine="236" w:firstLineChars="98"/>
        <w:rPr>
          <w:rFonts w:hint="eastAsia" w:asciiTheme="minorEastAsia" w:hAnsiTheme="minorEastAsia" w:eastAsiaTheme="minorEastAsia" w:cstheme="minorEastAsia"/>
          <w:b/>
          <w:color w:val="auto"/>
          <w:szCs w:val="21"/>
          <w:lang w:eastAsia="zh-CN"/>
        </w:rPr>
      </w:pPr>
      <w:r>
        <w:rPr>
          <w:rFonts w:hint="eastAsia" w:asciiTheme="minorEastAsia" w:hAnsiTheme="minorEastAsia" w:eastAsiaTheme="minorEastAsia" w:cstheme="minorEastAsia"/>
          <w:b/>
          <w:color w:val="auto"/>
          <w:szCs w:val="21"/>
          <w:lang w:eastAsia="zh-CN"/>
        </w:rPr>
        <w:t>7.投标人资格：</w:t>
      </w:r>
    </w:p>
    <w:p w14:paraId="28080A18">
      <w:pPr>
        <w:pBdr>
          <w:top w:val="none" w:color="auto" w:sz="0" w:space="0"/>
          <w:left w:val="none" w:color="auto" w:sz="0" w:space="0"/>
          <w:bottom w:val="none" w:color="auto" w:sz="0" w:space="0"/>
          <w:right w:val="none" w:color="auto" w:sz="0" w:space="0"/>
          <w:between w:val="none" w:color="auto" w:sz="0" w:space="0"/>
        </w:pBdr>
        <w:snapToGrid w:val="0"/>
        <w:spacing w:line="440" w:lineRule="exact"/>
        <w:ind w:firstLine="235" w:firstLineChars="9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7.1参与采购活动的投标人必须是满足《中华人民共和国政府采购法》规定条件的法人、其他组织或者自然人：</w:t>
      </w:r>
    </w:p>
    <w:p w14:paraId="57780B44">
      <w:pPr>
        <w:pBdr>
          <w:top w:val="none" w:color="auto" w:sz="0" w:space="0"/>
          <w:left w:val="none" w:color="auto" w:sz="0" w:space="0"/>
          <w:bottom w:val="none" w:color="auto" w:sz="0" w:space="0"/>
          <w:right w:val="none" w:color="auto" w:sz="0" w:space="0"/>
          <w:between w:val="none" w:color="auto" w:sz="0" w:space="0"/>
        </w:pBdr>
        <w:snapToGrid w:val="0"/>
        <w:spacing w:line="440" w:lineRule="exact"/>
        <w:ind w:firstLine="235" w:firstLineChars="9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7.2由于政府采购项目的差异性，投标人在参与具体政府采购项目活动时，应仔细阅读该项目的资质要求,具体见投标人须知前附表。</w:t>
      </w:r>
    </w:p>
    <w:p w14:paraId="335513A9">
      <w:pPr>
        <w:pBdr>
          <w:top w:val="none" w:color="auto" w:sz="0" w:space="0"/>
          <w:left w:val="none" w:color="auto" w:sz="0" w:space="0"/>
          <w:bottom w:val="none" w:color="auto" w:sz="0" w:space="0"/>
          <w:right w:val="none" w:color="auto" w:sz="0" w:space="0"/>
          <w:between w:val="none" w:color="auto" w:sz="0" w:space="0"/>
        </w:pBdr>
        <w:snapToGrid w:val="0"/>
        <w:spacing w:line="440" w:lineRule="exact"/>
        <w:ind w:firstLine="235" w:firstLineChars="9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7.3根据电子化政府采购的特点，各供应商在开标前应确保成为新疆维吾尔自治区政府采购网正式注册入库供应商，并完成CA数字证书申领。因未注册入库、未办理CA数字证书等原因造成无法投标或投标失败等后果由供应商自行承担。</w:t>
      </w:r>
    </w:p>
    <w:p w14:paraId="61DFF9B5">
      <w:pPr>
        <w:pBdr>
          <w:top w:val="none" w:color="auto" w:sz="0" w:space="0"/>
          <w:left w:val="none" w:color="auto" w:sz="0" w:space="0"/>
          <w:bottom w:val="none" w:color="auto" w:sz="0" w:space="0"/>
          <w:right w:val="none" w:color="auto" w:sz="0" w:space="0"/>
          <w:between w:val="none" w:color="auto" w:sz="0" w:space="0"/>
        </w:pBdr>
        <w:snapToGrid w:val="0"/>
        <w:spacing w:line="440" w:lineRule="exact"/>
        <w:ind w:firstLine="235" w:firstLineChars="9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7.4投标人必须确保自己在信息库中注册的信息真实、准确，并保证投标文件中的有关信息与库中的信息相一致。否则，投标人因此蒙受损失，采购人概不负责。</w:t>
      </w:r>
    </w:p>
    <w:p w14:paraId="687B813F">
      <w:pPr>
        <w:pBdr>
          <w:top w:val="none" w:color="auto" w:sz="0" w:space="0"/>
          <w:left w:val="none" w:color="auto" w:sz="0" w:space="0"/>
          <w:bottom w:val="none" w:color="auto" w:sz="0" w:space="0"/>
          <w:right w:val="none" w:color="auto" w:sz="0" w:space="0"/>
          <w:between w:val="none" w:color="auto" w:sz="0" w:space="0"/>
        </w:pBdr>
        <w:spacing w:line="440" w:lineRule="exact"/>
        <w:ind w:firstLine="236" w:firstLineChars="98"/>
        <w:rPr>
          <w:rFonts w:hint="eastAsia" w:asciiTheme="minorEastAsia" w:hAnsiTheme="minorEastAsia" w:eastAsiaTheme="minorEastAsia" w:cstheme="minorEastAsia"/>
          <w:b/>
          <w:color w:val="auto"/>
          <w:szCs w:val="21"/>
          <w:lang w:eastAsia="zh-CN"/>
        </w:rPr>
      </w:pPr>
      <w:r>
        <w:rPr>
          <w:rFonts w:hint="eastAsia" w:asciiTheme="minorEastAsia" w:hAnsiTheme="minorEastAsia" w:eastAsiaTheme="minorEastAsia" w:cstheme="minorEastAsia"/>
          <w:b/>
          <w:color w:val="auto"/>
          <w:szCs w:val="21"/>
          <w:lang w:eastAsia="zh-CN"/>
        </w:rPr>
        <w:t>8. 投标费用</w:t>
      </w:r>
    </w:p>
    <w:p w14:paraId="651A4EB0">
      <w:pPr>
        <w:pBdr>
          <w:top w:val="none" w:color="auto" w:sz="0" w:space="0"/>
          <w:left w:val="none" w:color="auto" w:sz="0" w:space="0"/>
          <w:bottom w:val="none" w:color="auto" w:sz="0" w:space="0"/>
          <w:right w:val="none" w:color="auto" w:sz="0" w:space="0"/>
          <w:between w:val="none" w:color="auto" w:sz="0" w:space="0"/>
        </w:pBdr>
        <w:snapToGrid w:val="0"/>
        <w:spacing w:line="440" w:lineRule="exact"/>
        <w:ind w:firstLine="235" w:firstLineChars="9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8.1投标人准备和参加投标活动发生的费用自理。</w:t>
      </w:r>
    </w:p>
    <w:p w14:paraId="3D4998FE">
      <w:pPr>
        <w:pBdr>
          <w:top w:val="none" w:color="auto" w:sz="0" w:space="0"/>
          <w:left w:val="none" w:color="auto" w:sz="0" w:space="0"/>
          <w:bottom w:val="none" w:color="auto" w:sz="0" w:space="0"/>
          <w:right w:val="none" w:color="auto" w:sz="0" w:space="0"/>
          <w:between w:val="none" w:color="auto" w:sz="0" w:space="0"/>
        </w:pBdr>
        <w:spacing w:line="440" w:lineRule="exact"/>
        <w:ind w:firstLine="236" w:firstLineChars="98"/>
        <w:rPr>
          <w:rFonts w:hint="eastAsia" w:asciiTheme="minorEastAsia" w:hAnsiTheme="minorEastAsia" w:eastAsiaTheme="minorEastAsia" w:cstheme="minorEastAsia"/>
          <w:b/>
          <w:color w:val="auto"/>
          <w:szCs w:val="21"/>
          <w:lang w:eastAsia="zh-CN"/>
        </w:rPr>
      </w:pPr>
      <w:r>
        <w:rPr>
          <w:rFonts w:hint="eastAsia" w:asciiTheme="minorEastAsia" w:hAnsiTheme="minorEastAsia" w:eastAsiaTheme="minorEastAsia" w:cstheme="minorEastAsia"/>
          <w:b/>
          <w:color w:val="auto"/>
          <w:szCs w:val="21"/>
          <w:lang w:eastAsia="zh-CN"/>
        </w:rPr>
        <w:t>9.</w:t>
      </w:r>
      <w:bookmarkStart w:id="42" w:name="_Toc152045539"/>
      <w:bookmarkStart w:id="43" w:name="_Toc152042315"/>
      <w:bookmarkStart w:id="44" w:name="_Toc144974507"/>
      <w:bookmarkStart w:id="45" w:name="_Toc296602429"/>
      <w:bookmarkStart w:id="46" w:name="_Toc247527563"/>
      <w:bookmarkStart w:id="47" w:name="_Toc247513962"/>
      <w:bookmarkStart w:id="48" w:name="_Toc247592876"/>
      <w:r>
        <w:rPr>
          <w:rFonts w:hint="eastAsia" w:asciiTheme="minorEastAsia" w:hAnsiTheme="minorEastAsia" w:eastAsiaTheme="minorEastAsia" w:cstheme="minorEastAsia"/>
          <w:b/>
          <w:color w:val="auto"/>
          <w:szCs w:val="21"/>
          <w:lang w:eastAsia="zh-CN"/>
        </w:rPr>
        <w:t xml:space="preserve"> 踏勘现场</w:t>
      </w:r>
      <w:bookmarkEnd w:id="42"/>
      <w:bookmarkEnd w:id="43"/>
      <w:bookmarkEnd w:id="44"/>
      <w:bookmarkEnd w:id="45"/>
      <w:bookmarkEnd w:id="46"/>
      <w:bookmarkEnd w:id="47"/>
      <w:bookmarkEnd w:id="48"/>
    </w:p>
    <w:p w14:paraId="4B7F270F">
      <w:pPr>
        <w:pBdr>
          <w:top w:val="none" w:color="auto" w:sz="0" w:space="0"/>
          <w:left w:val="none" w:color="auto" w:sz="0" w:space="0"/>
          <w:bottom w:val="none" w:color="auto" w:sz="0" w:space="0"/>
          <w:right w:val="none" w:color="auto" w:sz="0" w:space="0"/>
          <w:between w:val="none" w:color="auto" w:sz="0" w:space="0"/>
        </w:pBdr>
        <w:spacing w:line="440" w:lineRule="exact"/>
        <w:ind w:firstLine="235" w:firstLineChars="9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9.1 投标人须知前附表规定组织踏勘现场的，采购人按投标人须知前附表规定的时间、地点组织投标人踏勘项目现场。如需踏勘现场，</w:t>
      </w:r>
      <w:r>
        <w:rPr>
          <w:rFonts w:hint="eastAsia" w:asciiTheme="minorEastAsia" w:hAnsiTheme="minorEastAsia" w:eastAsiaTheme="minorEastAsia" w:cstheme="minorEastAsia"/>
          <w:color w:val="auto"/>
          <w:lang w:eastAsia="zh-CN"/>
        </w:rPr>
        <w:t>投标人自行踏勘现场的，可咨询本项目采购人或采购代理机构联系人。</w:t>
      </w:r>
      <w:r>
        <w:rPr>
          <w:rFonts w:hint="eastAsia" w:asciiTheme="minorEastAsia" w:hAnsiTheme="minorEastAsia" w:eastAsiaTheme="minorEastAsia" w:cstheme="minorEastAsia"/>
          <w:b/>
          <w:bCs/>
          <w:color w:val="auto"/>
          <w:lang w:eastAsia="zh-CN"/>
        </w:rPr>
        <w:t>投标人自行踏勘现场的，可咨询本项目采购人或采购代理机构联系人。</w:t>
      </w:r>
      <w:r>
        <w:rPr>
          <w:rFonts w:hint="eastAsia" w:asciiTheme="minorEastAsia" w:hAnsiTheme="minorEastAsia" w:eastAsiaTheme="minorEastAsia" w:cstheme="minorEastAsia"/>
          <w:b/>
          <w:bCs/>
          <w:color w:val="auto"/>
          <w:szCs w:val="21"/>
          <w:lang w:eastAsia="zh-CN"/>
        </w:rPr>
        <w:t xml:space="preserve"> </w:t>
      </w:r>
    </w:p>
    <w:p w14:paraId="680A3BAB">
      <w:pPr>
        <w:pBdr>
          <w:top w:val="none" w:color="auto" w:sz="0" w:space="0"/>
          <w:left w:val="none" w:color="auto" w:sz="0" w:space="0"/>
          <w:bottom w:val="none" w:color="auto" w:sz="0" w:space="0"/>
          <w:right w:val="none" w:color="auto" w:sz="0" w:space="0"/>
          <w:between w:val="none" w:color="auto" w:sz="0" w:space="0"/>
        </w:pBdr>
        <w:spacing w:line="440" w:lineRule="exact"/>
        <w:ind w:firstLine="235" w:firstLineChars="9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9.2 投标人踏勘现场发生的费用自理。</w:t>
      </w:r>
    </w:p>
    <w:p w14:paraId="6BA00B6D">
      <w:pPr>
        <w:pBdr>
          <w:top w:val="none" w:color="auto" w:sz="0" w:space="0"/>
          <w:left w:val="none" w:color="auto" w:sz="0" w:space="0"/>
          <w:bottom w:val="none" w:color="auto" w:sz="0" w:space="0"/>
          <w:right w:val="none" w:color="auto" w:sz="0" w:space="0"/>
          <w:between w:val="none" w:color="auto" w:sz="0" w:space="0"/>
        </w:pBdr>
        <w:spacing w:line="440" w:lineRule="exact"/>
        <w:ind w:firstLine="235" w:firstLineChars="9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9.3 除采购人的原因外，投标人自行负责在踏勘现场中所发生的人员伤亡和财产损失。</w:t>
      </w:r>
    </w:p>
    <w:p w14:paraId="75E33B8C">
      <w:pPr>
        <w:pBdr>
          <w:top w:val="none" w:color="auto" w:sz="0" w:space="0"/>
          <w:left w:val="none" w:color="auto" w:sz="0" w:space="0"/>
          <w:bottom w:val="none" w:color="auto" w:sz="0" w:space="0"/>
          <w:right w:val="none" w:color="auto" w:sz="0" w:space="0"/>
          <w:between w:val="none" w:color="auto" w:sz="0" w:space="0"/>
        </w:pBdr>
        <w:spacing w:line="440" w:lineRule="exact"/>
        <w:ind w:firstLine="235" w:firstLineChars="9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9.4 采购人在踏勘现场中介绍的场地和相关的周边环境情况，供投标人在编制投标文件时参考，采购人不对投标人据此作出的判断和决策负责。</w:t>
      </w:r>
      <w:bookmarkStart w:id="49" w:name="_Toc296602430"/>
      <w:bookmarkStart w:id="50" w:name="_Toc152045540"/>
      <w:bookmarkStart w:id="51" w:name="_Toc247513963"/>
      <w:bookmarkStart w:id="52" w:name="_Toc247592877"/>
      <w:bookmarkStart w:id="53" w:name="_Toc152042316"/>
      <w:bookmarkStart w:id="54" w:name="_Toc247527564"/>
      <w:bookmarkStart w:id="55" w:name="_Toc144974508"/>
    </w:p>
    <w:p w14:paraId="297059E1">
      <w:pPr>
        <w:pBdr>
          <w:top w:val="none" w:color="auto" w:sz="0" w:space="0"/>
          <w:left w:val="none" w:color="auto" w:sz="0" w:space="0"/>
          <w:bottom w:val="none" w:color="auto" w:sz="0" w:space="0"/>
          <w:right w:val="none" w:color="auto" w:sz="0" w:space="0"/>
          <w:between w:val="none" w:color="auto" w:sz="0" w:space="0"/>
        </w:pBdr>
        <w:spacing w:line="440" w:lineRule="exact"/>
        <w:ind w:firstLine="236" w:firstLineChars="98"/>
        <w:rPr>
          <w:rFonts w:hint="eastAsia" w:asciiTheme="minorEastAsia" w:hAnsiTheme="minorEastAsia" w:eastAsiaTheme="minorEastAsia" w:cstheme="minorEastAsia"/>
          <w:b/>
          <w:color w:val="auto"/>
          <w:szCs w:val="21"/>
          <w:lang w:eastAsia="zh-CN"/>
        </w:rPr>
      </w:pPr>
      <w:r>
        <w:rPr>
          <w:rFonts w:hint="eastAsia" w:asciiTheme="minorEastAsia" w:hAnsiTheme="minorEastAsia" w:eastAsiaTheme="minorEastAsia" w:cstheme="minorEastAsia"/>
          <w:b/>
          <w:color w:val="auto"/>
          <w:szCs w:val="21"/>
          <w:lang w:eastAsia="zh-CN"/>
        </w:rPr>
        <w:t xml:space="preserve">10. </w:t>
      </w:r>
      <w:bookmarkEnd w:id="49"/>
      <w:bookmarkEnd w:id="50"/>
      <w:bookmarkEnd w:id="51"/>
      <w:bookmarkEnd w:id="52"/>
      <w:bookmarkEnd w:id="53"/>
      <w:bookmarkEnd w:id="54"/>
      <w:bookmarkEnd w:id="55"/>
      <w:r>
        <w:rPr>
          <w:rFonts w:hint="eastAsia" w:asciiTheme="minorEastAsia" w:hAnsiTheme="minorEastAsia" w:eastAsiaTheme="minorEastAsia" w:cstheme="minorEastAsia"/>
          <w:color w:val="auto"/>
          <w:szCs w:val="21"/>
          <w:lang w:eastAsia="zh-CN"/>
        </w:rPr>
        <w:t>澄清投标人提出的问题</w:t>
      </w:r>
    </w:p>
    <w:p w14:paraId="494E8C01">
      <w:pPr>
        <w:pBdr>
          <w:top w:val="none" w:color="auto" w:sz="0" w:space="0"/>
          <w:left w:val="none" w:color="auto" w:sz="0" w:space="0"/>
          <w:bottom w:val="none" w:color="auto" w:sz="0" w:space="0"/>
          <w:right w:val="none" w:color="auto" w:sz="0" w:space="0"/>
          <w:between w:val="none" w:color="auto" w:sz="0" w:space="0"/>
        </w:pBdr>
        <w:spacing w:line="440" w:lineRule="exact"/>
        <w:ind w:firstLine="235" w:firstLineChars="9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10.</w:t>
      </w:r>
      <w:r>
        <w:rPr>
          <w:rFonts w:hint="eastAsia" w:asciiTheme="minorEastAsia" w:hAnsiTheme="minorEastAsia" w:eastAsiaTheme="minorEastAsia" w:cstheme="minorEastAsia"/>
          <w:color w:val="auto"/>
          <w:szCs w:val="21"/>
          <w:lang w:val="en-US" w:eastAsia="zh-CN"/>
        </w:rPr>
        <w:t>1</w:t>
      </w:r>
      <w:r>
        <w:rPr>
          <w:rFonts w:hint="eastAsia" w:asciiTheme="minorEastAsia" w:hAnsiTheme="minorEastAsia" w:eastAsiaTheme="minorEastAsia" w:cstheme="minorEastAsia"/>
          <w:color w:val="auto"/>
          <w:szCs w:val="21"/>
          <w:lang w:eastAsia="zh-CN"/>
        </w:rPr>
        <w:t>投标人应在投标人须知前附表规定的时间前，将提出的问题送达采购人，以便采购人澄清。采购人规定的时间，将对投标人所提的问题进行澄清。该澄清内容为采购文件的组成部分。</w:t>
      </w:r>
    </w:p>
    <w:p w14:paraId="655DEE42">
      <w:pPr>
        <w:pBdr>
          <w:top w:val="none" w:color="auto" w:sz="0" w:space="0"/>
          <w:left w:val="none" w:color="auto" w:sz="0" w:space="0"/>
          <w:bottom w:val="none" w:color="auto" w:sz="0" w:space="0"/>
          <w:right w:val="none" w:color="auto" w:sz="0" w:space="0"/>
          <w:between w:val="none" w:color="auto" w:sz="0" w:space="0"/>
        </w:pBdr>
        <w:spacing w:line="440" w:lineRule="exact"/>
        <w:ind w:firstLine="236" w:firstLineChars="98"/>
        <w:rPr>
          <w:rFonts w:hint="eastAsia" w:asciiTheme="minorEastAsia" w:hAnsiTheme="minorEastAsia" w:eastAsiaTheme="minorEastAsia" w:cstheme="minorEastAsia"/>
          <w:b/>
          <w:color w:val="auto"/>
          <w:szCs w:val="21"/>
          <w:lang w:eastAsia="zh-CN"/>
        </w:rPr>
      </w:pPr>
      <w:r>
        <w:rPr>
          <w:rFonts w:hint="eastAsia" w:asciiTheme="minorEastAsia" w:hAnsiTheme="minorEastAsia" w:eastAsiaTheme="minorEastAsia" w:cstheme="minorEastAsia"/>
          <w:b/>
          <w:color w:val="auto"/>
          <w:szCs w:val="21"/>
          <w:lang w:eastAsia="zh-CN"/>
        </w:rPr>
        <w:t>11. 联合投标</w:t>
      </w:r>
    </w:p>
    <w:p w14:paraId="5F8A4965">
      <w:pPr>
        <w:pBdr>
          <w:top w:val="none" w:color="auto" w:sz="0" w:space="0"/>
          <w:left w:val="none" w:color="auto" w:sz="0" w:space="0"/>
          <w:bottom w:val="none" w:color="auto" w:sz="0" w:space="0"/>
          <w:right w:val="none" w:color="auto" w:sz="0" w:space="0"/>
          <w:between w:val="none" w:color="auto" w:sz="0" w:space="0"/>
        </w:pBdr>
        <w:spacing w:line="440" w:lineRule="exact"/>
        <w:ind w:firstLine="235" w:firstLineChars="9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11.1 两个以上投标人可以组成一个投标联合体，以一个投标人的身份投标。以联合体形式参加投标的，联合体各方均应当符合《政府采购法》第二十二条规定的条件。采购人根据采购项目的特殊要求规定投标人特定条件的，联合体各方中至少应当有一方符合采购人规定的特定条件。</w:t>
      </w:r>
    </w:p>
    <w:p w14:paraId="572E855A">
      <w:pPr>
        <w:pBdr>
          <w:top w:val="none" w:color="auto" w:sz="0" w:space="0"/>
          <w:left w:val="none" w:color="auto" w:sz="0" w:space="0"/>
          <w:bottom w:val="none" w:color="auto" w:sz="0" w:space="0"/>
          <w:right w:val="none" w:color="auto" w:sz="0" w:space="0"/>
          <w:between w:val="none" w:color="auto" w:sz="0" w:space="0"/>
        </w:pBdr>
        <w:spacing w:line="400" w:lineRule="exact"/>
        <w:ind w:firstLine="235" w:firstLineChars="9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11.2联合体各方之间应当签订共同投标协议，明确约定联合体各方承担的工作和相应的责任，并将共同投标协议连同投标文件一并提交采购人。联合体各方签订共同投标协议后，不得再以自己名义单独在同一项目中投标，也不得组成新的联合体参加同一项目投标。</w:t>
      </w:r>
    </w:p>
    <w:p w14:paraId="2EBEA97C">
      <w:pPr>
        <w:pBdr>
          <w:top w:val="none" w:color="auto" w:sz="0" w:space="0"/>
          <w:left w:val="none" w:color="auto" w:sz="0" w:space="0"/>
          <w:bottom w:val="none" w:color="auto" w:sz="0" w:space="0"/>
          <w:right w:val="none" w:color="auto" w:sz="0" w:space="0"/>
          <w:between w:val="none" w:color="auto" w:sz="0" w:space="0"/>
        </w:pBdr>
        <w:spacing w:line="400" w:lineRule="exact"/>
        <w:ind w:firstLine="235" w:firstLineChars="9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11.3 联合体应当确定其中一个单位为投标的全权代表，负责参加投标的一切事务，并承担投标及履约中应承担的全部责任与义务。</w:t>
      </w:r>
    </w:p>
    <w:p w14:paraId="6378C114">
      <w:pPr>
        <w:pStyle w:val="13"/>
        <w:pBdr>
          <w:top w:val="none" w:color="auto" w:sz="0" w:space="0"/>
          <w:left w:val="none" w:color="auto" w:sz="0" w:space="0"/>
          <w:bottom w:val="none" w:color="auto" w:sz="0" w:space="0"/>
          <w:right w:val="none" w:color="auto" w:sz="0" w:space="0"/>
          <w:between w:val="none" w:color="auto" w:sz="0" w:space="0"/>
        </w:pBdr>
        <w:spacing w:after="0" w:line="400" w:lineRule="exact"/>
        <w:ind w:left="0" w:leftChars="0" w:firstLine="235" w:firstLineChars="9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11.4 联合体各方应当共同与采购人签订采购合同，就采购合同约定的事项对采购人承担连带责任。</w:t>
      </w:r>
    </w:p>
    <w:p w14:paraId="2A93FD99">
      <w:pPr>
        <w:pBdr>
          <w:top w:val="none" w:color="auto" w:sz="0" w:space="0"/>
          <w:left w:val="none" w:color="auto" w:sz="0" w:space="0"/>
          <w:bottom w:val="none" w:color="auto" w:sz="0" w:space="0"/>
          <w:right w:val="none" w:color="auto" w:sz="0" w:space="0"/>
          <w:between w:val="none" w:color="auto" w:sz="0" w:space="0"/>
        </w:pBdr>
        <w:spacing w:line="440" w:lineRule="exact"/>
        <w:ind w:firstLine="236" w:firstLineChars="98"/>
        <w:rPr>
          <w:rFonts w:hint="eastAsia" w:asciiTheme="minorEastAsia" w:hAnsiTheme="minorEastAsia" w:eastAsiaTheme="minorEastAsia" w:cstheme="minorEastAsia"/>
          <w:b/>
          <w:color w:val="auto"/>
          <w:szCs w:val="21"/>
          <w:lang w:eastAsia="zh-CN"/>
        </w:rPr>
      </w:pPr>
      <w:r>
        <w:rPr>
          <w:rFonts w:hint="eastAsia" w:asciiTheme="minorEastAsia" w:hAnsiTheme="minorEastAsia" w:eastAsiaTheme="minorEastAsia" w:cstheme="minorEastAsia"/>
          <w:b/>
          <w:color w:val="auto"/>
          <w:szCs w:val="21"/>
          <w:lang w:eastAsia="zh-CN"/>
        </w:rPr>
        <w:t>12.招标代理费</w:t>
      </w:r>
    </w:p>
    <w:p w14:paraId="0A74AE8D">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12.1中标人应按投标须知前附表规定交纳采购代理服务费。</w:t>
      </w:r>
    </w:p>
    <w:p w14:paraId="39591424">
      <w:pPr>
        <w:pBdr>
          <w:top w:val="none" w:color="auto" w:sz="0" w:space="0"/>
          <w:left w:val="none" w:color="auto" w:sz="0" w:space="0"/>
          <w:bottom w:val="none" w:color="auto" w:sz="0" w:space="0"/>
          <w:right w:val="none" w:color="auto" w:sz="0" w:space="0"/>
          <w:between w:val="none" w:color="auto" w:sz="0" w:space="0"/>
        </w:pBdr>
        <w:spacing w:line="440" w:lineRule="exact"/>
        <w:ind w:firstLine="241" w:firstLineChars="100"/>
        <w:rPr>
          <w:rFonts w:hint="eastAsia" w:asciiTheme="minorEastAsia" w:hAnsiTheme="minorEastAsia" w:eastAsiaTheme="minorEastAsia" w:cstheme="minorEastAsia"/>
          <w:b/>
          <w:color w:val="auto"/>
          <w:szCs w:val="21"/>
          <w:lang w:eastAsia="zh-CN"/>
        </w:rPr>
      </w:pPr>
      <w:r>
        <w:rPr>
          <w:rFonts w:hint="eastAsia" w:asciiTheme="minorEastAsia" w:hAnsiTheme="minorEastAsia" w:eastAsiaTheme="minorEastAsia" w:cstheme="minorEastAsia"/>
          <w:b/>
          <w:color w:val="auto"/>
          <w:szCs w:val="21"/>
          <w:lang w:eastAsia="zh-CN"/>
        </w:rPr>
        <w:t>13.投标人应注意的事项</w:t>
      </w:r>
    </w:p>
    <w:p w14:paraId="29667668">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bCs/>
          <w:color w:val="auto"/>
          <w:szCs w:val="21"/>
          <w:lang w:eastAsia="zh-CN"/>
        </w:rPr>
      </w:pPr>
      <w:r>
        <w:rPr>
          <w:rFonts w:hint="eastAsia" w:asciiTheme="minorEastAsia" w:hAnsiTheme="minorEastAsia" w:eastAsiaTheme="minorEastAsia" w:cstheme="minorEastAsia"/>
          <w:color w:val="auto"/>
          <w:szCs w:val="21"/>
          <w:lang w:eastAsia="zh-CN"/>
        </w:rPr>
        <w:t>13.1投标人一旦按规定缴纳了投标保证金并参加投标，即被认为接受了本采购文件中的所有条件和规定。投标人必须严格按采购文件的要求编制投标文件，投标文件宜编制页码和目录，以便评委审核。否则，由此产生的一切后果由投标人承担。</w:t>
      </w:r>
    </w:p>
    <w:p w14:paraId="5AD938A4">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bCs/>
          <w:color w:val="auto"/>
          <w:szCs w:val="21"/>
          <w:lang w:eastAsia="zh-CN"/>
        </w:rPr>
      </w:pPr>
      <w:r>
        <w:rPr>
          <w:rFonts w:hint="eastAsia" w:asciiTheme="minorEastAsia" w:hAnsiTheme="minorEastAsia" w:eastAsiaTheme="minorEastAsia" w:cstheme="minorEastAsia"/>
          <w:bCs/>
          <w:color w:val="auto"/>
          <w:szCs w:val="21"/>
          <w:lang w:eastAsia="zh-CN"/>
        </w:rPr>
        <w:t>13.2 投标人对采购内容中规定的技术参数、规格等要求须响应采购文件中的要求。</w:t>
      </w:r>
    </w:p>
    <w:p w14:paraId="5A5EC2A5">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bCs/>
          <w:color w:val="auto"/>
          <w:szCs w:val="21"/>
          <w:lang w:eastAsia="zh-CN"/>
        </w:rPr>
      </w:pPr>
      <w:r>
        <w:rPr>
          <w:rFonts w:hint="eastAsia" w:asciiTheme="minorEastAsia" w:hAnsiTheme="minorEastAsia" w:eastAsiaTheme="minorEastAsia" w:cstheme="minorEastAsia"/>
          <w:bCs/>
          <w:color w:val="auto"/>
          <w:szCs w:val="21"/>
          <w:lang w:eastAsia="zh-CN"/>
        </w:rPr>
        <w:t>13.3所有投标人的投标保证金都应在采购文件规定的投标保证金缴纳截止日期前缴纳。</w:t>
      </w:r>
    </w:p>
    <w:p w14:paraId="005E1055">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bCs/>
          <w:color w:val="auto"/>
          <w:szCs w:val="21"/>
          <w:lang w:eastAsia="zh-CN"/>
        </w:rPr>
      </w:pPr>
      <w:r>
        <w:rPr>
          <w:rFonts w:hint="eastAsia" w:asciiTheme="minorEastAsia" w:hAnsiTheme="minorEastAsia" w:eastAsiaTheme="minorEastAsia" w:cstheme="minorEastAsia"/>
          <w:bCs/>
          <w:color w:val="auto"/>
          <w:szCs w:val="21"/>
          <w:lang w:eastAsia="zh-CN"/>
        </w:rPr>
        <w:t>13.4单位负责人为同一人或者存在直接控股、管理关系的不同供应商，不得参加同一合同项下的政府采购活动。</w:t>
      </w:r>
      <w:r>
        <w:rPr>
          <w:rFonts w:hint="eastAsia" w:asciiTheme="minorEastAsia" w:hAnsiTheme="minorEastAsia" w:eastAsiaTheme="minorEastAsia" w:cstheme="minorEastAsia"/>
          <w:color w:val="auto"/>
          <w:szCs w:val="21"/>
          <w:lang w:eastAsia="zh-CN"/>
        </w:rPr>
        <w:t>为采购项目提供整体设计、规范编制或者项目管理、监理、检测等服务的供应商，不得再参加该采购项目的其他采购活动。</w:t>
      </w:r>
    </w:p>
    <w:p w14:paraId="33A53EEF">
      <w:pPr>
        <w:pBdr>
          <w:top w:val="none" w:color="auto" w:sz="0" w:space="0"/>
          <w:left w:val="none" w:color="auto" w:sz="0" w:space="0"/>
          <w:bottom w:val="none" w:color="auto" w:sz="0" w:space="0"/>
          <w:right w:val="none" w:color="auto" w:sz="0" w:space="0"/>
          <w:between w:val="none" w:color="auto" w:sz="0" w:space="0"/>
        </w:pBdr>
        <w:snapToGrid w:val="0"/>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bCs/>
          <w:color w:val="auto"/>
          <w:szCs w:val="21"/>
          <w:lang w:eastAsia="zh-CN"/>
        </w:rPr>
        <w:t>13.5本项目只接受</w:t>
      </w:r>
      <w:r>
        <w:rPr>
          <w:rFonts w:hint="eastAsia" w:asciiTheme="minorEastAsia" w:hAnsiTheme="minorEastAsia" w:eastAsiaTheme="minorEastAsia" w:cstheme="minorEastAsia"/>
          <w:color w:val="auto"/>
          <w:szCs w:val="21"/>
          <w:lang w:eastAsia="zh-CN"/>
        </w:rPr>
        <w:t>成为新疆维吾尔自治区政府采购网正式注册入库并完成CA数字证书申领供应商参与投标。因未注册入库、未办理CA数字证书等原因造成无法投标或投标失败等后果由供应商自行承担。</w:t>
      </w:r>
    </w:p>
    <w:p w14:paraId="656C1730">
      <w:pPr>
        <w:pBdr>
          <w:top w:val="none" w:color="auto" w:sz="0" w:space="0"/>
          <w:left w:val="none" w:color="auto" w:sz="0" w:space="0"/>
          <w:bottom w:val="none" w:color="auto" w:sz="0" w:space="0"/>
          <w:right w:val="none" w:color="auto" w:sz="0" w:space="0"/>
          <w:between w:val="none" w:color="auto" w:sz="0" w:space="0"/>
        </w:pBdr>
        <w:wordWrap w:val="0"/>
        <w:spacing w:line="440" w:lineRule="exact"/>
        <w:ind w:firstLine="241" w:firstLineChars="100"/>
        <w:rPr>
          <w:rFonts w:hint="eastAsia" w:asciiTheme="minorEastAsia" w:hAnsiTheme="minorEastAsia" w:eastAsiaTheme="minorEastAsia" w:cstheme="minorEastAsia"/>
          <w:bCs/>
          <w:color w:val="auto"/>
          <w:szCs w:val="21"/>
          <w:lang w:eastAsia="zh-CN"/>
        </w:rPr>
      </w:pPr>
      <w:r>
        <w:rPr>
          <w:rFonts w:hint="eastAsia" w:asciiTheme="minorEastAsia" w:hAnsiTheme="minorEastAsia" w:eastAsiaTheme="minorEastAsia" w:cstheme="minorEastAsia"/>
          <w:b/>
          <w:bCs w:val="0"/>
          <w:color w:val="auto"/>
          <w:szCs w:val="21"/>
          <w:lang w:val="en-US" w:eastAsia="zh-CN"/>
        </w:rPr>
        <w:t>14.</w:t>
      </w:r>
      <w:r>
        <w:rPr>
          <w:rFonts w:hint="eastAsia" w:asciiTheme="minorEastAsia" w:hAnsiTheme="minorEastAsia" w:eastAsiaTheme="minorEastAsia" w:cstheme="minorEastAsia"/>
          <w:bCs/>
          <w:color w:val="auto"/>
          <w:szCs w:val="21"/>
          <w:lang w:eastAsia="zh-CN"/>
        </w:rPr>
        <w:t>投标人被视为充分熟悉本招标项目所在地的与履行合同有关的各种情况，包括但不限于：</w:t>
      </w:r>
    </w:p>
    <w:p w14:paraId="7EC275C8">
      <w:pPr>
        <w:pBdr>
          <w:top w:val="none" w:color="auto" w:sz="0" w:space="0"/>
          <w:left w:val="none" w:color="auto" w:sz="0" w:space="0"/>
          <w:bottom w:val="none" w:color="auto" w:sz="0" w:space="0"/>
          <w:right w:val="none" w:color="auto" w:sz="0" w:space="0"/>
          <w:between w:val="none" w:color="auto" w:sz="0" w:space="0"/>
        </w:pBdr>
        <w:spacing w:line="400" w:lineRule="exact"/>
        <w:ind w:firstLine="360" w:firstLineChars="150"/>
        <w:rPr>
          <w:rFonts w:hint="eastAsia" w:asciiTheme="minorEastAsia" w:hAnsiTheme="minorEastAsia" w:eastAsiaTheme="minorEastAsia" w:cstheme="minorEastAsia"/>
          <w:bCs/>
          <w:color w:val="auto"/>
          <w:szCs w:val="21"/>
          <w:lang w:eastAsia="zh-CN"/>
        </w:rPr>
      </w:pPr>
      <w:r>
        <w:rPr>
          <w:rFonts w:hint="eastAsia" w:asciiTheme="minorEastAsia" w:hAnsiTheme="minorEastAsia" w:eastAsiaTheme="minorEastAsia" w:cstheme="minorEastAsia"/>
          <w:bCs/>
          <w:color w:val="auto"/>
          <w:szCs w:val="21"/>
          <w:lang w:eastAsia="zh-CN"/>
        </w:rPr>
        <w:t>（1）国家对本次投标货物和服务的生产、安装调试、验收、维修等有关法律、法规及行业管理标准；</w:t>
      </w:r>
    </w:p>
    <w:p w14:paraId="052D88B3">
      <w:pPr>
        <w:pBdr>
          <w:top w:val="none" w:color="auto" w:sz="0" w:space="0"/>
          <w:left w:val="none" w:color="auto" w:sz="0" w:space="0"/>
          <w:bottom w:val="none" w:color="auto" w:sz="0" w:space="0"/>
          <w:right w:val="none" w:color="auto" w:sz="0" w:space="0"/>
          <w:between w:val="none" w:color="auto" w:sz="0" w:space="0"/>
        </w:pBdr>
        <w:spacing w:line="400" w:lineRule="exact"/>
        <w:ind w:firstLine="360" w:firstLineChars="150"/>
        <w:rPr>
          <w:rFonts w:hint="eastAsia" w:asciiTheme="minorEastAsia" w:hAnsiTheme="minorEastAsia" w:eastAsiaTheme="minorEastAsia" w:cstheme="minorEastAsia"/>
          <w:bCs/>
          <w:color w:val="auto"/>
          <w:szCs w:val="21"/>
          <w:lang w:eastAsia="zh-CN"/>
        </w:rPr>
      </w:pPr>
      <w:r>
        <w:rPr>
          <w:rFonts w:hint="eastAsia" w:asciiTheme="minorEastAsia" w:hAnsiTheme="minorEastAsia" w:eastAsiaTheme="minorEastAsia" w:cstheme="minorEastAsia"/>
          <w:bCs/>
          <w:color w:val="auto"/>
          <w:szCs w:val="21"/>
          <w:lang w:eastAsia="zh-CN"/>
        </w:rPr>
        <w:t>（2）本地区有关管理部门的相关规定；</w:t>
      </w:r>
    </w:p>
    <w:p w14:paraId="3EE1E510">
      <w:pPr>
        <w:pBdr>
          <w:top w:val="none" w:color="auto" w:sz="0" w:space="0"/>
          <w:left w:val="none" w:color="auto" w:sz="0" w:space="0"/>
          <w:bottom w:val="none" w:color="auto" w:sz="0" w:space="0"/>
          <w:right w:val="none" w:color="auto" w:sz="0" w:space="0"/>
          <w:between w:val="none" w:color="auto" w:sz="0" w:space="0"/>
        </w:pBdr>
        <w:spacing w:line="400" w:lineRule="exact"/>
        <w:ind w:firstLine="360" w:firstLineChars="150"/>
        <w:rPr>
          <w:rFonts w:hint="eastAsia" w:asciiTheme="minorEastAsia" w:hAnsiTheme="minorEastAsia" w:eastAsiaTheme="minorEastAsia" w:cstheme="minorEastAsia"/>
          <w:bCs/>
          <w:color w:val="auto"/>
          <w:szCs w:val="21"/>
          <w:lang w:eastAsia="zh-CN"/>
        </w:rPr>
      </w:pPr>
      <w:r>
        <w:rPr>
          <w:rFonts w:hint="eastAsia" w:asciiTheme="minorEastAsia" w:hAnsiTheme="minorEastAsia" w:eastAsiaTheme="minorEastAsia" w:cstheme="minorEastAsia"/>
          <w:bCs/>
          <w:color w:val="auto"/>
          <w:szCs w:val="21"/>
          <w:lang w:eastAsia="zh-CN"/>
        </w:rPr>
        <w:t>（3）采购人的相关场地情况、基础建设、电力供应情况及相关设计标准。</w:t>
      </w:r>
    </w:p>
    <w:p w14:paraId="7B1D6CD4">
      <w:pPr>
        <w:pBdr>
          <w:top w:val="none" w:color="auto" w:sz="0" w:space="0"/>
          <w:left w:val="none" w:color="auto" w:sz="0" w:space="0"/>
          <w:bottom w:val="none" w:color="auto" w:sz="0" w:space="0"/>
          <w:right w:val="none" w:color="auto" w:sz="0" w:space="0"/>
          <w:between w:val="none" w:color="auto" w:sz="0" w:space="0"/>
        </w:pBdr>
        <w:spacing w:line="400" w:lineRule="exact"/>
        <w:ind w:firstLine="360" w:firstLineChars="150"/>
        <w:rPr>
          <w:rFonts w:hint="eastAsia" w:asciiTheme="minorEastAsia" w:hAnsiTheme="minorEastAsia" w:eastAsiaTheme="minorEastAsia" w:cstheme="minorEastAsia"/>
          <w:bCs/>
          <w:color w:val="auto"/>
          <w:szCs w:val="21"/>
          <w:lang w:eastAsia="zh-CN"/>
        </w:rPr>
      </w:pPr>
      <w:r>
        <w:rPr>
          <w:rFonts w:hint="eastAsia" w:asciiTheme="minorEastAsia" w:hAnsiTheme="minorEastAsia" w:eastAsiaTheme="minorEastAsia" w:cstheme="minorEastAsia"/>
          <w:bCs/>
          <w:color w:val="auto"/>
          <w:szCs w:val="21"/>
          <w:lang w:eastAsia="zh-CN"/>
        </w:rPr>
        <w:t>本采购文件不再对上述情况进行描述。</w:t>
      </w:r>
    </w:p>
    <w:p w14:paraId="32E4EEF0">
      <w:pPr>
        <w:pBdr>
          <w:top w:val="none" w:color="auto" w:sz="0" w:space="0"/>
          <w:left w:val="none" w:color="auto" w:sz="0" w:space="0"/>
          <w:bottom w:val="none" w:color="auto" w:sz="0" w:space="0"/>
          <w:right w:val="none" w:color="auto" w:sz="0" w:space="0"/>
          <w:between w:val="none" w:color="auto" w:sz="0" w:space="0"/>
        </w:pBdr>
        <w:spacing w:before="312" w:beforeLines="100" w:after="312" w:afterLines="100" w:line="440" w:lineRule="exact"/>
        <w:jc w:val="center"/>
        <w:outlineLvl w:val="2"/>
        <w:rPr>
          <w:rFonts w:hint="eastAsia" w:asciiTheme="minorEastAsia" w:hAnsiTheme="minorEastAsia" w:eastAsiaTheme="minorEastAsia" w:cstheme="minorEastAsia"/>
          <w:b/>
          <w:color w:val="auto"/>
          <w:sz w:val="28"/>
          <w:szCs w:val="28"/>
          <w:lang w:eastAsia="zh-CN"/>
        </w:rPr>
      </w:pPr>
      <w:bookmarkStart w:id="56" w:name="_Toc469495725"/>
      <w:r>
        <w:rPr>
          <w:rFonts w:hint="eastAsia" w:asciiTheme="minorEastAsia" w:hAnsiTheme="minorEastAsia" w:eastAsiaTheme="minorEastAsia" w:cstheme="minorEastAsia"/>
          <w:b/>
          <w:color w:val="auto"/>
          <w:sz w:val="28"/>
          <w:szCs w:val="28"/>
          <w:lang w:eastAsia="zh-CN"/>
        </w:rPr>
        <w:t>（二）</w:t>
      </w:r>
      <w:bookmarkEnd w:id="56"/>
      <w:r>
        <w:rPr>
          <w:rFonts w:hint="eastAsia" w:asciiTheme="minorEastAsia" w:hAnsiTheme="minorEastAsia" w:eastAsiaTheme="minorEastAsia" w:cstheme="minorEastAsia"/>
          <w:b/>
          <w:color w:val="auto"/>
          <w:sz w:val="28"/>
          <w:szCs w:val="28"/>
          <w:lang w:eastAsia="zh-CN"/>
        </w:rPr>
        <w:t>招标文件</w:t>
      </w:r>
    </w:p>
    <w:p w14:paraId="13AF32A6">
      <w:pPr>
        <w:pBdr>
          <w:top w:val="none" w:color="auto" w:sz="0" w:space="0"/>
          <w:left w:val="none" w:color="auto" w:sz="0" w:space="0"/>
          <w:bottom w:val="none" w:color="auto" w:sz="0" w:space="0"/>
          <w:right w:val="none" w:color="auto" w:sz="0" w:space="0"/>
          <w:between w:val="none" w:color="auto" w:sz="0" w:space="0"/>
        </w:pBdr>
        <w:spacing w:line="440" w:lineRule="exact"/>
        <w:ind w:firstLine="241" w:firstLineChars="100"/>
        <w:rPr>
          <w:rFonts w:hint="eastAsia" w:asciiTheme="minorEastAsia" w:hAnsiTheme="minorEastAsia" w:eastAsiaTheme="minorEastAsia" w:cstheme="minorEastAsia"/>
          <w:b/>
          <w:color w:val="auto"/>
          <w:szCs w:val="21"/>
          <w:lang w:eastAsia="zh-CN"/>
        </w:rPr>
      </w:pPr>
      <w:r>
        <w:rPr>
          <w:rFonts w:hint="eastAsia" w:asciiTheme="minorEastAsia" w:hAnsiTheme="minorEastAsia" w:eastAsiaTheme="minorEastAsia" w:cstheme="minorEastAsia"/>
          <w:b/>
          <w:color w:val="auto"/>
          <w:szCs w:val="21"/>
          <w:lang w:eastAsia="zh-CN"/>
        </w:rPr>
        <w:t>15. 采购文件的编制依据</w:t>
      </w:r>
    </w:p>
    <w:p w14:paraId="4336CC64">
      <w:pPr>
        <w:pBdr>
          <w:top w:val="none" w:color="auto" w:sz="0" w:space="0"/>
          <w:left w:val="none" w:color="auto" w:sz="0" w:space="0"/>
          <w:bottom w:val="none" w:color="auto" w:sz="0" w:space="0"/>
          <w:right w:val="none" w:color="auto" w:sz="0" w:space="0"/>
          <w:between w:val="none" w:color="auto" w:sz="0" w:space="0"/>
        </w:pBdr>
        <w:spacing w:line="440" w:lineRule="exact"/>
        <w:ind w:firstLine="480" w:firstLineChars="2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根据《中华人民共和国政府采购法》、《政府采购货物和服务招标投标管理办法》</w:t>
      </w:r>
      <w:r>
        <w:rPr>
          <w:rFonts w:hint="eastAsia" w:asciiTheme="minorEastAsia" w:hAnsiTheme="minorEastAsia" w:eastAsiaTheme="minorEastAsia" w:cstheme="minorEastAsia"/>
          <w:color w:val="auto"/>
          <w:spacing w:val="-2"/>
          <w:szCs w:val="21"/>
          <w:lang w:eastAsia="zh-CN"/>
        </w:rPr>
        <w:t>等相关法律法规和规章及部、省、市级规范性文件的规定，编制本采购文件。</w:t>
      </w:r>
    </w:p>
    <w:p w14:paraId="284BFA1C">
      <w:pPr>
        <w:pBdr>
          <w:top w:val="none" w:color="auto" w:sz="0" w:space="0"/>
          <w:left w:val="none" w:color="auto" w:sz="0" w:space="0"/>
          <w:bottom w:val="none" w:color="auto" w:sz="0" w:space="0"/>
          <w:right w:val="none" w:color="auto" w:sz="0" w:space="0"/>
          <w:between w:val="none" w:color="auto" w:sz="0" w:space="0"/>
        </w:pBdr>
        <w:spacing w:line="440" w:lineRule="exact"/>
        <w:ind w:firstLine="241" w:firstLineChars="100"/>
        <w:rPr>
          <w:rFonts w:hint="eastAsia" w:asciiTheme="minorEastAsia" w:hAnsiTheme="minorEastAsia" w:eastAsiaTheme="minorEastAsia" w:cstheme="minorEastAsia"/>
          <w:b/>
          <w:color w:val="auto"/>
          <w:szCs w:val="21"/>
          <w:lang w:eastAsia="zh-CN"/>
        </w:rPr>
      </w:pPr>
      <w:r>
        <w:rPr>
          <w:rFonts w:hint="eastAsia" w:asciiTheme="minorEastAsia" w:hAnsiTheme="minorEastAsia" w:eastAsiaTheme="minorEastAsia" w:cstheme="minorEastAsia"/>
          <w:b/>
          <w:color w:val="auto"/>
          <w:szCs w:val="21"/>
          <w:lang w:eastAsia="zh-CN"/>
        </w:rPr>
        <w:t>16. 采购文件的组成</w:t>
      </w:r>
    </w:p>
    <w:p w14:paraId="05C6DF97">
      <w:pPr>
        <w:pBdr>
          <w:top w:val="none" w:color="auto" w:sz="0" w:space="0"/>
          <w:left w:val="none" w:color="auto" w:sz="0" w:space="0"/>
          <w:bottom w:val="none" w:color="auto" w:sz="0" w:space="0"/>
          <w:right w:val="none" w:color="auto" w:sz="0" w:space="0"/>
          <w:between w:val="none" w:color="auto" w:sz="0" w:space="0"/>
        </w:pBdr>
        <w:tabs>
          <w:tab w:val="center" w:pos="4535"/>
        </w:tabs>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16.1 采购文件包括内容：</w:t>
      </w:r>
      <w:r>
        <w:rPr>
          <w:rFonts w:hint="eastAsia" w:asciiTheme="minorEastAsia" w:hAnsiTheme="minorEastAsia" w:eastAsiaTheme="minorEastAsia" w:cstheme="minorEastAsia"/>
          <w:color w:val="auto"/>
          <w:szCs w:val="21"/>
          <w:lang w:eastAsia="zh-CN"/>
        </w:rPr>
        <w:tab/>
      </w:r>
    </w:p>
    <w:p w14:paraId="397C480C">
      <w:pPr>
        <w:pBdr>
          <w:top w:val="none" w:color="auto" w:sz="0" w:space="0"/>
          <w:left w:val="none" w:color="auto" w:sz="0" w:space="0"/>
          <w:bottom w:val="none" w:color="auto" w:sz="0" w:space="0"/>
          <w:right w:val="none" w:color="auto" w:sz="0" w:space="0"/>
          <w:between w:val="none" w:color="auto" w:sz="0" w:space="0"/>
        </w:pBdr>
        <w:spacing w:line="440" w:lineRule="exact"/>
        <w:ind w:firstLine="960" w:firstLineChars="4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第一部分  招标公告</w:t>
      </w:r>
    </w:p>
    <w:p w14:paraId="6FE4C3EE">
      <w:pPr>
        <w:pBdr>
          <w:top w:val="none" w:color="auto" w:sz="0" w:space="0"/>
          <w:left w:val="none" w:color="auto" w:sz="0" w:space="0"/>
          <w:bottom w:val="none" w:color="auto" w:sz="0" w:space="0"/>
          <w:right w:val="none" w:color="auto" w:sz="0" w:space="0"/>
          <w:between w:val="none" w:color="auto" w:sz="0" w:space="0"/>
        </w:pBdr>
        <w:spacing w:line="440" w:lineRule="exact"/>
        <w:ind w:firstLine="960" w:firstLineChars="4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第二部分  投标须知</w:t>
      </w:r>
    </w:p>
    <w:p w14:paraId="363D7DEB">
      <w:pPr>
        <w:pBdr>
          <w:top w:val="none" w:color="auto" w:sz="0" w:space="0"/>
          <w:left w:val="none" w:color="auto" w:sz="0" w:space="0"/>
          <w:bottom w:val="none" w:color="auto" w:sz="0" w:space="0"/>
          <w:right w:val="none" w:color="auto" w:sz="0" w:space="0"/>
          <w:between w:val="none" w:color="auto" w:sz="0" w:space="0"/>
        </w:pBdr>
        <w:spacing w:line="440" w:lineRule="exact"/>
        <w:ind w:firstLine="960" w:firstLineChars="4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第三部分  评标办法</w:t>
      </w:r>
    </w:p>
    <w:p w14:paraId="70146EF8">
      <w:pPr>
        <w:pBdr>
          <w:top w:val="none" w:color="auto" w:sz="0" w:space="0"/>
          <w:left w:val="none" w:color="auto" w:sz="0" w:space="0"/>
          <w:bottom w:val="none" w:color="auto" w:sz="0" w:space="0"/>
          <w:right w:val="none" w:color="auto" w:sz="0" w:space="0"/>
          <w:between w:val="none" w:color="auto" w:sz="0" w:space="0"/>
        </w:pBdr>
        <w:spacing w:line="440" w:lineRule="exact"/>
        <w:ind w:left="0" w:leftChars="0" w:firstLine="960" w:firstLineChars="4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第四部分  采购内容及技术要求</w:t>
      </w:r>
    </w:p>
    <w:p w14:paraId="5AF20EB0">
      <w:pPr>
        <w:pBdr>
          <w:top w:val="none" w:color="auto" w:sz="0" w:space="0"/>
          <w:left w:val="none" w:color="auto" w:sz="0" w:space="0"/>
          <w:bottom w:val="none" w:color="auto" w:sz="0" w:space="0"/>
          <w:right w:val="none" w:color="auto" w:sz="0" w:space="0"/>
          <w:between w:val="none" w:color="auto" w:sz="0" w:space="0"/>
        </w:pBdr>
        <w:spacing w:line="440" w:lineRule="exact"/>
        <w:ind w:left="0" w:leftChars="0" w:firstLine="960" w:firstLineChars="4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第五部分  合同条款及格式</w:t>
      </w:r>
    </w:p>
    <w:p w14:paraId="132A53AD">
      <w:pPr>
        <w:pBdr>
          <w:top w:val="none" w:color="auto" w:sz="0" w:space="0"/>
          <w:left w:val="none" w:color="auto" w:sz="0" w:space="0"/>
          <w:bottom w:val="none" w:color="auto" w:sz="0" w:space="0"/>
          <w:right w:val="none" w:color="auto" w:sz="0" w:space="0"/>
          <w:between w:val="none" w:color="auto" w:sz="0" w:space="0"/>
        </w:pBdr>
        <w:spacing w:line="440" w:lineRule="exact"/>
        <w:ind w:left="0" w:leftChars="0" w:firstLine="960" w:firstLineChars="4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第六部分  投标文件格式</w:t>
      </w:r>
    </w:p>
    <w:p w14:paraId="59D8D03D">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16.2 除16.1内容外，招标答疑亦为采购文件的组成部分，对采购人和投标人起约束作用。</w:t>
      </w:r>
    </w:p>
    <w:p w14:paraId="6DB99D6F">
      <w:pPr>
        <w:pStyle w:val="14"/>
        <w:pBdr>
          <w:top w:val="none" w:color="auto" w:sz="0" w:space="0"/>
          <w:left w:val="none" w:color="auto" w:sz="0" w:space="0"/>
          <w:bottom w:val="none" w:color="auto" w:sz="0" w:space="0"/>
          <w:right w:val="none" w:color="auto" w:sz="0" w:space="0"/>
          <w:between w:val="none" w:color="auto" w:sz="0" w:space="0"/>
        </w:pBdr>
        <w:wordWrap w:val="0"/>
        <w:spacing w:line="400" w:lineRule="exact"/>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szCs w:val="21"/>
          <w:lang w:eastAsia="zh-CN"/>
        </w:rPr>
        <w:t xml:space="preserve">  16.3投标人应仔细阅读和检查采购文件的全部内容。如发现缺页或附件不全，应及时向采购人提出，以便补齐。如有疑问，投标人应在以书面形式一次性向采购人和采购代理机构提出同一环节的质疑。</w:t>
      </w:r>
    </w:p>
    <w:p w14:paraId="2904405A">
      <w:pPr>
        <w:pBdr>
          <w:top w:val="none" w:color="auto" w:sz="0" w:space="0"/>
          <w:left w:val="none" w:color="auto" w:sz="0" w:space="0"/>
          <w:bottom w:val="none" w:color="auto" w:sz="0" w:space="0"/>
          <w:right w:val="none" w:color="auto" w:sz="0" w:space="0"/>
          <w:between w:val="none" w:color="auto" w:sz="0" w:space="0"/>
        </w:pBdr>
        <w:wordWrap w:val="0"/>
        <w:spacing w:line="440" w:lineRule="exact"/>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 xml:space="preserve">  16.4供应商认为采购文件使自己的权益受到损害的，可以自收到采购文件之日（采购文件公告期限届满之前收到采购文件的，以完成获取采购文件申请后下载采购文件的时间为准）或者采购文件公告期限届满之日（公告发布后的第6个工作日）起7个工作日内且应当在采购响应截止时间之前，以书面形式一次性向采购人和采购代理机构提出同一环节的质疑。否则，被质疑人可不予接受。质疑供应商对采购人、采购代理机构的答复不满意或者采购人、采购代理机构未在规定的时间内作出答复的，可以在答复期满后十五个工作日内向同级政府采购监督管理部门投诉。质疑函范本、投诉书范本请到新疆政府采购网下载专区下载。采购文件的澄清将在政采云平台“更正公告”栏目予以公告，但不指明澄清问题的来源。如果澄清内容影响投标文件编制的，将相应延长投标截止时间。</w:t>
      </w:r>
    </w:p>
    <w:p w14:paraId="23258B5F">
      <w:pPr>
        <w:numPr>
          <w:ilvl w:val="0"/>
          <w:numId w:val="6"/>
        </w:numPr>
        <w:pBdr>
          <w:top w:val="none" w:color="auto" w:sz="0" w:space="0"/>
          <w:left w:val="none" w:color="auto" w:sz="0" w:space="0"/>
          <w:bottom w:val="none" w:color="auto" w:sz="0" w:space="0"/>
          <w:right w:val="none" w:color="auto" w:sz="0" w:space="0"/>
          <w:between w:val="none" w:color="auto" w:sz="0" w:space="0"/>
        </w:pBdr>
        <w:spacing w:line="440" w:lineRule="exact"/>
        <w:ind w:firstLine="241" w:firstLineChars="100"/>
        <w:rPr>
          <w:rFonts w:hint="eastAsia" w:asciiTheme="minorEastAsia" w:hAnsiTheme="minorEastAsia" w:eastAsiaTheme="minorEastAsia" w:cstheme="minorEastAsia"/>
          <w:b/>
          <w:bCs/>
          <w:color w:val="auto"/>
          <w:szCs w:val="21"/>
          <w:lang w:eastAsia="zh-CN"/>
        </w:rPr>
      </w:pPr>
      <w:r>
        <w:rPr>
          <w:rFonts w:hint="eastAsia" w:asciiTheme="minorEastAsia" w:hAnsiTheme="minorEastAsia" w:eastAsiaTheme="minorEastAsia" w:cstheme="minorEastAsia"/>
          <w:b/>
          <w:bCs/>
          <w:color w:val="auto"/>
          <w:szCs w:val="21"/>
          <w:lang w:eastAsia="zh-CN"/>
        </w:rPr>
        <w:t>采购文件的澄清或者修改</w:t>
      </w:r>
    </w:p>
    <w:p w14:paraId="72608AB5">
      <w:pPr>
        <w:pBdr>
          <w:top w:val="none" w:color="auto" w:sz="0" w:space="0"/>
          <w:left w:val="none" w:color="auto" w:sz="0" w:space="0"/>
          <w:bottom w:val="none" w:color="auto" w:sz="0" w:space="0"/>
          <w:right w:val="none" w:color="auto" w:sz="0" w:space="0"/>
          <w:between w:val="none" w:color="auto" w:sz="0" w:space="0"/>
        </w:pBdr>
        <w:spacing w:line="440" w:lineRule="exact"/>
        <w:ind w:left="0" w:leftChars="0"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17.1为了保证对招标文件的澄清和修改满足法律的时限要求，供应商要求对招标文件进行澄清的，均应在投标截止期十五日前，以书面形式将澄清要求通知采购人或采购代理机构。采购人或者采购代理机构对已发出的招标文件进行必要澄清或者修改的（如有），在招标文件须知前附表规定的提交投标文件截止时间十五日前，采购代理机构将招标文件的澄清或者修改在新疆政府采购网（http://www.ccgp-xinjiang.gov.cn/）上以发布澄清（更正）公告的方式告知所有潜在投标人，并对其具有约束力。</w:t>
      </w:r>
    </w:p>
    <w:p w14:paraId="7CB641BA">
      <w:pPr>
        <w:pBdr>
          <w:top w:val="none" w:color="auto" w:sz="0" w:space="0"/>
          <w:left w:val="none" w:color="auto" w:sz="0" w:space="0"/>
          <w:bottom w:val="none" w:color="auto" w:sz="0" w:space="0"/>
          <w:right w:val="none" w:color="auto" w:sz="0" w:space="0"/>
          <w:between w:val="none" w:color="auto" w:sz="0" w:space="0"/>
        </w:pBdr>
        <w:wordWrap w:val="0"/>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17.2澄清或者修改的内容可能影响投标文件编制的，采购人或者采购代理机构可以视采购项目具体情况，延长投标截止时间和开标时间，但应当在规定的提交投标文件的截止时间三日前，以发布澄清（更正）公告的方式告知所有潜在投标人，并对其具有约束力。</w:t>
      </w:r>
    </w:p>
    <w:p w14:paraId="77048610">
      <w:pPr>
        <w:pBdr>
          <w:top w:val="none" w:color="auto" w:sz="0" w:space="0"/>
          <w:left w:val="none" w:color="auto" w:sz="0" w:space="0"/>
          <w:bottom w:val="none" w:color="auto" w:sz="0" w:space="0"/>
          <w:right w:val="none" w:color="auto" w:sz="0" w:space="0"/>
          <w:between w:val="none" w:color="auto" w:sz="0" w:space="0"/>
        </w:pBdr>
        <w:wordWrap w:val="0"/>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 xml:space="preserve">17.3因本项目采用不见面电子标，澄清（更正）公告发布之日起即视为已通知所有招标文件收受人，供应商应登陆系统自行下载查阅招标文件澄清或者修改文件，澄清或者修改文件作为招标文件的组成部分对供应商具有约束力，如因供应商自身原因未能及时查看澄清（更正）公告，后果自负。 </w:t>
      </w:r>
    </w:p>
    <w:p w14:paraId="0397F9A5">
      <w:pPr>
        <w:pBdr>
          <w:top w:val="none" w:color="auto" w:sz="0" w:space="0"/>
          <w:left w:val="none" w:color="auto" w:sz="0" w:space="0"/>
          <w:bottom w:val="none" w:color="auto" w:sz="0" w:space="0"/>
          <w:right w:val="none" w:color="auto" w:sz="0" w:space="0"/>
          <w:between w:val="none" w:color="auto" w:sz="0" w:space="0"/>
        </w:pBdr>
        <w:wordWrap w:val="0"/>
        <w:spacing w:line="400" w:lineRule="exact"/>
        <w:ind w:firstLine="235" w:firstLineChars="9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bCs/>
          <w:color w:val="auto"/>
          <w:szCs w:val="21"/>
          <w:lang w:eastAsia="zh-CN"/>
        </w:rPr>
        <w:t xml:space="preserve">17.4 </w:t>
      </w:r>
      <w:r>
        <w:rPr>
          <w:rFonts w:hint="eastAsia" w:asciiTheme="minorEastAsia" w:hAnsiTheme="minorEastAsia" w:eastAsiaTheme="minorEastAsia" w:cstheme="minorEastAsia"/>
          <w:color w:val="auto"/>
          <w:szCs w:val="21"/>
          <w:lang w:eastAsia="zh-CN"/>
        </w:rPr>
        <w:t>供应商在规定的时间内未对采购文件提出疑问、质疑或要求澄清的，将视其为无异议。</w:t>
      </w:r>
    </w:p>
    <w:p w14:paraId="7850DCB8">
      <w:pPr>
        <w:pBdr>
          <w:top w:val="none" w:color="auto" w:sz="0" w:space="0"/>
          <w:left w:val="none" w:color="auto" w:sz="0" w:space="0"/>
          <w:bottom w:val="none" w:color="auto" w:sz="0" w:space="0"/>
          <w:right w:val="none" w:color="auto" w:sz="0" w:space="0"/>
          <w:between w:val="none" w:color="auto" w:sz="0" w:space="0"/>
        </w:pBdr>
        <w:wordWrap w:val="0"/>
        <w:spacing w:line="400" w:lineRule="exact"/>
        <w:ind w:firstLine="235" w:firstLineChars="98"/>
        <w:rPr>
          <w:rFonts w:hint="eastAsia" w:asciiTheme="minorEastAsia" w:hAnsiTheme="minorEastAsia" w:eastAsiaTheme="minorEastAsia" w:cstheme="minorEastAsia"/>
          <w:bCs/>
          <w:color w:val="auto"/>
          <w:szCs w:val="21"/>
          <w:lang w:eastAsia="zh-CN"/>
        </w:rPr>
      </w:pPr>
      <w:r>
        <w:rPr>
          <w:rFonts w:hint="eastAsia" w:asciiTheme="minorEastAsia" w:hAnsiTheme="minorEastAsia" w:eastAsiaTheme="minorEastAsia" w:cstheme="minorEastAsia"/>
          <w:bCs/>
          <w:color w:val="auto"/>
          <w:szCs w:val="21"/>
          <w:lang w:eastAsia="zh-CN"/>
        </w:rPr>
        <w:t>17.5 采购文件的解释</w:t>
      </w:r>
    </w:p>
    <w:p w14:paraId="51307E5F">
      <w:pPr>
        <w:pBdr>
          <w:top w:val="none" w:color="auto" w:sz="0" w:space="0"/>
          <w:left w:val="none" w:color="auto" w:sz="0" w:space="0"/>
          <w:bottom w:val="none" w:color="auto" w:sz="0" w:space="0"/>
          <w:right w:val="none" w:color="auto" w:sz="0" w:space="0"/>
          <w:between w:val="none" w:color="auto" w:sz="0" w:space="0"/>
        </w:pBdr>
        <w:spacing w:line="400" w:lineRule="exact"/>
        <w:ind w:firstLine="480" w:firstLineChars="2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本采购文件由采购人（或其委托的采购代理机构）负责解释。</w:t>
      </w:r>
    </w:p>
    <w:p w14:paraId="4C6CE258">
      <w:pPr>
        <w:pBdr>
          <w:top w:val="none" w:color="auto" w:sz="0" w:space="0"/>
          <w:left w:val="none" w:color="auto" w:sz="0" w:space="0"/>
          <w:bottom w:val="none" w:color="auto" w:sz="0" w:space="0"/>
          <w:right w:val="none" w:color="auto" w:sz="0" w:space="0"/>
          <w:between w:val="none" w:color="auto" w:sz="0" w:space="0"/>
        </w:pBdr>
        <w:spacing w:line="400" w:lineRule="exact"/>
        <w:rPr>
          <w:rFonts w:hint="eastAsia" w:asciiTheme="minorEastAsia" w:hAnsiTheme="minorEastAsia" w:eastAsiaTheme="minorEastAsia" w:cstheme="minorEastAsia"/>
          <w:b/>
          <w:color w:val="auto"/>
          <w:szCs w:val="21"/>
          <w:lang w:eastAsia="zh-CN"/>
        </w:rPr>
      </w:pPr>
      <w:r>
        <w:rPr>
          <w:rFonts w:hint="eastAsia" w:asciiTheme="minorEastAsia" w:hAnsiTheme="minorEastAsia" w:eastAsiaTheme="minorEastAsia" w:cstheme="minorEastAsia"/>
          <w:b/>
          <w:color w:val="auto"/>
          <w:szCs w:val="21"/>
          <w:lang w:eastAsia="zh-CN"/>
        </w:rPr>
        <w:t xml:space="preserve">  18. 采购文件的发出</w:t>
      </w:r>
    </w:p>
    <w:p w14:paraId="08343006">
      <w:pPr>
        <w:pBdr>
          <w:top w:val="none" w:color="auto" w:sz="0" w:space="0"/>
          <w:left w:val="none" w:color="auto" w:sz="0" w:space="0"/>
          <w:bottom w:val="none" w:color="auto" w:sz="0" w:space="0"/>
          <w:right w:val="none" w:color="auto" w:sz="0" w:space="0"/>
          <w:between w:val="none" w:color="auto" w:sz="0" w:space="0"/>
        </w:pBdr>
        <w:spacing w:line="40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18.1 采购文件、采购文件的澄清、修改、补充及招标答疑等均应报相关部门备案后，方可发出。</w:t>
      </w:r>
    </w:p>
    <w:p w14:paraId="552318CA">
      <w:pPr>
        <w:pBdr>
          <w:top w:val="none" w:color="auto" w:sz="0" w:space="0"/>
          <w:left w:val="none" w:color="auto" w:sz="0" w:space="0"/>
          <w:bottom w:val="none" w:color="auto" w:sz="0" w:space="0"/>
          <w:right w:val="none" w:color="auto" w:sz="0" w:space="0"/>
          <w:between w:val="none" w:color="auto" w:sz="0" w:space="0"/>
        </w:pBdr>
        <w:spacing w:line="440" w:lineRule="exact"/>
        <w:ind w:firstLine="241" w:firstLineChars="100"/>
        <w:rPr>
          <w:rFonts w:hint="eastAsia" w:asciiTheme="minorEastAsia" w:hAnsiTheme="minorEastAsia" w:eastAsiaTheme="minorEastAsia" w:cstheme="minorEastAsia"/>
          <w:color w:val="auto"/>
          <w:szCs w:val="21"/>
          <w:lang w:eastAsia="zh-CN"/>
        </w:rPr>
      </w:pPr>
      <w:bookmarkStart w:id="57" w:name="_Toc469495726"/>
      <w:r>
        <w:rPr>
          <w:rFonts w:hint="eastAsia" w:asciiTheme="minorEastAsia" w:hAnsiTheme="minorEastAsia" w:eastAsiaTheme="minorEastAsia" w:cstheme="minorEastAsia"/>
          <w:b/>
          <w:color w:val="auto"/>
          <w:szCs w:val="21"/>
          <w:lang w:eastAsia="zh-CN"/>
        </w:rPr>
        <w:t xml:space="preserve">19. </w:t>
      </w:r>
      <w:r>
        <w:rPr>
          <w:rFonts w:hint="eastAsia" w:asciiTheme="minorEastAsia" w:hAnsiTheme="minorEastAsia" w:eastAsiaTheme="minorEastAsia" w:cstheme="minorEastAsia"/>
          <w:color w:val="auto"/>
          <w:szCs w:val="21"/>
          <w:lang w:eastAsia="zh-CN"/>
        </w:rPr>
        <w:t>凡需要设置样品情形时（如有），必须明确是否需要随样品提交检测报告，并明确检测机构的要求、检测内容、中标样品封存等事项。（评标委员会无法判断样品是否合格且样品需要提供给第三方权威检测机构检测的,在投标人提供采购人认可的第三方权威检测机构检测报告后，评标委员会推荐的中标候选人方可生效，采购人或代理机构发布中标（成交）结果公告。</w:t>
      </w:r>
    </w:p>
    <w:p w14:paraId="3E7AE994">
      <w:pPr>
        <w:pBdr>
          <w:top w:val="none" w:color="auto" w:sz="0" w:space="0"/>
          <w:left w:val="none" w:color="auto" w:sz="0" w:space="0"/>
          <w:bottom w:val="none" w:color="auto" w:sz="0" w:space="0"/>
          <w:right w:val="none" w:color="auto" w:sz="0" w:space="0"/>
          <w:between w:val="none" w:color="auto" w:sz="0" w:space="0"/>
        </w:pBdr>
        <w:spacing w:line="400" w:lineRule="exact"/>
        <w:ind w:firstLine="42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采购文件中应明确样品送检方式、检测费用支付方法、投标人在规定时间内无法提供第三方权威检测机构检测报告的处理方式。（采购人根据项目需求按上述要求自行描述）</w:t>
      </w:r>
    </w:p>
    <w:p w14:paraId="0C5FB7B3">
      <w:pPr>
        <w:pBdr>
          <w:top w:val="none" w:color="auto" w:sz="0" w:space="0"/>
          <w:left w:val="none" w:color="auto" w:sz="0" w:space="0"/>
          <w:bottom w:val="none" w:color="auto" w:sz="0" w:space="0"/>
          <w:right w:val="none" w:color="auto" w:sz="0" w:space="0"/>
          <w:between w:val="none" w:color="auto" w:sz="0" w:space="0"/>
        </w:pBdr>
        <w:spacing w:before="312" w:beforeLines="100" w:after="312" w:afterLines="100" w:line="440" w:lineRule="exact"/>
        <w:jc w:val="center"/>
        <w:outlineLvl w:val="2"/>
        <w:rPr>
          <w:rFonts w:hint="eastAsia" w:asciiTheme="minorEastAsia" w:hAnsiTheme="minorEastAsia" w:eastAsiaTheme="minorEastAsia" w:cstheme="minorEastAsia"/>
          <w:b/>
          <w:color w:val="auto"/>
          <w:sz w:val="28"/>
          <w:szCs w:val="28"/>
          <w:lang w:eastAsia="zh-CN"/>
        </w:rPr>
      </w:pPr>
      <w:r>
        <w:rPr>
          <w:rFonts w:hint="eastAsia" w:asciiTheme="minorEastAsia" w:hAnsiTheme="minorEastAsia" w:eastAsiaTheme="minorEastAsia" w:cstheme="minorEastAsia"/>
          <w:b/>
          <w:color w:val="auto"/>
          <w:sz w:val="28"/>
          <w:szCs w:val="28"/>
          <w:lang w:eastAsia="zh-CN"/>
        </w:rPr>
        <w:t>（三）投标文件的编制</w:t>
      </w:r>
      <w:bookmarkEnd w:id="57"/>
    </w:p>
    <w:p w14:paraId="4F16F4D7">
      <w:pPr>
        <w:pBdr>
          <w:top w:val="none" w:color="auto" w:sz="0" w:space="0"/>
          <w:left w:val="none" w:color="auto" w:sz="0" w:space="0"/>
          <w:bottom w:val="none" w:color="auto" w:sz="0" w:space="0"/>
          <w:right w:val="none" w:color="auto" w:sz="0" w:space="0"/>
          <w:between w:val="none" w:color="auto" w:sz="0" w:space="0"/>
        </w:pBdr>
        <w:spacing w:line="440" w:lineRule="exact"/>
        <w:ind w:firstLine="236" w:firstLineChars="98"/>
        <w:rPr>
          <w:rFonts w:hint="eastAsia" w:asciiTheme="minorEastAsia" w:hAnsiTheme="minorEastAsia" w:eastAsiaTheme="minorEastAsia" w:cstheme="minorEastAsia"/>
          <w:b/>
          <w:color w:val="auto"/>
          <w:szCs w:val="21"/>
          <w:lang w:eastAsia="zh-CN"/>
        </w:rPr>
      </w:pPr>
      <w:r>
        <w:rPr>
          <w:rFonts w:hint="eastAsia" w:asciiTheme="minorEastAsia" w:hAnsiTheme="minorEastAsia" w:eastAsiaTheme="minorEastAsia" w:cstheme="minorEastAsia"/>
          <w:b/>
          <w:color w:val="auto"/>
          <w:szCs w:val="21"/>
          <w:lang w:eastAsia="zh-CN"/>
        </w:rPr>
        <w:t>20. 投标的语言及度量衡单位</w:t>
      </w:r>
    </w:p>
    <w:p w14:paraId="3EBBB964">
      <w:pPr>
        <w:pBdr>
          <w:top w:val="none" w:color="auto" w:sz="0" w:space="0"/>
          <w:left w:val="none" w:color="auto" w:sz="0" w:space="0"/>
          <w:bottom w:val="none" w:color="auto" w:sz="0" w:space="0"/>
          <w:right w:val="none" w:color="auto" w:sz="0" w:space="0"/>
          <w:between w:val="none" w:color="auto" w:sz="0" w:space="0"/>
        </w:pBdr>
        <w:spacing w:line="440" w:lineRule="exact"/>
        <w:ind w:firstLine="235" w:firstLineChars="9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20.1投标人提交的投标文件、技术文件和资料，以及投标人与采购人就有关投标的所有来往函电均应使用中文。投标文件中若有英文或其他语言文字的资料，应提供相应的中文翻译资料。对不同文本投标文件的解释发生异议的，以中文文本为准。</w:t>
      </w:r>
    </w:p>
    <w:p w14:paraId="42C410A3">
      <w:pPr>
        <w:pBdr>
          <w:top w:val="none" w:color="auto" w:sz="0" w:space="0"/>
          <w:left w:val="none" w:color="auto" w:sz="0" w:space="0"/>
          <w:bottom w:val="none" w:color="auto" w:sz="0" w:space="0"/>
          <w:right w:val="none" w:color="auto" w:sz="0" w:space="0"/>
          <w:between w:val="none" w:color="auto" w:sz="0" w:space="0"/>
        </w:pBdr>
        <w:spacing w:line="440" w:lineRule="exact"/>
        <w:ind w:firstLine="235" w:firstLineChars="9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20.2除采购文件中另有规定外，投标书所使用的度量衡均须采用法定计量单位。</w:t>
      </w:r>
    </w:p>
    <w:p w14:paraId="76BF18D9">
      <w:pPr>
        <w:pBdr>
          <w:top w:val="none" w:color="auto" w:sz="0" w:space="0"/>
          <w:left w:val="none" w:color="auto" w:sz="0" w:space="0"/>
          <w:bottom w:val="none" w:color="auto" w:sz="0" w:space="0"/>
          <w:right w:val="none" w:color="auto" w:sz="0" w:space="0"/>
          <w:between w:val="none" w:color="auto" w:sz="0" w:space="0"/>
        </w:pBdr>
        <w:spacing w:line="440" w:lineRule="exact"/>
        <w:ind w:firstLine="236" w:firstLineChars="98"/>
        <w:rPr>
          <w:rFonts w:hint="eastAsia" w:asciiTheme="minorEastAsia" w:hAnsiTheme="minorEastAsia" w:eastAsiaTheme="minorEastAsia" w:cstheme="minorEastAsia"/>
          <w:b/>
          <w:color w:val="auto"/>
          <w:szCs w:val="21"/>
          <w:lang w:eastAsia="zh-CN"/>
        </w:rPr>
      </w:pPr>
      <w:r>
        <w:rPr>
          <w:rFonts w:hint="eastAsia" w:asciiTheme="minorEastAsia" w:hAnsiTheme="minorEastAsia" w:eastAsiaTheme="minorEastAsia" w:cstheme="minorEastAsia"/>
          <w:b/>
          <w:color w:val="auto"/>
          <w:szCs w:val="21"/>
          <w:lang w:eastAsia="zh-CN"/>
        </w:rPr>
        <w:t>21. 投标文件的组成</w:t>
      </w:r>
    </w:p>
    <w:p w14:paraId="1C2942A8">
      <w:pPr>
        <w:pBdr>
          <w:top w:val="none" w:color="auto" w:sz="0" w:space="0"/>
          <w:left w:val="none" w:color="auto" w:sz="0" w:space="0"/>
          <w:bottom w:val="none" w:color="auto" w:sz="0" w:space="0"/>
          <w:right w:val="none" w:color="auto" w:sz="0" w:space="0"/>
          <w:between w:val="none" w:color="auto" w:sz="0" w:space="0"/>
        </w:pBdr>
        <w:spacing w:line="400" w:lineRule="exact"/>
        <w:ind w:firstLine="480" w:firstLineChars="2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资格证明文件和商务及技术文件两部分。</w:t>
      </w:r>
    </w:p>
    <w:p w14:paraId="75EEEA64">
      <w:pPr>
        <w:pBdr>
          <w:top w:val="none" w:color="auto" w:sz="0" w:space="0"/>
          <w:left w:val="none" w:color="auto" w:sz="0" w:space="0"/>
          <w:bottom w:val="none" w:color="auto" w:sz="0" w:space="0"/>
          <w:right w:val="none" w:color="auto" w:sz="0" w:space="0"/>
          <w:between w:val="none" w:color="auto" w:sz="0" w:space="0"/>
        </w:pBdr>
        <w:spacing w:line="440" w:lineRule="exact"/>
        <w:ind w:firstLine="236" w:firstLineChars="98"/>
        <w:rPr>
          <w:rFonts w:hint="eastAsia" w:asciiTheme="minorEastAsia" w:hAnsiTheme="minorEastAsia" w:eastAsiaTheme="minorEastAsia" w:cstheme="minorEastAsia"/>
          <w:b/>
          <w:color w:val="auto"/>
          <w:szCs w:val="21"/>
          <w:lang w:eastAsia="zh-CN"/>
        </w:rPr>
      </w:pPr>
      <w:r>
        <w:rPr>
          <w:rFonts w:hint="eastAsia" w:asciiTheme="minorEastAsia" w:hAnsiTheme="minorEastAsia" w:eastAsiaTheme="minorEastAsia" w:cstheme="minorEastAsia"/>
          <w:b/>
          <w:color w:val="auto"/>
          <w:szCs w:val="21"/>
          <w:lang w:eastAsia="zh-CN"/>
        </w:rPr>
        <w:t>21.1资格证明文件（包括但不限于）</w:t>
      </w:r>
    </w:p>
    <w:p w14:paraId="69A2E37B">
      <w:pPr>
        <w:pBdr>
          <w:top w:val="none" w:color="auto" w:sz="0" w:space="0"/>
          <w:left w:val="none" w:color="auto" w:sz="0" w:space="0"/>
          <w:bottom w:val="none" w:color="auto" w:sz="0" w:space="0"/>
          <w:right w:val="none" w:color="auto" w:sz="0" w:space="0"/>
          <w:between w:val="none" w:color="auto" w:sz="0" w:space="0"/>
        </w:pBdr>
        <w:spacing w:line="440" w:lineRule="exact"/>
        <w:ind w:firstLine="352" w:firstLineChars="147"/>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资格证明文件是证明投标人有资格参加投标和中标后有能力履行合同的文件，这些文件应能满足招标的要求，否则作</w:t>
      </w:r>
      <w:r>
        <w:rPr>
          <w:rFonts w:hint="eastAsia" w:asciiTheme="minorEastAsia" w:hAnsiTheme="minorEastAsia" w:eastAsiaTheme="minorEastAsia" w:cstheme="minorEastAsia"/>
          <w:b/>
          <w:bCs/>
          <w:color w:val="auto"/>
          <w:szCs w:val="21"/>
          <w:lang w:eastAsia="zh-CN"/>
        </w:rPr>
        <w:t>无效投标处理。</w:t>
      </w:r>
    </w:p>
    <w:p w14:paraId="35CDA7C3">
      <w:pPr>
        <w:pBdr>
          <w:top w:val="none" w:color="auto" w:sz="0" w:space="0"/>
          <w:left w:val="none" w:color="auto" w:sz="0" w:space="0"/>
          <w:bottom w:val="none" w:color="auto" w:sz="0" w:space="0"/>
          <w:right w:val="none" w:color="auto" w:sz="0" w:space="0"/>
          <w:between w:val="none" w:color="auto" w:sz="0" w:space="0"/>
        </w:pBdr>
        <w:spacing w:line="440" w:lineRule="exact"/>
        <w:ind w:firstLine="235" w:firstLineChars="98"/>
        <w:rPr>
          <w:rFonts w:hint="eastAsia" w:asciiTheme="minorEastAsia" w:hAnsiTheme="minorEastAsia" w:eastAsiaTheme="minorEastAsia" w:cstheme="minorEastAsia"/>
          <w:bCs/>
          <w:color w:val="auto"/>
          <w:szCs w:val="21"/>
          <w:lang w:eastAsia="zh-CN"/>
        </w:rPr>
      </w:pPr>
      <w:r>
        <w:rPr>
          <w:rFonts w:hint="eastAsia" w:asciiTheme="minorEastAsia" w:hAnsiTheme="minorEastAsia" w:eastAsiaTheme="minorEastAsia" w:cstheme="minorEastAsia"/>
          <w:bCs/>
          <w:color w:val="auto"/>
          <w:szCs w:val="21"/>
          <w:lang w:eastAsia="zh-CN"/>
        </w:rPr>
        <w:t>1、法人或者非法人组织的营业执照等证明文件原件扫描件（须加盖本单位公章）或自然人的身份证明原件扫描件；</w:t>
      </w:r>
    </w:p>
    <w:p w14:paraId="2AEB3ADE">
      <w:pPr>
        <w:pBdr>
          <w:top w:val="none" w:color="auto" w:sz="0" w:space="0"/>
          <w:left w:val="none" w:color="auto" w:sz="0" w:space="0"/>
          <w:bottom w:val="none" w:color="auto" w:sz="0" w:space="0"/>
          <w:right w:val="none" w:color="auto" w:sz="0" w:space="0"/>
          <w:between w:val="none" w:color="auto" w:sz="0" w:space="0"/>
        </w:pBdr>
        <w:spacing w:line="440" w:lineRule="exact"/>
        <w:ind w:firstLine="235" w:firstLineChars="98"/>
        <w:rPr>
          <w:rFonts w:hint="eastAsia" w:asciiTheme="minorEastAsia" w:hAnsiTheme="minorEastAsia" w:eastAsiaTheme="minorEastAsia" w:cstheme="minorEastAsia"/>
          <w:bCs/>
          <w:color w:val="auto"/>
          <w:szCs w:val="21"/>
          <w:lang w:eastAsia="zh-CN"/>
        </w:rPr>
      </w:pPr>
      <w:r>
        <w:rPr>
          <w:rFonts w:hint="eastAsia" w:asciiTheme="minorEastAsia" w:hAnsiTheme="minorEastAsia" w:eastAsiaTheme="minorEastAsia" w:cstheme="minorEastAsia"/>
          <w:bCs/>
          <w:color w:val="auto"/>
          <w:szCs w:val="21"/>
          <w:lang w:eastAsia="zh-CN"/>
        </w:rPr>
        <w:t>2、法定代表人资格证明书；</w:t>
      </w:r>
    </w:p>
    <w:p w14:paraId="1D3E2ED7">
      <w:pPr>
        <w:pBdr>
          <w:top w:val="none" w:color="auto" w:sz="0" w:space="0"/>
          <w:left w:val="none" w:color="auto" w:sz="0" w:space="0"/>
          <w:bottom w:val="none" w:color="auto" w:sz="0" w:space="0"/>
          <w:right w:val="none" w:color="auto" w:sz="0" w:space="0"/>
          <w:between w:val="none" w:color="auto" w:sz="0" w:space="0"/>
        </w:pBdr>
        <w:spacing w:line="440" w:lineRule="exact"/>
        <w:ind w:firstLine="235" w:firstLineChars="98"/>
        <w:rPr>
          <w:rFonts w:hint="eastAsia" w:asciiTheme="minorEastAsia" w:hAnsiTheme="minorEastAsia" w:eastAsiaTheme="minorEastAsia" w:cstheme="minorEastAsia"/>
          <w:bCs/>
          <w:color w:val="auto"/>
          <w:szCs w:val="21"/>
          <w:lang w:eastAsia="zh-CN"/>
        </w:rPr>
      </w:pPr>
      <w:r>
        <w:rPr>
          <w:rFonts w:hint="eastAsia" w:asciiTheme="minorEastAsia" w:hAnsiTheme="minorEastAsia" w:eastAsiaTheme="minorEastAsia" w:cstheme="minorEastAsia"/>
          <w:bCs/>
          <w:color w:val="auto"/>
          <w:szCs w:val="21"/>
          <w:lang w:eastAsia="zh-CN"/>
        </w:rPr>
        <w:t>3、法定代表人授权委托书；</w:t>
      </w:r>
    </w:p>
    <w:p w14:paraId="7597BFED">
      <w:pPr>
        <w:pBdr>
          <w:top w:val="none" w:color="auto" w:sz="0" w:space="0"/>
          <w:left w:val="none" w:color="auto" w:sz="0" w:space="0"/>
          <w:bottom w:val="none" w:color="auto" w:sz="0" w:space="0"/>
          <w:right w:val="none" w:color="auto" w:sz="0" w:space="0"/>
          <w:between w:val="none" w:color="auto" w:sz="0" w:space="0"/>
        </w:pBdr>
        <w:spacing w:line="440" w:lineRule="exact"/>
        <w:ind w:firstLine="235" w:firstLineChars="98"/>
        <w:rPr>
          <w:rFonts w:hint="eastAsia" w:asciiTheme="minorEastAsia" w:hAnsiTheme="minorEastAsia" w:eastAsiaTheme="minorEastAsia" w:cstheme="minorEastAsia"/>
          <w:bCs/>
          <w:color w:val="auto"/>
          <w:szCs w:val="21"/>
          <w:lang w:eastAsia="zh-CN"/>
        </w:rPr>
      </w:pPr>
      <w:r>
        <w:rPr>
          <w:rFonts w:hint="eastAsia" w:asciiTheme="minorEastAsia" w:hAnsiTheme="minorEastAsia" w:eastAsiaTheme="minorEastAsia" w:cstheme="minorEastAsia"/>
          <w:bCs/>
          <w:color w:val="auto"/>
          <w:szCs w:val="21"/>
          <w:lang w:eastAsia="zh-CN"/>
        </w:rPr>
        <w:t>4、参加政府采购活动近三年无重大违法记录声明；</w:t>
      </w:r>
    </w:p>
    <w:p w14:paraId="59AACE6C">
      <w:pPr>
        <w:pBdr>
          <w:top w:val="none" w:color="auto" w:sz="0" w:space="0"/>
          <w:left w:val="none" w:color="auto" w:sz="0" w:space="0"/>
          <w:bottom w:val="none" w:color="auto" w:sz="0" w:space="0"/>
          <w:right w:val="none" w:color="auto" w:sz="0" w:space="0"/>
          <w:between w:val="none" w:color="auto" w:sz="0" w:space="0"/>
        </w:pBdr>
        <w:spacing w:line="440" w:lineRule="exact"/>
        <w:ind w:firstLine="235" w:firstLineChars="98"/>
        <w:rPr>
          <w:rFonts w:hint="eastAsia" w:asciiTheme="minorEastAsia" w:hAnsiTheme="minorEastAsia" w:eastAsiaTheme="minorEastAsia" w:cstheme="minorEastAsia"/>
          <w:bCs/>
          <w:color w:val="auto"/>
          <w:szCs w:val="21"/>
          <w:lang w:eastAsia="zh-CN"/>
        </w:rPr>
      </w:pPr>
      <w:r>
        <w:rPr>
          <w:rFonts w:hint="eastAsia" w:asciiTheme="minorEastAsia" w:hAnsiTheme="minorEastAsia" w:eastAsiaTheme="minorEastAsia" w:cstheme="minorEastAsia"/>
          <w:bCs/>
          <w:color w:val="auto"/>
          <w:szCs w:val="21"/>
          <w:lang w:eastAsia="zh-CN"/>
        </w:rPr>
        <w:t>5、投标保证金缴纳证明；</w:t>
      </w:r>
    </w:p>
    <w:p w14:paraId="08BDF1A9">
      <w:pPr>
        <w:pBdr>
          <w:top w:val="none" w:color="auto" w:sz="0" w:space="0"/>
          <w:left w:val="none" w:color="auto" w:sz="0" w:space="0"/>
          <w:bottom w:val="none" w:color="auto" w:sz="0" w:space="0"/>
          <w:right w:val="none" w:color="auto" w:sz="0" w:space="0"/>
          <w:between w:val="none" w:color="auto" w:sz="0" w:space="0"/>
        </w:pBdr>
        <w:spacing w:line="440" w:lineRule="exact"/>
        <w:ind w:firstLine="235" w:firstLineChars="98"/>
        <w:rPr>
          <w:rFonts w:hint="eastAsia" w:asciiTheme="minorEastAsia" w:hAnsiTheme="minorEastAsia" w:eastAsiaTheme="minorEastAsia" w:cstheme="minorEastAsia"/>
          <w:bCs/>
          <w:color w:val="auto"/>
          <w:szCs w:val="21"/>
          <w:lang w:eastAsia="zh-CN"/>
        </w:rPr>
      </w:pPr>
      <w:r>
        <w:rPr>
          <w:rFonts w:hint="eastAsia" w:asciiTheme="minorEastAsia" w:hAnsiTheme="minorEastAsia" w:eastAsiaTheme="minorEastAsia" w:cstheme="minorEastAsia"/>
          <w:bCs/>
          <w:color w:val="auto"/>
          <w:szCs w:val="21"/>
          <w:lang w:eastAsia="zh-CN"/>
        </w:rPr>
        <w:t>6、提供近一年内（2023年11月-2024年10月）任意三个月社保缴纳证明；</w:t>
      </w:r>
    </w:p>
    <w:p w14:paraId="79EC8D80">
      <w:pPr>
        <w:pBdr>
          <w:top w:val="none" w:color="auto" w:sz="0" w:space="0"/>
          <w:left w:val="none" w:color="auto" w:sz="0" w:space="0"/>
          <w:bottom w:val="none" w:color="auto" w:sz="0" w:space="0"/>
          <w:right w:val="none" w:color="auto" w:sz="0" w:space="0"/>
          <w:between w:val="none" w:color="auto" w:sz="0" w:space="0"/>
        </w:pBdr>
        <w:spacing w:line="440" w:lineRule="exact"/>
        <w:ind w:firstLine="235" w:firstLineChars="98"/>
        <w:rPr>
          <w:rFonts w:hint="eastAsia" w:asciiTheme="minorEastAsia" w:hAnsiTheme="minorEastAsia" w:eastAsiaTheme="minorEastAsia" w:cstheme="minorEastAsia"/>
          <w:bCs/>
          <w:color w:val="auto"/>
          <w:szCs w:val="21"/>
          <w:lang w:eastAsia="zh-CN"/>
        </w:rPr>
      </w:pPr>
      <w:r>
        <w:rPr>
          <w:rFonts w:hint="eastAsia" w:asciiTheme="minorEastAsia" w:hAnsiTheme="minorEastAsia" w:eastAsiaTheme="minorEastAsia" w:cstheme="minorEastAsia"/>
          <w:bCs/>
          <w:color w:val="auto"/>
          <w:szCs w:val="21"/>
          <w:lang w:eastAsia="zh-CN"/>
        </w:rPr>
        <w:t>7、提供税务机构出具的近一年内（2023年11月-2024年10月）任意三个月的依法缴纳税收等证明材料；</w:t>
      </w:r>
    </w:p>
    <w:p w14:paraId="02FD4EAE">
      <w:pPr>
        <w:pBdr>
          <w:top w:val="none" w:color="auto" w:sz="0" w:space="0"/>
          <w:left w:val="none" w:color="auto" w:sz="0" w:space="0"/>
          <w:bottom w:val="none" w:color="auto" w:sz="0" w:space="0"/>
          <w:right w:val="none" w:color="auto" w:sz="0" w:space="0"/>
          <w:between w:val="none" w:color="auto" w:sz="0" w:space="0"/>
        </w:pBdr>
        <w:spacing w:line="440" w:lineRule="exact"/>
        <w:ind w:firstLine="235" w:firstLineChars="98"/>
        <w:rPr>
          <w:rFonts w:hint="eastAsia" w:asciiTheme="minorEastAsia" w:hAnsiTheme="minorEastAsia" w:eastAsiaTheme="minorEastAsia" w:cstheme="minorEastAsia"/>
          <w:bCs/>
          <w:color w:val="auto"/>
          <w:szCs w:val="21"/>
          <w:lang w:eastAsia="zh-CN"/>
        </w:rPr>
      </w:pPr>
      <w:r>
        <w:rPr>
          <w:rFonts w:hint="eastAsia" w:asciiTheme="minorEastAsia" w:hAnsiTheme="minorEastAsia" w:eastAsiaTheme="minorEastAsia" w:cstheme="minorEastAsia"/>
          <w:bCs/>
          <w:color w:val="auto"/>
          <w:szCs w:val="21"/>
          <w:lang w:eastAsia="zh-CN"/>
        </w:rPr>
        <w:t>8、提供会计师事务所出具的2023年度财务审计报告（包含资产负债表、利润表、现金流量表等），成立不足一年的供应商可提供财务报表或银行出具的资信证明；</w:t>
      </w:r>
    </w:p>
    <w:p w14:paraId="4AC02155">
      <w:pPr>
        <w:pBdr>
          <w:top w:val="none" w:color="auto" w:sz="0" w:space="0"/>
          <w:left w:val="none" w:color="auto" w:sz="0" w:space="0"/>
          <w:bottom w:val="none" w:color="auto" w:sz="0" w:space="0"/>
          <w:right w:val="none" w:color="auto" w:sz="0" w:space="0"/>
          <w:between w:val="none" w:color="auto" w:sz="0" w:space="0"/>
        </w:pBdr>
        <w:spacing w:line="440" w:lineRule="exact"/>
        <w:ind w:firstLine="235" w:firstLineChars="98"/>
        <w:rPr>
          <w:rFonts w:hint="eastAsia" w:asciiTheme="minorEastAsia" w:hAnsiTheme="minorEastAsia" w:eastAsiaTheme="minorEastAsia" w:cstheme="minorEastAsia"/>
          <w:bCs/>
          <w:color w:val="auto"/>
          <w:szCs w:val="21"/>
          <w:lang w:eastAsia="zh-CN"/>
        </w:rPr>
      </w:pPr>
      <w:r>
        <w:rPr>
          <w:rFonts w:hint="eastAsia" w:asciiTheme="minorEastAsia" w:hAnsiTheme="minorEastAsia" w:eastAsiaTheme="minorEastAsia" w:cstheme="minorEastAsia"/>
          <w:bCs/>
          <w:color w:val="auto"/>
          <w:szCs w:val="21"/>
          <w:lang w:eastAsia="zh-CN"/>
        </w:rPr>
        <w:t>9、要求提供的其他资格证明文件。</w:t>
      </w:r>
    </w:p>
    <w:p w14:paraId="47CB9598">
      <w:pPr>
        <w:pBdr>
          <w:top w:val="none" w:color="auto" w:sz="0" w:space="0"/>
          <w:left w:val="none" w:color="auto" w:sz="0" w:space="0"/>
          <w:bottom w:val="none" w:color="auto" w:sz="0" w:space="0"/>
          <w:right w:val="none" w:color="auto" w:sz="0" w:space="0"/>
          <w:between w:val="none" w:color="auto" w:sz="0" w:space="0"/>
        </w:pBdr>
        <w:spacing w:line="440" w:lineRule="exact"/>
        <w:ind w:firstLine="236" w:firstLineChars="9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b/>
          <w:color w:val="auto"/>
          <w:szCs w:val="21"/>
          <w:lang w:eastAsia="zh-CN"/>
        </w:rPr>
        <w:t>21.2 商务及技术文件（包括但不限于）</w:t>
      </w:r>
    </w:p>
    <w:p w14:paraId="6836BF49">
      <w:pPr>
        <w:pBdr>
          <w:top w:val="none" w:color="auto" w:sz="0" w:space="0"/>
          <w:left w:val="none" w:color="auto" w:sz="0" w:space="0"/>
          <w:bottom w:val="none" w:color="auto" w:sz="0" w:space="0"/>
          <w:right w:val="none" w:color="auto" w:sz="0" w:space="0"/>
          <w:between w:val="none" w:color="auto" w:sz="0" w:space="0"/>
        </w:pBdr>
        <w:spacing w:line="440" w:lineRule="exact"/>
        <w:ind w:firstLine="352" w:firstLineChars="147"/>
        <w:jc w:val="both"/>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1、投标函</w:t>
      </w:r>
    </w:p>
    <w:p w14:paraId="17552FE9">
      <w:pPr>
        <w:pBdr>
          <w:top w:val="none" w:color="auto" w:sz="0" w:space="0"/>
          <w:left w:val="none" w:color="auto" w:sz="0" w:space="0"/>
          <w:bottom w:val="none" w:color="auto" w:sz="0" w:space="0"/>
          <w:right w:val="none" w:color="auto" w:sz="0" w:space="0"/>
          <w:between w:val="none" w:color="auto" w:sz="0" w:space="0"/>
        </w:pBdr>
        <w:spacing w:line="440" w:lineRule="exact"/>
        <w:ind w:firstLine="352" w:firstLineChars="147"/>
        <w:jc w:val="both"/>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2、开标一览表</w:t>
      </w:r>
    </w:p>
    <w:p w14:paraId="3A1BAFB3">
      <w:pPr>
        <w:pBdr>
          <w:top w:val="none" w:color="auto" w:sz="0" w:space="0"/>
          <w:left w:val="none" w:color="auto" w:sz="0" w:space="0"/>
          <w:bottom w:val="none" w:color="auto" w:sz="0" w:space="0"/>
          <w:right w:val="none" w:color="auto" w:sz="0" w:space="0"/>
          <w:between w:val="none" w:color="auto" w:sz="0" w:space="0"/>
        </w:pBdr>
        <w:spacing w:line="440" w:lineRule="exact"/>
        <w:ind w:firstLine="352" w:firstLineChars="147"/>
        <w:jc w:val="both"/>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3、投标报价明细表</w:t>
      </w:r>
    </w:p>
    <w:p w14:paraId="53302664">
      <w:pPr>
        <w:pBdr>
          <w:top w:val="none" w:color="auto" w:sz="0" w:space="0"/>
          <w:left w:val="none" w:color="auto" w:sz="0" w:space="0"/>
          <w:bottom w:val="none" w:color="auto" w:sz="0" w:space="0"/>
          <w:right w:val="none" w:color="auto" w:sz="0" w:space="0"/>
          <w:between w:val="none" w:color="auto" w:sz="0" w:space="0"/>
        </w:pBdr>
        <w:spacing w:line="440" w:lineRule="exact"/>
        <w:ind w:firstLine="352" w:firstLineChars="147"/>
        <w:jc w:val="both"/>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4、商务条款偏离表</w:t>
      </w:r>
    </w:p>
    <w:p w14:paraId="793DA54A">
      <w:pPr>
        <w:pBdr>
          <w:top w:val="none" w:color="auto" w:sz="0" w:space="0"/>
          <w:left w:val="none" w:color="auto" w:sz="0" w:space="0"/>
          <w:bottom w:val="none" w:color="auto" w:sz="0" w:space="0"/>
          <w:right w:val="none" w:color="auto" w:sz="0" w:space="0"/>
          <w:between w:val="none" w:color="auto" w:sz="0" w:space="0"/>
        </w:pBdr>
        <w:spacing w:line="440" w:lineRule="exact"/>
        <w:ind w:firstLine="352" w:firstLineChars="147"/>
        <w:jc w:val="both"/>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5、技术条款偏离表</w:t>
      </w:r>
    </w:p>
    <w:p w14:paraId="4CFAF55A">
      <w:pPr>
        <w:pBdr>
          <w:top w:val="none" w:color="auto" w:sz="0" w:space="0"/>
          <w:left w:val="none" w:color="auto" w:sz="0" w:space="0"/>
          <w:bottom w:val="none" w:color="auto" w:sz="0" w:space="0"/>
          <w:right w:val="none" w:color="auto" w:sz="0" w:space="0"/>
          <w:between w:val="none" w:color="auto" w:sz="0" w:space="0"/>
        </w:pBdr>
        <w:spacing w:line="440" w:lineRule="exact"/>
        <w:ind w:firstLine="352" w:firstLineChars="147"/>
        <w:jc w:val="both"/>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6、投标人基本情况表</w:t>
      </w:r>
    </w:p>
    <w:p w14:paraId="52A36612">
      <w:pPr>
        <w:pBdr>
          <w:top w:val="none" w:color="auto" w:sz="0" w:space="0"/>
          <w:left w:val="none" w:color="auto" w:sz="0" w:space="0"/>
          <w:bottom w:val="none" w:color="auto" w:sz="0" w:space="0"/>
          <w:right w:val="none" w:color="auto" w:sz="0" w:space="0"/>
          <w:between w:val="none" w:color="auto" w:sz="0" w:space="0"/>
        </w:pBdr>
        <w:spacing w:line="440" w:lineRule="exact"/>
        <w:ind w:firstLine="352" w:firstLineChars="147"/>
        <w:jc w:val="both"/>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7、近五年(2019年1月1日至今)类似项目业绩表</w:t>
      </w:r>
    </w:p>
    <w:p w14:paraId="5FC34E80">
      <w:pPr>
        <w:pBdr>
          <w:top w:val="none" w:color="auto" w:sz="0" w:space="0"/>
          <w:left w:val="none" w:color="auto" w:sz="0" w:space="0"/>
          <w:bottom w:val="none" w:color="auto" w:sz="0" w:space="0"/>
          <w:right w:val="none" w:color="auto" w:sz="0" w:space="0"/>
          <w:between w:val="none" w:color="auto" w:sz="0" w:space="0"/>
        </w:pBdr>
        <w:spacing w:line="440" w:lineRule="exact"/>
        <w:ind w:firstLine="352" w:firstLineChars="147"/>
        <w:jc w:val="both"/>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8、评分标准和细则中商务技术部分证明材料（格式自拟）</w:t>
      </w:r>
    </w:p>
    <w:p w14:paraId="79CC39C7">
      <w:pPr>
        <w:pBdr>
          <w:top w:val="none" w:color="auto" w:sz="0" w:space="0"/>
          <w:left w:val="none" w:color="auto" w:sz="0" w:space="0"/>
          <w:bottom w:val="none" w:color="auto" w:sz="0" w:space="0"/>
          <w:right w:val="none" w:color="auto" w:sz="0" w:space="0"/>
          <w:between w:val="none" w:color="auto" w:sz="0" w:space="0"/>
        </w:pBdr>
        <w:spacing w:line="440" w:lineRule="exact"/>
        <w:ind w:firstLine="352" w:firstLineChars="147"/>
        <w:jc w:val="both"/>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9、投标人认为有必要提供的其他证明材料</w:t>
      </w:r>
    </w:p>
    <w:p w14:paraId="534616F0">
      <w:pPr>
        <w:pBdr>
          <w:top w:val="none" w:color="auto" w:sz="0" w:space="0"/>
          <w:left w:val="none" w:color="auto" w:sz="0" w:space="0"/>
          <w:bottom w:val="none" w:color="auto" w:sz="0" w:space="0"/>
          <w:right w:val="none" w:color="auto" w:sz="0" w:space="0"/>
          <w:between w:val="none" w:color="auto" w:sz="0" w:space="0"/>
        </w:pBdr>
        <w:spacing w:line="400" w:lineRule="exact"/>
        <w:ind w:firstLine="235" w:firstLineChars="9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10、中小企业声明函格式（可选）</w:t>
      </w:r>
    </w:p>
    <w:p w14:paraId="78794EAF">
      <w:pPr>
        <w:pBdr>
          <w:top w:val="none" w:color="auto" w:sz="0" w:space="0"/>
          <w:left w:val="none" w:color="auto" w:sz="0" w:space="0"/>
          <w:bottom w:val="none" w:color="auto" w:sz="0" w:space="0"/>
          <w:right w:val="none" w:color="auto" w:sz="0" w:space="0"/>
          <w:between w:val="none" w:color="auto" w:sz="0" w:space="0"/>
        </w:pBdr>
        <w:spacing w:line="400" w:lineRule="exact"/>
        <w:ind w:firstLine="235" w:firstLineChars="9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21.3投标文件的要求</w:t>
      </w:r>
    </w:p>
    <w:p w14:paraId="60CC8296">
      <w:pPr>
        <w:pBdr>
          <w:top w:val="none" w:color="auto" w:sz="0" w:space="0"/>
          <w:left w:val="none" w:color="auto" w:sz="0" w:space="0"/>
          <w:bottom w:val="none" w:color="auto" w:sz="0" w:space="0"/>
          <w:right w:val="none" w:color="auto" w:sz="0" w:space="0"/>
          <w:between w:val="none" w:color="auto" w:sz="0" w:space="0"/>
        </w:pBdr>
        <w:spacing w:line="400" w:lineRule="exact"/>
        <w:ind w:firstLine="477" w:firstLineChars="199"/>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1）供应商应仔细阅读采购文件的所有内容，按照采购文件的要求详细编制投标文件，所提交的全部资料必须真实有效，并且要保证字迹清晰易于辨认。投标文件应对采购文件实质性内容作出响应，否则按无效标处理。</w:t>
      </w:r>
    </w:p>
    <w:p w14:paraId="20BAADCE">
      <w:pPr>
        <w:pBdr>
          <w:top w:val="none" w:color="auto" w:sz="0" w:space="0"/>
          <w:left w:val="none" w:color="auto" w:sz="0" w:space="0"/>
          <w:bottom w:val="none" w:color="auto" w:sz="0" w:space="0"/>
          <w:right w:val="none" w:color="auto" w:sz="0" w:space="0"/>
          <w:between w:val="none" w:color="auto" w:sz="0" w:space="0"/>
        </w:pBdr>
        <w:spacing w:line="400" w:lineRule="exact"/>
        <w:ind w:firstLine="477" w:firstLineChars="199"/>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（2）投标文件格式应按本采购文件第六部分格式要求编制，不得对采购文件格式进行增删更改，否则按无效标处理。</w:t>
      </w:r>
    </w:p>
    <w:p w14:paraId="34AA6E3C">
      <w:pPr>
        <w:pBdr>
          <w:top w:val="none" w:color="auto" w:sz="0" w:space="0"/>
          <w:left w:val="none" w:color="auto" w:sz="0" w:space="0"/>
          <w:bottom w:val="none" w:color="auto" w:sz="0" w:space="0"/>
          <w:right w:val="none" w:color="auto" w:sz="0" w:space="0"/>
          <w:between w:val="none" w:color="auto" w:sz="0" w:space="0"/>
        </w:pBdr>
        <w:spacing w:line="400" w:lineRule="exact"/>
        <w:ind w:firstLine="477" w:firstLineChars="199"/>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 xml:space="preserve">（3）对采购文件格式可更改的例外情况：采购文件第六部分附件格式要求中明确规定表格中行数不够用时可按相同格式增加行数，其他一切内容和格式不得更改。 </w:t>
      </w:r>
    </w:p>
    <w:p w14:paraId="0953C8B2">
      <w:pPr>
        <w:pBdr>
          <w:top w:val="none" w:color="auto" w:sz="0" w:space="0"/>
          <w:left w:val="none" w:color="auto" w:sz="0" w:space="0"/>
          <w:bottom w:val="none" w:color="auto" w:sz="0" w:space="0"/>
          <w:right w:val="none" w:color="auto" w:sz="0" w:space="0"/>
          <w:between w:val="none" w:color="auto" w:sz="0" w:space="0"/>
        </w:pBdr>
        <w:spacing w:line="400" w:lineRule="exact"/>
        <w:ind w:firstLine="477" w:firstLineChars="199"/>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（4）投标文件为电子投标文件，电子投标文件按“政采云供应商项目采购-电子招投标操作指南”及本采购文件要求制作、加密传输。</w:t>
      </w:r>
    </w:p>
    <w:p w14:paraId="6E47006B">
      <w:pPr>
        <w:pBdr>
          <w:top w:val="none" w:color="auto" w:sz="0" w:space="0"/>
          <w:left w:val="none" w:color="auto" w:sz="0" w:space="0"/>
          <w:bottom w:val="none" w:color="auto" w:sz="0" w:space="0"/>
          <w:right w:val="none" w:color="auto" w:sz="0" w:space="0"/>
          <w:between w:val="none" w:color="auto" w:sz="0" w:space="0"/>
        </w:pBdr>
        <w:spacing w:line="400" w:lineRule="exact"/>
        <w:ind w:firstLine="477" w:firstLineChars="199"/>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（5）投标文件未在投标截止时间前完成传输的，视为投标文件撤回；投标文件未按时解密亦视为投标文件撤回。</w:t>
      </w:r>
    </w:p>
    <w:p w14:paraId="34E80C12">
      <w:pPr>
        <w:pBdr>
          <w:top w:val="none" w:color="auto" w:sz="0" w:space="0"/>
          <w:left w:val="none" w:color="auto" w:sz="0" w:space="0"/>
          <w:bottom w:val="none" w:color="auto" w:sz="0" w:space="0"/>
          <w:right w:val="none" w:color="auto" w:sz="0" w:space="0"/>
          <w:between w:val="none" w:color="auto" w:sz="0" w:space="0"/>
        </w:pBdr>
        <w:spacing w:line="440" w:lineRule="exact"/>
        <w:ind w:firstLine="236" w:firstLineChars="9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b/>
          <w:color w:val="auto"/>
          <w:szCs w:val="21"/>
          <w:lang w:eastAsia="zh-CN"/>
        </w:rPr>
        <w:t>22</w:t>
      </w:r>
      <w:r>
        <w:rPr>
          <w:rFonts w:hint="eastAsia" w:asciiTheme="minorEastAsia" w:hAnsiTheme="minorEastAsia" w:eastAsiaTheme="minorEastAsia" w:cstheme="minorEastAsia"/>
          <w:color w:val="auto"/>
          <w:szCs w:val="21"/>
          <w:lang w:eastAsia="zh-CN"/>
        </w:rPr>
        <w:t>.</w:t>
      </w:r>
      <w:r>
        <w:rPr>
          <w:rFonts w:hint="eastAsia" w:asciiTheme="minorEastAsia" w:hAnsiTheme="minorEastAsia" w:eastAsiaTheme="minorEastAsia" w:cstheme="minorEastAsia"/>
          <w:b/>
          <w:color w:val="auto"/>
          <w:szCs w:val="21"/>
          <w:lang w:eastAsia="zh-CN"/>
        </w:rPr>
        <w:t>投标报价</w:t>
      </w:r>
    </w:p>
    <w:p w14:paraId="4523EA7A">
      <w:pPr>
        <w:pBdr>
          <w:top w:val="none" w:color="auto" w:sz="0" w:space="0"/>
          <w:left w:val="none" w:color="auto" w:sz="0" w:space="0"/>
          <w:bottom w:val="none" w:color="auto" w:sz="0" w:space="0"/>
          <w:right w:val="none" w:color="auto" w:sz="0" w:space="0"/>
          <w:between w:val="none" w:color="auto" w:sz="0" w:space="0"/>
        </w:pBdr>
        <w:spacing w:line="440" w:lineRule="exact"/>
        <w:ind w:firstLine="235" w:firstLineChars="9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22.1投标报价文件中的单价和总价全部采用人民币表示。</w:t>
      </w:r>
    </w:p>
    <w:p w14:paraId="0DE71F4B">
      <w:pPr>
        <w:pBdr>
          <w:top w:val="none" w:color="auto" w:sz="0" w:space="0"/>
          <w:left w:val="none" w:color="auto" w:sz="0" w:space="0"/>
          <w:bottom w:val="none" w:color="auto" w:sz="0" w:space="0"/>
          <w:right w:val="none" w:color="auto" w:sz="0" w:space="0"/>
          <w:between w:val="none" w:color="auto" w:sz="0" w:space="0"/>
        </w:pBdr>
        <w:spacing w:line="440" w:lineRule="exact"/>
        <w:ind w:firstLine="235" w:firstLineChars="9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22.2投标报价表上应清楚地标明投标人拟提供货物的名称、规格型号、品牌、数量、单位、单价和总价。</w:t>
      </w:r>
    </w:p>
    <w:p w14:paraId="76A832F8">
      <w:pPr>
        <w:pBdr>
          <w:top w:val="none" w:color="auto" w:sz="0" w:space="0"/>
          <w:left w:val="none" w:color="auto" w:sz="0" w:space="0"/>
          <w:bottom w:val="none" w:color="auto" w:sz="0" w:space="0"/>
          <w:right w:val="none" w:color="auto" w:sz="0" w:space="0"/>
          <w:between w:val="none" w:color="auto" w:sz="0" w:space="0"/>
        </w:pBdr>
        <w:spacing w:line="440" w:lineRule="exact"/>
        <w:ind w:firstLine="235" w:firstLineChars="9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22.3投标人只允许有一个方案、一个报价。</w:t>
      </w:r>
    </w:p>
    <w:p w14:paraId="2DB8532C">
      <w:pPr>
        <w:pBdr>
          <w:top w:val="none" w:color="auto" w:sz="0" w:space="0"/>
          <w:left w:val="none" w:color="auto" w:sz="0" w:space="0"/>
          <w:bottom w:val="none" w:color="auto" w:sz="0" w:space="0"/>
          <w:right w:val="none" w:color="auto" w:sz="0" w:space="0"/>
          <w:between w:val="none" w:color="auto" w:sz="0" w:space="0"/>
        </w:pBdr>
        <w:spacing w:line="440" w:lineRule="exact"/>
        <w:ind w:firstLine="235" w:firstLineChars="9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22.4投标人应按“采购内容及技术参数要求”所列货物逐项进行单价报价，并最终按货物总量乘以货物单价报总价，不得采用总价下浮的方式进行报价。综合单价包括：设备费、安装费、材料费、辅材费、运输费、管理费、利润、风险费用、代理费、调试、验收、培训及后期服务及国家对中标单位征收的各种税费等所有一切费用，综合单价今后将不作任何调整。</w:t>
      </w:r>
    </w:p>
    <w:p w14:paraId="135B9B39">
      <w:pPr>
        <w:pBdr>
          <w:top w:val="none" w:color="auto" w:sz="0" w:space="0"/>
          <w:left w:val="none" w:color="auto" w:sz="0" w:space="0"/>
          <w:bottom w:val="none" w:color="auto" w:sz="0" w:space="0"/>
          <w:right w:val="none" w:color="auto" w:sz="0" w:space="0"/>
          <w:between w:val="none" w:color="auto" w:sz="0" w:space="0"/>
        </w:pBdr>
        <w:spacing w:line="440" w:lineRule="exact"/>
        <w:ind w:firstLine="235" w:firstLineChars="9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22.5投标报价的价格是货物交货地验收价格，其总价即为履行合同的固定总价。</w:t>
      </w:r>
    </w:p>
    <w:p w14:paraId="3C5EA430">
      <w:pPr>
        <w:pBdr>
          <w:top w:val="none" w:color="auto" w:sz="0" w:space="0"/>
          <w:left w:val="none" w:color="auto" w:sz="0" w:space="0"/>
          <w:bottom w:val="none" w:color="auto" w:sz="0" w:space="0"/>
          <w:right w:val="none" w:color="auto" w:sz="0" w:space="0"/>
          <w:between w:val="none" w:color="auto" w:sz="0" w:space="0"/>
        </w:pBdr>
        <w:spacing w:line="440" w:lineRule="exact"/>
        <w:ind w:firstLine="235" w:firstLineChars="9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22.6技术要求中规定的安装、调试和培训费用应包括在投标价格中。投标文件报价为含税价，采购人不再为此次招标支付任何费用。</w:t>
      </w:r>
    </w:p>
    <w:p w14:paraId="15CD8E0C">
      <w:pPr>
        <w:pBdr>
          <w:top w:val="none" w:color="auto" w:sz="0" w:space="0"/>
          <w:left w:val="none" w:color="auto" w:sz="0" w:space="0"/>
          <w:bottom w:val="none" w:color="auto" w:sz="0" w:space="0"/>
          <w:right w:val="none" w:color="auto" w:sz="0" w:space="0"/>
          <w:between w:val="none" w:color="auto" w:sz="0" w:space="0"/>
        </w:pBdr>
        <w:spacing w:line="440" w:lineRule="exact"/>
        <w:ind w:firstLine="235" w:firstLineChars="9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22.7投标报价应由法定代表人或被授权人签署。</w:t>
      </w:r>
    </w:p>
    <w:p w14:paraId="09CF1637">
      <w:pPr>
        <w:pBdr>
          <w:top w:val="none" w:color="auto" w:sz="0" w:space="0"/>
          <w:left w:val="none" w:color="auto" w:sz="0" w:space="0"/>
          <w:bottom w:val="none" w:color="auto" w:sz="0" w:space="0"/>
          <w:right w:val="none" w:color="auto" w:sz="0" w:space="0"/>
          <w:between w:val="none" w:color="auto" w:sz="0" w:space="0"/>
        </w:pBdr>
        <w:spacing w:line="440" w:lineRule="exact"/>
        <w:ind w:firstLine="235" w:firstLineChars="98"/>
        <w:rPr>
          <w:rFonts w:hint="eastAsia" w:asciiTheme="minorEastAsia" w:hAnsiTheme="minorEastAsia" w:eastAsiaTheme="minorEastAsia" w:cstheme="minorEastAsia"/>
          <w:bCs/>
          <w:color w:val="auto"/>
          <w:szCs w:val="21"/>
          <w:lang w:eastAsia="zh-CN"/>
        </w:rPr>
      </w:pPr>
      <w:r>
        <w:rPr>
          <w:rFonts w:hint="eastAsia" w:asciiTheme="minorEastAsia" w:hAnsiTheme="minorEastAsia" w:eastAsiaTheme="minorEastAsia" w:cstheme="minorEastAsia"/>
          <w:bCs/>
          <w:color w:val="auto"/>
          <w:szCs w:val="21"/>
          <w:lang w:eastAsia="zh-CN"/>
        </w:rPr>
        <w:t>22.8</w:t>
      </w:r>
      <w:r>
        <w:rPr>
          <w:rFonts w:hint="eastAsia" w:asciiTheme="minorEastAsia" w:hAnsiTheme="minorEastAsia" w:eastAsiaTheme="minorEastAsia" w:cstheme="minorEastAsia"/>
          <w:b/>
          <w:color w:val="auto"/>
          <w:szCs w:val="21"/>
          <w:lang w:eastAsia="zh-CN"/>
        </w:rPr>
        <w:t>投标人投标总报价，不得高于本次采购预算价，</w:t>
      </w:r>
      <w:r>
        <w:rPr>
          <w:rFonts w:hint="eastAsia" w:asciiTheme="minorEastAsia" w:hAnsiTheme="minorEastAsia" w:eastAsiaTheme="minorEastAsia" w:cstheme="minorEastAsia"/>
          <w:b/>
          <w:bCs/>
          <w:color w:val="auto"/>
          <w:szCs w:val="21"/>
          <w:lang w:eastAsia="zh-CN"/>
        </w:rPr>
        <w:t>否则将作为无效投标处理。</w:t>
      </w:r>
    </w:p>
    <w:p w14:paraId="6893E3C4">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22.9如投标文件中未列明全面实现投标货物功能而必须配置的配套或辅助设施及相应技术措施的费用，这些费用将被视为已包含在总投标价中。</w:t>
      </w:r>
    </w:p>
    <w:p w14:paraId="0C95C15B">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22.10总投标价中不得包含采购文件要求以外的内容，否则，在评标时不予核减，但在授予合同时，采购人有权将这部分价格从其中标价格中扣除。</w:t>
      </w:r>
    </w:p>
    <w:p w14:paraId="682769CB">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 xml:space="preserve">22.11总投标价中不得缺漏采购文件所要求的内容，否则，评标时将有效投标中该项内容的最高价计入其评标总价，但在授予合同时，缺漏项目的报价视作已含在其他项目的报价中，这些项目将作为免费赠送而包含在合同内。    </w:t>
      </w:r>
    </w:p>
    <w:p w14:paraId="4B127141">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22.12投标人不得对从第三方采购货物的随机备品、备件另行收费，否则在计算评标价时这部分费用将不予扣除，在授予合同时将从中标价格中扣除该部分费用。</w:t>
      </w:r>
    </w:p>
    <w:p w14:paraId="1D8FA2A8">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22.13</w:t>
      </w:r>
      <w:r>
        <w:rPr>
          <w:rFonts w:hint="eastAsia" w:asciiTheme="minorEastAsia" w:hAnsiTheme="minorEastAsia" w:eastAsiaTheme="minorEastAsia" w:cstheme="minorEastAsia"/>
          <w:b/>
          <w:bCs/>
          <w:color w:val="auto"/>
          <w:szCs w:val="21"/>
          <w:lang w:eastAsia="zh-CN"/>
        </w:rPr>
        <w:t>投标人应根据货物的技术状况列出随机备品备件的清单和数量，并将该备品备件价格计入总投标价，若所提供的产品无需备件，则应在投标文件中说明；无论投标人在报价中列明随机备品备件的数量及价格多少，在质保期内采购人均无需为维护维修保养所需的专用工具和备品备件另行支付费用。</w:t>
      </w:r>
    </w:p>
    <w:p w14:paraId="2A5FCAEB">
      <w:pPr>
        <w:pBdr>
          <w:top w:val="none" w:color="auto" w:sz="0" w:space="0"/>
          <w:left w:val="none" w:color="auto" w:sz="0" w:space="0"/>
          <w:bottom w:val="none" w:color="auto" w:sz="0" w:space="0"/>
          <w:right w:val="none" w:color="auto" w:sz="0" w:space="0"/>
          <w:between w:val="none" w:color="auto" w:sz="0" w:space="0"/>
        </w:pBdr>
        <w:spacing w:line="440" w:lineRule="exact"/>
        <w:ind w:firstLine="241" w:firstLineChars="100"/>
        <w:rPr>
          <w:rFonts w:hint="eastAsia" w:asciiTheme="minorEastAsia" w:hAnsiTheme="minorEastAsia" w:eastAsiaTheme="minorEastAsia" w:cstheme="minorEastAsia"/>
          <w:b/>
          <w:color w:val="auto"/>
          <w:szCs w:val="21"/>
          <w:lang w:eastAsia="zh-CN"/>
        </w:rPr>
      </w:pPr>
      <w:r>
        <w:rPr>
          <w:rFonts w:hint="eastAsia" w:asciiTheme="minorEastAsia" w:hAnsiTheme="minorEastAsia" w:eastAsiaTheme="minorEastAsia" w:cstheme="minorEastAsia"/>
          <w:b/>
          <w:color w:val="auto"/>
          <w:szCs w:val="21"/>
          <w:lang w:eastAsia="zh-CN"/>
        </w:rPr>
        <w:t>23. 投标有效期</w:t>
      </w:r>
    </w:p>
    <w:p w14:paraId="37F86294">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b/>
          <w:bCs/>
          <w:color w:val="auto"/>
          <w:szCs w:val="21"/>
          <w:lang w:eastAsia="zh-CN"/>
        </w:rPr>
      </w:pPr>
      <w:r>
        <w:rPr>
          <w:rFonts w:hint="eastAsia" w:asciiTheme="minorEastAsia" w:hAnsiTheme="minorEastAsia" w:eastAsiaTheme="minorEastAsia" w:cstheme="minorEastAsia"/>
          <w:color w:val="auto"/>
          <w:szCs w:val="21"/>
          <w:lang w:eastAsia="zh-CN"/>
        </w:rPr>
        <w:t>23.1 除投标人须知前附表另有规定外，</w:t>
      </w:r>
      <w:r>
        <w:rPr>
          <w:rFonts w:hint="eastAsia" w:asciiTheme="minorEastAsia" w:hAnsiTheme="minorEastAsia" w:eastAsiaTheme="minorEastAsia" w:cstheme="minorEastAsia"/>
          <w:b/>
          <w:bCs/>
          <w:color w:val="auto"/>
          <w:szCs w:val="21"/>
          <w:lang w:eastAsia="zh-CN"/>
        </w:rPr>
        <w:t>投标有效期为</w:t>
      </w:r>
      <w:r>
        <w:rPr>
          <w:rFonts w:hint="eastAsia" w:asciiTheme="minorEastAsia" w:hAnsiTheme="minorEastAsia" w:eastAsiaTheme="minorEastAsia" w:cstheme="minorEastAsia"/>
          <w:b/>
          <w:bCs/>
          <w:color w:val="auto"/>
          <w:szCs w:val="21"/>
          <w:u w:val="single"/>
          <w:lang w:eastAsia="zh-CN"/>
        </w:rPr>
        <w:t>60</w:t>
      </w:r>
      <w:r>
        <w:rPr>
          <w:rFonts w:hint="eastAsia" w:asciiTheme="minorEastAsia" w:hAnsiTheme="minorEastAsia" w:eastAsiaTheme="minorEastAsia" w:cstheme="minorEastAsia"/>
          <w:b/>
          <w:bCs/>
          <w:color w:val="auto"/>
          <w:szCs w:val="21"/>
          <w:lang w:eastAsia="zh-CN"/>
        </w:rPr>
        <w:t>天。</w:t>
      </w:r>
    </w:p>
    <w:p w14:paraId="4EEA8D00">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23.2在投标有效期内，投标人撤销或修改其投标文件的，应承担采购文件和法律规定的责任。</w:t>
      </w:r>
    </w:p>
    <w:p w14:paraId="17300C8C">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23.3出现特殊情况需要延长投标有效期的，采购人将在新疆政府采购网以更正公告的形式通知所有投标人延长投标有效期。投标人同意延长的，应相应延长其投标保证金的有效期，但不得要求或被允许修改或撤销其投标文件；投标人拒绝延长的，其投标失效，但投标人有权收回其投标保证金。</w:t>
      </w:r>
    </w:p>
    <w:p w14:paraId="295E1EA4">
      <w:pPr>
        <w:pBdr>
          <w:top w:val="none" w:color="auto" w:sz="0" w:space="0"/>
          <w:left w:val="none" w:color="auto" w:sz="0" w:space="0"/>
          <w:bottom w:val="none" w:color="auto" w:sz="0" w:space="0"/>
          <w:right w:val="none" w:color="auto" w:sz="0" w:space="0"/>
          <w:between w:val="none" w:color="auto" w:sz="0" w:space="0"/>
        </w:pBdr>
        <w:spacing w:line="440" w:lineRule="exact"/>
        <w:ind w:firstLine="241" w:firstLineChars="100"/>
        <w:rPr>
          <w:rFonts w:hint="eastAsia" w:asciiTheme="minorEastAsia" w:hAnsiTheme="minorEastAsia" w:eastAsiaTheme="minorEastAsia" w:cstheme="minorEastAsia"/>
          <w:b/>
          <w:color w:val="auto"/>
          <w:szCs w:val="21"/>
          <w:lang w:eastAsia="zh-CN"/>
        </w:rPr>
      </w:pPr>
      <w:r>
        <w:rPr>
          <w:rFonts w:hint="eastAsia" w:asciiTheme="minorEastAsia" w:hAnsiTheme="minorEastAsia" w:eastAsiaTheme="minorEastAsia" w:cstheme="minorEastAsia"/>
          <w:b/>
          <w:color w:val="auto"/>
          <w:szCs w:val="21"/>
          <w:lang w:eastAsia="zh-CN"/>
        </w:rPr>
        <w:t>24. 投标保证金</w:t>
      </w:r>
    </w:p>
    <w:p w14:paraId="1ACA53DF">
      <w:pPr>
        <w:pBdr>
          <w:top w:val="none" w:color="auto" w:sz="0" w:space="0"/>
          <w:left w:val="none" w:color="auto" w:sz="0" w:space="0"/>
          <w:bottom w:val="none" w:color="auto" w:sz="0" w:space="0"/>
          <w:right w:val="none" w:color="auto" w:sz="0" w:space="0"/>
          <w:between w:val="none" w:color="auto" w:sz="0" w:space="0"/>
        </w:pBdr>
        <w:spacing w:line="40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24.1投标人须知前附表规定递交投标保证金的，投标人在递交投标文件的同时，应按投标人须知前附表规定的金额、担保形式和第六部分“投标文件格式”规定的投标保证金格式递交投标保证金，并作为其投标文件的组成部分。投标人不按要求提交投标保证金的，评标委员会将否决其投标。</w:t>
      </w:r>
    </w:p>
    <w:p w14:paraId="5F0040C4">
      <w:pPr>
        <w:pBdr>
          <w:top w:val="none" w:color="auto" w:sz="0" w:space="0"/>
          <w:left w:val="none" w:color="auto" w:sz="0" w:space="0"/>
          <w:bottom w:val="none" w:color="auto" w:sz="0" w:space="0"/>
          <w:right w:val="none" w:color="auto" w:sz="0" w:space="0"/>
          <w:between w:val="none" w:color="auto" w:sz="0" w:space="0"/>
        </w:pBdr>
        <w:spacing w:line="40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24.2自中标通知书发出之日起5个工作日内退还未中标投标人的投标保证金，自政府采购合同签订之日起5个工作日内退还中标人的投标保证金。</w:t>
      </w:r>
    </w:p>
    <w:p w14:paraId="27C1863B">
      <w:pPr>
        <w:pBdr>
          <w:top w:val="none" w:color="auto" w:sz="0" w:space="0"/>
          <w:left w:val="none" w:color="auto" w:sz="0" w:space="0"/>
          <w:bottom w:val="none" w:color="auto" w:sz="0" w:space="0"/>
          <w:right w:val="none" w:color="auto" w:sz="0" w:space="0"/>
          <w:between w:val="none" w:color="auto" w:sz="0" w:space="0"/>
        </w:pBdr>
        <w:spacing w:line="40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 xml:space="preserve">24.3有下列情形之一的，投标保证金将不予退还： </w:t>
      </w:r>
    </w:p>
    <w:p w14:paraId="464755E8">
      <w:pPr>
        <w:pBdr>
          <w:top w:val="none" w:color="auto" w:sz="0" w:space="0"/>
          <w:left w:val="none" w:color="auto" w:sz="0" w:space="0"/>
          <w:bottom w:val="none" w:color="auto" w:sz="0" w:space="0"/>
          <w:right w:val="none" w:color="auto" w:sz="0" w:space="0"/>
          <w:between w:val="none" w:color="auto" w:sz="0" w:space="0"/>
        </w:pBdr>
        <w:spacing w:line="400" w:lineRule="exact"/>
        <w:ind w:firstLine="480" w:firstLineChars="2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（1）投标人在规定的投标有效期内撤回或修改其投标文件；</w:t>
      </w:r>
    </w:p>
    <w:p w14:paraId="39B78245">
      <w:pPr>
        <w:pBdr>
          <w:top w:val="none" w:color="auto" w:sz="0" w:space="0"/>
          <w:left w:val="none" w:color="auto" w:sz="0" w:space="0"/>
          <w:bottom w:val="none" w:color="auto" w:sz="0" w:space="0"/>
          <w:right w:val="none" w:color="auto" w:sz="0" w:space="0"/>
          <w:between w:val="none" w:color="auto" w:sz="0" w:space="0"/>
        </w:pBdr>
        <w:spacing w:line="400" w:lineRule="exact"/>
        <w:ind w:firstLine="480" w:firstLineChars="2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（2）中标通知书发出后三十天内，中标人无正当理由拒签合同协议书或未按采购文件规定提交履约担保。</w:t>
      </w:r>
    </w:p>
    <w:p w14:paraId="500D5480">
      <w:pPr>
        <w:pBdr>
          <w:top w:val="none" w:color="auto" w:sz="0" w:space="0"/>
          <w:left w:val="none" w:color="auto" w:sz="0" w:space="0"/>
          <w:bottom w:val="none" w:color="auto" w:sz="0" w:space="0"/>
          <w:right w:val="none" w:color="auto" w:sz="0" w:space="0"/>
          <w:between w:val="none" w:color="auto" w:sz="0" w:space="0"/>
        </w:pBdr>
        <w:spacing w:line="400" w:lineRule="exact"/>
        <w:ind w:firstLine="480" w:firstLineChars="2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（3）提供虚假材料谋取中标的；</w:t>
      </w:r>
    </w:p>
    <w:p w14:paraId="2A6F9EA0">
      <w:pPr>
        <w:pBdr>
          <w:top w:val="none" w:color="auto" w:sz="0" w:space="0"/>
          <w:left w:val="none" w:color="auto" w:sz="0" w:space="0"/>
          <w:bottom w:val="none" w:color="auto" w:sz="0" w:space="0"/>
          <w:right w:val="none" w:color="auto" w:sz="0" w:space="0"/>
          <w:between w:val="none" w:color="auto" w:sz="0" w:space="0"/>
        </w:pBdr>
        <w:spacing w:line="400" w:lineRule="exact"/>
        <w:ind w:firstLine="480" w:firstLineChars="2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（4）经查实属于陪标、串通投标的等。</w:t>
      </w:r>
    </w:p>
    <w:p w14:paraId="172517BA">
      <w:pPr>
        <w:pBdr>
          <w:top w:val="none" w:color="auto" w:sz="0" w:space="0"/>
          <w:left w:val="none" w:color="auto" w:sz="0" w:space="0"/>
          <w:bottom w:val="none" w:color="auto" w:sz="0" w:space="0"/>
          <w:right w:val="none" w:color="auto" w:sz="0" w:space="0"/>
          <w:between w:val="none" w:color="auto" w:sz="0" w:space="0"/>
        </w:pBdr>
        <w:spacing w:line="400" w:lineRule="exact"/>
        <w:ind w:firstLine="240" w:firstLineChars="100"/>
        <w:rPr>
          <w:rFonts w:hint="eastAsia" w:asciiTheme="minorEastAsia" w:hAnsiTheme="minorEastAsia" w:eastAsiaTheme="minorEastAsia" w:cstheme="minorEastAsia"/>
          <w:color w:val="auto"/>
          <w:szCs w:val="21"/>
          <w:lang w:eastAsia="zh-CN"/>
        </w:rPr>
      </w:pPr>
      <w:bookmarkStart w:id="58" w:name="_Toc469495727"/>
      <w:r>
        <w:rPr>
          <w:rFonts w:hint="eastAsia" w:asciiTheme="minorEastAsia" w:hAnsiTheme="minorEastAsia" w:eastAsiaTheme="minorEastAsia" w:cstheme="minorEastAsia"/>
          <w:color w:val="auto"/>
          <w:szCs w:val="21"/>
          <w:lang w:eastAsia="zh-CN"/>
        </w:rPr>
        <w:t>24.4投标保证金按投标人须知前附表第24条规定执行。</w:t>
      </w:r>
    </w:p>
    <w:p w14:paraId="050BE582">
      <w:pPr>
        <w:pBdr>
          <w:top w:val="none" w:color="auto" w:sz="0" w:space="0"/>
          <w:left w:val="none" w:color="auto" w:sz="0" w:space="0"/>
          <w:bottom w:val="none" w:color="auto" w:sz="0" w:space="0"/>
          <w:right w:val="none" w:color="auto" w:sz="0" w:space="0"/>
          <w:between w:val="none" w:color="auto" w:sz="0" w:space="0"/>
        </w:pBdr>
        <w:tabs>
          <w:tab w:val="left" w:pos="540"/>
        </w:tabs>
        <w:outlineLvl w:val="9"/>
        <w:rPr>
          <w:rFonts w:hint="eastAsia" w:asciiTheme="minorEastAsia" w:hAnsiTheme="minorEastAsia" w:eastAsiaTheme="minorEastAsia" w:cstheme="minorEastAsia"/>
          <w:color w:val="auto"/>
          <w:szCs w:val="28"/>
          <w:lang w:eastAsia="zh-CN"/>
        </w:rPr>
      </w:pPr>
    </w:p>
    <w:p w14:paraId="347062C7">
      <w:pPr>
        <w:pStyle w:val="3"/>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szCs w:val="28"/>
          <w:lang w:eastAsia="zh-CN"/>
        </w:rPr>
      </w:pPr>
      <w:r>
        <w:rPr>
          <w:rFonts w:hint="eastAsia" w:asciiTheme="minorEastAsia" w:hAnsiTheme="minorEastAsia" w:eastAsiaTheme="minorEastAsia" w:cstheme="minorEastAsia"/>
          <w:color w:val="auto"/>
          <w:szCs w:val="28"/>
          <w:lang w:eastAsia="zh-CN"/>
        </w:rPr>
        <w:t>（四）</w:t>
      </w:r>
      <w:bookmarkEnd w:id="58"/>
      <w:r>
        <w:rPr>
          <w:rFonts w:hint="eastAsia" w:asciiTheme="minorEastAsia" w:hAnsiTheme="minorEastAsia" w:eastAsiaTheme="minorEastAsia" w:cstheme="minorEastAsia"/>
          <w:color w:val="auto"/>
          <w:szCs w:val="28"/>
          <w:lang w:eastAsia="zh-CN"/>
        </w:rPr>
        <w:t>投标文件的制作、上传及递交要求</w:t>
      </w:r>
    </w:p>
    <w:p w14:paraId="568A28C2">
      <w:pPr>
        <w:pBdr>
          <w:top w:val="none" w:color="auto" w:sz="0" w:space="0"/>
          <w:left w:val="none" w:color="auto" w:sz="0" w:space="0"/>
          <w:bottom w:val="none" w:color="auto" w:sz="0" w:space="0"/>
          <w:right w:val="none" w:color="auto" w:sz="0" w:space="0"/>
          <w:between w:val="none" w:color="auto" w:sz="0" w:space="0"/>
        </w:pBdr>
        <w:snapToGrid w:val="0"/>
        <w:spacing w:line="360" w:lineRule="auto"/>
        <w:ind w:firstLine="241" w:firstLineChars="100"/>
        <w:rPr>
          <w:rFonts w:hint="eastAsia" w:asciiTheme="minorEastAsia" w:hAnsiTheme="minorEastAsia" w:eastAsiaTheme="minorEastAsia" w:cstheme="minorEastAsia"/>
          <w:b/>
          <w:color w:val="auto"/>
          <w:lang w:eastAsia="zh-CN"/>
        </w:rPr>
      </w:pPr>
      <w:r>
        <w:rPr>
          <w:rFonts w:hint="eastAsia" w:asciiTheme="minorEastAsia" w:hAnsiTheme="minorEastAsia" w:eastAsiaTheme="minorEastAsia" w:cstheme="minorEastAsia"/>
          <w:b/>
          <w:bCs/>
          <w:color w:val="auto"/>
          <w:lang w:eastAsia="zh-CN"/>
        </w:rPr>
        <w:t>25.投标文件的制作要求</w:t>
      </w:r>
    </w:p>
    <w:p w14:paraId="0D4A8AB9">
      <w:pPr>
        <w:pStyle w:val="5"/>
        <w:pBdr>
          <w:top w:val="none" w:color="auto" w:sz="0" w:space="0"/>
          <w:left w:val="none" w:color="auto" w:sz="0" w:space="0"/>
          <w:bottom w:val="none" w:color="auto" w:sz="0" w:space="0"/>
          <w:right w:val="none" w:color="auto" w:sz="0" w:space="0"/>
          <w:between w:val="none" w:color="auto" w:sz="0" w:space="0"/>
        </w:pBdr>
        <w:snapToGrid w:val="0"/>
        <w:spacing w:line="360" w:lineRule="auto"/>
        <w:rPr>
          <w:rFonts w:hint="eastAsia" w:asciiTheme="minorEastAsia" w:hAnsiTheme="minorEastAsia" w:eastAsiaTheme="minorEastAsia" w:cstheme="minorEastAsia"/>
          <w:color w:val="auto"/>
          <w:szCs w:val="24"/>
          <w:lang w:eastAsia="zh-CN"/>
        </w:rPr>
      </w:pPr>
      <w:r>
        <w:rPr>
          <w:rFonts w:hint="eastAsia" w:asciiTheme="minorEastAsia" w:hAnsiTheme="minorEastAsia" w:eastAsiaTheme="minorEastAsia" w:cstheme="minorEastAsia"/>
          <w:bCs/>
          <w:color w:val="auto"/>
          <w:szCs w:val="24"/>
          <w:lang w:eastAsia="zh-CN"/>
        </w:rPr>
        <w:t>（1）供应商应按照投标文件组成内容及项目招标需求和新疆政府采购云平台要求制作投标文件，不按采购文件和新疆政府采购云平台要求制作投标文件的将</w:t>
      </w:r>
      <w:r>
        <w:rPr>
          <w:rFonts w:hint="eastAsia" w:asciiTheme="minorEastAsia" w:hAnsiTheme="minorEastAsia" w:eastAsiaTheme="minorEastAsia" w:cstheme="minorEastAsia"/>
          <w:b/>
          <w:color w:val="auto"/>
          <w:szCs w:val="24"/>
          <w:lang w:eastAsia="zh-CN"/>
        </w:rPr>
        <w:t>视情况处理（拒收等）</w:t>
      </w:r>
      <w:r>
        <w:rPr>
          <w:rFonts w:hint="eastAsia" w:asciiTheme="minorEastAsia" w:hAnsiTheme="minorEastAsia" w:eastAsiaTheme="minorEastAsia" w:cstheme="minorEastAsia"/>
          <w:bCs/>
          <w:color w:val="auto"/>
          <w:szCs w:val="24"/>
          <w:lang w:eastAsia="zh-CN"/>
        </w:rPr>
        <w:t>，由此产生的责任由供应商自行承担。</w:t>
      </w:r>
    </w:p>
    <w:p w14:paraId="7FB8926D">
      <w:pPr>
        <w:pStyle w:val="5"/>
        <w:pBdr>
          <w:top w:val="none" w:color="auto" w:sz="0" w:space="0"/>
          <w:left w:val="none" w:color="auto" w:sz="0" w:space="0"/>
          <w:bottom w:val="none" w:color="auto" w:sz="0" w:space="0"/>
          <w:right w:val="none" w:color="auto" w:sz="0" w:space="0"/>
          <w:between w:val="none" w:color="auto" w:sz="0" w:space="0"/>
        </w:pBdr>
        <w:snapToGrid w:val="0"/>
        <w:spacing w:line="360" w:lineRule="auto"/>
        <w:ind w:firstLine="480" w:firstLineChars="200"/>
        <w:rPr>
          <w:rFonts w:hint="eastAsia" w:asciiTheme="minorEastAsia" w:hAnsiTheme="minorEastAsia" w:eastAsiaTheme="minorEastAsia" w:cstheme="minorEastAsia"/>
          <w:color w:val="auto"/>
          <w:szCs w:val="24"/>
          <w:lang w:eastAsia="zh-CN"/>
        </w:rPr>
      </w:pPr>
      <w:r>
        <w:rPr>
          <w:rFonts w:hint="eastAsia" w:asciiTheme="minorEastAsia" w:hAnsiTheme="minorEastAsia" w:eastAsiaTheme="minorEastAsia" w:cstheme="minorEastAsia"/>
          <w:bCs/>
          <w:color w:val="auto"/>
          <w:szCs w:val="24"/>
          <w:lang w:eastAsia="zh-CN"/>
        </w:rPr>
        <w:t>电子投标文件部分：供应商应根据“政采云供应商项目采购-电子招投标操作指南”及本采购文件规定的格式和顺序编制电子投标文件并进行关联定位。本文件《第六部分 投标文件格式》中有提供格式的，供应商应按照格式进行编制（格式中要求提供相关证明材料的还需后附相关证明材料），并按格式要求在指定位置根据要求进行签章，否则</w:t>
      </w:r>
      <w:r>
        <w:rPr>
          <w:rFonts w:hint="eastAsia" w:asciiTheme="minorEastAsia" w:hAnsiTheme="minorEastAsia" w:eastAsiaTheme="minorEastAsia" w:cstheme="minorEastAsia"/>
          <w:b/>
          <w:color w:val="auto"/>
          <w:szCs w:val="24"/>
          <w:lang w:eastAsia="zh-CN"/>
        </w:rPr>
        <w:t>视为未提供</w:t>
      </w:r>
      <w:r>
        <w:rPr>
          <w:rFonts w:hint="eastAsia" w:asciiTheme="minorEastAsia" w:hAnsiTheme="minorEastAsia" w:eastAsiaTheme="minorEastAsia" w:cstheme="minorEastAsia"/>
          <w:bCs/>
          <w:color w:val="auto"/>
          <w:szCs w:val="24"/>
          <w:lang w:eastAsia="zh-CN"/>
        </w:rPr>
        <w:t>；本文件《第六部分</w:t>
      </w:r>
      <w:r>
        <w:rPr>
          <w:rFonts w:hint="eastAsia" w:asciiTheme="minorEastAsia" w:hAnsiTheme="minorEastAsia" w:eastAsiaTheme="minorEastAsia" w:cstheme="minorEastAsia"/>
          <w:bCs/>
          <w:color w:val="auto"/>
          <w:szCs w:val="24"/>
          <w:lang w:val="en-US" w:eastAsia="zh-CN"/>
        </w:rPr>
        <w:t xml:space="preserve"> </w:t>
      </w:r>
      <w:r>
        <w:rPr>
          <w:rFonts w:hint="eastAsia" w:asciiTheme="minorEastAsia" w:hAnsiTheme="minorEastAsia" w:eastAsiaTheme="minorEastAsia" w:cstheme="minorEastAsia"/>
          <w:bCs/>
          <w:color w:val="auto"/>
          <w:szCs w:val="24"/>
          <w:lang w:eastAsia="zh-CN"/>
        </w:rPr>
        <w:t>投标文件格式》未提供格式的，请供应商自行拟定格式，并加盖单位公章，</w:t>
      </w:r>
      <w:r>
        <w:rPr>
          <w:rFonts w:hint="eastAsia" w:asciiTheme="minorEastAsia" w:hAnsiTheme="minorEastAsia" w:eastAsiaTheme="minorEastAsia" w:cstheme="minorEastAsia"/>
          <w:b/>
          <w:color w:val="auto"/>
          <w:szCs w:val="24"/>
          <w:lang w:eastAsia="zh-CN"/>
        </w:rPr>
        <w:t>否则视为未提供。</w:t>
      </w:r>
    </w:p>
    <w:p w14:paraId="66D65AC7">
      <w:pPr>
        <w:pStyle w:val="5"/>
        <w:pBdr>
          <w:top w:val="none" w:color="auto" w:sz="0" w:space="0"/>
          <w:left w:val="none" w:color="auto" w:sz="0" w:space="0"/>
          <w:bottom w:val="none" w:color="auto" w:sz="0" w:space="0"/>
          <w:right w:val="none" w:color="auto" w:sz="0" w:space="0"/>
          <w:between w:val="none" w:color="auto" w:sz="0" w:space="0"/>
        </w:pBdr>
        <w:snapToGrid w:val="0"/>
        <w:spacing w:line="360" w:lineRule="auto"/>
        <w:rPr>
          <w:rFonts w:hint="eastAsia" w:asciiTheme="minorEastAsia" w:hAnsiTheme="minorEastAsia" w:eastAsiaTheme="minorEastAsia" w:cstheme="minorEastAsia"/>
          <w:bCs/>
          <w:color w:val="auto"/>
          <w:szCs w:val="24"/>
          <w:lang w:eastAsia="zh-CN"/>
        </w:rPr>
      </w:pPr>
      <w:r>
        <w:rPr>
          <w:rFonts w:hint="eastAsia" w:asciiTheme="minorEastAsia" w:hAnsiTheme="minorEastAsia" w:eastAsiaTheme="minorEastAsia" w:cstheme="minorEastAsia"/>
          <w:bCs/>
          <w:color w:val="auto"/>
          <w:szCs w:val="24"/>
          <w:lang w:eastAsia="zh-CN"/>
        </w:rPr>
        <w:t>（2）供应商应对所提供的全部资料的真实性、有效性承担法律责任，电子投标文件中所须加盖公章部分均采用CA签章。</w:t>
      </w:r>
    </w:p>
    <w:p w14:paraId="486575CF">
      <w:pPr>
        <w:pStyle w:val="5"/>
        <w:pBdr>
          <w:top w:val="none" w:color="auto" w:sz="0" w:space="0"/>
          <w:left w:val="none" w:color="auto" w:sz="0" w:space="0"/>
          <w:bottom w:val="none" w:color="auto" w:sz="0" w:space="0"/>
          <w:right w:val="none" w:color="auto" w:sz="0" w:space="0"/>
          <w:between w:val="none" w:color="auto" w:sz="0" w:space="0"/>
        </w:pBdr>
        <w:snapToGrid w:val="0"/>
        <w:spacing w:line="360" w:lineRule="auto"/>
        <w:rPr>
          <w:rFonts w:hint="eastAsia" w:asciiTheme="minorEastAsia" w:hAnsiTheme="minorEastAsia" w:eastAsiaTheme="minorEastAsia" w:cstheme="minorEastAsia"/>
          <w:bCs/>
          <w:color w:val="auto"/>
          <w:szCs w:val="24"/>
          <w:lang w:eastAsia="zh-CN"/>
        </w:rPr>
      </w:pPr>
      <w:r>
        <w:rPr>
          <w:rFonts w:hint="eastAsia" w:asciiTheme="minorEastAsia" w:hAnsiTheme="minorEastAsia" w:eastAsiaTheme="minorEastAsia" w:cstheme="minorEastAsia"/>
          <w:bCs/>
          <w:color w:val="auto"/>
          <w:szCs w:val="24"/>
          <w:lang w:eastAsia="zh-CN"/>
        </w:rPr>
        <w:t>（3）投标文件以及供应商与采购组织机构就有关投标事宜的所有来往函电，均应以中文汉语书写。除签章、盖章、专用名称等特殊情形外，以中文汉语以外的文字表述的投标文件</w:t>
      </w:r>
      <w:r>
        <w:rPr>
          <w:rFonts w:hint="eastAsia" w:asciiTheme="minorEastAsia" w:hAnsiTheme="minorEastAsia" w:eastAsiaTheme="minorEastAsia" w:cstheme="minorEastAsia"/>
          <w:b/>
          <w:color w:val="auto"/>
          <w:szCs w:val="24"/>
          <w:lang w:eastAsia="zh-CN"/>
        </w:rPr>
        <w:t>视同未提供。</w:t>
      </w:r>
    </w:p>
    <w:p w14:paraId="77656727">
      <w:pPr>
        <w:pStyle w:val="5"/>
        <w:pBdr>
          <w:top w:val="none" w:color="auto" w:sz="0" w:space="0"/>
          <w:left w:val="none" w:color="auto" w:sz="0" w:space="0"/>
          <w:bottom w:val="none" w:color="auto" w:sz="0" w:space="0"/>
          <w:right w:val="none" w:color="auto" w:sz="0" w:space="0"/>
          <w:between w:val="none" w:color="auto" w:sz="0" w:space="0"/>
        </w:pBdr>
        <w:snapToGrid w:val="0"/>
        <w:spacing w:line="360" w:lineRule="auto"/>
        <w:rPr>
          <w:rFonts w:hint="eastAsia" w:asciiTheme="minorEastAsia" w:hAnsiTheme="minorEastAsia" w:eastAsiaTheme="minorEastAsia" w:cstheme="minorEastAsia"/>
          <w:bCs/>
          <w:color w:val="auto"/>
          <w:szCs w:val="24"/>
          <w:lang w:eastAsia="zh-CN"/>
        </w:rPr>
      </w:pPr>
      <w:r>
        <w:rPr>
          <w:rFonts w:hint="eastAsia" w:asciiTheme="minorEastAsia" w:hAnsiTheme="minorEastAsia" w:eastAsiaTheme="minorEastAsia" w:cstheme="minorEastAsia"/>
          <w:bCs/>
          <w:color w:val="auto"/>
          <w:szCs w:val="24"/>
          <w:lang w:eastAsia="zh-CN"/>
        </w:rPr>
        <w:t>（4）投标计量单位，采购文件已有明确规定的，使用采购文件规定的计量单位；采购文件没有规定的，应采用中华人民共和国法定计量单位（货币单位：人民币元）。</w:t>
      </w:r>
    </w:p>
    <w:p w14:paraId="08334506">
      <w:pPr>
        <w:pStyle w:val="5"/>
        <w:pBdr>
          <w:top w:val="none" w:color="auto" w:sz="0" w:space="0"/>
          <w:left w:val="none" w:color="auto" w:sz="0" w:space="0"/>
          <w:bottom w:val="none" w:color="auto" w:sz="0" w:space="0"/>
          <w:right w:val="none" w:color="auto" w:sz="0" w:space="0"/>
          <w:between w:val="none" w:color="auto" w:sz="0" w:space="0"/>
        </w:pBdr>
        <w:snapToGrid w:val="0"/>
        <w:spacing w:line="360" w:lineRule="auto"/>
        <w:rPr>
          <w:rFonts w:hint="eastAsia" w:asciiTheme="minorEastAsia" w:hAnsiTheme="minorEastAsia" w:eastAsiaTheme="minorEastAsia" w:cstheme="minorEastAsia"/>
          <w:bCs/>
          <w:color w:val="auto"/>
          <w:szCs w:val="24"/>
          <w:lang w:eastAsia="zh-CN"/>
        </w:rPr>
      </w:pPr>
      <w:r>
        <w:rPr>
          <w:rFonts w:hint="eastAsia" w:asciiTheme="minorEastAsia" w:hAnsiTheme="minorEastAsia" w:eastAsiaTheme="minorEastAsia" w:cstheme="minorEastAsia"/>
          <w:bCs/>
          <w:color w:val="auto"/>
          <w:szCs w:val="24"/>
          <w:lang w:eastAsia="zh-CN"/>
        </w:rPr>
        <w:t>（5）若供应商不按采购文件的要求提供资格审查材料，其风险由供应商自行承担。</w:t>
      </w:r>
    </w:p>
    <w:p w14:paraId="31EBA26A">
      <w:pPr>
        <w:pStyle w:val="5"/>
        <w:pBdr>
          <w:top w:val="none" w:color="auto" w:sz="0" w:space="0"/>
          <w:left w:val="none" w:color="auto" w:sz="0" w:space="0"/>
          <w:bottom w:val="none" w:color="auto" w:sz="0" w:space="0"/>
          <w:right w:val="none" w:color="auto" w:sz="0" w:space="0"/>
          <w:between w:val="none" w:color="auto" w:sz="0" w:space="0"/>
        </w:pBdr>
        <w:snapToGrid w:val="0"/>
        <w:spacing w:line="360" w:lineRule="auto"/>
        <w:rPr>
          <w:rFonts w:hint="eastAsia" w:asciiTheme="minorEastAsia" w:hAnsiTheme="minorEastAsia" w:eastAsiaTheme="minorEastAsia" w:cstheme="minorEastAsia"/>
          <w:bCs/>
          <w:color w:val="auto"/>
          <w:szCs w:val="24"/>
          <w:lang w:eastAsia="zh-CN"/>
        </w:rPr>
      </w:pPr>
      <w:r>
        <w:rPr>
          <w:rFonts w:hint="eastAsia" w:asciiTheme="minorEastAsia" w:hAnsiTheme="minorEastAsia" w:eastAsiaTheme="minorEastAsia" w:cstheme="minorEastAsia"/>
          <w:bCs/>
          <w:color w:val="auto"/>
          <w:szCs w:val="24"/>
          <w:lang w:eastAsia="zh-CN"/>
        </w:rPr>
        <w:t>（6）与本次投标无关的内容请不要制作在内，确保投标文件有针对性、简洁明了。</w:t>
      </w:r>
    </w:p>
    <w:p w14:paraId="37C28EEE">
      <w:pPr>
        <w:pBdr>
          <w:top w:val="none" w:color="auto" w:sz="0" w:space="0"/>
          <w:left w:val="none" w:color="auto" w:sz="0" w:space="0"/>
          <w:bottom w:val="none" w:color="auto" w:sz="0" w:space="0"/>
          <w:right w:val="none" w:color="auto" w:sz="0" w:space="0"/>
          <w:between w:val="none" w:color="auto" w:sz="0" w:space="0"/>
        </w:pBdr>
        <w:snapToGrid w:val="0"/>
        <w:spacing w:line="360" w:lineRule="auto"/>
        <w:ind w:firstLine="241" w:firstLineChars="100"/>
        <w:rPr>
          <w:rFonts w:hint="eastAsia" w:asciiTheme="minorEastAsia" w:hAnsiTheme="minorEastAsia" w:eastAsiaTheme="minorEastAsia" w:cstheme="minorEastAsia"/>
          <w:b/>
          <w:color w:val="auto"/>
          <w:lang w:eastAsia="zh-CN"/>
        </w:rPr>
      </w:pPr>
      <w:r>
        <w:rPr>
          <w:rFonts w:hint="eastAsia" w:asciiTheme="minorEastAsia" w:hAnsiTheme="minorEastAsia" w:eastAsiaTheme="minorEastAsia" w:cstheme="minorEastAsia"/>
          <w:b/>
          <w:bCs/>
          <w:color w:val="auto"/>
          <w:lang w:eastAsia="zh-CN"/>
        </w:rPr>
        <w:t>26.投标文件的上传</w:t>
      </w:r>
    </w:p>
    <w:p w14:paraId="3DF212CF">
      <w:pPr>
        <w:pStyle w:val="5"/>
        <w:pBdr>
          <w:top w:val="none" w:color="auto" w:sz="0" w:space="0"/>
          <w:left w:val="none" w:color="auto" w:sz="0" w:space="0"/>
          <w:bottom w:val="none" w:color="auto" w:sz="0" w:space="0"/>
          <w:right w:val="none" w:color="auto" w:sz="0" w:space="0"/>
          <w:between w:val="none" w:color="auto" w:sz="0" w:space="0"/>
        </w:pBdr>
        <w:snapToGrid w:val="0"/>
        <w:spacing w:line="360" w:lineRule="auto"/>
        <w:rPr>
          <w:rFonts w:hint="eastAsia" w:asciiTheme="minorEastAsia" w:hAnsiTheme="minorEastAsia" w:eastAsiaTheme="minorEastAsia" w:cstheme="minorEastAsia"/>
          <w:b/>
          <w:bCs/>
          <w:color w:val="auto"/>
          <w:szCs w:val="24"/>
          <w:lang w:eastAsia="zh-CN"/>
        </w:rPr>
      </w:pPr>
      <w:r>
        <w:rPr>
          <w:rFonts w:hint="eastAsia" w:asciiTheme="minorEastAsia" w:hAnsiTheme="minorEastAsia" w:eastAsiaTheme="minorEastAsia" w:cstheme="minorEastAsia"/>
          <w:b/>
          <w:bCs/>
          <w:color w:val="auto"/>
          <w:szCs w:val="24"/>
          <w:lang w:eastAsia="zh-CN"/>
        </w:rPr>
        <w:t>（1）</w:t>
      </w:r>
      <w:r>
        <w:rPr>
          <w:rFonts w:hint="eastAsia" w:asciiTheme="minorEastAsia" w:hAnsiTheme="minorEastAsia" w:eastAsiaTheme="minorEastAsia" w:cstheme="minorEastAsia"/>
          <w:b/>
          <w:bCs/>
          <w:color w:val="auto"/>
          <w:szCs w:val="24"/>
          <w:lang w:eastAsia="zh-CN" w:bidi="zh-CN"/>
        </w:rPr>
        <w:t>电子加密投标文件（“.jmbs”格式）</w:t>
      </w:r>
      <w:r>
        <w:rPr>
          <w:rFonts w:hint="eastAsia" w:asciiTheme="minorEastAsia" w:hAnsiTheme="minorEastAsia" w:eastAsiaTheme="minorEastAsia" w:cstheme="minorEastAsia"/>
          <w:b/>
          <w:bCs/>
          <w:color w:val="auto"/>
          <w:szCs w:val="24"/>
          <w:lang w:eastAsia="zh-CN"/>
        </w:rPr>
        <w:t>：</w:t>
      </w:r>
    </w:p>
    <w:p w14:paraId="0AC85A95">
      <w:pPr>
        <w:pStyle w:val="5"/>
        <w:pBdr>
          <w:top w:val="none" w:color="auto" w:sz="0" w:space="0"/>
          <w:left w:val="none" w:color="auto" w:sz="0" w:space="0"/>
          <w:bottom w:val="none" w:color="auto" w:sz="0" w:space="0"/>
          <w:right w:val="none" w:color="auto" w:sz="0" w:space="0"/>
          <w:between w:val="none" w:color="auto" w:sz="0" w:space="0"/>
        </w:pBdr>
        <w:snapToGrid w:val="0"/>
        <w:spacing w:line="360" w:lineRule="auto"/>
        <w:ind w:firstLine="600" w:firstLineChars="250"/>
        <w:rPr>
          <w:rFonts w:hint="eastAsia" w:asciiTheme="minorEastAsia" w:hAnsiTheme="minorEastAsia" w:eastAsiaTheme="minorEastAsia" w:cstheme="minorEastAsia"/>
          <w:bCs/>
          <w:color w:val="auto"/>
          <w:szCs w:val="24"/>
          <w:lang w:eastAsia="zh-CN" w:bidi="zh-CN"/>
        </w:rPr>
      </w:pPr>
      <w:r>
        <w:rPr>
          <w:rFonts w:hint="eastAsia" w:asciiTheme="minorEastAsia" w:hAnsiTheme="minorEastAsia" w:eastAsiaTheme="minorEastAsia" w:cstheme="minorEastAsia"/>
          <w:bCs/>
          <w:color w:val="auto"/>
          <w:szCs w:val="24"/>
          <w:lang w:eastAsia="zh-CN" w:bidi="zh-CN"/>
        </w:rPr>
        <w:t>a.</w:t>
      </w:r>
      <w:r>
        <w:rPr>
          <w:rFonts w:hint="eastAsia" w:asciiTheme="minorEastAsia" w:hAnsiTheme="minorEastAsia" w:eastAsiaTheme="minorEastAsia" w:cstheme="minorEastAsia"/>
          <w:bCs/>
          <w:color w:val="auto"/>
          <w:szCs w:val="24"/>
          <w:lang w:eastAsia="zh-CN"/>
        </w:rPr>
        <w:t xml:space="preserve"> </w:t>
      </w:r>
      <w:r>
        <w:rPr>
          <w:rFonts w:hint="eastAsia" w:asciiTheme="minorEastAsia" w:hAnsiTheme="minorEastAsia" w:eastAsiaTheme="minorEastAsia" w:cstheme="minorEastAsia"/>
          <w:bCs/>
          <w:color w:val="auto"/>
          <w:szCs w:val="24"/>
          <w:lang w:eastAsia="zh-CN" w:bidi="zh-CN"/>
        </w:rPr>
        <w:t>供应商应在投标截止时间前将电子加密投标文件成功上传递交至新疆政府采购云平台，否则</w:t>
      </w:r>
      <w:r>
        <w:rPr>
          <w:rFonts w:hint="eastAsia" w:asciiTheme="minorEastAsia" w:hAnsiTheme="minorEastAsia" w:eastAsiaTheme="minorEastAsia" w:cstheme="minorEastAsia"/>
          <w:b/>
          <w:color w:val="auto"/>
          <w:szCs w:val="24"/>
          <w:lang w:eastAsia="zh-CN" w:bidi="zh-CN"/>
        </w:rPr>
        <w:t>投标无效；</w:t>
      </w:r>
    </w:p>
    <w:p w14:paraId="4347AF44">
      <w:pPr>
        <w:pStyle w:val="5"/>
        <w:pBdr>
          <w:top w:val="none" w:color="auto" w:sz="0" w:space="0"/>
          <w:left w:val="none" w:color="auto" w:sz="0" w:space="0"/>
          <w:bottom w:val="none" w:color="auto" w:sz="0" w:space="0"/>
          <w:right w:val="none" w:color="auto" w:sz="0" w:space="0"/>
          <w:between w:val="none" w:color="auto" w:sz="0" w:space="0"/>
        </w:pBdr>
        <w:snapToGrid w:val="0"/>
        <w:spacing w:line="360" w:lineRule="auto"/>
        <w:ind w:firstLine="600" w:firstLineChars="250"/>
        <w:rPr>
          <w:rFonts w:hint="eastAsia" w:asciiTheme="minorEastAsia" w:hAnsiTheme="minorEastAsia" w:eastAsiaTheme="minorEastAsia" w:cstheme="minorEastAsia"/>
          <w:bCs/>
          <w:color w:val="auto"/>
          <w:szCs w:val="24"/>
          <w:lang w:eastAsia="zh-CN"/>
        </w:rPr>
      </w:pPr>
      <w:r>
        <w:rPr>
          <w:rFonts w:hint="eastAsia" w:asciiTheme="minorEastAsia" w:hAnsiTheme="minorEastAsia" w:eastAsiaTheme="minorEastAsia" w:cstheme="minorEastAsia"/>
          <w:bCs/>
          <w:color w:val="auto"/>
          <w:szCs w:val="24"/>
          <w:lang w:eastAsia="zh-CN" w:bidi="zh-CN"/>
        </w:rPr>
        <w:t>b.供应商成功上传电子加密投标文件后，可自行打印投标文件接收回执。</w:t>
      </w:r>
    </w:p>
    <w:p w14:paraId="301B92D4">
      <w:pPr>
        <w:pBdr>
          <w:top w:val="none" w:color="auto" w:sz="0" w:space="0"/>
          <w:left w:val="none" w:color="auto" w:sz="0" w:space="0"/>
          <w:bottom w:val="none" w:color="auto" w:sz="0" w:space="0"/>
          <w:right w:val="none" w:color="auto" w:sz="0" w:space="0"/>
          <w:between w:val="none" w:color="auto" w:sz="0" w:space="0"/>
        </w:pBdr>
        <w:snapToGrid w:val="0"/>
        <w:spacing w:line="360" w:lineRule="auto"/>
        <w:ind w:firstLine="241" w:firstLineChars="100"/>
        <w:rPr>
          <w:rFonts w:hint="eastAsia" w:asciiTheme="minorEastAsia" w:hAnsiTheme="minorEastAsia" w:eastAsiaTheme="minorEastAsia" w:cstheme="minorEastAsia"/>
          <w:b/>
          <w:color w:val="auto"/>
          <w:lang w:eastAsia="zh-CN"/>
        </w:rPr>
      </w:pPr>
      <w:r>
        <w:rPr>
          <w:rFonts w:hint="eastAsia" w:asciiTheme="minorEastAsia" w:hAnsiTheme="minorEastAsia" w:eastAsiaTheme="minorEastAsia" w:cstheme="minorEastAsia"/>
          <w:b/>
          <w:bCs/>
          <w:color w:val="auto"/>
          <w:lang w:eastAsia="zh-CN"/>
        </w:rPr>
        <w:t>27.</w:t>
      </w:r>
      <w:r>
        <w:rPr>
          <w:rFonts w:hint="eastAsia" w:asciiTheme="minorEastAsia" w:hAnsiTheme="minorEastAsia" w:eastAsiaTheme="minorEastAsia" w:cstheme="minorEastAsia"/>
          <w:b/>
          <w:color w:val="auto"/>
          <w:lang w:eastAsia="zh-CN"/>
        </w:rPr>
        <w:t>投标文件的递交要求</w:t>
      </w:r>
    </w:p>
    <w:p w14:paraId="2CDCA1AA">
      <w:pPr>
        <w:pBdr>
          <w:top w:val="none" w:color="auto" w:sz="0" w:space="0"/>
          <w:left w:val="none" w:color="auto" w:sz="0" w:space="0"/>
          <w:bottom w:val="none" w:color="auto" w:sz="0" w:space="0"/>
          <w:right w:val="none" w:color="auto" w:sz="0" w:space="0"/>
          <w:between w:val="none" w:color="auto" w:sz="0" w:space="0"/>
        </w:pBdr>
        <w:snapToGrid w:val="0"/>
        <w:spacing w:line="360" w:lineRule="auto"/>
        <w:ind w:firstLine="48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（1）供应商须按照采购文件和政采云平台的要求编制并加密投标文件。在投标文件递交截止时间以前完成投标文件的传输递交，截止时间后递交的投标文件，将被拒收。</w:t>
      </w:r>
    </w:p>
    <w:p w14:paraId="2732B7A6">
      <w:pPr>
        <w:pBdr>
          <w:top w:val="none" w:color="auto" w:sz="0" w:space="0"/>
          <w:left w:val="none" w:color="auto" w:sz="0" w:space="0"/>
          <w:bottom w:val="none" w:color="auto" w:sz="0" w:space="0"/>
          <w:right w:val="none" w:color="auto" w:sz="0" w:space="0"/>
          <w:between w:val="none" w:color="auto" w:sz="0" w:space="0"/>
        </w:pBdr>
        <w:tabs>
          <w:tab w:val="left" w:pos="1418"/>
        </w:tabs>
        <w:autoSpaceDE w:val="0"/>
        <w:autoSpaceDN w:val="0"/>
        <w:adjustRightInd w:val="0"/>
        <w:snapToGrid w:val="0"/>
        <w:spacing w:line="360" w:lineRule="auto"/>
        <w:ind w:firstLine="48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（2）如有特殊情况，采购组织机构延长截止时间和开标时间，采购组织机构和供应商的权利和义务将受到新的截止时间和开标时间的约束。</w:t>
      </w:r>
    </w:p>
    <w:p w14:paraId="5FBC1A51">
      <w:pPr>
        <w:pBdr>
          <w:top w:val="none" w:color="auto" w:sz="0" w:space="0"/>
          <w:left w:val="none" w:color="auto" w:sz="0" w:space="0"/>
          <w:bottom w:val="none" w:color="auto" w:sz="0" w:space="0"/>
          <w:right w:val="none" w:color="auto" w:sz="0" w:space="0"/>
          <w:between w:val="none" w:color="auto" w:sz="0" w:space="0"/>
        </w:pBdr>
        <w:snapToGrid w:val="0"/>
        <w:spacing w:line="360" w:lineRule="auto"/>
        <w:ind w:firstLine="241" w:firstLineChars="100"/>
        <w:rPr>
          <w:rFonts w:hint="eastAsia" w:asciiTheme="minorEastAsia" w:hAnsiTheme="minorEastAsia" w:eastAsiaTheme="minorEastAsia" w:cstheme="minorEastAsia"/>
          <w:b/>
          <w:bCs/>
          <w:color w:val="auto"/>
          <w:lang w:eastAsia="zh-CN"/>
        </w:rPr>
      </w:pPr>
      <w:r>
        <w:rPr>
          <w:rFonts w:hint="eastAsia" w:asciiTheme="minorEastAsia" w:hAnsiTheme="minorEastAsia" w:eastAsiaTheme="minorEastAsia" w:cstheme="minorEastAsia"/>
          <w:b/>
          <w:bCs/>
          <w:color w:val="auto"/>
          <w:lang w:eastAsia="zh-CN"/>
        </w:rPr>
        <w:t>28．投标文件的补充、修改与撤回</w:t>
      </w:r>
    </w:p>
    <w:p w14:paraId="4E4A8C69">
      <w:pPr>
        <w:pBdr>
          <w:top w:val="none" w:color="auto" w:sz="0" w:space="0"/>
          <w:left w:val="none" w:color="auto" w:sz="0" w:space="0"/>
          <w:bottom w:val="none" w:color="auto" w:sz="0" w:space="0"/>
          <w:right w:val="none" w:color="auto" w:sz="0" w:space="0"/>
          <w:between w:val="none" w:color="auto" w:sz="0" w:space="0"/>
        </w:pBdr>
        <w:tabs>
          <w:tab w:val="left" w:pos="960"/>
          <w:tab w:val="left" w:pos="1418"/>
        </w:tabs>
        <w:autoSpaceDE w:val="0"/>
        <w:autoSpaceDN w:val="0"/>
        <w:adjustRightInd w:val="0"/>
        <w:snapToGrid w:val="0"/>
        <w:spacing w:line="360" w:lineRule="auto"/>
        <w:ind w:firstLine="48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投标截止时间后传输递交的投标文件，“政府采购云平台”将予以拒收。投标截止时间后，供应商不得修改（补充）或撤回其投标文件。</w:t>
      </w:r>
    </w:p>
    <w:p w14:paraId="1CF98312">
      <w:pPr>
        <w:pBdr>
          <w:top w:val="none" w:color="auto" w:sz="0" w:space="0"/>
          <w:left w:val="none" w:color="auto" w:sz="0" w:space="0"/>
          <w:bottom w:val="none" w:color="auto" w:sz="0" w:space="0"/>
          <w:right w:val="none" w:color="auto" w:sz="0" w:space="0"/>
          <w:between w:val="none" w:color="auto" w:sz="0" w:space="0"/>
        </w:pBdr>
        <w:spacing w:before="312" w:beforeLines="100" w:after="312" w:afterLines="100" w:line="440" w:lineRule="exact"/>
        <w:jc w:val="center"/>
        <w:outlineLvl w:val="1"/>
        <w:rPr>
          <w:rFonts w:hint="eastAsia" w:asciiTheme="minorEastAsia" w:hAnsiTheme="minorEastAsia" w:eastAsiaTheme="minorEastAsia" w:cstheme="minorEastAsia"/>
          <w:b/>
          <w:bCs/>
          <w:color w:val="auto"/>
          <w:sz w:val="28"/>
          <w:szCs w:val="28"/>
          <w:lang w:eastAsia="zh-CN"/>
        </w:rPr>
      </w:pPr>
      <w:bookmarkStart w:id="59" w:name="_Toc469495728"/>
      <w:r>
        <w:rPr>
          <w:rFonts w:hint="eastAsia" w:asciiTheme="minorEastAsia" w:hAnsiTheme="minorEastAsia" w:eastAsiaTheme="minorEastAsia" w:cstheme="minorEastAsia"/>
          <w:b/>
          <w:bCs/>
          <w:color w:val="auto"/>
          <w:sz w:val="28"/>
          <w:szCs w:val="28"/>
          <w:lang w:eastAsia="zh-CN"/>
        </w:rPr>
        <w:t>（五）开标、评标和定标</w:t>
      </w:r>
      <w:bookmarkEnd w:id="59"/>
    </w:p>
    <w:p w14:paraId="2B2604BC">
      <w:pPr>
        <w:pBdr>
          <w:top w:val="none" w:color="auto" w:sz="0" w:space="0"/>
          <w:left w:val="none" w:color="auto" w:sz="0" w:space="0"/>
          <w:bottom w:val="none" w:color="auto" w:sz="0" w:space="0"/>
          <w:right w:val="none" w:color="auto" w:sz="0" w:space="0"/>
          <w:between w:val="none" w:color="auto" w:sz="0" w:space="0"/>
        </w:pBdr>
        <w:snapToGrid w:val="0"/>
        <w:spacing w:line="360" w:lineRule="auto"/>
        <w:ind w:firstLine="241" w:firstLineChars="100"/>
        <w:rPr>
          <w:rFonts w:hint="eastAsia" w:asciiTheme="minorEastAsia" w:hAnsiTheme="minorEastAsia" w:eastAsiaTheme="minorEastAsia" w:cstheme="minorEastAsia"/>
          <w:b/>
          <w:bCs/>
          <w:color w:val="auto"/>
          <w:lang w:eastAsia="zh-CN"/>
        </w:rPr>
      </w:pPr>
      <w:r>
        <w:rPr>
          <w:rFonts w:hint="eastAsia" w:asciiTheme="minorEastAsia" w:hAnsiTheme="minorEastAsia" w:eastAsiaTheme="minorEastAsia" w:cstheme="minorEastAsia"/>
          <w:b/>
          <w:bCs/>
          <w:color w:val="auto"/>
          <w:lang w:eastAsia="zh-CN"/>
        </w:rPr>
        <w:t>29. 开标</w:t>
      </w:r>
    </w:p>
    <w:p w14:paraId="6C9066CD">
      <w:pPr>
        <w:pBdr>
          <w:top w:val="none" w:color="auto" w:sz="0" w:space="0"/>
          <w:left w:val="none" w:color="auto" w:sz="0" w:space="0"/>
          <w:bottom w:val="none" w:color="auto" w:sz="0" w:space="0"/>
          <w:right w:val="none" w:color="auto" w:sz="0" w:space="0"/>
          <w:between w:val="none" w:color="auto" w:sz="0" w:space="0"/>
        </w:pBdr>
        <w:snapToGrid w:val="0"/>
        <w:spacing w:line="360" w:lineRule="auto"/>
        <w:ind w:firstLine="241" w:firstLineChars="100"/>
        <w:rPr>
          <w:rFonts w:hint="eastAsia" w:asciiTheme="minorEastAsia" w:hAnsiTheme="minorEastAsia" w:eastAsiaTheme="minorEastAsia" w:cstheme="minorEastAsia"/>
          <w:b/>
          <w:bCs/>
          <w:color w:val="auto"/>
          <w:lang w:eastAsia="zh-CN"/>
        </w:rPr>
      </w:pPr>
      <w:bookmarkStart w:id="60" w:name="_Toc73975822"/>
      <w:r>
        <w:rPr>
          <w:rFonts w:hint="eastAsia" w:asciiTheme="minorEastAsia" w:hAnsiTheme="minorEastAsia" w:eastAsiaTheme="minorEastAsia" w:cstheme="minorEastAsia"/>
          <w:b/>
          <w:bCs/>
          <w:color w:val="auto"/>
          <w:lang w:eastAsia="zh-CN"/>
        </w:rPr>
        <w:t>29.1开标邀请</w:t>
      </w:r>
      <w:bookmarkEnd w:id="60"/>
    </w:p>
    <w:p w14:paraId="7AC4C3C0">
      <w:pPr>
        <w:pStyle w:val="14"/>
        <w:pBdr>
          <w:top w:val="none" w:color="auto" w:sz="0" w:space="0"/>
          <w:left w:val="none" w:color="auto" w:sz="0" w:space="0"/>
          <w:bottom w:val="none" w:color="auto" w:sz="0" w:space="0"/>
          <w:right w:val="none" w:color="auto" w:sz="0" w:space="0"/>
          <w:between w:val="none" w:color="auto" w:sz="0" w:space="0"/>
        </w:pBdr>
        <w:snapToGrid w:val="0"/>
        <w:spacing w:line="360" w:lineRule="auto"/>
        <w:ind w:firstLine="480" w:firstLineChars="200"/>
        <w:rPr>
          <w:rFonts w:hint="eastAsia" w:asciiTheme="minorEastAsia" w:hAnsiTheme="minorEastAsia" w:eastAsiaTheme="minorEastAsia" w:cstheme="minorEastAsia"/>
          <w:bCs/>
          <w:color w:val="auto"/>
          <w:szCs w:val="24"/>
          <w:lang w:eastAsia="zh-CN"/>
        </w:rPr>
      </w:pPr>
      <w:r>
        <w:rPr>
          <w:rFonts w:hint="eastAsia" w:asciiTheme="minorEastAsia" w:hAnsiTheme="minorEastAsia" w:eastAsiaTheme="minorEastAsia" w:cstheme="minorEastAsia"/>
          <w:bCs/>
          <w:color w:val="auto"/>
          <w:szCs w:val="24"/>
          <w:lang w:eastAsia="zh-CN"/>
        </w:rPr>
        <w:t>（1）开标准备：本项目开标的准备工作由采购组织机构负责落实，开标过程由采购组织机构负责记录；</w:t>
      </w:r>
    </w:p>
    <w:p w14:paraId="69969190">
      <w:pPr>
        <w:pStyle w:val="14"/>
        <w:pBdr>
          <w:top w:val="none" w:color="auto" w:sz="0" w:space="0"/>
          <w:left w:val="none" w:color="auto" w:sz="0" w:space="0"/>
          <w:bottom w:val="none" w:color="auto" w:sz="0" w:space="0"/>
          <w:right w:val="none" w:color="auto" w:sz="0" w:space="0"/>
          <w:between w:val="none" w:color="auto" w:sz="0" w:space="0"/>
        </w:pBdr>
        <w:snapToGrid w:val="0"/>
        <w:spacing w:line="360" w:lineRule="auto"/>
        <w:ind w:firstLine="480" w:firstLineChars="200"/>
        <w:rPr>
          <w:rFonts w:hint="eastAsia" w:asciiTheme="minorEastAsia" w:hAnsiTheme="minorEastAsia" w:eastAsiaTheme="minorEastAsia" w:cstheme="minorEastAsia"/>
          <w:bCs/>
          <w:color w:val="auto"/>
          <w:szCs w:val="24"/>
          <w:lang w:eastAsia="zh-CN"/>
        </w:rPr>
      </w:pPr>
      <w:r>
        <w:rPr>
          <w:rFonts w:hint="eastAsia" w:asciiTheme="minorEastAsia" w:hAnsiTheme="minorEastAsia" w:eastAsiaTheme="minorEastAsia" w:cstheme="minorEastAsia"/>
          <w:bCs/>
          <w:color w:val="auto"/>
          <w:szCs w:val="24"/>
          <w:lang w:eastAsia="zh-CN"/>
        </w:rPr>
        <w:t>（2）开标主持：本项目开标由采购人或者采购代理机构主持；</w:t>
      </w:r>
    </w:p>
    <w:p w14:paraId="505B220B">
      <w:pPr>
        <w:pStyle w:val="14"/>
        <w:pBdr>
          <w:top w:val="none" w:color="auto" w:sz="0" w:space="0"/>
          <w:left w:val="none" w:color="auto" w:sz="0" w:space="0"/>
          <w:bottom w:val="none" w:color="auto" w:sz="0" w:space="0"/>
          <w:right w:val="none" w:color="auto" w:sz="0" w:space="0"/>
          <w:between w:val="none" w:color="auto" w:sz="0" w:space="0"/>
        </w:pBdr>
        <w:snapToGrid w:val="0"/>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lang w:eastAsia="zh-CN"/>
        </w:rPr>
        <w:t>（3）</w:t>
      </w:r>
      <w:r>
        <w:rPr>
          <w:rFonts w:hint="eastAsia" w:asciiTheme="minorEastAsia" w:hAnsiTheme="minorEastAsia" w:eastAsiaTheme="minorEastAsia" w:cstheme="minorEastAsia"/>
          <w:color w:val="auto"/>
          <w:szCs w:val="24"/>
        </w:rPr>
        <w:t>开标邀请：本项目采用电子交易，采购组织机构将按照采购文件规定的时间通过“</w:t>
      </w:r>
      <w:r>
        <w:rPr>
          <w:rFonts w:hint="eastAsia" w:asciiTheme="minorEastAsia" w:hAnsiTheme="minorEastAsia" w:eastAsiaTheme="minorEastAsia" w:cstheme="minorEastAsia"/>
          <w:color w:val="auto"/>
          <w:szCs w:val="24"/>
          <w:lang w:eastAsia="zh-CN"/>
        </w:rPr>
        <w:t>新疆</w:t>
      </w:r>
      <w:r>
        <w:rPr>
          <w:rFonts w:hint="eastAsia" w:asciiTheme="minorEastAsia" w:hAnsiTheme="minorEastAsia" w:eastAsiaTheme="minorEastAsia" w:cstheme="minorEastAsia"/>
          <w:color w:val="auto"/>
          <w:szCs w:val="24"/>
        </w:rPr>
        <w:t>政府采购云平台，网址：</w:t>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"http://www.zcygov.cn" </w:instrText>
      </w:r>
      <w:r>
        <w:rPr>
          <w:rFonts w:hint="eastAsia" w:asciiTheme="minorEastAsia" w:hAnsiTheme="minorEastAsia" w:eastAsiaTheme="minorEastAsia" w:cstheme="minorEastAsia"/>
        </w:rPr>
        <w:fldChar w:fldCharType="separate"/>
      </w:r>
      <w:r>
        <w:rPr>
          <w:rStyle w:val="29"/>
          <w:rFonts w:hint="eastAsia" w:asciiTheme="minorEastAsia" w:hAnsiTheme="minorEastAsia" w:eastAsiaTheme="minorEastAsia" w:cstheme="minorEastAsia"/>
          <w:color w:val="auto"/>
          <w:szCs w:val="24"/>
          <w:u w:val="none"/>
        </w:rPr>
        <w:t>www.zcygov.cn</w:t>
      </w:r>
      <w:r>
        <w:rPr>
          <w:rStyle w:val="29"/>
          <w:rFonts w:hint="eastAsia" w:asciiTheme="minorEastAsia" w:hAnsiTheme="minorEastAsia" w:eastAsiaTheme="minorEastAsia" w:cstheme="minorEastAsia"/>
          <w:color w:val="auto"/>
          <w:szCs w:val="24"/>
          <w:u w:val="none"/>
        </w:rPr>
        <w:fldChar w:fldCharType="end"/>
      </w:r>
      <w:r>
        <w:rPr>
          <w:rFonts w:hint="eastAsia" w:asciiTheme="minorEastAsia" w:hAnsiTheme="minorEastAsia" w:eastAsiaTheme="minorEastAsia" w:cstheme="minorEastAsia"/>
          <w:color w:val="auto"/>
          <w:szCs w:val="24"/>
        </w:rPr>
        <w:t>”组织开标、开启投标响应文件，所有供应商均应当准时在线参加。</w:t>
      </w:r>
    </w:p>
    <w:p w14:paraId="5335ECF1">
      <w:pPr>
        <w:pStyle w:val="14"/>
        <w:pBdr>
          <w:top w:val="none" w:color="auto" w:sz="0" w:space="0"/>
          <w:left w:val="none" w:color="auto" w:sz="0" w:space="0"/>
          <w:bottom w:val="none" w:color="auto" w:sz="0" w:space="0"/>
          <w:right w:val="none" w:color="auto" w:sz="0" w:space="0"/>
          <w:between w:val="none" w:color="auto" w:sz="0" w:space="0"/>
        </w:pBdr>
        <w:snapToGrid w:val="0"/>
        <w:spacing w:line="360" w:lineRule="auto"/>
        <w:ind w:firstLine="480" w:firstLineChars="200"/>
        <w:rPr>
          <w:rFonts w:hint="eastAsia" w:asciiTheme="minorEastAsia" w:hAnsiTheme="minorEastAsia" w:eastAsiaTheme="minorEastAsia" w:cstheme="minorEastAsia"/>
          <w:color w:val="auto"/>
          <w:szCs w:val="24"/>
          <w:lang w:eastAsia="zh-CN"/>
        </w:rPr>
      </w:pPr>
      <w:r>
        <w:rPr>
          <w:rFonts w:hint="eastAsia" w:asciiTheme="minorEastAsia" w:hAnsiTheme="minorEastAsia" w:eastAsiaTheme="minorEastAsia" w:cstheme="minorEastAsia"/>
          <w:color w:val="auto"/>
          <w:szCs w:val="24"/>
          <w:lang w:eastAsia="zh-CN"/>
        </w:rPr>
        <w:t>（4）供应商对开标过程和开标记录有疑义，以及认为采购人、采购代理机构相关工作人员有需要回避的情形的，应当场提出询问或回避申请。供应商未参加开标的视同认可开标结果，事后不得对采购相关人员、开标过程和开标结果提出异议，同时投标供应商因未在线参加开标而导致投标文件无法按时解密等一切后果由供应商自行承担。</w:t>
      </w:r>
    </w:p>
    <w:p w14:paraId="56CFB76F">
      <w:pPr>
        <w:pBdr>
          <w:top w:val="none" w:color="auto" w:sz="0" w:space="0"/>
          <w:left w:val="none" w:color="auto" w:sz="0" w:space="0"/>
          <w:bottom w:val="none" w:color="auto" w:sz="0" w:space="0"/>
          <w:right w:val="none" w:color="auto" w:sz="0" w:space="0"/>
          <w:between w:val="none" w:color="auto" w:sz="0" w:space="0"/>
        </w:pBdr>
        <w:snapToGrid w:val="0"/>
        <w:spacing w:line="360" w:lineRule="auto"/>
        <w:ind w:firstLine="241" w:firstLineChars="100"/>
        <w:outlineLvl w:val="9"/>
        <w:rPr>
          <w:rFonts w:hint="eastAsia" w:asciiTheme="minorEastAsia" w:hAnsiTheme="minorEastAsia" w:eastAsiaTheme="minorEastAsia" w:cstheme="minorEastAsia"/>
          <w:b/>
          <w:color w:val="auto"/>
          <w:lang w:eastAsia="zh-CN"/>
        </w:rPr>
      </w:pPr>
      <w:bookmarkStart w:id="61" w:name="_Toc73975823"/>
      <w:r>
        <w:rPr>
          <w:rFonts w:hint="eastAsia" w:asciiTheme="minorEastAsia" w:hAnsiTheme="minorEastAsia" w:eastAsiaTheme="minorEastAsia" w:cstheme="minorEastAsia"/>
          <w:b/>
          <w:color w:val="auto"/>
          <w:lang w:eastAsia="zh-CN"/>
        </w:rPr>
        <w:t>29.2</w:t>
      </w:r>
      <w:r>
        <w:rPr>
          <w:rFonts w:hint="eastAsia" w:asciiTheme="minorEastAsia" w:hAnsiTheme="minorEastAsia" w:eastAsiaTheme="minorEastAsia" w:cstheme="minorEastAsia"/>
          <w:b/>
          <w:bCs/>
          <w:color w:val="auto"/>
          <w:lang w:eastAsia="zh-CN"/>
        </w:rPr>
        <w:t>开标程序（先资格、商务技术后报价）</w:t>
      </w:r>
      <w:bookmarkEnd w:id="61"/>
    </w:p>
    <w:p w14:paraId="79BD0E03">
      <w:pPr>
        <w:pBdr>
          <w:top w:val="none" w:color="auto" w:sz="0" w:space="0"/>
          <w:left w:val="none" w:color="auto" w:sz="0" w:space="0"/>
          <w:bottom w:val="none" w:color="auto" w:sz="0" w:space="0"/>
          <w:right w:val="none" w:color="auto" w:sz="0" w:space="0"/>
          <w:between w:val="none" w:color="auto" w:sz="0" w:space="0"/>
        </w:pBdr>
        <w:snapToGrid w:val="0"/>
        <w:spacing w:line="360" w:lineRule="auto"/>
        <w:ind w:firstLine="48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（1）开标时间到后，主持人宣布开标会议开始。</w:t>
      </w:r>
    </w:p>
    <w:p w14:paraId="64CF907C">
      <w:pPr>
        <w:pBdr>
          <w:top w:val="none" w:color="auto" w:sz="0" w:space="0"/>
          <w:left w:val="none" w:color="auto" w:sz="0" w:space="0"/>
          <w:bottom w:val="none" w:color="auto" w:sz="0" w:space="0"/>
          <w:right w:val="none" w:color="auto" w:sz="0" w:space="0"/>
          <w:between w:val="none" w:color="auto" w:sz="0" w:space="0"/>
        </w:pBdr>
        <w:snapToGrid w:val="0"/>
        <w:spacing w:line="360" w:lineRule="auto"/>
        <w:ind w:firstLine="48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（2）投标文件解密（</w:t>
      </w:r>
      <w:r>
        <w:rPr>
          <w:rFonts w:hint="eastAsia" w:asciiTheme="minorEastAsia" w:hAnsiTheme="minorEastAsia" w:eastAsiaTheme="minorEastAsia" w:cstheme="minorEastAsia"/>
          <w:b/>
          <w:color w:val="auto"/>
          <w:lang w:eastAsia="zh-CN"/>
        </w:rPr>
        <w:t>解密规定见《供应商须知前附表》</w:t>
      </w:r>
      <w:r>
        <w:rPr>
          <w:rFonts w:hint="eastAsia" w:asciiTheme="minorEastAsia" w:hAnsiTheme="minorEastAsia" w:eastAsiaTheme="minorEastAsia" w:cstheme="minorEastAsia"/>
          <w:color w:val="auto"/>
          <w:lang w:eastAsia="zh-CN"/>
        </w:rPr>
        <w:t>）。</w:t>
      </w:r>
    </w:p>
    <w:p w14:paraId="09E6C795">
      <w:pPr>
        <w:pBdr>
          <w:top w:val="none" w:color="auto" w:sz="0" w:space="0"/>
          <w:left w:val="none" w:color="auto" w:sz="0" w:space="0"/>
          <w:bottom w:val="none" w:color="auto" w:sz="0" w:space="0"/>
          <w:right w:val="none" w:color="auto" w:sz="0" w:space="0"/>
          <w:between w:val="none" w:color="auto" w:sz="0" w:space="0"/>
        </w:pBdr>
        <w:snapToGrid w:val="0"/>
        <w:spacing w:line="360" w:lineRule="auto"/>
        <w:ind w:firstLine="48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（3）投标文件解密异常情况处理（</w:t>
      </w:r>
      <w:r>
        <w:rPr>
          <w:rFonts w:hint="eastAsia" w:asciiTheme="minorEastAsia" w:hAnsiTheme="minorEastAsia" w:eastAsiaTheme="minorEastAsia" w:cstheme="minorEastAsia"/>
          <w:b/>
          <w:color w:val="auto"/>
          <w:lang w:eastAsia="zh-CN"/>
        </w:rPr>
        <w:t>处理办法见《供应商须知前附表》</w:t>
      </w:r>
      <w:r>
        <w:rPr>
          <w:rFonts w:hint="eastAsia" w:asciiTheme="minorEastAsia" w:hAnsiTheme="minorEastAsia" w:eastAsiaTheme="minorEastAsia" w:cstheme="minorEastAsia"/>
          <w:color w:val="auto"/>
          <w:lang w:eastAsia="zh-CN"/>
        </w:rPr>
        <w:t>）。</w:t>
      </w:r>
    </w:p>
    <w:p w14:paraId="75834D22">
      <w:pPr>
        <w:pBdr>
          <w:top w:val="none" w:color="auto" w:sz="0" w:space="0"/>
          <w:left w:val="none" w:color="auto" w:sz="0" w:space="0"/>
          <w:bottom w:val="none" w:color="auto" w:sz="0" w:space="0"/>
          <w:right w:val="none" w:color="auto" w:sz="0" w:space="0"/>
          <w:between w:val="none" w:color="auto" w:sz="0" w:space="0"/>
        </w:pBdr>
        <w:snapToGrid w:val="0"/>
        <w:spacing w:line="360" w:lineRule="auto"/>
        <w:ind w:firstLine="48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（4）公布投标文件解密情况（投标文件成功解密的供应商名单等信息）。</w:t>
      </w:r>
    </w:p>
    <w:p w14:paraId="4932FF6C">
      <w:pPr>
        <w:pBdr>
          <w:top w:val="none" w:color="auto" w:sz="0" w:space="0"/>
          <w:left w:val="none" w:color="auto" w:sz="0" w:space="0"/>
          <w:bottom w:val="none" w:color="auto" w:sz="0" w:space="0"/>
          <w:right w:val="none" w:color="auto" w:sz="0" w:space="0"/>
          <w:between w:val="none" w:color="auto" w:sz="0" w:space="0"/>
        </w:pBdr>
        <w:snapToGrid w:val="0"/>
        <w:spacing w:line="360" w:lineRule="auto"/>
        <w:ind w:firstLine="48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（5）开启标书信息（资格证明文件、商务技术文件）。标书信息开启后，首先由资格审查小组依法对投标供应商的资格证明文件进行审查（具体见本部分“29.3 投标供应商资格审查”）， 审查结束公布投标供应商的资格符合情况。资格审查未获通过的供应商，其商务技术文件及报价文件不再进入评审。</w:t>
      </w:r>
    </w:p>
    <w:p w14:paraId="447DA5A1">
      <w:pPr>
        <w:pBdr>
          <w:top w:val="none" w:color="auto" w:sz="0" w:space="0"/>
          <w:left w:val="none" w:color="auto" w:sz="0" w:space="0"/>
          <w:bottom w:val="none" w:color="auto" w:sz="0" w:space="0"/>
          <w:right w:val="none" w:color="auto" w:sz="0" w:space="0"/>
          <w:between w:val="none" w:color="auto" w:sz="0" w:space="0"/>
        </w:pBdr>
        <w:snapToGrid w:val="0"/>
        <w:spacing w:line="360" w:lineRule="auto"/>
        <w:ind w:firstLine="48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（6）商务技术评审结束后，主持人公布商务技术评审无效投标供应商名单和商务技术评审有效投标供应商名单及其商务技术得分情况。商务技术评审无效的供应商，其报价不再进入评审。</w:t>
      </w:r>
    </w:p>
    <w:p w14:paraId="2347F1B3">
      <w:pPr>
        <w:pBdr>
          <w:top w:val="none" w:color="auto" w:sz="0" w:space="0"/>
          <w:left w:val="none" w:color="auto" w:sz="0" w:space="0"/>
          <w:bottom w:val="none" w:color="auto" w:sz="0" w:space="0"/>
          <w:right w:val="none" w:color="auto" w:sz="0" w:space="0"/>
          <w:between w:val="none" w:color="auto" w:sz="0" w:space="0"/>
        </w:pBdr>
        <w:snapToGrid w:val="0"/>
        <w:spacing w:line="360" w:lineRule="auto"/>
        <w:ind w:firstLine="48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（7）开启有效投标供应商的报价，公布开标一览表有关内容，</w:t>
      </w:r>
      <w:r>
        <w:rPr>
          <w:rFonts w:hint="eastAsia" w:asciiTheme="minorEastAsia" w:hAnsiTheme="minorEastAsia" w:eastAsiaTheme="minorEastAsia" w:cstheme="minorEastAsia"/>
          <w:color w:val="auto"/>
          <w:lang w:eastAsia="zh-CN" w:bidi="zh-CN"/>
        </w:rPr>
        <w:t>并【开启签章时段】，供应商对开标纪录进行在线签章确认（不予确认的应说明理由，否则视为无异议）</w:t>
      </w:r>
      <w:r>
        <w:rPr>
          <w:rFonts w:hint="eastAsia" w:asciiTheme="minorEastAsia" w:hAnsiTheme="minorEastAsia" w:eastAsiaTheme="minorEastAsia" w:cstheme="minorEastAsia"/>
          <w:color w:val="auto"/>
          <w:lang w:eastAsia="zh-CN"/>
        </w:rPr>
        <w:t>。开标结束后，由评标委员会对报价的合理性、准确性等进行审查核实。</w:t>
      </w:r>
    </w:p>
    <w:p w14:paraId="1A101C33">
      <w:pPr>
        <w:pBdr>
          <w:top w:val="none" w:color="auto" w:sz="0" w:space="0"/>
          <w:left w:val="none" w:color="auto" w:sz="0" w:space="0"/>
          <w:bottom w:val="none" w:color="auto" w:sz="0" w:space="0"/>
          <w:right w:val="none" w:color="auto" w:sz="0" w:space="0"/>
          <w:between w:val="none" w:color="auto" w:sz="0" w:space="0"/>
        </w:pBdr>
        <w:snapToGrid w:val="0"/>
        <w:spacing w:line="360" w:lineRule="auto"/>
        <w:ind w:firstLine="48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（8）评审结束后，采购代理机构在系统上公布评审结果。</w:t>
      </w:r>
    </w:p>
    <w:p w14:paraId="77167E88">
      <w:pPr>
        <w:pBdr>
          <w:top w:val="none" w:color="auto" w:sz="0" w:space="0"/>
          <w:left w:val="none" w:color="auto" w:sz="0" w:space="0"/>
          <w:bottom w:val="none" w:color="auto" w:sz="0" w:space="0"/>
          <w:right w:val="none" w:color="auto" w:sz="0" w:space="0"/>
          <w:between w:val="none" w:color="auto" w:sz="0" w:space="0"/>
        </w:pBdr>
        <w:snapToGrid w:val="0"/>
        <w:spacing w:line="360" w:lineRule="auto"/>
        <w:rPr>
          <w:rFonts w:hint="eastAsia" w:asciiTheme="minorEastAsia" w:hAnsiTheme="minorEastAsia" w:eastAsiaTheme="minorEastAsia" w:cstheme="minorEastAsia"/>
          <w:b/>
          <w:color w:val="auto"/>
          <w:lang w:eastAsia="zh-CN"/>
        </w:rPr>
      </w:pPr>
      <w:r>
        <w:rPr>
          <w:rFonts w:hint="eastAsia" w:asciiTheme="minorEastAsia" w:hAnsiTheme="minorEastAsia" w:eastAsiaTheme="minorEastAsia" w:cstheme="minorEastAsia"/>
          <w:b/>
          <w:color w:val="auto"/>
          <w:lang w:eastAsia="zh-CN"/>
        </w:rPr>
        <w:t>特别情况说明：</w:t>
      </w:r>
    </w:p>
    <w:p w14:paraId="3501157A">
      <w:pPr>
        <w:pBdr>
          <w:top w:val="none" w:color="auto" w:sz="0" w:space="0"/>
          <w:left w:val="none" w:color="auto" w:sz="0" w:space="0"/>
          <w:bottom w:val="none" w:color="auto" w:sz="0" w:space="0"/>
          <w:right w:val="none" w:color="auto" w:sz="0" w:space="0"/>
          <w:between w:val="none" w:color="auto" w:sz="0" w:space="0"/>
        </w:pBdr>
        <w:snapToGrid w:val="0"/>
        <w:spacing w:line="360" w:lineRule="auto"/>
        <w:ind w:firstLine="426" w:firstLineChars="177"/>
        <w:rPr>
          <w:rFonts w:hint="eastAsia" w:asciiTheme="minorEastAsia" w:hAnsiTheme="minorEastAsia" w:eastAsiaTheme="minorEastAsia" w:cstheme="minorEastAsia"/>
          <w:b/>
          <w:color w:val="auto"/>
          <w:lang w:eastAsia="zh-CN"/>
        </w:rPr>
      </w:pPr>
      <w:r>
        <w:rPr>
          <w:rFonts w:hint="eastAsia" w:asciiTheme="minorEastAsia" w:hAnsiTheme="minorEastAsia" w:eastAsiaTheme="minorEastAsia" w:cstheme="minorEastAsia"/>
          <w:b/>
          <w:color w:val="auto"/>
          <w:lang w:eastAsia="zh-CN"/>
        </w:rPr>
        <w:t>（1）本项目采用电子交易，如遇“新疆政府采购云平台”电子化开标或评审程序调整的，按调整后程序执行。</w:t>
      </w:r>
    </w:p>
    <w:p w14:paraId="05A1BCB8">
      <w:pPr>
        <w:pBdr>
          <w:top w:val="none" w:color="auto" w:sz="0" w:space="0"/>
          <w:left w:val="none" w:color="auto" w:sz="0" w:space="0"/>
          <w:bottom w:val="none" w:color="auto" w:sz="0" w:space="0"/>
          <w:right w:val="none" w:color="auto" w:sz="0" w:space="0"/>
          <w:between w:val="none" w:color="auto" w:sz="0" w:space="0"/>
        </w:pBdr>
        <w:snapToGrid w:val="0"/>
        <w:spacing w:line="360" w:lineRule="auto"/>
        <w:ind w:firstLine="426" w:firstLineChars="177"/>
        <w:rPr>
          <w:rFonts w:hint="eastAsia" w:asciiTheme="minorEastAsia" w:hAnsiTheme="minorEastAsia" w:eastAsiaTheme="minorEastAsia" w:cstheme="minorEastAsia"/>
          <w:b/>
          <w:color w:val="auto"/>
          <w:lang w:eastAsia="zh-CN"/>
        </w:rPr>
      </w:pPr>
      <w:r>
        <w:rPr>
          <w:rFonts w:hint="eastAsia" w:asciiTheme="minorEastAsia" w:hAnsiTheme="minorEastAsia" w:eastAsiaTheme="minorEastAsia" w:cstheme="minorEastAsia"/>
          <w:b/>
          <w:color w:val="auto"/>
          <w:lang w:eastAsia="zh-CN"/>
        </w:rPr>
        <w:t>（2）开标过程中需要相关当事人进行签章或盖章确认的材料将通过“政府采购云平台”进行，若因“政府采购云平台”技术问题无法进行签章或盖章确认的，采购组织机构将通过电子邮件等形式予以确认，</w:t>
      </w:r>
      <w:r>
        <w:rPr>
          <w:rFonts w:hint="eastAsia" w:asciiTheme="minorEastAsia" w:hAnsiTheme="minorEastAsia" w:eastAsiaTheme="minorEastAsia" w:cstheme="minorEastAsia"/>
          <w:b/>
          <w:color w:val="auto"/>
          <w:u w:val="single"/>
          <w:lang w:eastAsia="zh-CN"/>
        </w:rPr>
        <w:t>请供应商保证办理投标事宜人员电话畅通、网络在线，签章或盖章确认的时间为20分钟。如未及时签章或盖章确认的，视为无异议</w:t>
      </w:r>
      <w:r>
        <w:rPr>
          <w:rFonts w:hint="eastAsia" w:asciiTheme="minorEastAsia" w:hAnsiTheme="minorEastAsia" w:eastAsiaTheme="minorEastAsia" w:cstheme="minorEastAsia"/>
          <w:b/>
          <w:color w:val="auto"/>
          <w:lang w:eastAsia="zh-CN"/>
        </w:rPr>
        <w:t>。</w:t>
      </w:r>
    </w:p>
    <w:p w14:paraId="28D198B1">
      <w:pPr>
        <w:pBdr>
          <w:top w:val="none" w:color="auto" w:sz="0" w:space="0"/>
          <w:left w:val="none" w:color="auto" w:sz="0" w:space="0"/>
          <w:bottom w:val="none" w:color="auto" w:sz="0" w:space="0"/>
          <w:right w:val="none" w:color="auto" w:sz="0" w:space="0"/>
          <w:between w:val="none" w:color="auto" w:sz="0" w:space="0"/>
        </w:pBdr>
        <w:snapToGrid w:val="0"/>
        <w:spacing w:line="360" w:lineRule="auto"/>
        <w:ind w:firstLine="241" w:firstLineChars="100"/>
        <w:rPr>
          <w:rFonts w:hint="eastAsia" w:asciiTheme="minorEastAsia" w:hAnsiTheme="minorEastAsia" w:eastAsiaTheme="minorEastAsia" w:cstheme="minorEastAsia"/>
          <w:b/>
          <w:color w:val="auto"/>
          <w:lang w:eastAsia="zh-CN"/>
        </w:rPr>
      </w:pPr>
      <w:r>
        <w:rPr>
          <w:rFonts w:hint="eastAsia" w:asciiTheme="minorEastAsia" w:hAnsiTheme="minorEastAsia" w:eastAsiaTheme="minorEastAsia" w:cstheme="minorEastAsia"/>
          <w:b/>
          <w:color w:val="auto"/>
          <w:lang w:eastAsia="zh-CN"/>
        </w:rPr>
        <w:t>29.3 投标供应商资格审查：</w:t>
      </w:r>
    </w:p>
    <w:p w14:paraId="0BDB7A79">
      <w:pPr>
        <w:pBdr>
          <w:top w:val="none" w:color="auto" w:sz="0" w:space="0"/>
          <w:left w:val="none" w:color="auto" w:sz="0" w:space="0"/>
          <w:bottom w:val="none" w:color="auto" w:sz="0" w:space="0"/>
          <w:right w:val="none" w:color="auto" w:sz="0" w:space="0"/>
          <w:between w:val="none" w:color="auto" w:sz="0" w:space="0"/>
        </w:pBdr>
        <w:snapToGrid w:val="0"/>
        <w:spacing w:line="360" w:lineRule="auto"/>
        <w:ind w:firstLine="48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（1）</w:t>
      </w:r>
      <w:r>
        <w:rPr>
          <w:rFonts w:hint="eastAsia" w:asciiTheme="minorEastAsia" w:hAnsiTheme="minorEastAsia" w:eastAsiaTheme="minorEastAsia" w:cstheme="minorEastAsia"/>
          <w:bCs/>
          <w:color w:val="auto"/>
          <w:lang w:eastAsia="zh-CN"/>
        </w:rPr>
        <w:t>开标（标书信息开启）后，资格评审小组首先依法对投标供应商的资格文件进行审查，审查各投标供应商的资格符合情况。资格评审小组</w:t>
      </w:r>
      <w:r>
        <w:rPr>
          <w:rFonts w:hint="eastAsia" w:asciiTheme="minorEastAsia" w:hAnsiTheme="minorEastAsia" w:eastAsiaTheme="minorEastAsia" w:cstheme="minorEastAsia"/>
          <w:color w:val="auto"/>
          <w:lang w:eastAsia="zh-CN"/>
        </w:rPr>
        <w:t>对投标供应商所提交的资格证明材料仅负审核的责任。如发现投标供应商所提交的资格证明材料不合法或与事实不符，采购人可取消其中标资格并追究投标供应商的法律责任。</w:t>
      </w:r>
    </w:p>
    <w:p w14:paraId="7DF621F6">
      <w:pPr>
        <w:pStyle w:val="5"/>
        <w:pBdr>
          <w:top w:val="none" w:color="auto" w:sz="0" w:space="0"/>
          <w:left w:val="none" w:color="auto" w:sz="0" w:space="0"/>
          <w:bottom w:val="none" w:color="auto" w:sz="0" w:space="0"/>
          <w:right w:val="none" w:color="auto" w:sz="0" w:space="0"/>
          <w:between w:val="none" w:color="auto" w:sz="0" w:space="0"/>
        </w:pBdr>
        <w:snapToGrid w:val="0"/>
        <w:spacing w:line="360" w:lineRule="auto"/>
        <w:rPr>
          <w:rFonts w:hint="eastAsia" w:asciiTheme="minorEastAsia" w:hAnsiTheme="minorEastAsia" w:eastAsiaTheme="minorEastAsia" w:cstheme="minorEastAsia"/>
          <w:bCs/>
          <w:color w:val="auto"/>
          <w:szCs w:val="24"/>
          <w:lang w:eastAsia="zh-CN"/>
        </w:rPr>
      </w:pPr>
      <w:r>
        <w:rPr>
          <w:rFonts w:hint="eastAsia" w:asciiTheme="minorEastAsia" w:hAnsiTheme="minorEastAsia" w:eastAsiaTheme="minorEastAsia" w:cstheme="minorEastAsia"/>
          <w:bCs/>
          <w:color w:val="auto"/>
          <w:szCs w:val="24"/>
          <w:lang w:eastAsia="zh-CN"/>
        </w:rPr>
        <w:t>（2）投标供应商提交的资格证明材料无法证明其符合采购文件规定的“投标供应商资格要求”的，采购人或采购代理机构将对其作“资格审查不合格”处理（无效投标），并不再将其投标提交评标委员会进行后续评审。</w:t>
      </w:r>
    </w:p>
    <w:p w14:paraId="6681C86F">
      <w:pPr>
        <w:pStyle w:val="5"/>
        <w:pBdr>
          <w:top w:val="none" w:color="auto" w:sz="0" w:space="0"/>
          <w:left w:val="none" w:color="auto" w:sz="0" w:space="0"/>
          <w:bottom w:val="none" w:color="auto" w:sz="0" w:space="0"/>
          <w:right w:val="none" w:color="auto" w:sz="0" w:space="0"/>
          <w:between w:val="none" w:color="auto" w:sz="0" w:space="0"/>
        </w:pBdr>
        <w:snapToGrid w:val="0"/>
        <w:spacing w:line="360" w:lineRule="auto"/>
        <w:rPr>
          <w:rFonts w:hint="eastAsia" w:asciiTheme="minorEastAsia" w:hAnsiTheme="minorEastAsia" w:eastAsiaTheme="minorEastAsia" w:cstheme="minorEastAsia"/>
          <w:bCs/>
          <w:color w:val="auto"/>
          <w:szCs w:val="24"/>
          <w:lang w:eastAsia="zh-CN"/>
        </w:rPr>
      </w:pPr>
      <w:r>
        <w:rPr>
          <w:rFonts w:hint="eastAsia" w:asciiTheme="minorEastAsia" w:hAnsiTheme="minorEastAsia" w:eastAsiaTheme="minorEastAsia" w:cstheme="minorEastAsia"/>
          <w:bCs/>
          <w:color w:val="auto"/>
          <w:szCs w:val="24"/>
          <w:lang w:eastAsia="zh-CN"/>
        </w:rPr>
        <w:t>（3）供应商信用记录查询与使用：见《供应商须知前附表》。</w:t>
      </w:r>
    </w:p>
    <w:p w14:paraId="1BF34416">
      <w:pPr>
        <w:widowControl/>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30.评审工作的组织</w:t>
      </w:r>
    </w:p>
    <w:p w14:paraId="5E87B9D6">
      <w:pPr>
        <w:widowControl/>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采购人或采购代理机构负责组织本项目的评审工作，并依据《政府采购货物和服务招标投标管理办法（财政部第87号令）》第四十五条的相关规定履行职责。</w:t>
      </w:r>
    </w:p>
    <w:p w14:paraId="17F12947">
      <w:pPr>
        <w:widowControl/>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31. 评标委员会的组建</w:t>
      </w:r>
    </w:p>
    <w:p w14:paraId="19C936CD">
      <w:pPr>
        <w:widowControl/>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31.1评标委员会由采购人或采购代理机构依法组建，成员由采购人代表和评审专家组成，成员人数为五人或以上单数，其中评审专家不少于成员总数的三分之二。</w:t>
      </w:r>
    </w:p>
    <w:p w14:paraId="57481E2E">
      <w:pPr>
        <w:widowControl/>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31.2评审专家从新疆政府采购云平台专家库中通过随机方式抽取产生。评标委员会成员名单在采购结果公告前保密。</w:t>
      </w:r>
    </w:p>
    <w:p w14:paraId="04BA9E09">
      <w:pPr>
        <w:widowControl/>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32.评标委员会的职责</w:t>
      </w:r>
    </w:p>
    <w:p w14:paraId="064D7226">
      <w:pPr>
        <w:widowControl/>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32.1审查、评价投标文件是否符合采购文件的商务、技术等实质性要求。</w:t>
      </w:r>
    </w:p>
    <w:p w14:paraId="6420DC17">
      <w:pPr>
        <w:widowControl/>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32.2要求供应商对投标文件有关事项作出澄清或者说明。</w:t>
      </w:r>
    </w:p>
    <w:p w14:paraId="5BA858B6">
      <w:pPr>
        <w:widowControl/>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32.3对投标文件进行比较和评价。</w:t>
      </w:r>
    </w:p>
    <w:p w14:paraId="64602FB5">
      <w:pPr>
        <w:widowControl/>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32.4确定中标候选人名单，以及根据采购人委托直接确定中标人。</w:t>
      </w:r>
    </w:p>
    <w:p w14:paraId="59131AAE">
      <w:pPr>
        <w:widowControl/>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32.5向采购人、采购代理机构或者有关部门报告评审中发现的违法行为。</w:t>
      </w:r>
    </w:p>
    <w:p w14:paraId="4CF35C94">
      <w:pPr>
        <w:widowControl/>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33. 评标原则</w:t>
      </w:r>
    </w:p>
    <w:p w14:paraId="2F336BAA">
      <w:pPr>
        <w:widowControl/>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33.1评标委员会将遵循公平、公正、科学的原则，对供应商提交的投标文件进行综合评审，评标委员会按照采购文件规定的评标细则进行评分。</w:t>
      </w:r>
    </w:p>
    <w:p w14:paraId="62B620B0">
      <w:pPr>
        <w:widowControl/>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 xml:space="preserve">33.2客观公正对待所有供应商，对所有投标评价均采用相同的程序和标准。 </w:t>
      </w:r>
    </w:p>
    <w:p w14:paraId="0010E82B">
      <w:pPr>
        <w:widowControl/>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33.3评标委员会成员对需要共同认定的事项存在争议的，按照少数服从多数的原则作出结论。持不同意见的评标委员会成员应当在评审报告上签署不同意见及理由，否则视为同意评审报告。</w:t>
      </w:r>
    </w:p>
    <w:p w14:paraId="1F73D815">
      <w:pPr>
        <w:widowControl/>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33.4 财政部令第87号《政府采购货物和服务招标投标管理办法》第三十一条规定：使用综合评分法的采购项目，提供相同品牌产品且通过资格审查、符合性审查的不同供应商参加同一合同项下投标的，按一家供应商计算，评审后得分最高的同品牌供应商获得中标人推荐资格；评审得分相同的，由采购人或者采购人委托评标委员会按照采购文件规定的方式确定一个供应商获得中标人推荐资格，采购文件未规定的采取随机抽取方式确定，其他同品牌供应商不作为中标候选人。</w:t>
      </w:r>
    </w:p>
    <w:p w14:paraId="671FE020">
      <w:pPr>
        <w:widowControl/>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 w:val="24"/>
          <w:szCs w:val="21"/>
          <w:lang w:val="en-US" w:eastAsia="zh-CN" w:bidi="en-US"/>
        </w:rPr>
      </w:pPr>
      <w:r>
        <w:rPr>
          <w:rFonts w:hint="eastAsia" w:asciiTheme="minorEastAsia" w:hAnsiTheme="minorEastAsia" w:eastAsiaTheme="minorEastAsia" w:cstheme="minorEastAsia"/>
          <w:color w:val="auto"/>
          <w:sz w:val="24"/>
          <w:szCs w:val="21"/>
          <w:lang w:val="en-US" w:eastAsia="zh-CN" w:bidi="en-US"/>
        </w:rPr>
        <w:t xml:space="preserve">非单一产品采购项目，采购人应当根据采购项目技术构成、产品价格比重等合理确定核心产品，并在采购文件中载明。多家供应商提供的核心产品品牌相同的，按前款规定处理。      </w:t>
      </w:r>
    </w:p>
    <w:p w14:paraId="4CE6290E">
      <w:pPr>
        <w:widowControl/>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34.评委纪律</w:t>
      </w:r>
    </w:p>
    <w:p w14:paraId="34C1DA79">
      <w:pPr>
        <w:widowControl/>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评标委员会成员必须严格遵守保密规定，不得泄露评审的有关情况，任何单位和个人不得干扰、影响评标的正常进行，评标委员会成员不得私下与投标供应商接触，不得出现新疆维吾尔自治区政府采购活动现场组织管理办法中规定的其他禁止行为。</w:t>
      </w:r>
    </w:p>
    <w:p w14:paraId="0BE72C60">
      <w:pPr>
        <w:widowControl/>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35.评标程序</w:t>
      </w:r>
    </w:p>
    <w:p w14:paraId="3E9E1F3D">
      <w:pPr>
        <w:widowControl/>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35.1 在评审专家中推选评标委员会组长，采购人代表不得担任评标委员会组长。</w:t>
      </w:r>
    </w:p>
    <w:p w14:paraId="5321421F">
      <w:pPr>
        <w:widowControl/>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35.2 评标委员会组长召集成员认真阅读采购文件以及相关补充、质疑、答复文件、项目书面说明等材料，熟悉采购项目的基本概况，采购项目的质量要求、数量、主要技术标准或服务需求，采购合同主要条款，投标文件无效情形，评审方法、评审依据、评审标准等。</w:t>
      </w:r>
    </w:p>
    <w:p w14:paraId="3DF28CBB">
      <w:pPr>
        <w:widowControl/>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35.3 评审人员对符合资格的供应商的投标文件的有效性、符合性、完整性和响应程度进行审查，确定是否对采购文件作出实质性响应。</w:t>
      </w:r>
    </w:p>
    <w:p w14:paraId="1D0DCA3C">
      <w:pPr>
        <w:widowControl/>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35.4 评审人员按采购文件规定的评审方法和评审标准，依法独立对供应商投标文件进行评估、比较，并给予评价或打分，不受任何单位和个人的干预。</w:t>
      </w:r>
    </w:p>
    <w:p w14:paraId="351433A5">
      <w:pPr>
        <w:widowControl/>
        <w:pBdr>
          <w:top w:val="none" w:color="auto" w:sz="0" w:space="0"/>
          <w:left w:val="none" w:color="auto" w:sz="0" w:space="0"/>
          <w:bottom w:val="none" w:color="auto" w:sz="0" w:space="0"/>
          <w:right w:val="none" w:color="auto" w:sz="0" w:space="0"/>
          <w:between w:val="none" w:color="auto" w:sz="0" w:space="0"/>
        </w:pBdr>
        <w:spacing w:line="440" w:lineRule="exact"/>
        <w:ind w:firstLine="480" w:firstLineChars="2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综合评分法货物项目的价格分值占总分值的比重(即权值)为30％，采购项目中含不同采购对象的，以占项目资金比例最高的采购对象确定其项目属性。其价格不列为评分因素，有特殊情况需要在上述规定范围外设定价格分权重的。</w:t>
      </w:r>
    </w:p>
    <w:p w14:paraId="630DFE3B">
      <w:pPr>
        <w:widowControl/>
        <w:pBdr>
          <w:top w:val="none" w:color="auto" w:sz="0" w:space="0"/>
          <w:left w:val="none" w:color="auto" w:sz="0" w:space="0"/>
          <w:bottom w:val="none" w:color="auto" w:sz="0" w:space="0"/>
          <w:right w:val="none" w:color="auto" w:sz="0" w:space="0"/>
          <w:between w:val="none" w:color="auto" w:sz="0" w:space="0"/>
        </w:pBdr>
        <w:spacing w:line="440" w:lineRule="exact"/>
        <w:ind w:firstLine="48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综合评分法中的价格分统一采用低价优先法计算，即满足招标文件要求且最后报价最低的供应商的价格为招标基准价，其价格分为满分。其他供应商的价格分统一按照下列公式计算：</w:t>
      </w:r>
    </w:p>
    <w:p w14:paraId="2ADF0D9A">
      <w:pPr>
        <w:widowControl/>
        <w:pBdr>
          <w:top w:val="none" w:color="auto" w:sz="0" w:space="0"/>
          <w:left w:val="none" w:color="auto" w:sz="0" w:space="0"/>
          <w:bottom w:val="none" w:color="auto" w:sz="0" w:space="0"/>
          <w:right w:val="none" w:color="auto" w:sz="0" w:space="0"/>
          <w:between w:val="none" w:color="auto" w:sz="0" w:space="0"/>
        </w:pBdr>
        <w:spacing w:line="440" w:lineRule="exact"/>
        <w:ind w:firstLine="48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投标报价得分=（基准价/投标报价）×价格权值×100</w:t>
      </w:r>
    </w:p>
    <w:p w14:paraId="4A19A390">
      <w:pPr>
        <w:widowControl/>
        <w:pBdr>
          <w:top w:val="none" w:color="auto" w:sz="0" w:space="0"/>
          <w:left w:val="none" w:color="auto" w:sz="0" w:space="0"/>
          <w:bottom w:val="none" w:color="auto" w:sz="0" w:space="0"/>
          <w:right w:val="none" w:color="auto" w:sz="0" w:space="0"/>
          <w:between w:val="none" w:color="auto" w:sz="0" w:space="0"/>
        </w:pBdr>
        <w:spacing w:line="440" w:lineRule="exact"/>
        <w:ind w:firstLine="48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项目评审过程中，不得去掉最后报价中的最高报价和最低报价。</w:t>
      </w:r>
    </w:p>
    <w:p w14:paraId="54A4A440">
      <w:pPr>
        <w:widowControl/>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35.5 评审人员对各供应商投标文件非实质性内容有疑议或异议，或者审查发现明显的文字或计算错误等，及时向评标委员会组长提出。经评标委员会商议认为需要供应商作出必要澄清、说明或者补正的，应当以在线询标形式要求供应商作出必要的澄清、说明或者补正。澄清、说明或者补正的内容应作为政府采购项目档案归档留存。</w:t>
      </w:r>
    </w:p>
    <w:p w14:paraId="4B3E1C64">
      <w:pPr>
        <w:widowControl/>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35.6 评审人员需对采购方工作人员唱票或统计的评审结果进行确认，现场监督员应对评审结果签署监督意见。如发现分值汇总计算错误、分项评分超出评分标准范围、客观评分不一致以及存在评分畸高、畸低情形的，应由相关人员当场改正或作出书面说明；拒不改正又不作书面说明的，由现场监督员如实记载后存入项目档案资料。</w:t>
      </w:r>
    </w:p>
    <w:p w14:paraId="28D40CCF">
      <w:pPr>
        <w:widowControl/>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35.7 评标委员会根据评审汇总情况和采购文件规定确定中标候选供应商排序名单。</w:t>
      </w:r>
    </w:p>
    <w:p w14:paraId="69FC2AED">
      <w:pPr>
        <w:widowControl/>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 xml:space="preserve">35.8 起草评审报告，所有评审人员须在评审报告上签章确认，对自己的评审意见承担法律责任。 </w:t>
      </w:r>
    </w:p>
    <w:p w14:paraId="0A07BC1D">
      <w:pPr>
        <w:widowControl/>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35.9 采购组织机构对评标委员会评审专家进行评价。</w:t>
      </w:r>
    </w:p>
    <w:p w14:paraId="65C85B3B">
      <w:pPr>
        <w:widowControl/>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35.10 修改评审结果</w:t>
      </w:r>
    </w:p>
    <w:p w14:paraId="5260D733">
      <w:pPr>
        <w:widowControl/>
        <w:pBdr>
          <w:top w:val="none" w:color="auto" w:sz="0" w:space="0"/>
          <w:left w:val="none" w:color="auto" w:sz="0" w:space="0"/>
          <w:bottom w:val="none" w:color="auto" w:sz="0" w:space="0"/>
          <w:right w:val="none" w:color="auto" w:sz="0" w:space="0"/>
          <w:between w:val="none" w:color="auto" w:sz="0" w:space="0"/>
        </w:pBdr>
        <w:spacing w:line="440" w:lineRule="exact"/>
        <w:ind w:firstLine="480" w:firstLineChars="2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评标结果汇总完成后，除下列情形外，任何人不得修改评标结果：</w:t>
      </w:r>
    </w:p>
    <w:p w14:paraId="682CA787">
      <w:pPr>
        <w:widowControl/>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（1）分值汇总计算错误的；</w:t>
      </w:r>
    </w:p>
    <w:p w14:paraId="1423C461">
      <w:pPr>
        <w:widowControl/>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（2）分项评分超出评分标准范围的；</w:t>
      </w:r>
    </w:p>
    <w:p w14:paraId="3B318B04">
      <w:pPr>
        <w:widowControl/>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（3）评标委员会成员对客观评审因素评分不一致的；</w:t>
      </w:r>
    </w:p>
    <w:p w14:paraId="76AEE0C2">
      <w:pPr>
        <w:widowControl/>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（4）经评标委员会认定评分畸高、畸低的。</w:t>
      </w:r>
    </w:p>
    <w:p w14:paraId="2DF1572E">
      <w:pPr>
        <w:widowControl/>
        <w:pBdr>
          <w:top w:val="none" w:color="auto" w:sz="0" w:space="0"/>
          <w:left w:val="none" w:color="auto" w:sz="0" w:space="0"/>
          <w:bottom w:val="none" w:color="auto" w:sz="0" w:space="0"/>
          <w:right w:val="none" w:color="auto" w:sz="0" w:space="0"/>
          <w:between w:val="none" w:color="auto" w:sz="0" w:space="0"/>
        </w:pBdr>
        <w:spacing w:line="440" w:lineRule="exact"/>
        <w:ind w:firstLine="480" w:firstLineChars="2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1EAA5E59">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36．澄清、说明或补正的形式</w:t>
      </w:r>
    </w:p>
    <w:p w14:paraId="08F23F9F">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36.1对于投标文件中含义不明确、同类问题表述不一致或者有明显文字和计算错误的内容，评标委员会将通过“政府采购云平台”在线询标的方式要求投标供应商在规定的时间内作出必要的澄清、说明或者补正，</w:t>
      </w:r>
      <w:r>
        <w:rPr>
          <w:rFonts w:hint="eastAsia" w:asciiTheme="minorEastAsia" w:hAnsiTheme="minorEastAsia" w:eastAsiaTheme="minorEastAsia" w:cstheme="minorEastAsia"/>
          <w:b/>
          <w:bCs/>
          <w:color w:val="auto"/>
          <w:szCs w:val="21"/>
          <w:lang w:eastAsia="zh-CN"/>
        </w:rPr>
        <w:t>投标供应商澄清、说明或补正时间为20分钟</w:t>
      </w:r>
      <w:r>
        <w:rPr>
          <w:rFonts w:hint="eastAsia" w:asciiTheme="minorEastAsia" w:hAnsiTheme="minorEastAsia" w:eastAsiaTheme="minorEastAsia" w:cstheme="minorEastAsia"/>
          <w:color w:val="auto"/>
          <w:szCs w:val="21"/>
          <w:lang w:eastAsia="zh-CN"/>
        </w:rPr>
        <w:t>。</w:t>
      </w:r>
    </w:p>
    <w:p w14:paraId="507F6E95">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36.2投标供应商的澄清、说明或者补正应当通过“政府采购云平台”在线答复的方式提交，并加盖公章（电子印章），或者由法定代表人（负责人）或其授权的代表签章。投标供应商的澄清、说明或者补正不得超出投标文件的范围或者改变投标文件的实质性内容，不接受投标供应商主动对投标文件的澄清、说明或者补正。</w:t>
      </w:r>
    </w:p>
    <w:p w14:paraId="43C23055">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36.3上述询标、澄清、说明和补正工作如因客观原因无法通过“政府采购云平台”在线进行的，将采用电子邮件等形式进行，请供应商保证办理投标事宜人员电话畅通、网络在线。如未及时进行澄清、说明或者补正的，视为放弃澄清、说明或者补正的权利。</w:t>
      </w:r>
    </w:p>
    <w:p w14:paraId="0BC4FD6E">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37．错误修正的原则</w:t>
      </w:r>
    </w:p>
    <w:p w14:paraId="1F3B228E">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电子交易平台客户端里开标一览表录入的投标报价或优惠率与扫描上传的报价文件信息不一致的，以扫描上传的报价文件信息为准进行修正。</w:t>
      </w:r>
    </w:p>
    <w:p w14:paraId="3AA960E7">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投标文件报价出现前后不一致的，除采购文件另有规定外，按照下列规定修正：</w:t>
      </w:r>
    </w:p>
    <w:p w14:paraId="0EF7440E">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37.1 投标函中表述的内容与报价表中不一致的，以报价表为准；报价表中的内容与报价明细表不一致的，以报价表为准；</w:t>
      </w:r>
    </w:p>
    <w:p w14:paraId="3EFA8129">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37.2 投标文件中的大写金额和小写金额不一致的，以大写金额为准；</w:t>
      </w:r>
    </w:p>
    <w:p w14:paraId="2B39E4F4">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37.3 单价金额小数点或者百分比有明显错位的，以开标一览表的总价为准，并修改单价；</w:t>
      </w:r>
    </w:p>
    <w:p w14:paraId="67111D0F">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37.4 总价金额与按单价汇总金额不一致的，以单价金额计算结果为准；</w:t>
      </w:r>
    </w:p>
    <w:p w14:paraId="1694C00A">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37.5 若用文字表示的数值与用数字表示的数值不一致，以文字表示的数值为准；</w:t>
      </w:r>
    </w:p>
    <w:p w14:paraId="6397EF36">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37.6 如有多报（指数量超出采购文件需求）、重报（指同一货物重复报价），其投标总价在评标过程中不予调整，如其中标，其合同价按其投标单价予以调整；</w:t>
      </w:r>
    </w:p>
    <w:p w14:paraId="56C0D191">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37.7 对不同文字文本投标文件的解释发生异议的，以中文文本为准；</w:t>
      </w:r>
    </w:p>
    <w:p w14:paraId="3E34978B">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b/>
          <w:bCs/>
          <w:color w:val="auto"/>
          <w:szCs w:val="21"/>
          <w:lang w:eastAsia="zh-CN"/>
        </w:rPr>
      </w:pPr>
      <w:r>
        <w:rPr>
          <w:rFonts w:hint="eastAsia" w:asciiTheme="minorEastAsia" w:hAnsiTheme="minorEastAsia" w:eastAsiaTheme="minorEastAsia" w:cstheme="minorEastAsia"/>
          <w:color w:val="auto"/>
          <w:szCs w:val="21"/>
          <w:lang w:eastAsia="zh-CN"/>
        </w:rPr>
        <w:t>同时出现两种以上不一致的，按照前款规定的顺序修正。按上述修正错误的原则及方法调整或修正投标文件的投标报价，供应商确认后，以调整或修正后的投标报价为准。如供应商拒绝调整或修正的，其投标文件按无效标处理。</w:t>
      </w:r>
      <w:r>
        <w:rPr>
          <w:rFonts w:hint="eastAsia" w:asciiTheme="minorEastAsia" w:hAnsiTheme="minorEastAsia" w:eastAsiaTheme="minorEastAsia" w:cstheme="minorEastAsia"/>
          <w:b/>
          <w:bCs/>
          <w:color w:val="auto"/>
          <w:szCs w:val="21"/>
          <w:lang w:eastAsia="zh-CN"/>
        </w:rPr>
        <w:t>修正应当采用电子询标的形式，并加盖公章（电子印章）。</w:t>
      </w:r>
    </w:p>
    <w:p w14:paraId="02A6909B">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38．无效投标文件</w:t>
      </w:r>
    </w:p>
    <w:p w14:paraId="4B064D5E">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有下列情形之一的，投标文件按无效标处理：</w:t>
      </w:r>
    </w:p>
    <w:p w14:paraId="4BD2FECB">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38.1 报名的投标人与参加投标的投标人发生实质性变更的且未提供有效证明的；</w:t>
      </w:r>
    </w:p>
    <w:p w14:paraId="788594F3">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38.2投标人提交两份或两份以上内容不同的投标文件，未声明哪一份有效的；</w:t>
      </w:r>
    </w:p>
    <w:p w14:paraId="37B01B00">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38.3 投标文件非投标人法定代表人签署的，未提供或提供无效的法定代表人授权书；</w:t>
      </w:r>
    </w:p>
    <w:p w14:paraId="7A08980D">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38.4 未按招标文件规定装订；</w:t>
      </w:r>
    </w:p>
    <w:p w14:paraId="36BE2EBF">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38.5 投标文件内容未按招标文件规定签章或盖章的；</w:t>
      </w:r>
    </w:p>
    <w:p w14:paraId="39143153">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38.6 投标文件组成漏项或未按规定的格式编制或投标文件正、副本份数不足或内容不全或内容字迹模糊辨认不清的等而导致评标活动无法正常进行；</w:t>
      </w:r>
    </w:p>
    <w:p w14:paraId="56B5121F">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38.7 投标人未按招标文件变更通知更改投标文件的；</w:t>
      </w:r>
    </w:p>
    <w:p w14:paraId="7B850859">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38.8 《开标一览表》和《投标分项报价表》内容不完整且不接受修正意见或字迹不能辨认的或未提供；</w:t>
      </w:r>
    </w:p>
    <w:p w14:paraId="399E3D69">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38.9 标项投标报价超过招标文件规定的预算金额或最高限价</w:t>
      </w:r>
    </w:p>
    <w:p w14:paraId="06A6C163">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38.10 因投标人原因编制错误造成经评标委员会修正后的报价达到或超过投标报价的；</w:t>
      </w:r>
    </w:p>
    <w:p w14:paraId="46559715">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38.11 投标人的报价明显低于其他通过符合性审查投标人的报价，有可能影响产品质量或者不能诚信履约的，且在规定时间内不能合理说明原因并提供证明材料的；</w:t>
      </w:r>
    </w:p>
    <w:p w14:paraId="5C91C93C">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38.12 未实质性响应招标文件中条款要求的投标文件；</w:t>
      </w:r>
    </w:p>
    <w:p w14:paraId="5FE1DD02">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38.13 投标文件附有采购人不能接受的条款；</w:t>
      </w:r>
    </w:p>
    <w:p w14:paraId="76E88A3D">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38.14 投标文件中承诺的投标有效期少于招标文件中载明的投标有效期；</w:t>
      </w:r>
    </w:p>
    <w:p w14:paraId="520C314F">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38.15投标人串通投标，妨碍其他投标人的竞争行为，损害采购人或者其他投标人的合法权益；</w:t>
      </w:r>
    </w:p>
    <w:p w14:paraId="38CC73F3">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38.16违反国家及政府部门相关法律、法规、文件规定或经评标委员会认定的其他属于重大偏离；</w:t>
      </w:r>
    </w:p>
    <w:p w14:paraId="1688F95C">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39．废标</w:t>
      </w:r>
    </w:p>
    <w:p w14:paraId="1FD30E39">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39.1 符合招标文件规定废标情形的；</w:t>
      </w:r>
    </w:p>
    <w:p w14:paraId="7ED56556">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39.2 出现影响采购公正的违法、违规行为的；</w:t>
      </w:r>
    </w:p>
    <w:p w14:paraId="5B9DA321">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39.3 供应商的报价均超过了采购预算（或最高限价），采购人不能支付的;</w:t>
      </w:r>
    </w:p>
    <w:p w14:paraId="498811D0">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39.4 因重大变故，采购任务取消的。</w:t>
      </w:r>
    </w:p>
    <w:p w14:paraId="042036D4">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40．突发情况处理</w:t>
      </w:r>
    </w:p>
    <w:p w14:paraId="62E40375">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40.1 采购过程中出现以下情形，导致电子交易平台无法正常运行，或者无法保证电子交易的公平、公正和安全时，采购组织机构可中止电子交易活动：</w:t>
      </w:r>
    </w:p>
    <w:p w14:paraId="6065924B">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 xml:space="preserve">（1）电子交易平台发生故障而无法登录访问的； </w:t>
      </w:r>
    </w:p>
    <w:p w14:paraId="33AA2B93">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（2）电子交易平台应用或数据库出现错误，不能进行正常操作的；</w:t>
      </w:r>
    </w:p>
    <w:p w14:paraId="2256888F">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（3）电子交易平台发现严重安全漏洞，有潜在泄密危险的；</w:t>
      </w:r>
    </w:p>
    <w:p w14:paraId="6CC1ADD6">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 xml:space="preserve">（4）病毒发作导致不能进行正常操作的； </w:t>
      </w:r>
    </w:p>
    <w:p w14:paraId="5D36ED6A">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（5）其他无法保证电子交易的公平、公正和安全的情况。</w:t>
      </w:r>
    </w:p>
    <w:p w14:paraId="1F3EF352">
      <w:pPr>
        <w:pBdr>
          <w:top w:val="none" w:color="auto" w:sz="0" w:space="0"/>
          <w:left w:val="none" w:color="auto" w:sz="0" w:space="0"/>
          <w:bottom w:val="none" w:color="auto" w:sz="0" w:space="0"/>
          <w:right w:val="none" w:color="auto" w:sz="0" w:space="0"/>
          <w:between w:val="none" w:color="auto" w:sz="0" w:space="0"/>
        </w:pBdr>
        <w:spacing w:line="440" w:lineRule="exact"/>
        <w:ind w:firstLine="480" w:firstLineChars="2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4D095546">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40.2 采购代理机构或评审小组因不可抗力（不可抗力包括但不限于自然灾害、断电、传播疫病等）原因造成电子交易活动无法正常运行的，将采取以下措施：</w:t>
      </w:r>
    </w:p>
    <w:p w14:paraId="7A193904">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 xml:space="preserve">（1）短时间内能消除不可抗力因素的，采购代理机构或评审小组在消除不可抗力因素后继续组织电子交易活动； </w:t>
      </w:r>
    </w:p>
    <w:p w14:paraId="34AD3F72">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（2）长时间内无法消除不可抗力因素的，采购代理机构或评审小组将中止电子交易活动。中止电子交易活动的，采购人应当重新组织政府采购活动。</w:t>
      </w:r>
    </w:p>
    <w:p w14:paraId="7567CEF4">
      <w:pPr>
        <w:pBdr>
          <w:top w:val="none" w:color="auto" w:sz="0" w:space="0"/>
          <w:left w:val="none" w:color="auto" w:sz="0" w:space="0"/>
          <w:bottom w:val="none" w:color="auto" w:sz="0" w:space="0"/>
          <w:right w:val="none" w:color="auto" w:sz="0" w:space="0"/>
          <w:between w:val="none" w:color="auto" w:sz="0" w:space="0"/>
        </w:pBdr>
        <w:snapToGrid w:val="0"/>
        <w:spacing w:line="360" w:lineRule="exact"/>
        <w:ind w:firstLine="241" w:firstLineChars="100"/>
        <w:rPr>
          <w:rFonts w:hint="eastAsia" w:asciiTheme="minorEastAsia" w:hAnsiTheme="minorEastAsia" w:eastAsiaTheme="minorEastAsia" w:cstheme="minorEastAsia"/>
          <w:b/>
          <w:color w:val="auto"/>
          <w:szCs w:val="21"/>
          <w:lang w:eastAsia="zh-CN"/>
        </w:rPr>
      </w:pPr>
      <w:r>
        <w:rPr>
          <w:rFonts w:hint="eastAsia" w:asciiTheme="minorEastAsia" w:hAnsiTheme="minorEastAsia" w:eastAsiaTheme="minorEastAsia" w:cstheme="minorEastAsia"/>
          <w:b/>
          <w:color w:val="auto"/>
          <w:szCs w:val="21"/>
          <w:lang w:eastAsia="zh-CN"/>
        </w:rPr>
        <w:t>41. 定标</w:t>
      </w:r>
    </w:p>
    <w:p w14:paraId="2A7B5EFA">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bookmarkStart w:id="62" w:name="_Toc469495729"/>
      <w:r>
        <w:rPr>
          <w:rFonts w:hint="eastAsia" w:asciiTheme="minorEastAsia" w:hAnsiTheme="minorEastAsia" w:eastAsiaTheme="minorEastAsia" w:cstheme="minorEastAsia"/>
          <w:color w:val="auto"/>
          <w:szCs w:val="21"/>
          <w:lang w:eastAsia="zh-CN"/>
        </w:rPr>
        <w:t>41.1采购结果确认（确定中标供应商）</w:t>
      </w:r>
    </w:p>
    <w:p w14:paraId="59F76BDE">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采购结果确认（确定中标供应商）：本项目由采购人根据评标委员会提交的《评审报告》，通过“政府采购云平台”依法确认采购结果、确定中标供应商。具体流程如下：</w:t>
      </w:r>
    </w:p>
    <w:p w14:paraId="03F215B1">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（1）采购代理机构将在评审结束后2个工作日内将评审报告送采购人。</w:t>
      </w:r>
    </w:p>
    <w:p w14:paraId="7936EC4E">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 xml:space="preserve">（2）采购人将在收到评审报告之日起5个工作日内，在评审报告推荐的中标候选供应商名单中按顺序确定中标供应商，并将确认意见以书面形式回复采购代理机构。 </w:t>
      </w:r>
    </w:p>
    <w:p w14:paraId="4B1477B4">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b/>
          <w:bCs/>
          <w:color w:val="auto"/>
          <w:szCs w:val="21"/>
          <w:lang w:eastAsia="zh-CN"/>
        </w:rPr>
      </w:pPr>
      <w:r>
        <w:rPr>
          <w:rFonts w:hint="eastAsia" w:asciiTheme="minorEastAsia" w:hAnsiTheme="minorEastAsia" w:eastAsiaTheme="minorEastAsia" w:cstheme="minorEastAsia"/>
          <w:color w:val="auto"/>
          <w:szCs w:val="21"/>
          <w:lang w:eastAsia="zh-CN"/>
        </w:rPr>
        <w:t>41.2采购结果经采购人确认后2个工作日内，采购代理机构将在</w:t>
      </w:r>
      <w:r>
        <w:rPr>
          <w:rFonts w:hint="eastAsia" w:asciiTheme="minorEastAsia" w:hAnsiTheme="minorEastAsia" w:eastAsiaTheme="minorEastAsia" w:cstheme="minorEastAsia"/>
          <w:b/>
          <w:bCs/>
          <w:color w:val="auto"/>
          <w:szCs w:val="21"/>
          <w:lang w:eastAsia="zh-CN"/>
        </w:rPr>
        <w:t>新疆政府采购网（www.zjzfcg.gov.cn）上公告采购结果，中标公告期限为1个工作日。</w:t>
      </w:r>
    </w:p>
    <w:p w14:paraId="6B410888">
      <w:pPr>
        <w:pBdr>
          <w:top w:val="none" w:color="auto" w:sz="0" w:space="0"/>
          <w:left w:val="none" w:color="auto" w:sz="0" w:space="0"/>
          <w:bottom w:val="none" w:color="auto" w:sz="0" w:space="0"/>
          <w:right w:val="none" w:color="auto" w:sz="0" w:space="0"/>
          <w:between w:val="none" w:color="auto" w:sz="0" w:space="0"/>
        </w:pBdr>
        <w:spacing w:line="440" w:lineRule="exact"/>
        <w:ind w:firstLine="241" w:firstLineChars="100"/>
        <w:rPr>
          <w:rFonts w:hint="eastAsia" w:asciiTheme="minorEastAsia" w:hAnsiTheme="minorEastAsia" w:eastAsiaTheme="minorEastAsia" w:cstheme="minorEastAsia"/>
          <w:b/>
          <w:bCs/>
          <w:color w:val="auto"/>
          <w:szCs w:val="21"/>
          <w:lang w:eastAsia="zh-CN"/>
        </w:rPr>
      </w:pPr>
      <w:r>
        <w:rPr>
          <w:rFonts w:hint="eastAsia" w:asciiTheme="minorEastAsia" w:hAnsiTheme="minorEastAsia" w:eastAsiaTheme="minorEastAsia" w:cstheme="minorEastAsia"/>
          <w:b/>
          <w:bCs/>
          <w:color w:val="auto"/>
          <w:szCs w:val="21"/>
          <w:lang w:eastAsia="zh-CN"/>
        </w:rPr>
        <w:t>42. 中标通知书</w:t>
      </w:r>
    </w:p>
    <w:p w14:paraId="38F148EF">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42.1在中标通知书发出前，采购人将中标侯选人的情况在伊犁州公共资源交易网、新疆政府采购网予以公示，公示期为一个工作日并同时向中标人发出中标通知书。</w:t>
      </w:r>
    </w:p>
    <w:p w14:paraId="1B87D8A9">
      <w:pPr>
        <w:pBdr>
          <w:top w:val="none" w:color="auto" w:sz="0" w:space="0"/>
          <w:left w:val="none" w:color="auto" w:sz="0" w:space="0"/>
          <w:bottom w:val="none" w:color="auto" w:sz="0" w:space="0"/>
          <w:right w:val="none" w:color="auto" w:sz="0" w:space="0"/>
          <w:between w:val="none" w:color="auto" w:sz="0" w:space="0"/>
        </w:pBdr>
        <w:spacing w:line="440" w:lineRule="exact"/>
        <w:ind w:firstLine="235" w:firstLineChars="9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42.2中标通知书作为签订合同的重要依据，对采购人和中标供应商均具有法律效力。采购人改变中标结果或者中标供应商放弃中标项目的都应承担法律责任。中标供应商不得向他人转让中标项目，也不得将中标项目肢解后分别向他人转让。</w:t>
      </w:r>
    </w:p>
    <w:p w14:paraId="458F8B15">
      <w:pPr>
        <w:pBdr>
          <w:top w:val="none" w:color="auto" w:sz="0" w:space="0"/>
          <w:left w:val="none" w:color="auto" w:sz="0" w:space="0"/>
          <w:bottom w:val="none" w:color="auto" w:sz="0" w:space="0"/>
          <w:right w:val="none" w:color="auto" w:sz="0" w:space="0"/>
          <w:between w:val="none" w:color="auto" w:sz="0" w:space="0"/>
        </w:pBdr>
        <w:spacing w:before="156" w:beforeLines="50" w:line="440" w:lineRule="exact"/>
        <w:jc w:val="center"/>
        <w:outlineLvl w:val="1"/>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sz w:val="28"/>
          <w:szCs w:val="28"/>
          <w:lang w:eastAsia="zh-CN"/>
        </w:rPr>
        <w:t>（六）合同的授予</w:t>
      </w:r>
      <w:bookmarkEnd w:id="62"/>
    </w:p>
    <w:p w14:paraId="2ED78D9B">
      <w:pPr>
        <w:pBdr>
          <w:top w:val="none" w:color="auto" w:sz="0" w:space="0"/>
          <w:left w:val="none" w:color="auto" w:sz="0" w:space="0"/>
          <w:bottom w:val="none" w:color="auto" w:sz="0" w:space="0"/>
          <w:right w:val="none" w:color="auto" w:sz="0" w:space="0"/>
          <w:between w:val="none" w:color="auto" w:sz="0" w:space="0"/>
        </w:pBdr>
        <w:spacing w:line="440" w:lineRule="exact"/>
        <w:ind w:firstLine="241" w:firstLineChars="100"/>
        <w:rPr>
          <w:rFonts w:hint="eastAsia" w:asciiTheme="minorEastAsia" w:hAnsiTheme="minorEastAsia" w:eastAsiaTheme="minorEastAsia" w:cstheme="minorEastAsia"/>
          <w:b/>
          <w:bCs/>
          <w:color w:val="auto"/>
          <w:szCs w:val="21"/>
          <w:lang w:eastAsia="zh-CN"/>
        </w:rPr>
      </w:pPr>
      <w:bookmarkStart w:id="63" w:name="_Toc73975842"/>
      <w:bookmarkStart w:id="64" w:name="_Toc469495730"/>
      <w:r>
        <w:rPr>
          <w:rFonts w:hint="eastAsia" w:asciiTheme="minorEastAsia" w:hAnsiTheme="minorEastAsia" w:eastAsiaTheme="minorEastAsia" w:cstheme="minorEastAsia"/>
          <w:b/>
          <w:bCs/>
          <w:color w:val="auto"/>
          <w:szCs w:val="21"/>
          <w:lang w:eastAsia="zh-CN"/>
        </w:rPr>
        <w:t>43．履约保证金</w:t>
      </w:r>
      <w:bookmarkEnd w:id="63"/>
    </w:p>
    <w:p w14:paraId="1E603925">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43.1 履约保证金金额：合同总价的10% ；履约保证金形式：以履约保证金保函形式；提交履约保证金的时间：签订合同前。</w:t>
      </w:r>
    </w:p>
    <w:p w14:paraId="6C7CFF01">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43.2 签订合同后，如中标供应商不按合同约定履约的，履约保证金不予退还，履约保证金不足以赔偿损失的，按实际损失赔偿。</w:t>
      </w:r>
    </w:p>
    <w:p w14:paraId="124FBCE8">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43.3履约保证金是督促成交供应商按时、按质、按量履行合同的一个经济制约手段。当采购人因成交供应商违约而造成损失时，可在无须征得供应商同意的情况下首先从其所交纳的履约保证金中获取相应的补偿。</w:t>
      </w:r>
    </w:p>
    <w:p w14:paraId="180EC75B">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43.4 如果中标供应商在建设期内没有涉及采购人的应付而未付金额或违约行为，采购人在项目验收合格后或提前终止合同后全额无息退还履约保证金。</w:t>
      </w:r>
    </w:p>
    <w:p w14:paraId="0A02B4F2">
      <w:pPr>
        <w:pBdr>
          <w:top w:val="none" w:color="auto" w:sz="0" w:space="0"/>
          <w:left w:val="none" w:color="auto" w:sz="0" w:space="0"/>
          <w:bottom w:val="none" w:color="auto" w:sz="0" w:space="0"/>
          <w:right w:val="none" w:color="auto" w:sz="0" w:space="0"/>
          <w:between w:val="none" w:color="auto" w:sz="0" w:space="0"/>
        </w:pBdr>
        <w:spacing w:line="440" w:lineRule="exact"/>
        <w:ind w:firstLine="241" w:firstLineChars="100"/>
        <w:rPr>
          <w:rFonts w:hint="eastAsia" w:asciiTheme="minorEastAsia" w:hAnsiTheme="minorEastAsia" w:eastAsiaTheme="minorEastAsia" w:cstheme="minorEastAsia"/>
          <w:b/>
          <w:bCs/>
          <w:color w:val="auto"/>
          <w:szCs w:val="21"/>
          <w:lang w:eastAsia="zh-CN"/>
        </w:rPr>
      </w:pPr>
      <w:bookmarkStart w:id="65" w:name="_Toc73975843"/>
      <w:r>
        <w:rPr>
          <w:rFonts w:hint="eastAsia" w:asciiTheme="minorEastAsia" w:hAnsiTheme="minorEastAsia" w:eastAsiaTheme="minorEastAsia" w:cstheme="minorEastAsia"/>
          <w:b/>
          <w:bCs/>
          <w:color w:val="auto"/>
          <w:szCs w:val="21"/>
          <w:lang w:eastAsia="zh-CN"/>
        </w:rPr>
        <w:t>44．签订合同及公告</w:t>
      </w:r>
      <w:bookmarkEnd w:id="65"/>
    </w:p>
    <w:p w14:paraId="24E454F3">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44.1采购人在中标通知书发出之日起30日内与中标供应商签订合同。</w:t>
      </w:r>
    </w:p>
    <w:p w14:paraId="669BA81F">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44.2中标供应商拖延、拒签合同的,取消中标资格。</w:t>
      </w:r>
    </w:p>
    <w:p w14:paraId="7C8D8FCA">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44.3 采购文件、中标供应商的投标文件及评标过程中有关澄清文件等均作为签订合同的依据，所签订的合同不得对采购文件和中标供应商的投标文件的内容作实质性修改。</w:t>
      </w:r>
    </w:p>
    <w:p w14:paraId="5DD2331D">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44.4采购人应当自政府采购合同签订之日起2个工作日内，在省级以上财政部门指定的政府采购信息发布媒体及相关网站上公告。</w:t>
      </w:r>
    </w:p>
    <w:p w14:paraId="63FFCDC1">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44.5采购人应当自政府采购合同签订之日起7个工作日内，将政府采购合同副本报同级人民政府财政部门备案以及采购代理机构存档。</w:t>
      </w:r>
    </w:p>
    <w:p w14:paraId="6785465E">
      <w:pPr>
        <w:pBdr>
          <w:top w:val="none" w:color="auto" w:sz="0" w:space="0"/>
          <w:left w:val="none" w:color="auto" w:sz="0" w:space="0"/>
          <w:bottom w:val="none" w:color="auto" w:sz="0" w:space="0"/>
          <w:right w:val="none" w:color="auto" w:sz="0" w:space="0"/>
          <w:between w:val="none" w:color="auto" w:sz="0" w:space="0"/>
        </w:pBdr>
        <w:adjustRightInd w:val="0"/>
        <w:snapToGrid w:val="0"/>
        <w:spacing w:line="440" w:lineRule="exact"/>
        <w:jc w:val="center"/>
        <w:outlineLvl w:val="1"/>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eastAsia="zh-CN"/>
        </w:rPr>
        <w:t>（七）纪律和监督</w:t>
      </w:r>
      <w:bookmarkEnd w:id="64"/>
    </w:p>
    <w:p w14:paraId="7EE97B81">
      <w:pPr>
        <w:pBdr>
          <w:top w:val="none" w:color="auto" w:sz="0" w:space="0"/>
          <w:left w:val="none" w:color="auto" w:sz="0" w:space="0"/>
          <w:bottom w:val="none" w:color="auto" w:sz="0" w:space="0"/>
          <w:right w:val="none" w:color="auto" w:sz="0" w:space="0"/>
          <w:between w:val="none" w:color="auto" w:sz="0" w:space="0"/>
        </w:pBdr>
        <w:spacing w:line="440" w:lineRule="exact"/>
        <w:ind w:firstLine="236" w:firstLineChars="98"/>
        <w:rPr>
          <w:rFonts w:hint="eastAsia" w:asciiTheme="minorEastAsia" w:hAnsiTheme="minorEastAsia" w:eastAsiaTheme="minorEastAsia" w:cstheme="minorEastAsia"/>
          <w:b/>
          <w:color w:val="auto"/>
          <w:szCs w:val="21"/>
          <w:lang w:eastAsia="zh-CN"/>
        </w:rPr>
      </w:pPr>
      <w:r>
        <w:rPr>
          <w:rFonts w:hint="eastAsia" w:asciiTheme="minorEastAsia" w:hAnsiTheme="minorEastAsia" w:eastAsiaTheme="minorEastAsia" w:cstheme="minorEastAsia"/>
          <w:b/>
          <w:color w:val="auto"/>
          <w:szCs w:val="21"/>
          <w:lang w:eastAsia="zh-CN"/>
        </w:rPr>
        <w:t xml:space="preserve">45. 对采购人的纪律要求 </w:t>
      </w:r>
    </w:p>
    <w:p w14:paraId="5E3411A0">
      <w:pPr>
        <w:pBdr>
          <w:top w:val="none" w:color="auto" w:sz="0" w:space="0"/>
          <w:left w:val="none" w:color="auto" w:sz="0" w:space="0"/>
          <w:bottom w:val="none" w:color="auto" w:sz="0" w:space="0"/>
          <w:right w:val="none" w:color="auto" w:sz="0" w:space="0"/>
          <w:between w:val="none" w:color="auto" w:sz="0" w:space="0"/>
        </w:pBdr>
        <w:adjustRightInd w:val="0"/>
        <w:snapToGrid w:val="0"/>
        <w:spacing w:line="440" w:lineRule="exact"/>
        <w:ind w:firstLine="235" w:firstLineChars="98"/>
        <w:rPr>
          <w:rFonts w:hint="eastAsia" w:asciiTheme="minorEastAsia" w:hAnsiTheme="minorEastAsia" w:eastAsiaTheme="minorEastAsia" w:cstheme="minorEastAsia"/>
          <w:color w:val="auto"/>
          <w:kern w:val="10"/>
          <w:szCs w:val="21"/>
          <w:lang w:eastAsia="zh-CN"/>
        </w:rPr>
      </w:pPr>
      <w:r>
        <w:rPr>
          <w:rFonts w:hint="eastAsia" w:asciiTheme="minorEastAsia" w:hAnsiTheme="minorEastAsia" w:eastAsiaTheme="minorEastAsia" w:cstheme="minorEastAsia"/>
          <w:color w:val="auto"/>
          <w:kern w:val="10"/>
          <w:szCs w:val="21"/>
          <w:lang w:eastAsia="zh-CN"/>
        </w:rPr>
        <w:t xml:space="preserve">45.1采购人不得泄漏招标投标活动中应当保密的情况和资料，不得与投标人串通损害国家利益，社会公共利益或者他人合法权益。 </w:t>
      </w:r>
    </w:p>
    <w:p w14:paraId="0E951A71">
      <w:pPr>
        <w:pBdr>
          <w:top w:val="none" w:color="auto" w:sz="0" w:space="0"/>
          <w:left w:val="none" w:color="auto" w:sz="0" w:space="0"/>
          <w:bottom w:val="none" w:color="auto" w:sz="0" w:space="0"/>
          <w:right w:val="none" w:color="auto" w:sz="0" w:space="0"/>
          <w:between w:val="none" w:color="auto" w:sz="0" w:space="0"/>
        </w:pBdr>
        <w:spacing w:line="440" w:lineRule="exact"/>
        <w:ind w:firstLine="236" w:firstLineChars="98"/>
        <w:rPr>
          <w:rFonts w:hint="eastAsia" w:asciiTheme="minorEastAsia" w:hAnsiTheme="minorEastAsia" w:eastAsiaTheme="minorEastAsia" w:cstheme="minorEastAsia"/>
          <w:b/>
          <w:color w:val="auto"/>
          <w:szCs w:val="21"/>
          <w:lang w:eastAsia="zh-CN"/>
        </w:rPr>
      </w:pPr>
      <w:r>
        <w:rPr>
          <w:rFonts w:hint="eastAsia" w:asciiTheme="minorEastAsia" w:hAnsiTheme="minorEastAsia" w:eastAsiaTheme="minorEastAsia" w:cstheme="minorEastAsia"/>
          <w:b/>
          <w:color w:val="auto"/>
          <w:szCs w:val="21"/>
          <w:lang w:eastAsia="zh-CN"/>
        </w:rPr>
        <w:t xml:space="preserve">46. 对投标人的纪律要求 </w:t>
      </w:r>
    </w:p>
    <w:p w14:paraId="0924296F">
      <w:pPr>
        <w:pBdr>
          <w:top w:val="none" w:color="auto" w:sz="0" w:space="0"/>
          <w:left w:val="none" w:color="auto" w:sz="0" w:space="0"/>
          <w:bottom w:val="none" w:color="auto" w:sz="0" w:space="0"/>
          <w:right w:val="none" w:color="auto" w:sz="0" w:space="0"/>
          <w:between w:val="none" w:color="auto" w:sz="0" w:space="0"/>
        </w:pBdr>
        <w:adjustRightInd w:val="0"/>
        <w:snapToGrid w:val="0"/>
        <w:spacing w:line="440" w:lineRule="exact"/>
        <w:ind w:firstLine="235" w:firstLineChars="98"/>
        <w:rPr>
          <w:rFonts w:hint="eastAsia" w:asciiTheme="minorEastAsia" w:hAnsiTheme="minorEastAsia" w:eastAsiaTheme="minorEastAsia" w:cstheme="minorEastAsia"/>
          <w:color w:val="auto"/>
          <w:kern w:val="10"/>
          <w:szCs w:val="21"/>
          <w:lang w:eastAsia="zh-CN"/>
        </w:rPr>
      </w:pPr>
      <w:r>
        <w:rPr>
          <w:rFonts w:hint="eastAsia" w:asciiTheme="minorEastAsia" w:hAnsiTheme="minorEastAsia" w:eastAsiaTheme="minorEastAsia" w:cstheme="minorEastAsia"/>
          <w:color w:val="auto"/>
          <w:kern w:val="10"/>
          <w:szCs w:val="21"/>
          <w:lang w:eastAsia="zh-CN"/>
        </w:rPr>
        <w:t>46.1投标人不得相互串通投标或者与采购人串通投标，不得向采购人或者评标委员会成员行贿谋取中标，不得以他人名义投标或者以其他方式弄虚作假骗取中标；投标人不得以任何方式干扰、影响评标工作。</w:t>
      </w:r>
    </w:p>
    <w:p w14:paraId="4B564CA2">
      <w:pPr>
        <w:pBdr>
          <w:top w:val="none" w:color="auto" w:sz="0" w:space="0"/>
          <w:left w:val="none" w:color="auto" w:sz="0" w:space="0"/>
          <w:bottom w:val="none" w:color="auto" w:sz="0" w:space="0"/>
          <w:right w:val="none" w:color="auto" w:sz="0" w:space="0"/>
          <w:between w:val="none" w:color="auto" w:sz="0" w:space="0"/>
        </w:pBdr>
        <w:spacing w:line="440" w:lineRule="exact"/>
        <w:ind w:firstLine="236" w:firstLineChars="98"/>
        <w:rPr>
          <w:rFonts w:hint="eastAsia" w:asciiTheme="minorEastAsia" w:hAnsiTheme="minorEastAsia" w:eastAsiaTheme="minorEastAsia" w:cstheme="minorEastAsia"/>
          <w:b/>
          <w:color w:val="auto"/>
          <w:szCs w:val="21"/>
          <w:lang w:eastAsia="zh-CN"/>
        </w:rPr>
      </w:pPr>
      <w:r>
        <w:rPr>
          <w:rFonts w:hint="eastAsia" w:asciiTheme="minorEastAsia" w:hAnsiTheme="minorEastAsia" w:eastAsiaTheme="minorEastAsia" w:cstheme="minorEastAsia"/>
          <w:b/>
          <w:color w:val="auto"/>
          <w:szCs w:val="21"/>
          <w:lang w:eastAsia="zh-CN"/>
        </w:rPr>
        <w:t xml:space="preserve">47. 对评标委员会成员的纪律要求 </w:t>
      </w:r>
    </w:p>
    <w:p w14:paraId="48C6BD5D">
      <w:pPr>
        <w:pBdr>
          <w:top w:val="none" w:color="auto" w:sz="0" w:space="0"/>
          <w:left w:val="none" w:color="auto" w:sz="0" w:space="0"/>
          <w:bottom w:val="none" w:color="auto" w:sz="0" w:space="0"/>
          <w:right w:val="none" w:color="auto" w:sz="0" w:space="0"/>
          <w:between w:val="none" w:color="auto" w:sz="0" w:space="0"/>
        </w:pBdr>
        <w:adjustRightInd w:val="0"/>
        <w:snapToGrid w:val="0"/>
        <w:spacing w:line="440" w:lineRule="exact"/>
        <w:ind w:firstLine="235" w:firstLineChars="98"/>
        <w:rPr>
          <w:rFonts w:hint="eastAsia" w:asciiTheme="minorEastAsia" w:hAnsiTheme="minorEastAsia" w:eastAsiaTheme="minorEastAsia" w:cstheme="minorEastAsia"/>
          <w:color w:val="auto"/>
          <w:kern w:val="10"/>
          <w:szCs w:val="21"/>
          <w:lang w:eastAsia="zh-CN"/>
        </w:rPr>
      </w:pPr>
      <w:r>
        <w:rPr>
          <w:rFonts w:hint="eastAsia" w:asciiTheme="minorEastAsia" w:hAnsiTheme="minorEastAsia" w:eastAsiaTheme="minorEastAsia" w:cstheme="minorEastAsia"/>
          <w:color w:val="auto"/>
          <w:kern w:val="10"/>
          <w:szCs w:val="21"/>
          <w:lang w:eastAsia="zh-CN"/>
        </w:rPr>
        <w:t>47.1评标委员会成员不得收受他人的财物或者其他好处，不得向他人透漏对投标文件的评审和比较、中标候选人的推荐情况以及评标有关的其他情况。</w:t>
      </w:r>
    </w:p>
    <w:p w14:paraId="0B5B82D0">
      <w:pPr>
        <w:pBdr>
          <w:top w:val="none" w:color="auto" w:sz="0" w:space="0"/>
          <w:left w:val="none" w:color="auto" w:sz="0" w:space="0"/>
          <w:bottom w:val="none" w:color="auto" w:sz="0" w:space="0"/>
          <w:right w:val="none" w:color="auto" w:sz="0" w:space="0"/>
          <w:between w:val="none" w:color="auto" w:sz="0" w:space="0"/>
        </w:pBdr>
        <w:adjustRightInd w:val="0"/>
        <w:snapToGrid w:val="0"/>
        <w:spacing w:line="440" w:lineRule="exact"/>
        <w:ind w:firstLine="235" w:firstLineChars="98"/>
        <w:rPr>
          <w:rFonts w:hint="eastAsia" w:asciiTheme="minorEastAsia" w:hAnsiTheme="minorEastAsia" w:eastAsiaTheme="minorEastAsia" w:cstheme="minorEastAsia"/>
          <w:color w:val="auto"/>
          <w:kern w:val="10"/>
          <w:szCs w:val="21"/>
          <w:lang w:eastAsia="zh-CN"/>
        </w:rPr>
      </w:pPr>
      <w:r>
        <w:rPr>
          <w:rFonts w:hint="eastAsia" w:asciiTheme="minorEastAsia" w:hAnsiTheme="minorEastAsia" w:eastAsiaTheme="minorEastAsia" w:cstheme="minorEastAsia"/>
          <w:color w:val="auto"/>
          <w:kern w:val="10"/>
          <w:szCs w:val="21"/>
          <w:lang w:eastAsia="zh-CN"/>
        </w:rPr>
        <w:t xml:space="preserve">47.2在评标活动中，评标委员会成员不得擅离职守，影响评标程序正常进行，不得使用第三部分“评标办法”没有规定的评审因素和标准进行评标。 </w:t>
      </w:r>
    </w:p>
    <w:p w14:paraId="50B619DD">
      <w:pPr>
        <w:pBdr>
          <w:top w:val="none" w:color="auto" w:sz="0" w:space="0"/>
          <w:left w:val="none" w:color="auto" w:sz="0" w:space="0"/>
          <w:bottom w:val="none" w:color="auto" w:sz="0" w:space="0"/>
          <w:right w:val="none" w:color="auto" w:sz="0" w:space="0"/>
          <w:between w:val="none" w:color="auto" w:sz="0" w:space="0"/>
        </w:pBdr>
        <w:spacing w:line="440" w:lineRule="exact"/>
        <w:ind w:firstLine="236" w:firstLineChars="98"/>
        <w:rPr>
          <w:rFonts w:hint="eastAsia" w:asciiTheme="minorEastAsia" w:hAnsiTheme="minorEastAsia" w:eastAsiaTheme="minorEastAsia" w:cstheme="minorEastAsia"/>
          <w:b/>
          <w:color w:val="auto"/>
          <w:szCs w:val="21"/>
          <w:lang w:eastAsia="zh-CN"/>
        </w:rPr>
      </w:pPr>
      <w:r>
        <w:rPr>
          <w:rFonts w:hint="eastAsia" w:asciiTheme="minorEastAsia" w:hAnsiTheme="minorEastAsia" w:eastAsiaTheme="minorEastAsia" w:cstheme="minorEastAsia"/>
          <w:b/>
          <w:color w:val="auto"/>
          <w:szCs w:val="21"/>
          <w:lang w:eastAsia="zh-CN"/>
        </w:rPr>
        <w:t xml:space="preserve">48. 对与评标活动有关的工作人员的纪律要求 </w:t>
      </w:r>
    </w:p>
    <w:p w14:paraId="063E0E8A">
      <w:pPr>
        <w:pBdr>
          <w:top w:val="none" w:color="auto" w:sz="0" w:space="0"/>
          <w:left w:val="none" w:color="auto" w:sz="0" w:space="0"/>
          <w:bottom w:val="none" w:color="auto" w:sz="0" w:space="0"/>
          <w:right w:val="none" w:color="auto" w:sz="0" w:space="0"/>
          <w:between w:val="none" w:color="auto" w:sz="0" w:space="0"/>
        </w:pBdr>
        <w:adjustRightInd w:val="0"/>
        <w:snapToGrid w:val="0"/>
        <w:spacing w:line="440" w:lineRule="exact"/>
        <w:ind w:firstLine="235" w:firstLineChars="98"/>
        <w:rPr>
          <w:rFonts w:hint="eastAsia" w:asciiTheme="minorEastAsia" w:hAnsiTheme="minorEastAsia" w:eastAsiaTheme="minorEastAsia" w:cstheme="minorEastAsia"/>
          <w:color w:val="auto"/>
          <w:kern w:val="10"/>
          <w:szCs w:val="21"/>
          <w:lang w:eastAsia="zh-CN"/>
        </w:rPr>
      </w:pPr>
      <w:r>
        <w:rPr>
          <w:rFonts w:hint="eastAsia" w:asciiTheme="minorEastAsia" w:hAnsiTheme="minorEastAsia" w:eastAsiaTheme="minorEastAsia" w:cstheme="minorEastAsia"/>
          <w:color w:val="auto"/>
          <w:kern w:val="10"/>
          <w:szCs w:val="21"/>
          <w:lang w:eastAsia="zh-CN"/>
        </w:rPr>
        <w:t>48.1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14:paraId="42C72486">
      <w:pPr>
        <w:pBdr>
          <w:top w:val="none" w:color="auto" w:sz="0" w:space="0"/>
          <w:left w:val="none" w:color="auto" w:sz="0" w:space="0"/>
          <w:bottom w:val="none" w:color="auto" w:sz="0" w:space="0"/>
          <w:right w:val="none" w:color="auto" w:sz="0" w:space="0"/>
          <w:between w:val="none" w:color="auto" w:sz="0" w:space="0"/>
        </w:pBdr>
        <w:adjustRightInd w:val="0"/>
        <w:snapToGrid w:val="0"/>
        <w:spacing w:line="440" w:lineRule="exact"/>
        <w:jc w:val="center"/>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eastAsia="zh-CN"/>
        </w:rPr>
        <w:t>（八）质疑与投诉</w:t>
      </w:r>
    </w:p>
    <w:p w14:paraId="6CD0FB06">
      <w:pPr>
        <w:pBdr>
          <w:top w:val="none" w:color="auto" w:sz="0" w:space="0"/>
          <w:left w:val="none" w:color="auto" w:sz="0" w:space="0"/>
          <w:bottom w:val="none" w:color="auto" w:sz="0" w:space="0"/>
          <w:right w:val="none" w:color="auto" w:sz="0" w:space="0"/>
          <w:between w:val="none" w:color="auto" w:sz="0" w:space="0"/>
        </w:pBdr>
        <w:spacing w:line="440" w:lineRule="exact"/>
        <w:ind w:firstLine="241" w:firstLineChars="100"/>
        <w:rPr>
          <w:rFonts w:hint="eastAsia" w:asciiTheme="minorEastAsia" w:hAnsiTheme="minorEastAsia" w:eastAsiaTheme="minorEastAsia" w:cstheme="minorEastAsia"/>
          <w:b/>
          <w:bCs/>
          <w:color w:val="auto"/>
          <w:szCs w:val="21"/>
          <w:lang w:eastAsia="zh-CN"/>
        </w:rPr>
      </w:pPr>
      <w:r>
        <w:rPr>
          <w:rFonts w:hint="eastAsia" w:asciiTheme="minorEastAsia" w:hAnsiTheme="minorEastAsia" w:eastAsiaTheme="minorEastAsia" w:cstheme="minorEastAsia"/>
          <w:b/>
          <w:bCs/>
          <w:color w:val="auto"/>
          <w:szCs w:val="21"/>
          <w:lang w:eastAsia="zh-CN"/>
        </w:rPr>
        <w:t>49．质疑和投诉</w:t>
      </w:r>
    </w:p>
    <w:p w14:paraId="283B06EC">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49.1.供应商认为采购文件、采购过程和中标、成交结果使自己的权益受到损害的，可以在知道或者应知其权益受到损害之日起七个工作日内，以书面形式向采购人提出质疑。供应商应当在法定质疑期内一次性提出针对同一采购程序环节的质疑。供应商应知其权益受到损害之日，是指：</w:t>
      </w:r>
    </w:p>
    <w:p w14:paraId="7B855B61">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（一）对可以质疑的采购文件提出质疑的，为收到采购文件之日或者采购文件公告期限届满之日；</w:t>
      </w:r>
    </w:p>
    <w:p w14:paraId="460F9BAA">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（二）对采购过程提出质疑的，为各采购程序环节结束之日；</w:t>
      </w:r>
    </w:p>
    <w:p w14:paraId="5FD3934F">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（三）对中标或者成交结果提出质疑的，为中标或者成交结果公告期限届满之日。</w:t>
      </w:r>
    </w:p>
    <w:p w14:paraId="52C733A3">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49.2供应商提出质疑应当提交质疑函和必要的证明材料。质疑函应当包括下列内容：供应商的姓名或者名称、地址、邮编、联系人及联系电话；质疑项目的名称、编号；具体、明确的质疑事项和与质疑事项相关的请求；事实依据；必要的法律依据；提出质疑的日期。（具体格式详见附件）</w:t>
      </w:r>
    </w:p>
    <w:p w14:paraId="3F14CA4F">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供应商为自然人的，应当由本人签章；供应商为法人或者其他组织的，应当由法定代表人、主要负责人，或者其授权代表签章或者盖章，并加盖公章。</w:t>
      </w:r>
    </w:p>
    <w:p w14:paraId="1BA2073A">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49.3供应商质疑、投诉应当有明确的请求和必要的证明材料。供应商投诉的事项不得超出已质疑事项的范围。采购人及采购代理机构按《政府采购质疑和投诉办法》进行处理供应商质疑事项。</w:t>
      </w:r>
    </w:p>
    <w:p w14:paraId="31FBFD56">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49.4质疑供应商对采购人、采购代理机构的质疑答复不满意，或者采购人、采购代理机构未在规定期限内作出答复的，供应商可以在答复期满后15个工作日内向同级财政部门提起投诉。</w:t>
      </w:r>
    </w:p>
    <w:p w14:paraId="2B3287BD">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49.5供应商有下列情形之一的，采购代理机构将报告伊犁州采购办，将其列入不良行为记录名单：</w:t>
      </w:r>
    </w:p>
    <w:p w14:paraId="4C8E19AD">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（一）一年内三次以上质疑均查无实据的；</w:t>
      </w:r>
    </w:p>
    <w:p w14:paraId="027BEEA6">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（二）捏造事实或者提供虚假质疑材料的。</w:t>
      </w:r>
    </w:p>
    <w:p w14:paraId="677EFFE3">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（三）以非法手段取得证明材料。证据来源的合法性存在明显疑问，质疑人无法证明其取得方式合法的，视为以非法手段取得证明材料。</w:t>
      </w:r>
    </w:p>
    <w:p w14:paraId="0E2BA068">
      <w:pPr>
        <w:pBdr>
          <w:top w:val="none" w:color="auto" w:sz="0" w:space="0"/>
          <w:left w:val="none" w:color="auto" w:sz="0" w:space="0"/>
          <w:bottom w:val="none" w:color="auto" w:sz="0" w:space="0"/>
          <w:right w:val="none" w:color="auto" w:sz="0" w:space="0"/>
          <w:between w:val="none" w:color="auto" w:sz="0" w:space="0"/>
        </w:pBdr>
        <w:spacing w:line="360" w:lineRule="exact"/>
        <w:jc w:val="center"/>
        <w:rPr>
          <w:rFonts w:hint="eastAsia" w:asciiTheme="minorEastAsia" w:hAnsiTheme="minorEastAsia" w:eastAsiaTheme="minorEastAsia" w:cstheme="minorEastAsia"/>
          <w:color w:val="auto"/>
          <w:sz w:val="30"/>
          <w:szCs w:val="30"/>
          <w:lang w:eastAsia="zh-CN"/>
        </w:rPr>
      </w:pPr>
    </w:p>
    <w:p w14:paraId="661FE2A0">
      <w:pPr>
        <w:pBdr>
          <w:top w:val="none" w:color="auto" w:sz="0" w:space="0"/>
          <w:left w:val="none" w:color="auto" w:sz="0" w:space="0"/>
          <w:bottom w:val="none" w:color="auto" w:sz="0" w:space="0"/>
          <w:right w:val="none" w:color="auto" w:sz="0" w:space="0"/>
          <w:between w:val="none" w:color="auto" w:sz="0" w:space="0"/>
        </w:pBdr>
        <w:outlineLvl w:val="2"/>
        <w:rPr>
          <w:rFonts w:hint="eastAsia" w:asciiTheme="minorEastAsia" w:hAnsiTheme="minorEastAsia" w:eastAsiaTheme="minorEastAsia" w:cstheme="minorEastAsia"/>
          <w:b/>
          <w:bCs/>
          <w:color w:val="auto"/>
          <w:sz w:val="21"/>
          <w:szCs w:val="21"/>
          <w:lang w:eastAsia="zh-CN"/>
        </w:rPr>
      </w:pPr>
      <w:r>
        <w:rPr>
          <w:rFonts w:hint="eastAsia" w:asciiTheme="minorEastAsia" w:hAnsiTheme="minorEastAsia" w:eastAsiaTheme="minorEastAsia" w:cstheme="minorEastAsia"/>
          <w:b/>
          <w:bCs/>
          <w:color w:val="auto"/>
          <w:sz w:val="21"/>
          <w:szCs w:val="21"/>
          <w:lang w:eastAsia="zh-CN"/>
        </w:rPr>
        <w:t>附件：</w:t>
      </w:r>
    </w:p>
    <w:p w14:paraId="7045F1A2">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b/>
          <w:bCs/>
          <w:color w:val="auto"/>
          <w:sz w:val="28"/>
          <w:szCs w:val="28"/>
          <w:lang w:eastAsia="zh-CN"/>
        </w:rPr>
      </w:pPr>
      <w:r>
        <w:rPr>
          <w:rFonts w:hint="eastAsia" w:asciiTheme="minorEastAsia" w:hAnsiTheme="minorEastAsia" w:eastAsiaTheme="minorEastAsia" w:cstheme="minorEastAsia"/>
          <w:b/>
          <w:bCs/>
          <w:color w:val="auto"/>
          <w:sz w:val="32"/>
          <w:szCs w:val="32"/>
          <w:lang w:eastAsia="zh-CN"/>
        </w:rPr>
        <w:t>政府采购投诉书（范本）、质疑函范本</w:t>
      </w:r>
    </w:p>
    <w:p w14:paraId="4653C811">
      <w:pPr>
        <w:pBdr>
          <w:top w:val="none" w:color="auto" w:sz="0" w:space="0"/>
          <w:left w:val="none" w:color="auto" w:sz="0" w:space="0"/>
          <w:bottom w:val="none" w:color="auto" w:sz="0" w:space="0"/>
          <w:right w:val="none" w:color="auto" w:sz="0" w:space="0"/>
          <w:between w:val="none" w:color="auto" w:sz="0" w:space="0"/>
        </w:pBdr>
        <w:spacing w:line="400" w:lineRule="exact"/>
        <w:jc w:val="center"/>
        <w:rPr>
          <w:rFonts w:hint="eastAsia" w:asciiTheme="minorEastAsia" w:hAnsiTheme="minorEastAsia" w:eastAsiaTheme="minorEastAsia" w:cstheme="minorEastAsia"/>
          <w:color w:val="auto"/>
          <w:u w:val="single"/>
          <w:lang w:eastAsia="zh-CN"/>
        </w:rPr>
      </w:pPr>
      <w:r>
        <w:rPr>
          <w:rFonts w:hint="eastAsia" w:asciiTheme="minorEastAsia" w:hAnsiTheme="minorEastAsia" w:eastAsiaTheme="minorEastAsia" w:cstheme="minorEastAsia"/>
          <w:b/>
          <w:bCs/>
          <w:color w:val="auto"/>
          <w:sz w:val="28"/>
          <w:szCs w:val="28"/>
          <w:lang w:eastAsia="zh-CN"/>
        </w:rPr>
        <w:t>政府采购投诉书（范本）</w:t>
      </w:r>
    </w:p>
    <w:p w14:paraId="172F0387">
      <w:pPr>
        <w:pBdr>
          <w:top w:val="none" w:color="auto" w:sz="0" w:space="0"/>
          <w:left w:val="none" w:color="auto" w:sz="0" w:space="0"/>
          <w:bottom w:val="none" w:color="auto" w:sz="0" w:space="0"/>
          <w:right w:val="none" w:color="auto" w:sz="0" w:space="0"/>
          <w:between w:val="none" w:color="auto" w:sz="0" w:space="0"/>
        </w:pBdr>
        <w:spacing w:line="400" w:lineRule="exact"/>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投诉人：</w:t>
      </w:r>
      <w:r>
        <w:rPr>
          <w:rFonts w:hint="eastAsia" w:asciiTheme="minorEastAsia" w:hAnsiTheme="minorEastAsia" w:eastAsiaTheme="minorEastAsia" w:cstheme="minorEastAsia"/>
          <w:color w:val="auto"/>
          <w:u w:val="single"/>
          <w:lang w:eastAsia="zh-CN"/>
        </w:rPr>
        <w:t xml:space="preserve">              </w:t>
      </w:r>
      <w:r>
        <w:rPr>
          <w:rFonts w:hint="eastAsia" w:asciiTheme="minorEastAsia" w:hAnsiTheme="minorEastAsia" w:eastAsiaTheme="minorEastAsia" w:cstheme="minorEastAsia"/>
          <w:color w:val="auto"/>
          <w:lang w:eastAsia="zh-CN"/>
        </w:rPr>
        <w:t xml:space="preserve">           法定代表人：</w:t>
      </w:r>
      <w:r>
        <w:rPr>
          <w:rFonts w:hint="eastAsia" w:asciiTheme="minorEastAsia" w:hAnsiTheme="minorEastAsia" w:eastAsiaTheme="minorEastAsia" w:cstheme="minorEastAsia"/>
          <w:color w:val="auto"/>
          <w:u w:val="single"/>
          <w:lang w:eastAsia="zh-CN"/>
        </w:rPr>
        <w:t xml:space="preserve">          </w:t>
      </w:r>
      <w:r>
        <w:rPr>
          <w:rFonts w:hint="eastAsia" w:asciiTheme="minorEastAsia" w:hAnsiTheme="minorEastAsia" w:eastAsiaTheme="minorEastAsia" w:cstheme="minorEastAsia"/>
          <w:color w:val="auto"/>
          <w:lang w:eastAsia="zh-CN"/>
        </w:rPr>
        <w:t xml:space="preserve">  </w:t>
      </w:r>
    </w:p>
    <w:p w14:paraId="01A7133C">
      <w:pPr>
        <w:pBdr>
          <w:top w:val="none" w:color="auto" w:sz="0" w:space="0"/>
          <w:left w:val="none" w:color="auto" w:sz="0" w:space="0"/>
          <w:bottom w:val="none" w:color="auto" w:sz="0" w:space="0"/>
          <w:right w:val="none" w:color="auto" w:sz="0" w:space="0"/>
          <w:between w:val="none" w:color="auto" w:sz="0" w:space="0"/>
        </w:pBdr>
        <w:spacing w:line="400" w:lineRule="exact"/>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地址：</w:t>
      </w:r>
      <w:r>
        <w:rPr>
          <w:rFonts w:hint="eastAsia" w:asciiTheme="minorEastAsia" w:hAnsiTheme="minorEastAsia" w:eastAsiaTheme="minorEastAsia" w:cstheme="minorEastAsia"/>
          <w:color w:val="auto"/>
          <w:u w:val="single"/>
          <w:lang w:eastAsia="zh-CN"/>
        </w:rPr>
        <w:t xml:space="preserve">                </w:t>
      </w:r>
      <w:r>
        <w:rPr>
          <w:rFonts w:hint="eastAsia" w:asciiTheme="minorEastAsia" w:hAnsiTheme="minorEastAsia" w:eastAsiaTheme="minorEastAsia" w:cstheme="minorEastAsia"/>
          <w:color w:val="auto"/>
          <w:lang w:eastAsia="zh-CN"/>
        </w:rPr>
        <w:t xml:space="preserve">           电话：</w:t>
      </w:r>
      <w:r>
        <w:rPr>
          <w:rFonts w:hint="eastAsia" w:asciiTheme="minorEastAsia" w:hAnsiTheme="minorEastAsia" w:eastAsiaTheme="minorEastAsia" w:cstheme="minorEastAsia"/>
          <w:color w:val="auto"/>
          <w:u w:val="single"/>
          <w:lang w:eastAsia="zh-CN"/>
        </w:rPr>
        <w:t xml:space="preserve">               </w:t>
      </w:r>
      <w:r>
        <w:rPr>
          <w:rFonts w:hint="eastAsia" w:asciiTheme="minorEastAsia" w:hAnsiTheme="minorEastAsia" w:eastAsiaTheme="minorEastAsia" w:cstheme="minorEastAsia"/>
          <w:color w:val="auto"/>
          <w:lang w:eastAsia="zh-CN"/>
        </w:rPr>
        <w:t xml:space="preserve">  </w:t>
      </w:r>
    </w:p>
    <w:p w14:paraId="01999953">
      <w:pPr>
        <w:pBdr>
          <w:top w:val="none" w:color="auto" w:sz="0" w:space="0"/>
          <w:left w:val="none" w:color="auto" w:sz="0" w:space="0"/>
          <w:bottom w:val="none" w:color="auto" w:sz="0" w:space="0"/>
          <w:right w:val="none" w:color="auto" w:sz="0" w:space="0"/>
          <w:between w:val="none" w:color="auto" w:sz="0" w:space="0"/>
        </w:pBdr>
        <w:spacing w:line="400" w:lineRule="exact"/>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委托代理人姓名：</w:t>
      </w:r>
      <w:r>
        <w:rPr>
          <w:rFonts w:hint="eastAsia" w:asciiTheme="minorEastAsia" w:hAnsiTheme="minorEastAsia" w:eastAsiaTheme="minorEastAsia" w:cstheme="minorEastAsia"/>
          <w:color w:val="auto"/>
          <w:u w:val="single"/>
          <w:lang w:eastAsia="zh-CN"/>
        </w:rPr>
        <w:t xml:space="preserve">      </w:t>
      </w:r>
      <w:r>
        <w:rPr>
          <w:rFonts w:hint="eastAsia" w:asciiTheme="minorEastAsia" w:hAnsiTheme="minorEastAsia" w:eastAsiaTheme="minorEastAsia" w:cstheme="minorEastAsia"/>
          <w:color w:val="auto"/>
          <w:lang w:eastAsia="zh-CN"/>
        </w:rPr>
        <w:t xml:space="preserve">           职务：</w:t>
      </w:r>
      <w:r>
        <w:rPr>
          <w:rFonts w:hint="eastAsia" w:asciiTheme="minorEastAsia" w:hAnsiTheme="minorEastAsia" w:eastAsiaTheme="minorEastAsia" w:cstheme="minorEastAsia"/>
          <w:color w:val="auto"/>
          <w:u w:val="single"/>
          <w:lang w:eastAsia="zh-CN"/>
        </w:rPr>
        <w:t xml:space="preserve">               </w:t>
      </w:r>
    </w:p>
    <w:p w14:paraId="7C9BC54A">
      <w:pPr>
        <w:pBdr>
          <w:top w:val="none" w:color="auto" w:sz="0" w:space="0"/>
          <w:left w:val="none" w:color="auto" w:sz="0" w:space="0"/>
          <w:bottom w:val="none" w:color="auto" w:sz="0" w:space="0"/>
          <w:right w:val="none" w:color="auto" w:sz="0" w:space="0"/>
          <w:between w:val="none" w:color="auto" w:sz="0" w:space="0"/>
        </w:pBdr>
        <w:spacing w:line="400" w:lineRule="exact"/>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住址：</w:t>
      </w:r>
      <w:r>
        <w:rPr>
          <w:rFonts w:hint="eastAsia" w:asciiTheme="minorEastAsia" w:hAnsiTheme="minorEastAsia" w:eastAsiaTheme="minorEastAsia" w:cstheme="minorEastAsia"/>
          <w:color w:val="auto"/>
          <w:u w:val="single"/>
          <w:lang w:eastAsia="zh-CN"/>
        </w:rPr>
        <w:t xml:space="preserve">                </w:t>
      </w:r>
      <w:r>
        <w:rPr>
          <w:rFonts w:hint="eastAsia" w:asciiTheme="minorEastAsia" w:hAnsiTheme="minorEastAsia" w:eastAsiaTheme="minorEastAsia" w:cstheme="minorEastAsia"/>
          <w:color w:val="auto"/>
          <w:lang w:eastAsia="zh-CN"/>
        </w:rPr>
        <w:t xml:space="preserve">           联系电话：</w:t>
      </w:r>
      <w:r>
        <w:rPr>
          <w:rFonts w:hint="eastAsia" w:asciiTheme="minorEastAsia" w:hAnsiTheme="minorEastAsia" w:eastAsiaTheme="minorEastAsia" w:cstheme="minorEastAsia"/>
          <w:color w:val="auto"/>
          <w:u w:val="single"/>
          <w:lang w:eastAsia="zh-CN"/>
        </w:rPr>
        <w:t xml:space="preserve">           </w:t>
      </w:r>
      <w:r>
        <w:rPr>
          <w:rFonts w:hint="eastAsia" w:asciiTheme="minorEastAsia" w:hAnsiTheme="minorEastAsia" w:eastAsiaTheme="minorEastAsia" w:cstheme="minorEastAsia"/>
          <w:color w:val="auto"/>
          <w:lang w:eastAsia="zh-CN"/>
        </w:rPr>
        <w:t xml:space="preserve">   </w:t>
      </w:r>
    </w:p>
    <w:p w14:paraId="7EEC9FCD">
      <w:pPr>
        <w:pBdr>
          <w:top w:val="none" w:color="auto" w:sz="0" w:space="0"/>
          <w:left w:val="none" w:color="auto" w:sz="0" w:space="0"/>
          <w:bottom w:val="none" w:color="auto" w:sz="0" w:space="0"/>
          <w:right w:val="none" w:color="auto" w:sz="0" w:space="0"/>
          <w:between w:val="none" w:color="auto" w:sz="0" w:space="0"/>
        </w:pBdr>
        <w:spacing w:line="400" w:lineRule="exact"/>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被投诉人：</w:t>
      </w:r>
      <w:r>
        <w:rPr>
          <w:rFonts w:hint="eastAsia" w:asciiTheme="minorEastAsia" w:hAnsiTheme="minorEastAsia" w:eastAsiaTheme="minorEastAsia" w:cstheme="minorEastAsia"/>
          <w:color w:val="auto"/>
          <w:u w:val="single"/>
          <w:lang w:eastAsia="zh-CN"/>
        </w:rPr>
        <w:t xml:space="preserve">           </w:t>
      </w:r>
      <w:r>
        <w:rPr>
          <w:rFonts w:hint="eastAsia" w:asciiTheme="minorEastAsia" w:hAnsiTheme="minorEastAsia" w:eastAsiaTheme="minorEastAsia" w:cstheme="minorEastAsia"/>
          <w:color w:val="auto"/>
          <w:lang w:eastAsia="zh-CN"/>
        </w:rPr>
        <w:t xml:space="preserve">            法定代表人：</w:t>
      </w:r>
      <w:r>
        <w:rPr>
          <w:rFonts w:hint="eastAsia" w:asciiTheme="minorEastAsia" w:hAnsiTheme="minorEastAsia" w:eastAsiaTheme="minorEastAsia" w:cstheme="minorEastAsia"/>
          <w:color w:val="auto"/>
          <w:u w:val="single"/>
          <w:lang w:eastAsia="zh-CN"/>
        </w:rPr>
        <w:t xml:space="preserve">         </w:t>
      </w:r>
    </w:p>
    <w:p w14:paraId="56BB6CFD">
      <w:pPr>
        <w:pBdr>
          <w:top w:val="none" w:color="auto" w:sz="0" w:space="0"/>
          <w:left w:val="none" w:color="auto" w:sz="0" w:space="0"/>
          <w:bottom w:val="none" w:color="auto" w:sz="0" w:space="0"/>
          <w:right w:val="none" w:color="auto" w:sz="0" w:space="0"/>
          <w:between w:val="none" w:color="auto" w:sz="0" w:space="0"/>
        </w:pBdr>
        <w:spacing w:line="400" w:lineRule="exact"/>
        <w:rPr>
          <w:rFonts w:hint="eastAsia" w:asciiTheme="minorEastAsia" w:hAnsiTheme="minorEastAsia" w:eastAsiaTheme="minorEastAsia" w:cstheme="minorEastAsia"/>
          <w:color w:val="auto"/>
          <w:u w:val="single"/>
          <w:lang w:eastAsia="zh-CN"/>
        </w:rPr>
      </w:pPr>
      <w:r>
        <w:rPr>
          <w:rFonts w:hint="eastAsia" w:asciiTheme="minorEastAsia" w:hAnsiTheme="minorEastAsia" w:eastAsiaTheme="minorEastAsia" w:cstheme="minorEastAsia"/>
          <w:color w:val="auto"/>
          <w:lang w:eastAsia="zh-CN"/>
        </w:rPr>
        <w:t>地址：</w:t>
      </w:r>
      <w:r>
        <w:rPr>
          <w:rFonts w:hint="eastAsia" w:asciiTheme="minorEastAsia" w:hAnsiTheme="minorEastAsia" w:eastAsiaTheme="minorEastAsia" w:cstheme="minorEastAsia"/>
          <w:color w:val="auto"/>
          <w:u w:val="single"/>
          <w:lang w:eastAsia="zh-CN"/>
        </w:rPr>
        <w:t xml:space="preserve">               </w:t>
      </w:r>
      <w:r>
        <w:rPr>
          <w:rFonts w:hint="eastAsia" w:asciiTheme="minorEastAsia" w:hAnsiTheme="minorEastAsia" w:eastAsiaTheme="minorEastAsia" w:cstheme="minorEastAsia"/>
          <w:color w:val="auto"/>
          <w:lang w:eastAsia="zh-CN"/>
        </w:rPr>
        <w:t>          电话：</w:t>
      </w:r>
      <w:r>
        <w:rPr>
          <w:rFonts w:hint="eastAsia" w:asciiTheme="minorEastAsia" w:hAnsiTheme="minorEastAsia" w:eastAsiaTheme="minorEastAsia" w:cstheme="minorEastAsia"/>
          <w:color w:val="auto"/>
          <w:u w:val="single"/>
          <w:lang w:eastAsia="zh-CN"/>
        </w:rPr>
        <w:t xml:space="preserve">               </w:t>
      </w:r>
    </w:p>
    <w:p w14:paraId="6F5106F1">
      <w:pPr>
        <w:pBdr>
          <w:top w:val="none" w:color="auto" w:sz="0" w:space="0"/>
          <w:left w:val="none" w:color="auto" w:sz="0" w:space="0"/>
          <w:bottom w:val="none" w:color="auto" w:sz="0" w:space="0"/>
          <w:right w:val="none" w:color="auto" w:sz="0" w:space="0"/>
          <w:between w:val="none" w:color="auto" w:sz="0" w:space="0"/>
        </w:pBdr>
        <w:spacing w:line="400" w:lineRule="exact"/>
        <w:ind w:firstLine="480" w:firstLineChars="200"/>
        <w:rPr>
          <w:rFonts w:hint="eastAsia" w:asciiTheme="minorEastAsia" w:hAnsiTheme="minorEastAsia" w:eastAsiaTheme="minorEastAsia" w:cstheme="minorEastAsia"/>
          <w:color w:val="auto"/>
          <w:lang w:eastAsia="zh-CN"/>
        </w:rPr>
      </w:pPr>
    </w:p>
    <w:p w14:paraId="12842E02">
      <w:pPr>
        <w:pBdr>
          <w:top w:val="none" w:color="auto" w:sz="0" w:space="0"/>
          <w:left w:val="none" w:color="auto" w:sz="0" w:space="0"/>
          <w:bottom w:val="none" w:color="auto" w:sz="0" w:space="0"/>
          <w:right w:val="none" w:color="auto" w:sz="0" w:space="0"/>
          <w:between w:val="none" w:color="auto" w:sz="0" w:space="0"/>
        </w:pBdr>
        <w:spacing w:line="400" w:lineRule="exact"/>
        <w:ind w:firstLine="48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我公司参加了</w:t>
      </w:r>
      <w:r>
        <w:rPr>
          <w:rFonts w:hint="eastAsia" w:asciiTheme="minorEastAsia" w:hAnsiTheme="minorEastAsia" w:eastAsiaTheme="minorEastAsia" w:cstheme="minorEastAsia"/>
          <w:color w:val="auto"/>
          <w:u w:val="single"/>
          <w:lang w:eastAsia="zh-CN"/>
        </w:rPr>
        <w:t xml:space="preserve">     </w:t>
      </w:r>
      <w:r>
        <w:rPr>
          <w:rFonts w:hint="eastAsia" w:asciiTheme="minorEastAsia" w:hAnsiTheme="minorEastAsia" w:eastAsiaTheme="minorEastAsia" w:cstheme="minorEastAsia"/>
          <w:color w:val="auto"/>
          <w:lang w:eastAsia="zh-CN"/>
        </w:rPr>
        <w:t xml:space="preserve">年 </w:t>
      </w:r>
      <w:r>
        <w:rPr>
          <w:rFonts w:hint="eastAsia" w:asciiTheme="minorEastAsia" w:hAnsiTheme="minorEastAsia" w:eastAsiaTheme="minorEastAsia" w:cstheme="minorEastAsia"/>
          <w:color w:val="auto"/>
          <w:u w:val="single"/>
          <w:lang w:eastAsia="zh-CN"/>
        </w:rPr>
        <w:t xml:space="preserve">   </w:t>
      </w:r>
      <w:r>
        <w:rPr>
          <w:rFonts w:hint="eastAsia" w:asciiTheme="minorEastAsia" w:hAnsiTheme="minorEastAsia" w:eastAsiaTheme="minorEastAsia" w:cstheme="minorEastAsia"/>
          <w:color w:val="auto"/>
          <w:lang w:eastAsia="zh-CN"/>
        </w:rPr>
        <w:t>月</w:t>
      </w:r>
      <w:r>
        <w:rPr>
          <w:rFonts w:hint="eastAsia" w:asciiTheme="minorEastAsia" w:hAnsiTheme="minorEastAsia" w:eastAsiaTheme="minorEastAsia" w:cstheme="minorEastAsia"/>
          <w:color w:val="auto"/>
          <w:u w:val="single"/>
          <w:lang w:eastAsia="zh-CN"/>
        </w:rPr>
        <w:t xml:space="preserve">    </w:t>
      </w:r>
      <w:r>
        <w:rPr>
          <w:rFonts w:hint="eastAsia" w:asciiTheme="minorEastAsia" w:hAnsiTheme="minorEastAsia" w:eastAsiaTheme="minorEastAsia" w:cstheme="minorEastAsia"/>
          <w:color w:val="auto"/>
          <w:lang w:eastAsia="zh-CN"/>
        </w:rPr>
        <w:t>日被投诉人组织的</w:t>
      </w:r>
      <w:r>
        <w:rPr>
          <w:rFonts w:hint="eastAsia" w:asciiTheme="minorEastAsia" w:hAnsiTheme="minorEastAsia" w:eastAsiaTheme="minorEastAsia" w:cstheme="minorEastAsia"/>
          <w:color w:val="auto"/>
          <w:u w:val="single"/>
          <w:lang w:eastAsia="zh-CN"/>
        </w:rPr>
        <w:t>（采购人）（项目名称）（项目编号）</w:t>
      </w:r>
      <w:r>
        <w:rPr>
          <w:rFonts w:hint="eastAsia" w:asciiTheme="minorEastAsia" w:hAnsiTheme="minorEastAsia" w:eastAsiaTheme="minorEastAsia" w:cstheme="minorEastAsia"/>
          <w:color w:val="auto"/>
          <w:lang w:eastAsia="zh-CN"/>
        </w:rPr>
        <w:t>的采购活动，我公司认为该项目的</w:t>
      </w:r>
      <w:r>
        <w:rPr>
          <w:rFonts w:hint="eastAsia" w:asciiTheme="minorEastAsia" w:hAnsiTheme="minorEastAsia" w:eastAsiaTheme="minorEastAsia" w:cstheme="minorEastAsia"/>
          <w:color w:val="auto"/>
          <w:u w:val="single"/>
          <w:lang w:eastAsia="zh-CN"/>
        </w:rPr>
        <w:t>（采购文件/采购过程/中标（中标）结果）</w:t>
      </w:r>
      <w:r>
        <w:rPr>
          <w:rFonts w:hint="eastAsia" w:asciiTheme="minorEastAsia" w:hAnsiTheme="minorEastAsia" w:eastAsiaTheme="minorEastAsia" w:cstheme="minorEastAsia"/>
          <w:color w:val="auto"/>
          <w:lang w:eastAsia="zh-CN"/>
        </w:rPr>
        <w:t>损害了我公司权益，对此，我公司于</w:t>
      </w:r>
      <w:r>
        <w:rPr>
          <w:rFonts w:hint="eastAsia" w:asciiTheme="minorEastAsia" w:hAnsiTheme="minorEastAsia" w:eastAsiaTheme="minorEastAsia" w:cstheme="minorEastAsia"/>
          <w:color w:val="auto"/>
          <w:u w:val="single"/>
          <w:lang w:eastAsia="zh-CN"/>
        </w:rPr>
        <w:t xml:space="preserve">     </w:t>
      </w:r>
      <w:r>
        <w:rPr>
          <w:rFonts w:hint="eastAsia" w:asciiTheme="minorEastAsia" w:hAnsiTheme="minorEastAsia" w:eastAsiaTheme="minorEastAsia" w:cstheme="minorEastAsia"/>
          <w:color w:val="auto"/>
          <w:lang w:eastAsia="zh-CN"/>
        </w:rPr>
        <w:t>年</w:t>
      </w:r>
      <w:r>
        <w:rPr>
          <w:rFonts w:hint="eastAsia" w:asciiTheme="minorEastAsia" w:hAnsiTheme="minorEastAsia" w:eastAsiaTheme="minorEastAsia" w:cstheme="minorEastAsia"/>
          <w:color w:val="auto"/>
          <w:u w:val="single"/>
          <w:lang w:eastAsia="zh-CN"/>
        </w:rPr>
        <w:t xml:space="preserve">    </w:t>
      </w:r>
      <w:r>
        <w:rPr>
          <w:rFonts w:hint="eastAsia" w:asciiTheme="minorEastAsia" w:hAnsiTheme="minorEastAsia" w:eastAsiaTheme="minorEastAsia" w:cstheme="minorEastAsia"/>
          <w:color w:val="auto"/>
          <w:lang w:eastAsia="zh-CN"/>
        </w:rPr>
        <w:t>月</w:t>
      </w:r>
      <w:r>
        <w:rPr>
          <w:rFonts w:hint="eastAsia" w:asciiTheme="minorEastAsia" w:hAnsiTheme="minorEastAsia" w:eastAsiaTheme="minorEastAsia" w:cstheme="minorEastAsia"/>
          <w:color w:val="auto"/>
          <w:u w:val="single"/>
          <w:lang w:eastAsia="zh-CN"/>
        </w:rPr>
        <w:t xml:space="preserve">    </w:t>
      </w:r>
      <w:r>
        <w:rPr>
          <w:rFonts w:hint="eastAsia" w:asciiTheme="minorEastAsia" w:hAnsiTheme="minorEastAsia" w:eastAsiaTheme="minorEastAsia" w:cstheme="minorEastAsia"/>
          <w:color w:val="auto"/>
          <w:lang w:eastAsia="zh-CN"/>
        </w:rPr>
        <w:t>日向</w:t>
      </w:r>
      <w:r>
        <w:rPr>
          <w:rFonts w:hint="eastAsia" w:asciiTheme="minorEastAsia" w:hAnsiTheme="minorEastAsia" w:eastAsiaTheme="minorEastAsia" w:cstheme="minorEastAsia"/>
          <w:color w:val="auto"/>
          <w:u w:val="single"/>
          <w:lang w:eastAsia="zh-CN"/>
        </w:rPr>
        <w:t>（采购人或者政府采购代理机构）</w:t>
      </w:r>
      <w:r>
        <w:rPr>
          <w:rFonts w:hint="eastAsia" w:asciiTheme="minorEastAsia" w:hAnsiTheme="minorEastAsia" w:eastAsiaTheme="minorEastAsia" w:cstheme="minorEastAsia"/>
          <w:color w:val="auto"/>
          <w:lang w:eastAsia="zh-CN"/>
        </w:rPr>
        <w:t>提出了质疑，</w:t>
      </w:r>
      <w:r>
        <w:rPr>
          <w:rFonts w:hint="eastAsia" w:asciiTheme="minorEastAsia" w:hAnsiTheme="minorEastAsia" w:eastAsiaTheme="minorEastAsia" w:cstheme="minorEastAsia"/>
          <w:color w:val="auto"/>
          <w:u w:val="single"/>
          <w:lang w:eastAsia="zh-CN"/>
        </w:rPr>
        <w:t>（其于    年  月  日作出书面答复，因对其作出的答复不满意）/（被质疑人未在法定期内予以答复，按照政府采购有关规定）</w:t>
      </w:r>
      <w:r>
        <w:rPr>
          <w:rFonts w:hint="eastAsia" w:asciiTheme="minorEastAsia" w:hAnsiTheme="minorEastAsia" w:eastAsiaTheme="minorEastAsia" w:cstheme="minorEastAsia"/>
          <w:color w:val="auto"/>
          <w:lang w:eastAsia="zh-CN"/>
        </w:rPr>
        <w:t>，现向贵机关提起投诉：</w:t>
      </w:r>
    </w:p>
    <w:p w14:paraId="73E5D046">
      <w:pPr>
        <w:pBdr>
          <w:top w:val="none" w:color="auto" w:sz="0" w:space="0"/>
          <w:left w:val="none" w:color="auto" w:sz="0" w:space="0"/>
          <w:bottom w:val="none" w:color="auto" w:sz="0" w:space="0"/>
          <w:right w:val="none" w:color="auto" w:sz="0" w:space="0"/>
          <w:between w:val="none" w:color="auto" w:sz="0" w:space="0"/>
        </w:pBdr>
        <w:spacing w:line="400" w:lineRule="exact"/>
        <w:ind w:firstLine="48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1.</w:t>
      </w:r>
      <w:r>
        <w:rPr>
          <w:rFonts w:hint="eastAsia" w:asciiTheme="minorEastAsia" w:hAnsiTheme="minorEastAsia" w:eastAsiaTheme="minorEastAsia" w:cstheme="minorEastAsia"/>
          <w:color w:val="auto"/>
          <w:u w:val="single"/>
          <w:lang w:eastAsia="zh-CN"/>
        </w:rPr>
        <w:t>具体的投诉事项及事实依据；</w:t>
      </w:r>
    </w:p>
    <w:p w14:paraId="52740D8E">
      <w:pPr>
        <w:pBdr>
          <w:top w:val="none" w:color="auto" w:sz="0" w:space="0"/>
          <w:left w:val="none" w:color="auto" w:sz="0" w:space="0"/>
          <w:bottom w:val="none" w:color="auto" w:sz="0" w:space="0"/>
          <w:right w:val="none" w:color="auto" w:sz="0" w:space="0"/>
          <w:between w:val="none" w:color="auto" w:sz="0" w:space="0"/>
        </w:pBdr>
        <w:spacing w:line="400" w:lineRule="exact"/>
        <w:ind w:firstLine="48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2.</w:t>
      </w:r>
      <w:r>
        <w:rPr>
          <w:rFonts w:hint="eastAsia" w:asciiTheme="minorEastAsia" w:hAnsiTheme="minorEastAsia" w:eastAsiaTheme="minorEastAsia" w:cstheme="minorEastAsia"/>
          <w:color w:val="auto"/>
          <w:u w:val="single"/>
          <w:lang w:eastAsia="zh-CN"/>
        </w:rPr>
        <w:t>质疑和质疑答复情况简要描述；</w:t>
      </w:r>
    </w:p>
    <w:p w14:paraId="4938F1CD">
      <w:pPr>
        <w:pBdr>
          <w:top w:val="none" w:color="auto" w:sz="0" w:space="0"/>
          <w:left w:val="none" w:color="auto" w:sz="0" w:space="0"/>
          <w:bottom w:val="none" w:color="auto" w:sz="0" w:space="0"/>
          <w:right w:val="none" w:color="auto" w:sz="0" w:space="0"/>
          <w:between w:val="none" w:color="auto" w:sz="0" w:space="0"/>
        </w:pBdr>
        <w:spacing w:line="400" w:lineRule="exact"/>
        <w:ind w:firstLine="48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3.</w:t>
      </w:r>
      <w:r>
        <w:rPr>
          <w:rFonts w:hint="eastAsia" w:asciiTheme="minorEastAsia" w:hAnsiTheme="minorEastAsia" w:eastAsiaTheme="minorEastAsia" w:cstheme="minorEastAsia"/>
          <w:color w:val="auto"/>
          <w:u w:val="single"/>
          <w:lang w:eastAsia="zh-CN"/>
        </w:rPr>
        <w:t>投诉请求。</w:t>
      </w:r>
    </w:p>
    <w:p w14:paraId="28A130EC">
      <w:pPr>
        <w:pBdr>
          <w:top w:val="none" w:color="auto" w:sz="0" w:space="0"/>
          <w:left w:val="none" w:color="auto" w:sz="0" w:space="0"/>
          <w:bottom w:val="none" w:color="auto" w:sz="0" w:space="0"/>
          <w:right w:val="none" w:color="auto" w:sz="0" w:space="0"/>
          <w:between w:val="none" w:color="auto" w:sz="0" w:space="0"/>
        </w:pBdr>
        <w:spacing w:line="400" w:lineRule="exact"/>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附件：</w:t>
      </w:r>
    </w:p>
    <w:p w14:paraId="4ADE9358">
      <w:pPr>
        <w:pBdr>
          <w:top w:val="none" w:color="auto" w:sz="0" w:space="0"/>
          <w:left w:val="none" w:color="auto" w:sz="0" w:space="0"/>
          <w:bottom w:val="none" w:color="auto" w:sz="0" w:space="0"/>
          <w:right w:val="none" w:color="auto" w:sz="0" w:space="0"/>
          <w:between w:val="none" w:color="auto" w:sz="0" w:space="0"/>
        </w:pBdr>
        <w:spacing w:line="400" w:lineRule="exact"/>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1.质疑书和质疑答复书；</w:t>
      </w:r>
    </w:p>
    <w:p w14:paraId="57C766FE">
      <w:pPr>
        <w:pBdr>
          <w:top w:val="none" w:color="auto" w:sz="0" w:space="0"/>
          <w:left w:val="none" w:color="auto" w:sz="0" w:space="0"/>
          <w:bottom w:val="none" w:color="auto" w:sz="0" w:space="0"/>
          <w:right w:val="none" w:color="auto" w:sz="0" w:space="0"/>
          <w:between w:val="none" w:color="auto" w:sz="0" w:space="0"/>
        </w:pBdr>
        <w:spacing w:line="400" w:lineRule="exact"/>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2.证据材料（需注明证据来源），证人的姓名、住址和联系方式等；</w:t>
      </w:r>
    </w:p>
    <w:p w14:paraId="17C6F7D1">
      <w:pPr>
        <w:pBdr>
          <w:top w:val="none" w:color="auto" w:sz="0" w:space="0"/>
          <w:left w:val="none" w:color="auto" w:sz="0" w:space="0"/>
          <w:bottom w:val="none" w:color="auto" w:sz="0" w:space="0"/>
          <w:right w:val="none" w:color="auto" w:sz="0" w:space="0"/>
          <w:between w:val="none" w:color="auto" w:sz="0" w:space="0"/>
        </w:pBdr>
        <w:spacing w:line="400" w:lineRule="exact"/>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3.营业执照；</w:t>
      </w:r>
    </w:p>
    <w:p w14:paraId="471DC2B9">
      <w:pPr>
        <w:pBdr>
          <w:top w:val="none" w:color="auto" w:sz="0" w:space="0"/>
          <w:left w:val="none" w:color="auto" w:sz="0" w:space="0"/>
          <w:bottom w:val="none" w:color="auto" w:sz="0" w:space="0"/>
          <w:right w:val="none" w:color="auto" w:sz="0" w:space="0"/>
          <w:between w:val="none" w:color="auto" w:sz="0" w:space="0"/>
        </w:pBdr>
        <w:spacing w:line="400" w:lineRule="exact"/>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4.法定代表人身份证明函</w:t>
      </w:r>
    </w:p>
    <w:p w14:paraId="5BC41D14">
      <w:pPr>
        <w:pBdr>
          <w:top w:val="none" w:color="auto" w:sz="0" w:space="0"/>
          <w:left w:val="none" w:color="auto" w:sz="0" w:space="0"/>
          <w:bottom w:val="none" w:color="auto" w:sz="0" w:space="0"/>
          <w:right w:val="none" w:color="auto" w:sz="0" w:space="0"/>
          <w:between w:val="none" w:color="auto" w:sz="0" w:space="0"/>
        </w:pBdr>
        <w:spacing w:line="400" w:lineRule="exact"/>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5.法定代表人授权委托书（包含法定代表人和委托代理人的身份证复印件）；</w:t>
      </w:r>
    </w:p>
    <w:p w14:paraId="0D9C7B5C">
      <w:pPr>
        <w:pBdr>
          <w:top w:val="none" w:color="auto" w:sz="0" w:space="0"/>
          <w:left w:val="none" w:color="auto" w:sz="0" w:space="0"/>
          <w:bottom w:val="none" w:color="auto" w:sz="0" w:space="0"/>
          <w:right w:val="none" w:color="auto" w:sz="0" w:space="0"/>
          <w:between w:val="none" w:color="auto" w:sz="0" w:space="0"/>
        </w:pBdr>
        <w:spacing w:line="400" w:lineRule="exact"/>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6.政府采购监管部门认为应当提供的其它材料。</w:t>
      </w:r>
    </w:p>
    <w:p w14:paraId="47352BE6">
      <w:pPr>
        <w:pBdr>
          <w:top w:val="none" w:color="auto" w:sz="0" w:space="0"/>
          <w:left w:val="none" w:color="auto" w:sz="0" w:space="0"/>
          <w:bottom w:val="none" w:color="auto" w:sz="0" w:space="0"/>
          <w:right w:val="none" w:color="auto" w:sz="0" w:space="0"/>
          <w:between w:val="none" w:color="auto" w:sz="0" w:space="0"/>
        </w:pBdr>
        <w:spacing w:line="400" w:lineRule="exact"/>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val="en-US" w:eastAsia="zh-CN"/>
        </w:rPr>
        <w:t xml:space="preserve">                   </w:t>
      </w:r>
      <w:r>
        <w:rPr>
          <w:rFonts w:hint="eastAsia" w:asciiTheme="minorEastAsia" w:hAnsiTheme="minorEastAsia" w:eastAsiaTheme="minorEastAsia" w:cstheme="minorEastAsia"/>
          <w:color w:val="auto"/>
          <w:lang w:eastAsia="zh-CN"/>
        </w:rPr>
        <w:t>投诉供应商：（盖章）</w:t>
      </w:r>
    </w:p>
    <w:p w14:paraId="5DE1E83A">
      <w:pPr>
        <w:pBdr>
          <w:top w:val="none" w:color="auto" w:sz="0" w:space="0"/>
          <w:left w:val="none" w:color="auto" w:sz="0" w:space="0"/>
          <w:bottom w:val="none" w:color="auto" w:sz="0" w:space="0"/>
          <w:right w:val="none" w:color="auto" w:sz="0" w:space="0"/>
          <w:between w:val="none" w:color="auto" w:sz="0" w:space="0"/>
        </w:pBdr>
        <w:spacing w:line="400" w:lineRule="exact"/>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 xml:space="preserve">                  法定代表人（或主要负责人）：（签章）</w:t>
      </w:r>
    </w:p>
    <w:p w14:paraId="3E96D276">
      <w:pPr>
        <w:pBdr>
          <w:top w:val="none" w:color="auto" w:sz="0" w:space="0"/>
          <w:left w:val="none" w:color="auto" w:sz="0" w:space="0"/>
          <w:bottom w:val="none" w:color="auto" w:sz="0" w:space="0"/>
          <w:right w:val="none" w:color="auto" w:sz="0" w:space="0"/>
          <w:between w:val="none" w:color="auto" w:sz="0" w:space="0"/>
        </w:pBdr>
        <w:spacing w:line="400" w:lineRule="exact"/>
        <w:ind w:firstLine="3840" w:firstLineChars="16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u w:val="single"/>
          <w:lang w:eastAsia="zh-CN"/>
        </w:rPr>
        <w:t xml:space="preserve">      </w:t>
      </w:r>
      <w:r>
        <w:rPr>
          <w:rFonts w:hint="eastAsia" w:asciiTheme="minorEastAsia" w:hAnsiTheme="minorEastAsia" w:eastAsiaTheme="minorEastAsia" w:cstheme="minorEastAsia"/>
          <w:color w:val="auto"/>
          <w:lang w:eastAsia="zh-CN"/>
        </w:rPr>
        <w:t>年</w:t>
      </w:r>
      <w:r>
        <w:rPr>
          <w:rFonts w:hint="eastAsia" w:asciiTheme="minorEastAsia" w:hAnsiTheme="minorEastAsia" w:eastAsiaTheme="minorEastAsia" w:cstheme="minorEastAsia"/>
          <w:color w:val="auto"/>
          <w:u w:val="single"/>
          <w:lang w:eastAsia="zh-CN"/>
        </w:rPr>
        <w:t xml:space="preserve">   </w:t>
      </w:r>
      <w:r>
        <w:rPr>
          <w:rFonts w:hint="eastAsia" w:asciiTheme="minorEastAsia" w:hAnsiTheme="minorEastAsia" w:eastAsiaTheme="minorEastAsia" w:cstheme="minorEastAsia"/>
          <w:color w:val="auto"/>
          <w:lang w:eastAsia="zh-CN"/>
        </w:rPr>
        <w:t>月</w:t>
      </w:r>
      <w:r>
        <w:rPr>
          <w:rFonts w:hint="eastAsia" w:asciiTheme="minorEastAsia" w:hAnsiTheme="minorEastAsia" w:eastAsiaTheme="minorEastAsia" w:cstheme="minorEastAsia"/>
          <w:color w:val="auto"/>
          <w:u w:val="single"/>
          <w:lang w:eastAsia="zh-CN"/>
        </w:rPr>
        <w:t xml:space="preserve">    </w:t>
      </w:r>
      <w:r>
        <w:rPr>
          <w:rFonts w:hint="eastAsia" w:asciiTheme="minorEastAsia" w:hAnsiTheme="minorEastAsia" w:eastAsiaTheme="minorEastAsia" w:cstheme="minorEastAsia"/>
          <w:color w:val="auto"/>
          <w:lang w:eastAsia="zh-CN"/>
        </w:rPr>
        <w:t>日</w:t>
      </w:r>
    </w:p>
    <w:p w14:paraId="3B14C718">
      <w:pPr>
        <w:pBdr>
          <w:top w:val="none" w:color="auto" w:sz="0" w:space="0"/>
          <w:left w:val="none" w:color="auto" w:sz="0" w:space="0"/>
          <w:bottom w:val="none" w:color="auto" w:sz="0" w:space="0"/>
          <w:right w:val="none" w:color="auto" w:sz="0" w:space="0"/>
          <w:between w:val="none" w:color="auto" w:sz="0" w:space="0"/>
        </w:pBdr>
        <w:ind w:left="5783" w:hanging="5783" w:hangingChars="1800"/>
        <w:jc w:val="center"/>
        <w:outlineLvl w:val="9"/>
        <w:rPr>
          <w:rFonts w:hint="eastAsia" w:asciiTheme="minorEastAsia" w:hAnsiTheme="minorEastAsia" w:eastAsiaTheme="minorEastAsia" w:cstheme="minorEastAsia"/>
          <w:b/>
          <w:bCs/>
          <w:color w:val="auto"/>
          <w:sz w:val="32"/>
          <w:szCs w:val="32"/>
          <w:lang w:eastAsia="zh-CN"/>
        </w:rPr>
      </w:pPr>
      <w:bookmarkStart w:id="66" w:name="_Toc17515"/>
    </w:p>
    <w:p w14:paraId="5CB4E8DB">
      <w:pPr>
        <w:pBdr>
          <w:top w:val="none" w:color="auto" w:sz="0" w:space="0"/>
          <w:left w:val="none" w:color="auto" w:sz="0" w:space="0"/>
          <w:bottom w:val="none" w:color="auto" w:sz="0" w:space="0"/>
          <w:right w:val="none" w:color="auto" w:sz="0" w:space="0"/>
          <w:between w:val="none" w:color="auto" w:sz="0" w:space="0"/>
        </w:pBdr>
        <w:ind w:left="5783" w:hanging="5783" w:hangingChars="1800"/>
        <w:jc w:val="center"/>
        <w:outlineLvl w:val="9"/>
        <w:rPr>
          <w:rFonts w:hint="eastAsia" w:asciiTheme="minorEastAsia" w:hAnsiTheme="minorEastAsia" w:eastAsiaTheme="minorEastAsia" w:cstheme="minorEastAsia"/>
          <w:b/>
          <w:bCs/>
          <w:color w:val="auto"/>
          <w:sz w:val="32"/>
          <w:szCs w:val="32"/>
          <w:lang w:eastAsia="zh-CN"/>
        </w:rPr>
      </w:pPr>
    </w:p>
    <w:p w14:paraId="134CBC7F">
      <w:pPr>
        <w:pBdr>
          <w:top w:val="none" w:color="auto" w:sz="0" w:space="0"/>
          <w:left w:val="none" w:color="auto" w:sz="0" w:space="0"/>
          <w:bottom w:val="none" w:color="auto" w:sz="0" w:space="0"/>
          <w:right w:val="none" w:color="auto" w:sz="0" w:space="0"/>
          <w:between w:val="none" w:color="auto" w:sz="0" w:space="0"/>
        </w:pBdr>
        <w:ind w:left="5783" w:hanging="5783" w:hangingChars="1800"/>
        <w:jc w:val="center"/>
        <w:outlineLvl w:val="9"/>
        <w:rPr>
          <w:rFonts w:hint="eastAsia" w:asciiTheme="minorEastAsia" w:hAnsiTheme="minorEastAsia" w:eastAsiaTheme="minorEastAsia" w:cstheme="minorEastAsia"/>
          <w:b/>
          <w:bCs/>
          <w:color w:val="auto"/>
          <w:sz w:val="32"/>
          <w:szCs w:val="32"/>
          <w:lang w:eastAsia="zh-CN"/>
        </w:rPr>
      </w:pPr>
    </w:p>
    <w:p w14:paraId="6A2D31B4">
      <w:pPr>
        <w:pBdr>
          <w:top w:val="none" w:color="auto" w:sz="0" w:space="0"/>
          <w:left w:val="none" w:color="auto" w:sz="0" w:space="0"/>
          <w:bottom w:val="none" w:color="auto" w:sz="0" w:space="0"/>
          <w:right w:val="none" w:color="auto" w:sz="0" w:space="0"/>
          <w:between w:val="none" w:color="auto" w:sz="0" w:space="0"/>
        </w:pBdr>
        <w:jc w:val="center"/>
        <w:outlineLvl w:val="9"/>
        <w:rPr>
          <w:rFonts w:hint="eastAsia" w:asciiTheme="minorEastAsia" w:hAnsiTheme="minorEastAsia" w:eastAsiaTheme="minorEastAsia" w:cstheme="minorEastAsia"/>
          <w:color w:val="auto"/>
          <w:sz w:val="32"/>
          <w:szCs w:val="32"/>
          <w:lang w:eastAsia="zh-CN"/>
        </w:rPr>
      </w:pPr>
      <w:r>
        <w:rPr>
          <w:rFonts w:hint="eastAsia" w:asciiTheme="minorEastAsia" w:hAnsiTheme="minorEastAsia" w:eastAsiaTheme="minorEastAsia" w:cstheme="minorEastAsia"/>
          <w:b/>
          <w:bCs/>
          <w:color w:val="auto"/>
          <w:sz w:val="32"/>
          <w:szCs w:val="32"/>
          <w:lang w:eastAsia="zh-CN"/>
        </w:rPr>
        <w:t>投诉相关说明</w:t>
      </w:r>
      <w:bookmarkEnd w:id="66"/>
    </w:p>
    <w:p w14:paraId="62D8C145">
      <w:pPr>
        <w:widowControl/>
        <w:pBdr>
          <w:top w:val="none" w:color="auto" w:sz="0" w:space="0"/>
          <w:left w:val="none" w:color="auto" w:sz="0" w:space="0"/>
          <w:bottom w:val="none" w:color="auto" w:sz="0" w:space="0"/>
          <w:right w:val="none" w:color="auto" w:sz="0" w:space="0"/>
          <w:between w:val="none" w:color="auto" w:sz="0" w:space="0"/>
        </w:pBdr>
        <w:spacing w:line="400" w:lineRule="exact"/>
        <w:ind w:firstLine="42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投诉人应当满足《政府采购法》、《政府采购法实施条例》和《政府采购供应商投诉处理办法》的相关规定。</w:t>
      </w:r>
    </w:p>
    <w:p w14:paraId="307B7013">
      <w:pPr>
        <w:numPr>
          <w:ilvl w:val="0"/>
          <w:numId w:val="0"/>
        </w:numPr>
        <w:pBdr>
          <w:top w:val="none" w:color="auto" w:sz="0" w:space="0"/>
          <w:left w:val="none" w:color="auto" w:sz="0" w:space="0"/>
          <w:bottom w:val="none" w:color="auto" w:sz="0" w:space="0"/>
          <w:right w:val="none" w:color="auto" w:sz="0" w:space="0"/>
          <w:between w:val="none" w:color="auto" w:sz="0" w:space="0"/>
        </w:pBdr>
        <w:spacing w:line="400" w:lineRule="exact"/>
        <w:ind w:left="4103" w:leftChars="304" w:hanging="3373" w:hangingChars="1600"/>
        <w:outlineLvl w:val="9"/>
        <w:rPr>
          <w:rFonts w:hint="eastAsia" w:asciiTheme="minorEastAsia" w:hAnsiTheme="minorEastAsia" w:eastAsiaTheme="minorEastAsia" w:cstheme="minorEastAsia"/>
          <w:b/>
          <w:bCs/>
          <w:color w:val="auto"/>
          <w:sz w:val="21"/>
          <w:szCs w:val="21"/>
        </w:rPr>
      </w:pPr>
      <w:bookmarkStart w:id="67" w:name="_Toc11499"/>
      <w:r>
        <w:rPr>
          <w:rFonts w:hint="eastAsia" w:asciiTheme="minorEastAsia" w:hAnsiTheme="minorEastAsia" w:eastAsiaTheme="minorEastAsia" w:cstheme="minorEastAsia"/>
          <w:b/>
          <w:bCs/>
          <w:color w:val="auto"/>
          <w:sz w:val="21"/>
          <w:szCs w:val="21"/>
          <w:lang w:val="en-US" w:eastAsia="en-US" w:bidi="en-US"/>
        </w:rPr>
        <w:t>一、</w:t>
      </w:r>
      <w:r>
        <w:rPr>
          <w:rFonts w:hint="eastAsia" w:asciiTheme="minorEastAsia" w:hAnsiTheme="minorEastAsia" w:eastAsiaTheme="minorEastAsia" w:cstheme="minorEastAsia"/>
          <w:b/>
          <w:bCs/>
          <w:color w:val="auto"/>
          <w:sz w:val="21"/>
          <w:szCs w:val="21"/>
        </w:rPr>
        <w:t>质疑前置及时间要求</w:t>
      </w:r>
      <w:bookmarkEnd w:id="67"/>
    </w:p>
    <w:p w14:paraId="0A8753FC">
      <w:pPr>
        <w:widowControl/>
        <w:pBdr>
          <w:top w:val="none" w:color="auto" w:sz="0" w:space="0"/>
          <w:left w:val="none" w:color="auto" w:sz="0" w:space="0"/>
          <w:bottom w:val="none" w:color="auto" w:sz="0" w:space="0"/>
          <w:right w:val="none" w:color="auto" w:sz="0" w:space="0"/>
          <w:between w:val="none" w:color="auto" w:sz="0" w:space="0"/>
        </w:pBdr>
        <w:spacing w:line="400" w:lineRule="exact"/>
        <w:ind w:firstLine="420"/>
        <w:rPr>
          <w:rFonts w:hint="eastAsia" w:asciiTheme="minorEastAsia" w:hAnsiTheme="minorEastAsia" w:eastAsiaTheme="minorEastAsia" w:cstheme="minorEastAsia"/>
          <w:color w:val="auto"/>
          <w:shd w:val="clear" w:color="auto" w:fill="FFFFFF"/>
          <w:lang w:eastAsia="zh-CN"/>
        </w:rPr>
      </w:pPr>
      <w:r>
        <w:rPr>
          <w:rFonts w:hint="eastAsia" w:asciiTheme="minorEastAsia" w:hAnsiTheme="minorEastAsia" w:eastAsiaTheme="minorEastAsia" w:cstheme="minorEastAsia"/>
          <w:color w:val="auto"/>
          <w:lang w:eastAsia="zh-CN"/>
        </w:rPr>
        <w:t>《中华人民共和国政府采购法》</w:t>
      </w:r>
      <w:r>
        <w:rPr>
          <w:rFonts w:hint="eastAsia" w:asciiTheme="minorEastAsia" w:hAnsiTheme="minorEastAsia" w:eastAsiaTheme="minorEastAsia" w:cstheme="minorEastAsia"/>
          <w:color w:val="auto"/>
          <w:shd w:val="clear" w:color="auto" w:fill="FFFFFF"/>
          <w:lang w:eastAsia="zh-CN"/>
        </w:rPr>
        <w:t>第五十一条：供应商对政府采购活动事项有疑问的，可以向采购人提出询问，采购人应当及时作出答复，但答复的内容不得涉及商业秘密。</w:t>
      </w:r>
    </w:p>
    <w:p w14:paraId="04AD9E2D">
      <w:pPr>
        <w:widowControl/>
        <w:pBdr>
          <w:top w:val="none" w:color="auto" w:sz="0" w:space="0"/>
          <w:left w:val="none" w:color="auto" w:sz="0" w:space="0"/>
          <w:bottom w:val="none" w:color="auto" w:sz="0" w:space="0"/>
          <w:right w:val="none" w:color="auto" w:sz="0" w:space="0"/>
          <w:between w:val="none" w:color="auto" w:sz="0" w:space="0"/>
        </w:pBdr>
        <w:spacing w:line="400" w:lineRule="exact"/>
        <w:ind w:firstLine="42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shd w:val="clear" w:color="auto" w:fill="FFFFFF"/>
          <w:lang w:eastAsia="zh-CN"/>
        </w:rPr>
        <w:t xml:space="preserve"> 第五十二条：供应商认为采购文件、采购过程和中标、中标结果使自己的权益受到损害的，可以在知道或者应知其权益受到损害之日起七个工作日内，以书面形式向采购人提出质疑。</w:t>
      </w:r>
    </w:p>
    <w:p w14:paraId="1399DD99">
      <w:pPr>
        <w:widowControl/>
        <w:pBdr>
          <w:top w:val="none" w:color="auto" w:sz="0" w:space="0"/>
          <w:left w:val="none" w:color="auto" w:sz="0" w:space="0"/>
          <w:bottom w:val="none" w:color="auto" w:sz="0" w:space="0"/>
          <w:right w:val="none" w:color="auto" w:sz="0" w:space="0"/>
          <w:between w:val="none" w:color="auto" w:sz="0" w:space="0"/>
        </w:pBdr>
        <w:spacing w:line="400" w:lineRule="exact"/>
        <w:ind w:firstLine="420"/>
        <w:rPr>
          <w:rFonts w:hint="eastAsia" w:asciiTheme="minorEastAsia" w:hAnsiTheme="minorEastAsia" w:eastAsiaTheme="minorEastAsia" w:cstheme="minorEastAsia"/>
          <w:color w:val="auto"/>
          <w:shd w:val="clear" w:color="auto" w:fill="FFFFFF"/>
          <w:lang w:eastAsia="zh-CN"/>
        </w:rPr>
      </w:pPr>
      <w:r>
        <w:rPr>
          <w:rFonts w:hint="eastAsia" w:asciiTheme="minorEastAsia" w:hAnsiTheme="minorEastAsia" w:eastAsiaTheme="minorEastAsia" w:cstheme="minorEastAsia"/>
          <w:color w:val="auto"/>
          <w:shd w:val="clear" w:color="auto" w:fill="FFFFFF"/>
          <w:lang w:eastAsia="zh-CN"/>
        </w:rPr>
        <w:t xml:space="preserve"> 第五十三条：采购人应当在收到供应商的书面质疑后七个工作日内作出答复，并以书面形式通知质疑供应商和其他有关供应商，但答复的内容不得涉及商业秘密。</w:t>
      </w:r>
    </w:p>
    <w:p w14:paraId="10D6E15F">
      <w:pPr>
        <w:widowControl/>
        <w:pBdr>
          <w:top w:val="none" w:color="auto" w:sz="0" w:space="0"/>
          <w:left w:val="none" w:color="auto" w:sz="0" w:space="0"/>
          <w:bottom w:val="none" w:color="auto" w:sz="0" w:space="0"/>
          <w:right w:val="none" w:color="auto" w:sz="0" w:space="0"/>
          <w:between w:val="none" w:color="auto" w:sz="0" w:space="0"/>
        </w:pBdr>
        <w:spacing w:line="400" w:lineRule="exact"/>
        <w:ind w:firstLine="420"/>
        <w:rPr>
          <w:rFonts w:hint="eastAsia" w:asciiTheme="minorEastAsia" w:hAnsiTheme="minorEastAsia" w:eastAsiaTheme="minorEastAsia" w:cstheme="minorEastAsia"/>
          <w:color w:val="auto"/>
          <w:shd w:val="clear" w:color="auto" w:fill="FFFFFF"/>
          <w:lang w:eastAsia="zh-CN"/>
        </w:rPr>
      </w:pPr>
      <w:r>
        <w:rPr>
          <w:rFonts w:hint="eastAsia" w:asciiTheme="minorEastAsia" w:hAnsiTheme="minorEastAsia" w:eastAsiaTheme="minorEastAsia" w:cstheme="minorEastAsia"/>
          <w:color w:val="auto"/>
          <w:shd w:val="clear" w:color="auto" w:fill="FFFFFF"/>
          <w:lang w:eastAsia="zh-CN"/>
        </w:rPr>
        <w:t xml:space="preserve"> 第五十五条:质疑供应商对采购人、采购代理机构的答复不满意或者采购人、采购代理机构未在规定的时间内作出答复的，可以在答复期满后十五个工作日内向同级政府采购监督管理部门投诉。</w:t>
      </w:r>
    </w:p>
    <w:p w14:paraId="1E90A220">
      <w:pPr>
        <w:widowControl/>
        <w:pBdr>
          <w:top w:val="none" w:color="auto" w:sz="0" w:space="0"/>
          <w:left w:val="none" w:color="auto" w:sz="0" w:space="0"/>
          <w:bottom w:val="none" w:color="auto" w:sz="0" w:space="0"/>
          <w:right w:val="none" w:color="auto" w:sz="0" w:space="0"/>
          <w:between w:val="none" w:color="auto" w:sz="0" w:space="0"/>
        </w:pBdr>
        <w:spacing w:line="400" w:lineRule="exact"/>
        <w:ind w:firstLine="42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shd w:val="clear" w:color="auto" w:fill="FFFFFF"/>
          <w:lang w:eastAsia="zh-CN"/>
        </w:rPr>
        <w:t xml:space="preserve">  《政府采购实施条例》第五十五条：供应商质疑、投诉应当有明确的请求和必要的证明材料。供应商投诉的事项不得超出质疑事项的范围。</w:t>
      </w:r>
    </w:p>
    <w:p w14:paraId="2DA86A56">
      <w:pPr>
        <w:pBdr>
          <w:top w:val="none" w:color="auto" w:sz="0" w:space="0"/>
          <w:left w:val="none" w:color="auto" w:sz="0" w:space="0"/>
          <w:bottom w:val="none" w:color="auto" w:sz="0" w:space="0"/>
          <w:right w:val="none" w:color="auto" w:sz="0" w:space="0"/>
          <w:between w:val="none" w:color="auto" w:sz="0" w:space="0"/>
        </w:pBdr>
        <w:spacing w:line="400" w:lineRule="exact"/>
        <w:ind w:left="3780" w:hanging="3780" w:hangingChars="1800"/>
        <w:outlineLvl w:val="9"/>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 xml:space="preserve"> </w:t>
      </w:r>
      <w:r>
        <w:rPr>
          <w:rFonts w:hint="eastAsia" w:asciiTheme="minorEastAsia" w:hAnsiTheme="minorEastAsia" w:eastAsiaTheme="minorEastAsia" w:cstheme="minorEastAsia"/>
          <w:b/>
          <w:bCs/>
          <w:color w:val="auto"/>
          <w:sz w:val="21"/>
          <w:szCs w:val="21"/>
          <w:lang w:eastAsia="zh-CN"/>
        </w:rPr>
        <w:t xml:space="preserve">   </w:t>
      </w:r>
      <w:bookmarkStart w:id="68" w:name="_Toc13508"/>
      <w:bookmarkStart w:id="69" w:name="_Toc27471"/>
      <w:bookmarkStart w:id="70" w:name="_Toc11728"/>
      <w:r>
        <w:rPr>
          <w:rFonts w:hint="eastAsia" w:asciiTheme="minorEastAsia" w:hAnsiTheme="minorEastAsia" w:eastAsiaTheme="minorEastAsia" w:cstheme="minorEastAsia"/>
          <w:b/>
          <w:bCs/>
          <w:color w:val="auto"/>
          <w:sz w:val="21"/>
          <w:szCs w:val="21"/>
          <w:lang w:eastAsia="zh-CN"/>
        </w:rPr>
        <w:t>二、书面方式</w:t>
      </w:r>
      <w:bookmarkEnd w:id="68"/>
      <w:bookmarkEnd w:id="69"/>
      <w:bookmarkEnd w:id="70"/>
    </w:p>
    <w:p w14:paraId="31042E60">
      <w:pPr>
        <w:pBdr>
          <w:top w:val="none" w:color="auto" w:sz="0" w:space="0"/>
          <w:left w:val="none" w:color="auto" w:sz="0" w:space="0"/>
          <w:bottom w:val="none" w:color="auto" w:sz="0" w:space="0"/>
          <w:right w:val="none" w:color="auto" w:sz="0" w:space="0"/>
          <w:between w:val="none" w:color="auto" w:sz="0" w:space="0"/>
        </w:pBdr>
        <w:spacing w:line="400" w:lineRule="exact"/>
        <w:ind w:left="3780" w:hanging="3780" w:hangingChars="18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sz w:val="21"/>
          <w:szCs w:val="21"/>
          <w:lang w:eastAsia="zh-CN"/>
        </w:rPr>
        <w:t xml:space="preserve">    《</w:t>
      </w:r>
      <w:r>
        <w:rPr>
          <w:rFonts w:hint="eastAsia" w:asciiTheme="minorEastAsia" w:hAnsiTheme="minorEastAsia" w:eastAsiaTheme="minorEastAsia" w:cstheme="minorEastAsia"/>
          <w:color w:val="auto"/>
          <w:lang w:eastAsia="zh-CN"/>
        </w:rPr>
        <w:t>政府采购供应商投诉处理办法》第八条：投诉人投诉</w:t>
      </w:r>
    </w:p>
    <w:p w14:paraId="0873D725">
      <w:pPr>
        <w:pBdr>
          <w:top w:val="none" w:color="auto" w:sz="0" w:space="0"/>
          <w:left w:val="none" w:color="auto" w:sz="0" w:space="0"/>
          <w:bottom w:val="none" w:color="auto" w:sz="0" w:space="0"/>
          <w:right w:val="none" w:color="auto" w:sz="0" w:space="0"/>
          <w:between w:val="none" w:color="auto" w:sz="0" w:space="0"/>
        </w:pBdr>
        <w:spacing w:line="400" w:lineRule="exact"/>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时，应当提交投诉书，并按照被投诉人以及与投诉事项有关的供应商数量提供投诉书的副本。</w:t>
      </w:r>
    </w:p>
    <w:p w14:paraId="5F1157BE">
      <w:pPr>
        <w:pBdr>
          <w:top w:val="none" w:color="auto" w:sz="0" w:space="0"/>
          <w:left w:val="none" w:color="auto" w:sz="0" w:space="0"/>
          <w:bottom w:val="none" w:color="auto" w:sz="0" w:space="0"/>
          <w:right w:val="none" w:color="auto" w:sz="0" w:space="0"/>
          <w:between w:val="none" w:color="auto" w:sz="0" w:space="0"/>
        </w:pBdr>
        <w:spacing w:line="400" w:lineRule="exact"/>
        <w:ind w:left="4320" w:hanging="4320" w:hangingChars="18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 xml:space="preserve">   投诉书应当包括下列主要内容：</w:t>
      </w:r>
    </w:p>
    <w:p w14:paraId="376001CB">
      <w:pPr>
        <w:numPr>
          <w:ilvl w:val="0"/>
          <w:numId w:val="0"/>
        </w:numPr>
        <w:pBdr>
          <w:top w:val="none" w:color="auto" w:sz="0" w:space="0"/>
          <w:left w:val="none" w:color="auto" w:sz="0" w:space="0"/>
          <w:bottom w:val="none" w:color="auto" w:sz="0" w:space="0"/>
          <w:right w:val="none" w:color="auto" w:sz="0" w:space="0"/>
          <w:between w:val="none" w:color="auto" w:sz="0" w:space="0"/>
        </w:pBdr>
        <w:spacing w:line="400" w:lineRule="exact"/>
        <w:ind w:left="1725" w:leftChars="0" w:hanging="1080" w:firstLineChars="0"/>
        <w:rPr>
          <w:rFonts w:hint="eastAsia" w:asciiTheme="minorEastAsia" w:hAnsiTheme="minorEastAsia" w:eastAsiaTheme="minorEastAsia" w:cstheme="minorEastAsia"/>
          <w:color w:val="auto"/>
          <w:lang w:eastAsia="zh-CN"/>
        </w:rPr>
      </w:pPr>
      <w:r>
        <w:rPr>
          <w:rFonts w:hint="default" w:asciiTheme="minorEastAsia" w:hAnsiTheme="minorEastAsia" w:eastAsiaTheme="minorEastAsia" w:cstheme="minorEastAsia"/>
          <w:color w:val="auto"/>
          <w:sz w:val="24"/>
          <w:szCs w:val="24"/>
          <w:lang w:val="en-US" w:eastAsia="zh-CN" w:bidi="en-US"/>
        </w:rPr>
        <w:t>（一）</w:t>
      </w:r>
      <w:r>
        <w:rPr>
          <w:rFonts w:hint="eastAsia" w:asciiTheme="minorEastAsia" w:hAnsiTheme="minorEastAsia" w:eastAsiaTheme="minorEastAsia" w:cstheme="minorEastAsia"/>
          <w:color w:val="auto"/>
          <w:lang w:eastAsia="zh-CN"/>
        </w:rPr>
        <w:t>投诉人和被投诉人的名称、地址、电话等；</w:t>
      </w:r>
    </w:p>
    <w:p w14:paraId="7931A68E">
      <w:pPr>
        <w:numPr>
          <w:ilvl w:val="0"/>
          <w:numId w:val="0"/>
        </w:numPr>
        <w:pBdr>
          <w:top w:val="none" w:color="auto" w:sz="0" w:space="0"/>
          <w:left w:val="none" w:color="auto" w:sz="0" w:space="0"/>
          <w:bottom w:val="none" w:color="auto" w:sz="0" w:space="0"/>
          <w:right w:val="none" w:color="auto" w:sz="0" w:space="0"/>
          <w:between w:val="none" w:color="auto" w:sz="0" w:space="0"/>
        </w:pBdr>
        <w:spacing w:line="400" w:lineRule="exact"/>
        <w:ind w:left="1725" w:leftChars="0" w:hanging="1080" w:firstLineChars="0"/>
        <w:rPr>
          <w:rFonts w:hint="eastAsia" w:asciiTheme="minorEastAsia" w:hAnsiTheme="minorEastAsia" w:eastAsiaTheme="minorEastAsia" w:cstheme="minorEastAsia"/>
          <w:color w:val="auto"/>
          <w:lang w:eastAsia="zh-CN"/>
        </w:rPr>
      </w:pPr>
      <w:r>
        <w:rPr>
          <w:rFonts w:hint="default" w:asciiTheme="minorEastAsia" w:hAnsiTheme="minorEastAsia" w:eastAsiaTheme="minorEastAsia" w:cstheme="minorEastAsia"/>
          <w:color w:val="auto"/>
          <w:sz w:val="24"/>
          <w:szCs w:val="24"/>
          <w:lang w:val="en-US" w:eastAsia="zh-CN" w:bidi="en-US"/>
        </w:rPr>
        <w:t>（二）</w:t>
      </w:r>
      <w:r>
        <w:rPr>
          <w:rFonts w:hint="eastAsia" w:asciiTheme="minorEastAsia" w:hAnsiTheme="minorEastAsia" w:eastAsiaTheme="minorEastAsia" w:cstheme="minorEastAsia"/>
          <w:color w:val="auto"/>
          <w:lang w:eastAsia="zh-CN"/>
        </w:rPr>
        <w:t>具体的投诉事项及事实依据；</w:t>
      </w:r>
    </w:p>
    <w:p w14:paraId="00CF7F50">
      <w:pPr>
        <w:numPr>
          <w:ilvl w:val="0"/>
          <w:numId w:val="0"/>
        </w:numPr>
        <w:pBdr>
          <w:top w:val="none" w:color="auto" w:sz="0" w:space="0"/>
          <w:left w:val="none" w:color="auto" w:sz="0" w:space="0"/>
          <w:bottom w:val="none" w:color="auto" w:sz="0" w:space="0"/>
          <w:right w:val="none" w:color="auto" w:sz="0" w:space="0"/>
          <w:between w:val="none" w:color="auto" w:sz="0" w:space="0"/>
        </w:pBdr>
        <w:spacing w:line="400" w:lineRule="exact"/>
        <w:ind w:left="1725" w:leftChars="0" w:hanging="1080" w:firstLineChars="0"/>
        <w:rPr>
          <w:rFonts w:hint="eastAsia" w:asciiTheme="minorEastAsia" w:hAnsiTheme="minorEastAsia" w:eastAsiaTheme="minorEastAsia" w:cstheme="minorEastAsia"/>
          <w:color w:val="auto"/>
          <w:lang w:eastAsia="zh-CN"/>
        </w:rPr>
      </w:pPr>
      <w:r>
        <w:rPr>
          <w:rFonts w:hint="default" w:asciiTheme="minorEastAsia" w:hAnsiTheme="minorEastAsia" w:eastAsiaTheme="minorEastAsia" w:cstheme="minorEastAsia"/>
          <w:color w:val="auto"/>
          <w:sz w:val="24"/>
          <w:szCs w:val="24"/>
          <w:lang w:val="en-US" w:eastAsia="zh-CN" w:bidi="en-US"/>
        </w:rPr>
        <w:t>（三）</w:t>
      </w:r>
      <w:r>
        <w:rPr>
          <w:rFonts w:hint="eastAsia" w:asciiTheme="minorEastAsia" w:hAnsiTheme="minorEastAsia" w:eastAsiaTheme="minorEastAsia" w:cstheme="minorEastAsia"/>
          <w:color w:val="auto"/>
          <w:lang w:eastAsia="zh-CN"/>
        </w:rPr>
        <w:t>质疑和质疑答复情况及相关证明材料；</w:t>
      </w:r>
    </w:p>
    <w:p w14:paraId="3353DEEE">
      <w:pPr>
        <w:numPr>
          <w:ilvl w:val="0"/>
          <w:numId w:val="0"/>
        </w:numPr>
        <w:pBdr>
          <w:top w:val="none" w:color="auto" w:sz="0" w:space="0"/>
          <w:left w:val="none" w:color="auto" w:sz="0" w:space="0"/>
          <w:bottom w:val="none" w:color="auto" w:sz="0" w:space="0"/>
          <w:right w:val="none" w:color="auto" w:sz="0" w:space="0"/>
          <w:between w:val="none" w:color="auto" w:sz="0" w:space="0"/>
        </w:pBdr>
        <w:spacing w:line="400" w:lineRule="exact"/>
        <w:ind w:left="1725" w:leftChars="0" w:hanging="1080" w:firstLineChars="0"/>
        <w:rPr>
          <w:rFonts w:hint="eastAsia" w:asciiTheme="minorEastAsia" w:hAnsiTheme="minorEastAsia" w:eastAsiaTheme="minorEastAsia" w:cstheme="minorEastAsia"/>
          <w:color w:val="auto"/>
        </w:rPr>
      </w:pPr>
      <w:r>
        <w:rPr>
          <w:rFonts w:hint="default" w:asciiTheme="minorEastAsia" w:hAnsiTheme="minorEastAsia" w:eastAsiaTheme="minorEastAsia" w:cstheme="minorEastAsia"/>
          <w:color w:val="auto"/>
          <w:sz w:val="24"/>
          <w:szCs w:val="24"/>
          <w:lang w:val="en-US" w:eastAsia="en-US" w:bidi="en-US"/>
        </w:rPr>
        <w:t>（四）</w:t>
      </w:r>
      <w:r>
        <w:rPr>
          <w:rFonts w:hint="eastAsia" w:asciiTheme="minorEastAsia" w:hAnsiTheme="minorEastAsia" w:eastAsiaTheme="minorEastAsia" w:cstheme="minorEastAsia"/>
          <w:color w:val="auto"/>
        </w:rPr>
        <w:t>提起投诉的日期。</w:t>
      </w:r>
    </w:p>
    <w:p w14:paraId="339C1326">
      <w:pPr>
        <w:pBdr>
          <w:top w:val="none" w:color="auto" w:sz="0" w:space="0"/>
          <w:left w:val="none" w:color="auto" w:sz="0" w:space="0"/>
          <w:bottom w:val="none" w:color="auto" w:sz="0" w:space="0"/>
          <w:right w:val="none" w:color="auto" w:sz="0" w:space="0"/>
          <w:between w:val="none" w:color="auto" w:sz="0" w:space="0"/>
        </w:pBdr>
        <w:spacing w:line="400" w:lineRule="exact"/>
        <w:ind w:firstLine="645"/>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投诉书应当署名。投诉人为自然人，应当由本人签章；投诉人为法人或者其他组织的，应当由法定代表人或者主要负责人签章并加盖公章。</w:t>
      </w:r>
    </w:p>
    <w:p w14:paraId="0597711D">
      <w:pPr>
        <w:pBdr>
          <w:top w:val="none" w:color="auto" w:sz="0" w:space="0"/>
          <w:left w:val="none" w:color="auto" w:sz="0" w:space="0"/>
          <w:bottom w:val="none" w:color="auto" w:sz="0" w:space="0"/>
          <w:right w:val="none" w:color="auto" w:sz="0" w:space="0"/>
          <w:between w:val="none" w:color="auto" w:sz="0" w:space="0"/>
        </w:pBdr>
        <w:spacing w:line="400" w:lineRule="exact"/>
        <w:ind w:firstLine="645"/>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政府采购供应商投诉处理办法》第九条：投诉人可以委托代理人办理投诉事务。代理人办理投书事务时，除提交投诉书外，还应当向同级财政部门提交投诉人的授权委托书，授权委托书应当载明委托代理的具体权限和事项。</w:t>
      </w:r>
    </w:p>
    <w:p w14:paraId="1DDB0844">
      <w:pPr>
        <w:pBdr>
          <w:top w:val="none" w:color="auto" w:sz="0" w:space="0"/>
          <w:left w:val="none" w:color="auto" w:sz="0" w:space="0"/>
          <w:bottom w:val="none" w:color="auto" w:sz="0" w:space="0"/>
          <w:right w:val="none" w:color="auto" w:sz="0" w:space="0"/>
          <w:between w:val="none" w:color="auto" w:sz="0" w:space="0"/>
        </w:pBdr>
        <w:spacing w:line="400" w:lineRule="exact"/>
        <w:ind w:firstLine="645"/>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《政府采购供应商投诉处理办法》第十条：投诉人提起投诉应当符合下列条件：</w:t>
      </w:r>
    </w:p>
    <w:p w14:paraId="76D8E6AA">
      <w:pPr>
        <w:numPr>
          <w:ilvl w:val="0"/>
          <w:numId w:val="0"/>
        </w:numPr>
        <w:pBdr>
          <w:top w:val="none" w:color="auto" w:sz="0" w:space="0"/>
          <w:left w:val="none" w:color="auto" w:sz="0" w:space="0"/>
          <w:bottom w:val="none" w:color="auto" w:sz="0" w:space="0"/>
          <w:right w:val="none" w:color="auto" w:sz="0" w:space="0"/>
          <w:between w:val="none" w:color="auto" w:sz="0" w:space="0"/>
        </w:pBdr>
        <w:spacing w:line="400" w:lineRule="exact"/>
        <w:ind w:left="1725" w:leftChars="0" w:hanging="1080" w:firstLineChars="0"/>
        <w:rPr>
          <w:rFonts w:hint="eastAsia" w:asciiTheme="minorEastAsia" w:hAnsiTheme="minorEastAsia" w:eastAsiaTheme="minorEastAsia" w:cstheme="minorEastAsia"/>
          <w:color w:val="auto"/>
          <w:lang w:eastAsia="zh-CN"/>
        </w:rPr>
      </w:pPr>
      <w:r>
        <w:rPr>
          <w:rFonts w:hint="default" w:asciiTheme="minorEastAsia" w:hAnsiTheme="minorEastAsia" w:eastAsiaTheme="minorEastAsia" w:cstheme="minorEastAsia"/>
          <w:color w:val="auto"/>
          <w:sz w:val="24"/>
          <w:szCs w:val="24"/>
          <w:lang w:val="en-US" w:eastAsia="zh-CN" w:bidi="en-US"/>
        </w:rPr>
        <w:t>（一）</w:t>
      </w:r>
      <w:r>
        <w:rPr>
          <w:rFonts w:hint="eastAsia" w:asciiTheme="minorEastAsia" w:hAnsiTheme="minorEastAsia" w:eastAsiaTheme="minorEastAsia" w:cstheme="minorEastAsia"/>
          <w:color w:val="auto"/>
          <w:lang w:eastAsia="zh-CN"/>
        </w:rPr>
        <w:t>投诉人是参与所投诉政府采购活动的供应商；</w:t>
      </w:r>
    </w:p>
    <w:p w14:paraId="7A15F4AA">
      <w:pPr>
        <w:numPr>
          <w:ilvl w:val="0"/>
          <w:numId w:val="0"/>
        </w:numPr>
        <w:pBdr>
          <w:top w:val="none" w:color="auto" w:sz="0" w:space="0"/>
          <w:left w:val="none" w:color="auto" w:sz="0" w:space="0"/>
          <w:bottom w:val="none" w:color="auto" w:sz="0" w:space="0"/>
          <w:right w:val="none" w:color="auto" w:sz="0" w:space="0"/>
          <w:between w:val="none" w:color="auto" w:sz="0" w:space="0"/>
        </w:pBdr>
        <w:spacing w:line="400" w:lineRule="exact"/>
        <w:ind w:left="1725" w:leftChars="0" w:hanging="1080" w:firstLineChars="0"/>
        <w:rPr>
          <w:rFonts w:hint="eastAsia" w:asciiTheme="minorEastAsia" w:hAnsiTheme="minorEastAsia" w:eastAsiaTheme="minorEastAsia" w:cstheme="minorEastAsia"/>
          <w:color w:val="auto"/>
          <w:lang w:eastAsia="zh-CN"/>
        </w:rPr>
      </w:pPr>
      <w:r>
        <w:rPr>
          <w:rFonts w:hint="default" w:asciiTheme="minorEastAsia" w:hAnsiTheme="minorEastAsia" w:eastAsiaTheme="minorEastAsia" w:cstheme="minorEastAsia"/>
          <w:color w:val="auto"/>
          <w:sz w:val="24"/>
          <w:szCs w:val="24"/>
          <w:lang w:val="en-US" w:eastAsia="zh-CN" w:bidi="en-US"/>
        </w:rPr>
        <w:t>（二）</w:t>
      </w:r>
      <w:r>
        <w:rPr>
          <w:rFonts w:hint="eastAsia" w:asciiTheme="minorEastAsia" w:hAnsiTheme="minorEastAsia" w:eastAsiaTheme="minorEastAsia" w:cstheme="minorEastAsia"/>
          <w:color w:val="auto"/>
          <w:lang w:eastAsia="zh-CN"/>
        </w:rPr>
        <w:t>提起投诉诉前已依法进行质疑；</w:t>
      </w:r>
    </w:p>
    <w:p w14:paraId="37580B61">
      <w:pPr>
        <w:numPr>
          <w:ilvl w:val="0"/>
          <w:numId w:val="0"/>
        </w:numPr>
        <w:pBdr>
          <w:top w:val="none" w:color="auto" w:sz="0" w:space="0"/>
          <w:left w:val="none" w:color="auto" w:sz="0" w:space="0"/>
          <w:bottom w:val="none" w:color="auto" w:sz="0" w:space="0"/>
          <w:right w:val="none" w:color="auto" w:sz="0" w:space="0"/>
          <w:between w:val="none" w:color="auto" w:sz="0" w:space="0"/>
        </w:pBdr>
        <w:spacing w:line="400" w:lineRule="exact"/>
        <w:ind w:left="1725" w:leftChars="0" w:hanging="1080" w:firstLineChars="0"/>
        <w:rPr>
          <w:rFonts w:hint="eastAsia" w:asciiTheme="minorEastAsia" w:hAnsiTheme="minorEastAsia" w:eastAsiaTheme="minorEastAsia" w:cstheme="minorEastAsia"/>
          <w:color w:val="auto"/>
          <w:lang w:eastAsia="zh-CN"/>
        </w:rPr>
      </w:pPr>
      <w:r>
        <w:rPr>
          <w:rFonts w:hint="default" w:asciiTheme="minorEastAsia" w:hAnsiTheme="minorEastAsia" w:eastAsiaTheme="minorEastAsia" w:cstheme="minorEastAsia"/>
          <w:color w:val="auto"/>
          <w:sz w:val="24"/>
          <w:szCs w:val="24"/>
          <w:lang w:val="en-US" w:eastAsia="zh-CN" w:bidi="en-US"/>
        </w:rPr>
        <w:t>（三）</w:t>
      </w:r>
      <w:r>
        <w:rPr>
          <w:rFonts w:hint="eastAsia" w:asciiTheme="minorEastAsia" w:hAnsiTheme="minorEastAsia" w:eastAsiaTheme="minorEastAsia" w:cstheme="minorEastAsia"/>
          <w:color w:val="auto"/>
          <w:lang w:eastAsia="zh-CN"/>
        </w:rPr>
        <w:t>投诉书内容符合本办法的规定；</w:t>
      </w:r>
    </w:p>
    <w:p w14:paraId="47B95830">
      <w:pPr>
        <w:numPr>
          <w:ilvl w:val="0"/>
          <w:numId w:val="0"/>
        </w:numPr>
        <w:pBdr>
          <w:top w:val="none" w:color="auto" w:sz="0" w:space="0"/>
          <w:left w:val="none" w:color="auto" w:sz="0" w:space="0"/>
          <w:bottom w:val="none" w:color="auto" w:sz="0" w:space="0"/>
          <w:right w:val="none" w:color="auto" w:sz="0" w:space="0"/>
          <w:between w:val="none" w:color="auto" w:sz="0" w:space="0"/>
        </w:pBdr>
        <w:spacing w:line="400" w:lineRule="exact"/>
        <w:ind w:left="1725" w:leftChars="0" w:hanging="1080" w:firstLineChars="0"/>
        <w:rPr>
          <w:rFonts w:hint="eastAsia" w:asciiTheme="minorEastAsia" w:hAnsiTheme="minorEastAsia" w:eastAsiaTheme="minorEastAsia" w:cstheme="minorEastAsia"/>
          <w:color w:val="auto"/>
          <w:lang w:eastAsia="zh-CN"/>
        </w:rPr>
      </w:pPr>
      <w:r>
        <w:rPr>
          <w:rFonts w:hint="default" w:asciiTheme="minorEastAsia" w:hAnsiTheme="minorEastAsia" w:eastAsiaTheme="minorEastAsia" w:cstheme="minorEastAsia"/>
          <w:color w:val="auto"/>
          <w:sz w:val="24"/>
          <w:szCs w:val="24"/>
          <w:lang w:val="en-US" w:eastAsia="zh-CN" w:bidi="en-US"/>
        </w:rPr>
        <w:t>（四）</w:t>
      </w:r>
      <w:r>
        <w:rPr>
          <w:rFonts w:hint="eastAsia" w:asciiTheme="minorEastAsia" w:hAnsiTheme="minorEastAsia" w:eastAsiaTheme="minorEastAsia" w:cstheme="minorEastAsia"/>
          <w:color w:val="auto"/>
          <w:lang w:eastAsia="zh-CN"/>
        </w:rPr>
        <w:t>在投诉有效期内提起投诉；</w:t>
      </w:r>
    </w:p>
    <w:p w14:paraId="2C78FC03">
      <w:pPr>
        <w:numPr>
          <w:ilvl w:val="0"/>
          <w:numId w:val="0"/>
        </w:numPr>
        <w:pBdr>
          <w:top w:val="none" w:color="auto" w:sz="0" w:space="0"/>
          <w:left w:val="none" w:color="auto" w:sz="0" w:space="0"/>
          <w:bottom w:val="none" w:color="auto" w:sz="0" w:space="0"/>
          <w:right w:val="none" w:color="auto" w:sz="0" w:space="0"/>
          <w:between w:val="none" w:color="auto" w:sz="0" w:space="0"/>
        </w:pBdr>
        <w:spacing w:line="400" w:lineRule="exact"/>
        <w:ind w:left="1725" w:leftChars="0" w:hanging="1080" w:firstLineChars="0"/>
        <w:rPr>
          <w:rFonts w:hint="eastAsia" w:asciiTheme="minorEastAsia" w:hAnsiTheme="minorEastAsia" w:eastAsiaTheme="minorEastAsia" w:cstheme="minorEastAsia"/>
          <w:color w:val="auto"/>
          <w:lang w:eastAsia="zh-CN"/>
        </w:rPr>
      </w:pPr>
      <w:r>
        <w:rPr>
          <w:rFonts w:hint="default" w:asciiTheme="minorEastAsia" w:hAnsiTheme="minorEastAsia" w:eastAsiaTheme="minorEastAsia" w:cstheme="minorEastAsia"/>
          <w:color w:val="auto"/>
          <w:sz w:val="24"/>
          <w:szCs w:val="24"/>
          <w:lang w:val="en-US" w:eastAsia="zh-CN" w:bidi="en-US"/>
        </w:rPr>
        <w:t>（五）</w:t>
      </w:r>
      <w:r>
        <w:rPr>
          <w:rFonts w:hint="eastAsia" w:asciiTheme="minorEastAsia" w:hAnsiTheme="minorEastAsia" w:eastAsiaTheme="minorEastAsia" w:cstheme="minorEastAsia"/>
          <w:color w:val="auto"/>
          <w:lang w:eastAsia="zh-CN"/>
        </w:rPr>
        <w:t>属于本级财政部门管辖；</w:t>
      </w:r>
    </w:p>
    <w:p w14:paraId="3868B903">
      <w:pPr>
        <w:numPr>
          <w:ilvl w:val="0"/>
          <w:numId w:val="0"/>
        </w:numPr>
        <w:pBdr>
          <w:top w:val="none" w:color="auto" w:sz="0" w:space="0"/>
          <w:left w:val="none" w:color="auto" w:sz="0" w:space="0"/>
          <w:bottom w:val="none" w:color="auto" w:sz="0" w:space="0"/>
          <w:right w:val="none" w:color="auto" w:sz="0" w:space="0"/>
          <w:between w:val="none" w:color="auto" w:sz="0" w:space="0"/>
        </w:pBdr>
        <w:spacing w:line="400" w:lineRule="exact"/>
        <w:ind w:left="1725" w:leftChars="0" w:hanging="1080" w:firstLineChars="0"/>
        <w:rPr>
          <w:rFonts w:hint="eastAsia" w:asciiTheme="minorEastAsia" w:hAnsiTheme="minorEastAsia" w:eastAsiaTheme="minorEastAsia" w:cstheme="minorEastAsia"/>
          <w:color w:val="auto"/>
          <w:lang w:eastAsia="zh-CN"/>
        </w:rPr>
      </w:pPr>
      <w:r>
        <w:rPr>
          <w:rFonts w:hint="default" w:asciiTheme="minorEastAsia" w:hAnsiTheme="minorEastAsia" w:eastAsiaTheme="minorEastAsia" w:cstheme="minorEastAsia"/>
          <w:color w:val="auto"/>
          <w:sz w:val="24"/>
          <w:szCs w:val="24"/>
          <w:lang w:val="en-US" w:eastAsia="zh-CN" w:bidi="en-US"/>
        </w:rPr>
        <w:t>（六）</w:t>
      </w:r>
      <w:r>
        <w:rPr>
          <w:rFonts w:hint="eastAsia" w:asciiTheme="minorEastAsia" w:hAnsiTheme="minorEastAsia" w:eastAsiaTheme="minorEastAsia" w:cstheme="minorEastAsia"/>
          <w:color w:val="auto"/>
          <w:lang w:eastAsia="zh-CN"/>
        </w:rPr>
        <w:t>同一投诉事项未经财政部门投诉处理；</w:t>
      </w:r>
    </w:p>
    <w:p w14:paraId="5CE72970">
      <w:pPr>
        <w:numPr>
          <w:ilvl w:val="0"/>
          <w:numId w:val="0"/>
        </w:numPr>
        <w:pBdr>
          <w:top w:val="none" w:color="auto" w:sz="0" w:space="0"/>
          <w:left w:val="none" w:color="auto" w:sz="0" w:space="0"/>
          <w:bottom w:val="none" w:color="auto" w:sz="0" w:space="0"/>
          <w:right w:val="none" w:color="auto" w:sz="0" w:space="0"/>
          <w:between w:val="none" w:color="auto" w:sz="0" w:space="0"/>
        </w:pBdr>
        <w:spacing w:line="400" w:lineRule="exact"/>
        <w:ind w:left="1725" w:leftChars="0" w:hanging="1080" w:firstLineChars="0"/>
        <w:rPr>
          <w:rFonts w:hint="eastAsia" w:asciiTheme="minorEastAsia" w:hAnsiTheme="minorEastAsia" w:eastAsiaTheme="minorEastAsia" w:cstheme="minorEastAsia"/>
          <w:color w:val="auto"/>
          <w:lang w:eastAsia="zh-CN"/>
        </w:rPr>
      </w:pPr>
      <w:r>
        <w:rPr>
          <w:rFonts w:hint="default" w:asciiTheme="minorEastAsia" w:hAnsiTheme="minorEastAsia" w:eastAsiaTheme="minorEastAsia" w:cstheme="minorEastAsia"/>
          <w:color w:val="auto"/>
          <w:sz w:val="24"/>
          <w:szCs w:val="24"/>
          <w:lang w:val="en-US" w:eastAsia="zh-CN" w:bidi="en-US"/>
        </w:rPr>
        <w:t>（七）</w:t>
      </w:r>
      <w:r>
        <w:rPr>
          <w:rFonts w:hint="eastAsia" w:asciiTheme="minorEastAsia" w:hAnsiTheme="minorEastAsia" w:eastAsiaTheme="minorEastAsia" w:cstheme="minorEastAsia"/>
          <w:color w:val="auto"/>
          <w:lang w:eastAsia="zh-CN"/>
        </w:rPr>
        <w:t>国务院财政部门规定的其他条件。</w:t>
      </w:r>
      <w:bookmarkStart w:id="71" w:name="_Toc5978"/>
    </w:p>
    <w:p w14:paraId="50DFF1DF">
      <w:pPr>
        <w:numPr>
          <w:ilvl w:val="0"/>
          <w:numId w:val="0"/>
        </w:numPr>
        <w:pBdr>
          <w:top w:val="none" w:color="auto" w:sz="0" w:space="0"/>
          <w:left w:val="none" w:color="auto" w:sz="0" w:space="0"/>
          <w:bottom w:val="none" w:color="auto" w:sz="0" w:space="0"/>
          <w:right w:val="none" w:color="auto" w:sz="0" w:space="0"/>
          <w:between w:val="none" w:color="auto" w:sz="0" w:space="0"/>
        </w:pBdr>
        <w:spacing w:line="400" w:lineRule="exact"/>
        <w:ind w:left="1725" w:leftChars="0" w:hanging="1080" w:firstLineChars="0"/>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b/>
          <w:bCs/>
          <w:color w:val="auto"/>
          <w:sz w:val="24"/>
          <w:szCs w:val="24"/>
          <w:lang w:eastAsia="zh-CN"/>
        </w:rPr>
        <w:t>三、虚假、恶意投诉法律责任</w:t>
      </w:r>
      <w:bookmarkEnd w:id="71"/>
    </w:p>
    <w:p w14:paraId="3A4EC7D0">
      <w:pPr>
        <w:pBdr>
          <w:top w:val="none" w:color="auto" w:sz="0" w:space="0"/>
          <w:left w:val="none" w:color="auto" w:sz="0" w:space="0"/>
          <w:bottom w:val="none" w:color="auto" w:sz="0" w:space="0"/>
          <w:right w:val="none" w:color="auto" w:sz="0" w:space="0"/>
          <w:between w:val="none" w:color="auto" w:sz="0" w:space="0"/>
        </w:pBdr>
        <w:spacing w:line="400" w:lineRule="exact"/>
        <w:ind w:firstLine="48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第七十三条：供应商捏造实施、提供虚假材料或者以非法手段取得证明材料进行投诉的，由财政部门列入不良行为记录名单，禁止其1至3年内参加政府采购活动。</w:t>
      </w:r>
    </w:p>
    <w:p w14:paraId="7B543B32">
      <w:pPr>
        <w:pBdr>
          <w:top w:val="none" w:color="auto" w:sz="0" w:space="0"/>
          <w:left w:val="none" w:color="auto" w:sz="0" w:space="0"/>
          <w:bottom w:val="none" w:color="auto" w:sz="0" w:space="0"/>
          <w:right w:val="none" w:color="auto" w:sz="0" w:space="0"/>
          <w:between w:val="none" w:color="auto" w:sz="0" w:space="0"/>
        </w:pBdr>
        <w:spacing w:line="400" w:lineRule="exact"/>
        <w:ind w:firstLine="48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《政府采购供应商投诉处理办法》第二十六条：投诉人有下列情形之一的，属于虚假、恶意投诉，财政部门应当驳回投诉，将其列入不良行为记录名单，并依法予以处罚：</w:t>
      </w:r>
    </w:p>
    <w:p w14:paraId="696FD5B0">
      <w:pPr>
        <w:pBdr>
          <w:top w:val="none" w:color="auto" w:sz="0" w:space="0"/>
          <w:left w:val="none" w:color="auto" w:sz="0" w:space="0"/>
          <w:bottom w:val="none" w:color="auto" w:sz="0" w:space="0"/>
          <w:right w:val="none" w:color="auto" w:sz="0" w:space="0"/>
          <w:between w:val="none" w:color="auto" w:sz="0" w:space="0"/>
        </w:pBdr>
        <w:spacing w:line="400" w:lineRule="exact"/>
        <w:ind w:firstLine="48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（一）1年内3次以上投诉均查无实据的；</w:t>
      </w:r>
    </w:p>
    <w:p w14:paraId="0265A9C4">
      <w:pPr>
        <w:pBdr>
          <w:top w:val="none" w:color="auto" w:sz="0" w:space="0"/>
          <w:left w:val="none" w:color="auto" w:sz="0" w:space="0"/>
          <w:bottom w:val="none" w:color="auto" w:sz="0" w:space="0"/>
          <w:right w:val="none" w:color="auto" w:sz="0" w:space="0"/>
          <w:between w:val="none" w:color="auto" w:sz="0" w:space="0"/>
        </w:pBdr>
        <w:spacing w:line="400" w:lineRule="exact"/>
        <w:ind w:firstLine="48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（二）捏造事实或者提供虚假投诉材料的。</w:t>
      </w:r>
    </w:p>
    <w:p w14:paraId="112E7C1A">
      <w:pPr>
        <w:pBdr>
          <w:top w:val="none" w:color="auto" w:sz="0" w:space="0"/>
          <w:left w:val="none" w:color="auto" w:sz="0" w:space="0"/>
          <w:bottom w:val="none" w:color="auto" w:sz="0" w:space="0"/>
          <w:right w:val="none" w:color="auto" w:sz="0" w:space="0"/>
          <w:between w:val="none" w:color="auto" w:sz="0" w:space="0"/>
        </w:pBdr>
        <w:spacing w:line="400" w:lineRule="exact"/>
        <w:rPr>
          <w:rFonts w:hint="eastAsia" w:asciiTheme="minorEastAsia" w:hAnsiTheme="minorEastAsia" w:eastAsiaTheme="minorEastAsia" w:cstheme="minorEastAsia"/>
          <w:color w:val="auto"/>
          <w:sz w:val="21"/>
          <w:szCs w:val="21"/>
          <w:lang w:eastAsia="zh-CN"/>
        </w:rPr>
      </w:pPr>
    </w:p>
    <w:p w14:paraId="3F5BB841">
      <w:pPr>
        <w:pBdr>
          <w:top w:val="none" w:color="auto" w:sz="0" w:space="0"/>
          <w:left w:val="none" w:color="auto" w:sz="0" w:space="0"/>
          <w:bottom w:val="none" w:color="auto" w:sz="0" w:space="0"/>
          <w:right w:val="none" w:color="auto" w:sz="0" w:space="0"/>
          <w:between w:val="none" w:color="auto" w:sz="0" w:space="0"/>
        </w:pBdr>
        <w:spacing w:line="400" w:lineRule="exact"/>
        <w:rPr>
          <w:rFonts w:hint="eastAsia" w:asciiTheme="minorEastAsia" w:hAnsiTheme="minorEastAsia" w:eastAsiaTheme="minorEastAsia" w:cstheme="minorEastAsia"/>
          <w:color w:val="auto"/>
          <w:sz w:val="21"/>
          <w:szCs w:val="21"/>
          <w:lang w:eastAsia="zh-CN"/>
        </w:rPr>
      </w:pPr>
    </w:p>
    <w:p w14:paraId="3CB8790B">
      <w:pPr>
        <w:pBdr>
          <w:top w:val="none" w:color="auto" w:sz="0" w:space="0"/>
          <w:left w:val="none" w:color="auto" w:sz="0" w:space="0"/>
          <w:bottom w:val="none" w:color="auto" w:sz="0" w:space="0"/>
          <w:right w:val="none" w:color="auto" w:sz="0" w:space="0"/>
          <w:between w:val="none" w:color="auto" w:sz="0" w:space="0"/>
        </w:pBdr>
        <w:jc w:val="right"/>
        <w:rPr>
          <w:rFonts w:hint="eastAsia" w:asciiTheme="minorEastAsia" w:hAnsiTheme="minorEastAsia" w:eastAsiaTheme="minorEastAsia" w:cstheme="minorEastAsia"/>
          <w:color w:val="auto"/>
          <w:sz w:val="32"/>
          <w:szCs w:val="32"/>
          <w:lang w:eastAsia="zh-CN"/>
        </w:rPr>
      </w:pPr>
    </w:p>
    <w:p w14:paraId="0C087643">
      <w:pPr>
        <w:pBdr>
          <w:top w:val="none" w:color="auto" w:sz="0" w:space="0"/>
          <w:left w:val="none" w:color="auto" w:sz="0" w:space="0"/>
          <w:bottom w:val="none" w:color="auto" w:sz="0" w:space="0"/>
          <w:right w:val="none" w:color="auto" w:sz="0" w:space="0"/>
          <w:between w:val="none" w:color="auto" w:sz="0" w:space="0"/>
        </w:pBdr>
        <w:spacing w:line="540" w:lineRule="exact"/>
        <w:jc w:val="center"/>
        <w:rPr>
          <w:rFonts w:hint="eastAsia" w:asciiTheme="minorEastAsia" w:hAnsiTheme="minorEastAsia" w:eastAsiaTheme="minorEastAsia" w:cstheme="minorEastAsia"/>
          <w:b/>
          <w:bCs/>
          <w:color w:val="auto"/>
          <w:sz w:val="44"/>
          <w:szCs w:val="44"/>
          <w:lang w:eastAsia="zh-CN"/>
        </w:rPr>
      </w:pPr>
    </w:p>
    <w:p w14:paraId="3BADA4F5">
      <w:pPr>
        <w:pBdr>
          <w:top w:val="none" w:color="auto" w:sz="0" w:space="0"/>
          <w:left w:val="none" w:color="auto" w:sz="0" w:space="0"/>
          <w:bottom w:val="none" w:color="auto" w:sz="0" w:space="0"/>
          <w:right w:val="none" w:color="auto" w:sz="0" w:space="0"/>
          <w:between w:val="none" w:color="auto" w:sz="0" w:space="0"/>
        </w:pBdr>
        <w:spacing w:line="540" w:lineRule="exact"/>
        <w:jc w:val="center"/>
        <w:rPr>
          <w:rFonts w:hint="eastAsia" w:asciiTheme="minorEastAsia" w:hAnsiTheme="minorEastAsia" w:eastAsiaTheme="minorEastAsia" w:cstheme="minorEastAsia"/>
          <w:b/>
          <w:bCs/>
          <w:color w:val="auto"/>
          <w:sz w:val="44"/>
          <w:szCs w:val="44"/>
          <w:lang w:eastAsia="zh-CN"/>
        </w:rPr>
      </w:pPr>
    </w:p>
    <w:p w14:paraId="0F9E22D3">
      <w:pPr>
        <w:pBdr>
          <w:top w:val="none" w:color="auto" w:sz="0" w:space="0"/>
          <w:left w:val="none" w:color="auto" w:sz="0" w:space="0"/>
          <w:bottom w:val="none" w:color="auto" w:sz="0" w:space="0"/>
          <w:right w:val="none" w:color="auto" w:sz="0" w:space="0"/>
          <w:between w:val="none" w:color="auto" w:sz="0" w:space="0"/>
        </w:pBdr>
        <w:spacing w:line="540" w:lineRule="exact"/>
        <w:jc w:val="both"/>
        <w:rPr>
          <w:rFonts w:hint="eastAsia" w:asciiTheme="minorEastAsia" w:hAnsiTheme="minorEastAsia" w:eastAsiaTheme="minorEastAsia" w:cstheme="minorEastAsia"/>
          <w:b/>
          <w:bCs/>
          <w:color w:val="auto"/>
          <w:sz w:val="32"/>
          <w:szCs w:val="32"/>
          <w:lang w:eastAsia="zh-CN"/>
        </w:rPr>
      </w:pPr>
      <w:bookmarkStart w:id="72" w:name="_Toc1697"/>
    </w:p>
    <w:p w14:paraId="40AAA7A2">
      <w:pPr>
        <w:pBdr>
          <w:top w:val="none" w:color="auto" w:sz="0" w:space="0"/>
          <w:left w:val="none" w:color="auto" w:sz="0" w:space="0"/>
          <w:bottom w:val="none" w:color="auto" w:sz="0" w:space="0"/>
          <w:right w:val="none" w:color="auto" w:sz="0" w:space="0"/>
          <w:between w:val="none" w:color="auto" w:sz="0" w:space="0"/>
        </w:pBdr>
        <w:spacing w:line="540" w:lineRule="exact"/>
        <w:jc w:val="both"/>
        <w:rPr>
          <w:rFonts w:hint="eastAsia" w:asciiTheme="minorEastAsia" w:hAnsiTheme="minorEastAsia" w:eastAsiaTheme="minorEastAsia" w:cstheme="minorEastAsia"/>
          <w:b/>
          <w:bCs/>
          <w:color w:val="auto"/>
          <w:sz w:val="32"/>
          <w:szCs w:val="32"/>
          <w:lang w:eastAsia="zh-CN"/>
        </w:rPr>
      </w:pPr>
    </w:p>
    <w:p w14:paraId="6DEDC76B">
      <w:pPr>
        <w:pBdr>
          <w:top w:val="none" w:color="auto" w:sz="0" w:space="0"/>
          <w:left w:val="none" w:color="auto" w:sz="0" w:space="0"/>
          <w:bottom w:val="none" w:color="auto" w:sz="0" w:space="0"/>
          <w:right w:val="none" w:color="auto" w:sz="0" w:space="0"/>
          <w:between w:val="none" w:color="auto" w:sz="0" w:space="0"/>
        </w:pBdr>
        <w:spacing w:line="540" w:lineRule="exact"/>
        <w:jc w:val="both"/>
        <w:rPr>
          <w:rFonts w:hint="eastAsia" w:asciiTheme="minorEastAsia" w:hAnsiTheme="minorEastAsia" w:eastAsiaTheme="minorEastAsia" w:cstheme="minorEastAsia"/>
          <w:b/>
          <w:bCs/>
          <w:color w:val="auto"/>
          <w:sz w:val="32"/>
          <w:szCs w:val="32"/>
          <w:lang w:eastAsia="zh-CN"/>
        </w:rPr>
      </w:pPr>
    </w:p>
    <w:p w14:paraId="56083E58">
      <w:pPr>
        <w:pStyle w:val="24"/>
        <w:pBdr>
          <w:top w:val="none" w:color="auto" w:sz="0" w:space="0"/>
          <w:left w:val="none" w:color="auto" w:sz="0" w:space="0"/>
          <w:bottom w:val="none" w:color="auto" w:sz="0" w:space="0"/>
          <w:right w:val="none" w:color="auto" w:sz="0" w:space="0"/>
          <w:between w:val="none" w:color="auto" w:sz="0" w:space="0"/>
        </w:pBdr>
        <w:ind w:left="480" w:firstLine="643"/>
        <w:rPr>
          <w:rFonts w:hint="eastAsia" w:asciiTheme="minorEastAsia" w:hAnsiTheme="minorEastAsia" w:eastAsiaTheme="minorEastAsia" w:cstheme="minorEastAsia"/>
          <w:b/>
          <w:bCs/>
          <w:color w:val="auto"/>
          <w:sz w:val="32"/>
          <w:szCs w:val="32"/>
          <w:lang w:eastAsia="zh-CN"/>
        </w:rPr>
      </w:pPr>
    </w:p>
    <w:p w14:paraId="154C9428">
      <w:pPr>
        <w:pStyle w:val="24"/>
        <w:pBdr>
          <w:top w:val="none" w:color="auto" w:sz="0" w:space="0"/>
          <w:left w:val="none" w:color="auto" w:sz="0" w:space="0"/>
          <w:bottom w:val="none" w:color="auto" w:sz="0" w:space="0"/>
          <w:right w:val="none" w:color="auto" w:sz="0" w:space="0"/>
          <w:between w:val="none" w:color="auto" w:sz="0" w:space="0"/>
        </w:pBdr>
        <w:ind w:left="480" w:firstLine="643"/>
        <w:rPr>
          <w:rFonts w:hint="eastAsia" w:asciiTheme="minorEastAsia" w:hAnsiTheme="minorEastAsia" w:eastAsiaTheme="minorEastAsia" w:cstheme="minorEastAsia"/>
          <w:b/>
          <w:bCs/>
          <w:color w:val="auto"/>
          <w:sz w:val="32"/>
          <w:szCs w:val="32"/>
          <w:lang w:eastAsia="zh-CN"/>
        </w:rPr>
      </w:pPr>
    </w:p>
    <w:p w14:paraId="35DC825F">
      <w:pPr>
        <w:pStyle w:val="24"/>
        <w:pBdr>
          <w:top w:val="none" w:color="auto" w:sz="0" w:space="0"/>
          <w:left w:val="none" w:color="auto" w:sz="0" w:space="0"/>
          <w:bottom w:val="none" w:color="auto" w:sz="0" w:space="0"/>
          <w:right w:val="none" w:color="auto" w:sz="0" w:space="0"/>
          <w:between w:val="none" w:color="auto" w:sz="0" w:space="0"/>
        </w:pBdr>
        <w:ind w:left="480" w:firstLine="643"/>
        <w:rPr>
          <w:rFonts w:hint="eastAsia" w:asciiTheme="minorEastAsia" w:hAnsiTheme="minorEastAsia" w:eastAsiaTheme="minorEastAsia" w:cstheme="minorEastAsia"/>
          <w:b/>
          <w:bCs/>
          <w:color w:val="auto"/>
          <w:sz w:val="32"/>
          <w:szCs w:val="32"/>
          <w:lang w:eastAsia="zh-CN"/>
        </w:rPr>
      </w:pPr>
    </w:p>
    <w:p w14:paraId="6782470F">
      <w:pPr>
        <w:pBdr>
          <w:top w:val="none" w:color="auto" w:sz="0" w:space="0"/>
          <w:left w:val="none" w:color="auto" w:sz="0" w:space="0"/>
          <w:bottom w:val="none" w:color="auto" w:sz="0" w:space="0"/>
          <w:right w:val="none" w:color="auto" w:sz="0" w:space="0"/>
          <w:between w:val="none" w:color="auto" w:sz="0" w:space="0"/>
        </w:pBdr>
        <w:spacing w:line="540" w:lineRule="exact"/>
        <w:jc w:val="both"/>
        <w:rPr>
          <w:rFonts w:hint="eastAsia" w:asciiTheme="minorEastAsia" w:hAnsiTheme="minorEastAsia" w:eastAsiaTheme="minorEastAsia" w:cstheme="minorEastAsia"/>
          <w:b/>
          <w:bCs/>
          <w:color w:val="auto"/>
          <w:sz w:val="32"/>
          <w:szCs w:val="32"/>
          <w:lang w:eastAsia="zh-CN"/>
        </w:rPr>
      </w:pPr>
    </w:p>
    <w:p w14:paraId="67069916">
      <w:pPr>
        <w:pBdr>
          <w:top w:val="none" w:color="auto" w:sz="0" w:space="0"/>
          <w:left w:val="none" w:color="auto" w:sz="0" w:space="0"/>
          <w:bottom w:val="none" w:color="auto" w:sz="0" w:space="0"/>
          <w:right w:val="none" w:color="auto" w:sz="0" w:space="0"/>
          <w:between w:val="none" w:color="auto" w:sz="0" w:space="0"/>
        </w:pBdr>
        <w:spacing w:line="540" w:lineRule="exact"/>
        <w:jc w:val="center"/>
        <w:rPr>
          <w:rFonts w:hint="eastAsia" w:asciiTheme="minorEastAsia" w:hAnsiTheme="minorEastAsia" w:eastAsiaTheme="minorEastAsia" w:cstheme="minorEastAsia"/>
          <w:b/>
          <w:bCs/>
          <w:color w:val="auto"/>
          <w:sz w:val="32"/>
          <w:szCs w:val="32"/>
          <w:lang w:eastAsia="zh-CN"/>
        </w:rPr>
      </w:pPr>
    </w:p>
    <w:p w14:paraId="0BECEE68">
      <w:pPr>
        <w:pBdr>
          <w:top w:val="none" w:color="auto" w:sz="0" w:space="0"/>
          <w:left w:val="none" w:color="auto" w:sz="0" w:space="0"/>
          <w:bottom w:val="none" w:color="auto" w:sz="0" w:space="0"/>
          <w:right w:val="none" w:color="auto" w:sz="0" w:space="0"/>
          <w:between w:val="none" w:color="auto" w:sz="0" w:space="0"/>
        </w:pBdr>
        <w:spacing w:line="540" w:lineRule="exact"/>
        <w:jc w:val="center"/>
        <w:rPr>
          <w:rFonts w:hint="eastAsia" w:asciiTheme="minorEastAsia" w:hAnsiTheme="minorEastAsia" w:eastAsiaTheme="minorEastAsia" w:cstheme="minorEastAsia"/>
          <w:b/>
          <w:bCs/>
          <w:color w:val="auto"/>
          <w:sz w:val="32"/>
          <w:szCs w:val="32"/>
          <w:lang w:eastAsia="zh-CN"/>
        </w:rPr>
      </w:pPr>
      <w:r>
        <w:rPr>
          <w:rFonts w:hint="eastAsia" w:asciiTheme="minorEastAsia" w:hAnsiTheme="minorEastAsia" w:eastAsiaTheme="minorEastAsia" w:cstheme="minorEastAsia"/>
          <w:b/>
          <w:bCs/>
          <w:color w:val="auto"/>
          <w:sz w:val="32"/>
          <w:szCs w:val="32"/>
          <w:lang w:eastAsia="zh-CN"/>
        </w:rPr>
        <w:t>质疑函范本</w:t>
      </w:r>
      <w:bookmarkEnd w:id="72"/>
    </w:p>
    <w:p w14:paraId="1B82CB19">
      <w:pPr>
        <w:pBdr>
          <w:top w:val="none" w:color="auto" w:sz="0" w:space="0"/>
          <w:left w:val="none" w:color="auto" w:sz="0" w:space="0"/>
          <w:bottom w:val="none" w:color="auto" w:sz="0" w:space="0"/>
          <w:right w:val="none" w:color="auto" w:sz="0" w:space="0"/>
          <w:between w:val="none" w:color="auto" w:sz="0" w:space="0"/>
        </w:pBdr>
        <w:adjustRightInd w:val="0"/>
        <w:snapToGrid w:val="0"/>
        <w:spacing w:before="312" w:beforeLines="100" w:line="540" w:lineRule="exact"/>
        <w:ind w:firstLine="420" w:firstLineChars="200"/>
        <w:rPr>
          <w:rFonts w:hint="eastAsia" w:asciiTheme="minorEastAsia" w:hAnsiTheme="minorEastAsia" w:eastAsiaTheme="minorEastAsia" w:cstheme="minorEastAsia"/>
          <w:bCs/>
          <w:color w:val="auto"/>
          <w:sz w:val="21"/>
          <w:szCs w:val="21"/>
          <w:lang w:eastAsia="zh-CN"/>
        </w:rPr>
      </w:pPr>
      <w:bookmarkStart w:id="73" w:name="_Toc9061"/>
      <w:r>
        <w:rPr>
          <w:rFonts w:hint="eastAsia" w:asciiTheme="minorEastAsia" w:hAnsiTheme="minorEastAsia" w:eastAsiaTheme="minorEastAsia" w:cstheme="minorEastAsia"/>
          <w:bCs/>
          <w:color w:val="auto"/>
          <w:sz w:val="21"/>
          <w:szCs w:val="21"/>
          <w:lang w:eastAsia="zh-CN"/>
        </w:rPr>
        <w:t>一、质疑供应商基本信息</w:t>
      </w:r>
      <w:bookmarkEnd w:id="73"/>
    </w:p>
    <w:p w14:paraId="03B64438">
      <w:pPr>
        <w:pBdr>
          <w:top w:val="none" w:color="auto" w:sz="0" w:space="0"/>
          <w:left w:val="none" w:color="auto" w:sz="0" w:space="0"/>
          <w:bottom w:val="none" w:color="auto" w:sz="0" w:space="0"/>
          <w:right w:val="none" w:color="auto" w:sz="0" w:space="0"/>
          <w:between w:val="none" w:color="auto" w:sz="0" w:space="0"/>
        </w:pBdr>
        <w:adjustRightInd w:val="0"/>
        <w:snapToGrid w:val="0"/>
        <w:spacing w:line="540" w:lineRule="exact"/>
        <w:ind w:firstLine="420" w:firstLineChars="200"/>
        <w:rPr>
          <w:rFonts w:hint="eastAsia" w:asciiTheme="minorEastAsia" w:hAnsiTheme="minorEastAsia" w:eastAsiaTheme="minorEastAsia" w:cstheme="minorEastAsia"/>
          <w:color w:val="auto"/>
          <w:sz w:val="21"/>
          <w:szCs w:val="21"/>
          <w:u w:val="dotted"/>
          <w:lang w:eastAsia="zh-CN"/>
        </w:rPr>
      </w:pPr>
      <w:r>
        <w:rPr>
          <w:rFonts w:hint="eastAsia" w:asciiTheme="minorEastAsia" w:hAnsiTheme="minorEastAsia" w:eastAsiaTheme="minorEastAsia" w:cstheme="minorEastAsia"/>
          <w:color w:val="auto"/>
          <w:sz w:val="21"/>
          <w:szCs w:val="21"/>
          <w:lang w:eastAsia="zh-CN"/>
        </w:rPr>
        <w:t>质疑供应商：</w:t>
      </w:r>
      <w:r>
        <w:rPr>
          <w:rFonts w:hint="eastAsia" w:asciiTheme="minorEastAsia" w:hAnsiTheme="minorEastAsia" w:eastAsiaTheme="minorEastAsia" w:cstheme="minorEastAsia"/>
          <w:color w:val="auto"/>
          <w:sz w:val="21"/>
          <w:szCs w:val="21"/>
          <w:u w:val="dotted"/>
          <w:lang w:eastAsia="zh-CN"/>
        </w:rPr>
        <w:t xml:space="preserve">                         </w:t>
      </w:r>
    </w:p>
    <w:p w14:paraId="0263CC6C">
      <w:pPr>
        <w:pBdr>
          <w:top w:val="none" w:color="auto" w:sz="0" w:space="0"/>
          <w:left w:val="none" w:color="auto" w:sz="0" w:space="0"/>
          <w:bottom w:val="none" w:color="auto" w:sz="0" w:space="0"/>
          <w:right w:val="none" w:color="auto" w:sz="0" w:space="0"/>
          <w:between w:val="none" w:color="auto" w:sz="0" w:space="0"/>
        </w:pBdr>
        <w:adjustRightInd w:val="0"/>
        <w:snapToGrid w:val="0"/>
        <w:spacing w:line="540" w:lineRule="exact"/>
        <w:ind w:firstLine="420" w:firstLineChars="200"/>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地址：</w:t>
      </w:r>
      <w:r>
        <w:rPr>
          <w:rFonts w:hint="eastAsia" w:asciiTheme="minorEastAsia" w:hAnsiTheme="minorEastAsia" w:eastAsiaTheme="minorEastAsia" w:cstheme="minorEastAsia"/>
          <w:color w:val="auto"/>
          <w:sz w:val="21"/>
          <w:szCs w:val="21"/>
          <w:u w:val="dotted"/>
          <w:lang w:eastAsia="zh-CN"/>
        </w:rPr>
        <w:t xml:space="preserve">                          </w:t>
      </w:r>
      <w:r>
        <w:rPr>
          <w:rFonts w:hint="eastAsia" w:asciiTheme="minorEastAsia" w:hAnsiTheme="minorEastAsia" w:eastAsiaTheme="minorEastAsia" w:cstheme="minorEastAsia"/>
          <w:color w:val="auto"/>
          <w:sz w:val="21"/>
          <w:szCs w:val="21"/>
          <w:lang w:eastAsia="zh-CN"/>
        </w:rPr>
        <w:t>邮编：</w:t>
      </w:r>
      <w:r>
        <w:rPr>
          <w:rFonts w:hint="eastAsia" w:asciiTheme="minorEastAsia" w:hAnsiTheme="minorEastAsia" w:eastAsiaTheme="minorEastAsia" w:cstheme="minorEastAsia"/>
          <w:color w:val="auto"/>
          <w:sz w:val="21"/>
          <w:szCs w:val="21"/>
          <w:u w:val="dotted"/>
          <w:lang w:eastAsia="zh-CN"/>
        </w:rPr>
        <w:t xml:space="preserve">            </w:t>
      </w:r>
    </w:p>
    <w:p w14:paraId="49A607ED">
      <w:pPr>
        <w:pBdr>
          <w:top w:val="none" w:color="auto" w:sz="0" w:space="0"/>
          <w:left w:val="none" w:color="auto" w:sz="0" w:space="0"/>
          <w:bottom w:val="none" w:color="auto" w:sz="0" w:space="0"/>
          <w:right w:val="none" w:color="auto" w:sz="0" w:space="0"/>
          <w:between w:val="none" w:color="auto" w:sz="0" w:space="0"/>
        </w:pBdr>
        <w:adjustRightInd w:val="0"/>
        <w:snapToGrid w:val="0"/>
        <w:spacing w:line="540" w:lineRule="exact"/>
        <w:ind w:firstLine="420" w:firstLineChars="200"/>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联系人：</w:t>
      </w:r>
      <w:r>
        <w:rPr>
          <w:rFonts w:hint="eastAsia" w:asciiTheme="minorEastAsia" w:hAnsiTheme="minorEastAsia" w:eastAsiaTheme="minorEastAsia" w:cstheme="minorEastAsia"/>
          <w:color w:val="auto"/>
          <w:sz w:val="21"/>
          <w:szCs w:val="21"/>
          <w:u w:val="dotted"/>
          <w:lang w:eastAsia="zh-CN"/>
        </w:rPr>
        <w:t xml:space="preserve">                      </w:t>
      </w:r>
      <w:r>
        <w:rPr>
          <w:rFonts w:hint="eastAsia" w:asciiTheme="minorEastAsia" w:hAnsiTheme="minorEastAsia" w:eastAsiaTheme="minorEastAsia" w:cstheme="minorEastAsia"/>
          <w:color w:val="auto"/>
          <w:sz w:val="21"/>
          <w:szCs w:val="21"/>
          <w:lang w:eastAsia="zh-CN"/>
        </w:rPr>
        <w:t>联系电话：</w:t>
      </w:r>
      <w:r>
        <w:rPr>
          <w:rFonts w:hint="eastAsia" w:asciiTheme="minorEastAsia" w:hAnsiTheme="minorEastAsia" w:eastAsiaTheme="minorEastAsia" w:cstheme="minorEastAsia"/>
          <w:color w:val="auto"/>
          <w:sz w:val="21"/>
          <w:szCs w:val="21"/>
          <w:u w:val="dotted"/>
          <w:lang w:eastAsia="zh-CN"/>
        </w:rPr>
        <w:t xml:space="preserve">            </w:t>
      </w:r>
    </w:p>
    <w:p w14:paraId="018AEDE3">
      <w:pPr>
        <w:pBdr>
          <w:top w:val="none" w:color="auto" w:sz="0" w:space="0"/>
          <w:left w:val="none" w:color="auto" w:sz="0" w:space="0"/>
          <w:bottom w:val="none" w:color="auto" w:sz="0" w:space="0"/>
          <w:right w:val="none" w:color="auto" w:sz="0" w:space="0"/>
          <w:between w:val="none" w:color="auto" w:sz="0" w:space="0"/>
        </w:pBdr>
        <w:adjustRightInd w:val="0"/>
        <w:snapToGrid w:val="0"/>
        <w:spacing w:line="540" w:lineRule="exact"/>
        <w:ind w:firstLine="420" w:firstLineChars="200"/>
        <w:rPr>
          <w:rFonts w:hint="eastAsia" w:asciiTheme="minorEastAsia" w:hAnsiTheme="minorEastAsia" w:eastAsiaTheme="minorEastAsia" w:cstheme="minorEastAsia"/>
          <w:color w:val="auto"/>
          <w:sz w:val="21"/>
          <w:szCs w:val="21"/>
          <w:u w:val="dotted"/>
          <w:lang w:eastAsia="zh-CN"/>
        </w:rPr>
      </w:pPr>
      <w:r>
        <w:rPr>
          <w:rFonts w:hint="eastAsia" w:asciiTheme="minorEastAsia" w:hAnsiTheme="minorEastAsia" w:eastAsiaTheme="minorEastAsia" w:cstheme="minorEastAsia"/>
          <w:color w:val="auto"/>
          <w:sz w:val="21"/>
          <w:szCs w:val="21"/>
          <w:lang w:eastAsia="zh-CN"/>
        </w:rPr>
        <w:t>授权代表：</w:t>
      </w:r>
      <w:r>
        <w:rPr>
          <w:rFonts w:hint="eastAsia" w:asciiTheme="minorEastAsia" w:hAnsiTheme="minorEastAsia" w:eastAsiaTheme="minorEastAsia" w:cstheme="minorEastAsia"/>
          <w:color w:val="auto"/>
          <w:sz w:val="21"/>
          <w:szCs w:val="21"/>
          <w:u w:val="dotted"/>
          <w:lang w:eastAsia="zh-CN"/>
        </w:rPr>
        <w:t xml:space="preserve">                                          </w:t>
      </w:r>
    </w:p>
    <w:p w14:paraId="49D4DF54">
      <w:pPr>
        <w:pBdr>
          <w:top w:val="none" w:color="auto" w:sz="0" w:space="0"/>
          <w:left w:val="none" w:color="auto" w:sz="0" w:space="0"/>
          <w:bottom w:val="none" w:color="auto" w:sz="0" w:space="0"/>
          <w:right w:val="none" w:color="auto" w:sz="0" w:space="0"/>
          <w:between w:val="none" w:color="auto" w:sz="0" w:space="0"/>
        </w:pBdr>
        <w:adjustRightInd w:val="0"/>
        <w:snapToGrid w:val="0"/>
        <w:spacing w:line="540" w:lineRule="exact"/>
        <w:ind w:firstLine="420" w:firstLineChars="200"/>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联系电话：</w:t>
      </w:r>
      <w:r>
        <w:rPr>
          <w:rFonts w:hint="eastAsia" w:asciiTheme="minorEastAsia" w:hAnsiTheme="minorEastAsia" w:eastAsiaTheme="minorEastAsia" w:cstheme="minorEastAsia"/>
          <w:color w:val="auto"/>
          <w:sz w:val="21"/>
          <w:szCs w:val="21"/>
          <w:u w:val="dotted"/>
          <w:lang w:eastAsia="zh-CN"/>
        </w:rPr>
        <w:t xml:space="preserve">                                          </w:t>
      </w:r>
    </w:p>
    <w:p w14:paraId="06886666">
      <w:pPr>
        <w:pBdr>
          <w:top w:val="none" w:color="auto" w:sz="0" w:space="0"/>
          <w:left w:val="none" w:color="auto" w:sz="0" w:space="0"/>
          <w:bottom w:val="none" w:color="auto" w:sz="0" w:space="0"/>
          <w:right w:val="none" w:color="auto" w:sz="0" w:space="0"/>
          <w:between w:val="none" w:color="auto" w:sz="0" w:space="0"/>
        </w:pBdr>
        <w:adjustRightInd w:val="0"/>
        <w:snapToGrid w:val="0"/>
        <w:spacing w:line="540" w:lineRule="exact"/>
        <w:ind w:firstLine="420" w:firstLineChars="200"/>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 xml:space="preserve">地址： </w:t>
      </w:r>
      <w:r>
        <w:rPr>
          <w:rFonts w:hint="eastAsia" w:asciiTheme="minorEastAsia" w:hAnsiTheme="minorEastAsia" w:eastAsiaTheme="minorEastAsia" w:cstheme="minorEastAsia"/>
          <w:color w:val="auto"/>
          <w:sz w:val="21"/>
          <w:szCs w:val="21"/>
          <w:u w:val="dotted"/>
          <w:lang w:eastAsia="zh-CN"/>
        </w:rPr>
        <w:t xml:space="preserve">                        </w:t>
      </w:r>
      <w:r>
        <w:rPr>
          <w:rFonts w:hint="eastAsia" w:asciiTheme="minorEastAsia" w:hAnsiTheme="minorEastAsia" w:eastAsiaTheme="minorEastAsia" w:cstheme="minorEastAsia"/>
          <w:color w:val="auto"/>
          <w:sz w:val="21"/>
          <w:szCs w:val="21"/>
          <w:lang w:eastAsia="zh-CN"/>
        </w:rPr>
        <w:t>邮编：</w:t>
      </w:r>
      <w:r>
        <w:rPr>
          <w:rFonts w:hint="eastAsia" w:asciiTheme="minorEastAsia" w:hAnsiTheme="minorEastAsia" w:eastAsiaTheme="minorEastAsia" w:cstheme="minorEastAsia"/>
          <w:color w:val="auto"/>
          <w:sz w:val="21"/>
          <w:szCs w:val="21"/>
          <w:u w:val="dotted"/>
          <w:lang w:eastAsia="zh-CN"/>
        </w:rPr>
        <w:t xml:space="preserve">               </w:t>
      </w:r>
    </w:p>
    <w:p w14:paraId="39CCFD92">
      <w:pPr>
        <w:pBdr>
          <w:top w:val="none" w:color="auto" w:sz="0" w:space="0"/>
          <w:left w:val="none" w:color="auto" w:sz="0" w:space="0"/>
          <w:bottom w:val="none" w:color="auto" w:sz="0" w:space="0"/>
          <w:right w:val="none" w:color="auto" w:sz="0" w:space="0"/>
          <w:between w:val="none" w:color="auto" w:sz="0" w:space="0"/>
        </w:pBdr>
        <w:adjustRightInd w:val="0"/>
        <w:snapToGrid w:val="0"/>
        <w:spacing w:line="540" w:lineRule="exact"/>
        <w:ind w:firstLine="420" w:firstLineChars="200"/>
        <w:rPr>
          <w:rFonts w:hint="eastAsia" w:asciiTheme="minorEastAsia" w:hAnsiTheme="minorEastAsia" w:eastAsiaTheme="minorEastAsia" w:cstheme="minorEastAsia"/>
          <w:bCs/>
          <w:color w:val="auto"/>
          <w:sz w:val="21"/>
          <w:szCs w:val="21"/>
          <w:lang w:eastAsia="zh-CN"/>
        </w:rPr>
      </w:pPr>
      <w:bookmarkStart w:id="74" w:name="_Toc15938"/>
      <w:r>
        <w:rPr>
          <w:rFonts w:hint="eastAsia" w:asciiTheme="minorEastAsia" w:hAnsiTheme="minorEastAsia" w:eastAsiaTheme="minorEastAsia" w:cstheme="minorEastAsia"/>
          <w:bCs/>
          <w:color w:val="auto"/>
          <w:sz w:val="21"/>
          <w:szCs w:val="21"/>
          <w:lang w:eastAsia="zh-CN"/>
        </w:rPr>
        <w:t>二、质疑项目基本情况</w:t>
      </w:r>
      <w:bookmarkEnd w:id="74"/>
    </w:p>
    <w:p w14:paraId="08288B75">
      <w:pPr>
        <w:pBdr>
          <w:top w:val="none" w:color="auto" w:sz="0" w:space="0"/>
          <w:left w:val="none" w:color="auto" w:sz="0" w:space="0"/>
          <w:bottom w:val="none" w:color="auto" w:sz="0" w:space="0"/>
          <w:right w:val="none" w:color="auto" w:sz="0" w:space="0"/>
          <w:between w:val="none" w:color="auto" w:sz="0" w:space="0"/>
        </w:pBdr>
        <w:adjustRightInd w:val="0"/>
        <w:snapToGrid w:val="0"/>
        <w:spacing w:line="540" w:lineRule="exact"/>
        <w:ind w:firstLine="420" w:firstLineChars="200"/>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质疑项目的名称：</w:t>
      </w:r>
      <w:r>
        <w:rPr>
          <w:rFonts w:hint="eastAsia" w:asciiTheme="minorEastAsia" w:hAnsiTheme="minorEastAsia" w:eastAsiaTheme="minorEastAsia" w:cstheme="minorEastAsia"/>
          <w:color w:val="auto"/>
          <w:sz w:val="21"/>
          <w:szCs w:val="21"/>
          <w:u w:val="dotted"/>
          <w:lang w:eastAsia="zh-CN"/>
        </w:rPr>
        <w:t xml:space="preserve">                                     </w:t>
      </w:r>
    </w:p>
    <w:p w14:paraId="167AAA93">
      <w:pPr>
        <w:pBdr>
          <w:top w:val="none" w:color="auto" w:sz="0" w:space="0"/>
          <w:left w:val="none" w:color="auto" w:sz="0" w:space="0"/>
          <w:bottom w:val="none" w:color="auto" w:sz="0" w:space="0"/>
          <w:right w:val="none" w:color="auto" w:sz="0" w:space="0"/>
          <w:between w:val="none" w:color="auto" w:sz="0" w:space="0"/>
        </w:pBdr>
        <w:adjustRightInd w:val="0"/>
        <w:snapToGrid w:val="0"/>
        <w:spacing w:line="540" w:lineRule="exact"/>
        <w:ind w:firstLine="420" w:firstLineChars="200"/>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质疑项目的编号：</w:t>
      </w:r>
      <w:r>
        <w:rPr>
          <w:rFonts w:hint="eastAsia" w:asciiTheme="minorEastAsia" w:hAnsiTheme="minorEastAsia" w:eastAsiaTheme="minorEastAsia" w:cstheme="minorEastAsia"/>
          <w:color w:val="auto"/>
          <w:sz w:val="21"/>
          <w:szCs w:val="21"/>
          <w:u w:val="dotted"/>
          <w:lang w:eastAsia="zh-CN"/>
        </w:rPr>
        <w:t xml:space="preserve">               </w:t>
      </w:r>
      <w:r>
        <w:rPr>
          <w:rFonts w:hint="eastAsia" w:asciiTheme="minorEastAsia" w:hAnsiTheme="minorEastAsia" w:eastAsiaTheme="minorEastAsia" w:cstheme="minorEastAsia"/>
          <w:color w:val="auto"/>
          <w:sz w:val="21"/>
          <w:szCs w:val="21"/>
          <w:lang w:eastAsia="zh-CN"/>
        </w:rPr>
        <w:t>包号：</w:t>
      </w:r>
      <w:r>
        <w:rPr>
          <w:rFonts w:hint="eastAsia" w:asciiTheme="minorEastAsia" w:hAnsiTheme="minorEastAsia" w:eastAsiaTheme="minorEastAsia" w:cstheme="minorEastAsia"/>
          <w:color w:val="auto"/>
          <w:sz w:val="21"/>
          <w:szCs w:val="21"/>
          <w:u w:val="dotted"/>
          <w:lang w:eastAsia="zh-CN"/>
        </w:rPr>
        <w:t xml:space="preserve">                </w:t>
      </w:r>
    </w:p>
    <w:p w14:paraId="7AEE7D2D">
      <w:pPr>
        <w:pBdr>
          <w:top w:val="none" w:color="auto" w:sz="0" w:space="0"/>
          <w:left w:val="none" w:color="auto" w:sz="0" w:space="0"/>
          <w:bottom w:val="none" w:color="auto" w:sz="0" w:space="0"/>
          <w:right w:val="none" w:color="auto" w:sz="0" w:space="0"/>
          <w:between w:val="none" w:color="auto" w:sz="0" w:space="0"/>
        </w:pBdr>
        <w:adjustRightInd w:val="0"/>
        <w:snapToGrid w:val="0"/>
        <w:spacing w:line="540" w:lineRule="exact"/>
        <w:ind w:firstLine="420" w:firstLineChars="200"/>
        <w:rPr>
          <w:rFonts w:hint="eastAsia" w:asciiTheme="minorEastAsia" w:hAnsiTheme="minorEastAsia" w:eastAsiaTheme="minorEastAsia" w:cstheme="minorEastAsia"/>
          <w:color w:val="auto"/>
          <w:sz w:val="21"/>
          <w:szCs w:val="21"/>
          <w:u w:val="dotted"/>
          <w:lang w:eastAsia="zh-CN"/>
        </w:rPr>
      </w:pPr>
      <w:r>
        <w:rPr>
          <w:rFonts w:hint="eastAsia" w:asciiTheme="minorEastAsia" w:hAnsiTheme="minorEastAsia" w:eastAsiaTheme="minorEastAsia" w:cstheme="minorEastAsia"/>
          <w:color w:val="auto"/>
          <w:sz w:val="21"/>
          <w:szCs w:val="21"/>
          <w:lang w:eastAsia="zh-CN"/>
        </w:rPr>
        <w:t>采购人名称：</w:t>
      </w:r>
      <w:r>
        <w:rPr>
          <w:rFonts w:hint="eastAsia" w:asciiTheme="minorEastAsia" w:hAnsiTheme="minorEastAsia" w:eastAsiaTheme="minorEastAsia" w:cstheme="minorEastAsia"/>
          <w:color w:val="auto"/>
          <w:sz w:val="21"/>
          <w:szCs w:val="21"/>
          <w:u w:val="dotted"/>
          <w:lang w:eastAsia="zh-CN"/>
        </w:rPr>
        <w:t xml:space="preserve">                                         </w:t>
      </w:r>
    </w:p>
    <w:p w14:paraId="2A4514E5">
      <w:pPr>
        <w:pBdr>
          <w:top w:val="none" w:color="auto" w:sz="0" w:space="0"/>
          <w:left w:val="none" w:color="auto" w:sz="0" w:space="0"/>
          <w:bottom w:val="none" w:color="auto" w:sz="0" w:space="0"/>
          <w:right w:val="none" w:color="auto" w:sz="0" w:space="0"/>
          <w:between w:val="none" w:color="auto" w:sz="0" w:space="0"/>
        </w:pBdr>
        <w:adjustRightInd w:val="0"/>
        <w:snapToGrid w:val="0"/>
        <w:spacing w:line="540" w:lineRule="exact"/>
        <w:ind w:firstLine="420" w:firstLineChars="200"/>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采购文件获取日期：</w:t>
      </w:r>
      <w:r>
        <w:rPr>
          <w:rFonts w:hint="eastAsia" w:asciiTheme="minorEastAsia" w:hAnsiTheme="minorEastAsia" w:eastAsiaTheme="minorEastAsia" w:cstheme="minorEastAsia"/>
          <w:color w:val="auto"/>
          <w:sz w:val="21"/>
          <w:szCs w:val="21"/>
          <w:u w:val="dotted"/>
          <w:lang w:eastAsia="zh-CN"/>
        </w:rPr>
        <w:t xml:space="preserve">                                   </w:t>
      </w:r>
    </w:p>
    <w:p w14:paraId="373F5E3F">
      <w:pPr>
        <w:pBdr>
          <w:top w:val="none" w:color="auto" w:sz="0" w:space="0"/>
          <w:left w:val="none" w:color="auto" w:sz="0" w:space="0"/>
          <w:bottom w:val="none" w:color="auto" w:sz="0" w:space="0"/>
          <w:right w:val="none" w:color="auto" w:sz="0" w:space="0"/>
          <w:between w:val="none" w:color="auto" w:sz="0" w:space="0"/>
        </w:pBdr>
        <w:adjustRightInd w:val="0"/>
        <w:snapToGrid w:val="0"/>
        <w:spacing w:line="540" w:lineRule="exact"/>
        <w:ind w:firstLine="420" w:firstLineChars="200"/>
        <w:rPr>
          <w:rFonts w:hint="eastAsia" w:asciiTheme="minorEastAsia" w:hAnsiTheme="minorEastAsia" w:eastAsiaTheme="minorEastAsia" w:cstheme="minorEastAsia"/>
          <w:bCs/>
          <w:color w:val="auto"/>
          <w:sz w:val="21"/>
          <w:szCs w:val="21"/>
          <w:lang w:eastAsia="zh-CN"/>
        </w:rPr>
      </w:pPr>
      <w:bookmarkStart w:id="75" w:name="_Toc18271"/>
      <w:r>
        <w:rPr>
          <w:rFonts w:hint="eastAsia" w:asciiTheme="minorEastAsia" w:hAnsiTheme="minorEastAsia" w:eastAsiaTheme="minorEastAsia" w:cstheme="minorEastAsia"/>
          <w:bCs/>
          <w:color w:val="auto"/>
          <w:sz w:val="21"/>
          <w:szCs w:val="21"/>
          <w:lang w:eastAsia="zh-CN"/>
        </w:rPr>
        <w:t>三、质疑事项具体内容</w:t>
      </w:r>
      <w:bookmarkEnd w:id="75"/>
    </w:p>
    <w:p w14:paraId="150F748D">
      <w:pPr>
        <w:pBdr>
          <w:top w:val="none" w:color="auto" w:sz="0" w:space="0"/>
          <w:left w:val="none" w:color="auto" w:sz="0" w:space="0"/>
          <w:bottom w:val="none" w:color="auto" w:sz="0" w:space="0"/>
          <w:right w:val="none" w:color="auto" w:sz="0" w:space="0"/>
          <w:between w:val="none" w:color="auto" w:sz="0" w:space="0"/>
        </w:pBdr>
        <w:adjustRightInd w:val="0"/>
        <w:snapToGrid w:val="0"/>
        <w:spacing w:line="540" w:lineRule="exact"/>
        <w:ind w:firstLine="420" w:firstLineChars="200"/>
        <w:rPr>
          <w:rFonts w:hint="eastAsia" w:asciiTheme="minorEastAsia" w:hAnsiTheme="minorEastAsia" w:eastAsiaTheme="minorEastAsia" w:cstheme="minorEastAsia"/>
          <w:color w:val="auto"/>
          <w:sz w:val="21"/>
          <w:szCs w:val="21"/>
          <w:u w:val="dotted"/>
          <w:lang w:eastAsia="zh-CN"/>
        </w:rPr>
      </w:pPr>
      <w:r>
        <w:rPr>
          <w:rFonts w:hint="eastAsia" w:asciiTheme="minorEastAsia" w:hAnsiTheme="minorEastAsia" w:eastAsiaTheme="minorEastAsia" w:cstheme="minorEastAsia"/>
          <w:color w:val="auto"/>
          <w:sz w:val="21"/>
          <w:szCs w:val="21"/>
          <w:lang w:eastAsia="zh-CN"/>
        </w:rPr>
        <w:t>质疑事项1：</w:t>
      </w:r>
      <w:r>
        <w:rPr>
          <w:rFonts w:hint="eastAsia" w:asciiTheme="minorEastAsia" w:hAnsiTheme="minorEastAsia" w:eastAsiaTheme="minorEastAsia" w:cstheme="minorEastAsia"/>
          <w:color w:val="auto"/>
          <w:sz w:val="21"/>
          <w:szCs w:val="21"/>
          <w:u w:val="dotted"/>
          <w:lang w:eastAsia="zh-CN"/>
        </w:rPr>
        <w:t xml:space="preserve">                                         </w:t>
      </w:r>
    </w:p>
    <w:p w14:paraId="0CF6FAA6">
      <w:pPr>
        <w:pBdr>
          <w:top w:val="none" w:color="auto" w:sz="0" w:space="0"/>
          <w:left w:val="none" w:color="auto" w:sz="0" w:space="0"/>
          <w:bottom w:val="none" w:color="auto" w:sz="0" w:space="0"/>
          <w:right w:val="none" w:color="auto" w:sz="0" w:space="0"/>
          <w:between w:val="none" w:color="auto" w:sz="0" w:space="0"/>
        </w:pBdr>
        <w:adjustRightInd w:val="0"/>
        <w:snapToGrid w:val="0"/>
        <w:spacing w:line="540" w:lineRule="exact"/>
        <w:ind w:firstLine="420" w:firstLineChars="200"/>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事实依据：</w:t>
      </w:r>
      <w:r>
        <w:rPr>
          <w:rFonts w:hint="eastAsia" w:asciiTheme="minorEastAsia" w:hAnsiTheme="minorEastAsia" w:eastAsiaTheme="minorEastAsia" w:cstheme="minorEastAsia"/>
          <w:color w:val="auto"/>
          <w:sz w:val="21"/>
          <w:szCs w:val="21"/>
          <w:u w:val="dotted"/>
          <w:lang w:eastAsia="zh-CN"/>
        </w:rPr>
        <w:t xml:space="preserve">                                           </w:t>
      </w:r>
    </w:p>
    <w:p w14:paraId="79FA7955">
      <w:pPr>
        <w:pBdr>
          <w:top w:val="none" w:color="auto" w:sz="0" w:space="0"/>
          <w:left w:val="none" w:color="auto" w:sz="0" w:space="0"/>
          <w:bottom w:val="none" w:color="auto" w:sz="0" w:space="0"/>
          <w:right w:val="none" w:color="auto" w:sz="0" w:space="0"/>
          <w:between w:val="none" w:color="auto" w:sz="0" w:space="0"/>
        </w:pBdr>
        <w:adjustRightInd w:val="0"/>
        <w:snapToGrid w:val="0"/>
        <w:spacing w:line="540" w:lineRule="exact"/>
        <w:ind w:firstLine="420" w:firstLineChars="200"/>
        <w:rPr>
          <w:rFonts w:hint="eastAsia" w:asciiTheme="minorEastAsia" w:hAnsiTheme="minorEastAsia" w:eastAsiaTheme="minorEastAsia" w:cstheme="minorEastAsia"/>
          <w:color w:val="auto"/>
          <w:sz w:val="21"/>
          <w:szCs w:val="21"/>
          <w:u w:val="dotted"/>
          <w:lang w:eastAsia="zh-CN"/>
        </w:rPr>
      </w:pPr>
      <w:r>
        <w:rPr>
          <w:rFonts w:hint="eastAsia" w:asciiTheme="minorEastAsia" w:hAnsiTheme="minorEastAsia" w:eastAsiaTheme="minorEastAsia" w:cstheme="minorEastAsia"/>
          <w:color w:val="auto"/>
          <w:sz w:val="21"/>
          <w:szCs w:val="21"/>
          <w:lang w:eastAsia="zh-CN"/>
        </w:rPr>
        <w:t>法律依据：</w:t>
      </w:r>
      <w:r>
        <w:rPr>
          <w:rFonts w:hint="eastAsia" w:asciiTheme="minorEastAsia" w:hAnsiTheme="minorEastAsia" w:eastAsiaTheme="minorEastAsia" w:cstheme="minorEastAsia"/>
          <w:color w:val="auto"/>
          <w:sz w:val="21"/>
          <w:szCs w:val="21"/>
          <w:u w:val="dotted"/>
          <w:lang w:eastAsia="zh-CN"/>
        </w:rPr>
        <w:t xml:space="preserve">                                           </w:t>
      </w:r>
    </w:p>
    <w:p w14:paraId="190DB994">
      <w:pPr>
        <w:pBdr>
          <w:top w:val="none" w:color="auto" w:sz="0" w:space="0"/>
          <w:left w:val="none" w:color="auto" w:sz="0" w:space="0"/>
          <w:bottom w:val="none" w:color="auto" w:sz="0" w:space="0"/>
          <w:right w:val="none" w:color="auto" w:sz="0" w:space="0"/>
          <w:between w:val="none" w:color="auto" w:sz="0" w:space="0"/>
        </w:pBdr>
        <w:adjustRightInd w:val="0"/>
        <w:snapToGrid w:val="0"/>
        <w:spacing w:line="540" w:lineRule="exact"/>
        <w:ind w:firstLine="420" w:firstLineChars="200"/>
        <w:rPr>
          <w:rFonts w:hint="eastAsia" w:asciiTheme="minorEastAsia" w:hAnsiTheme="minorEastAsia" w:eastAsiaTheme="minorEastAsia" w:cstheme="minorEastAsia"/>
          <w:color w:val="auto"/>
          <w:sz w:val="21"/>
          <w:szCs w:val="21"/>
          <w:u w:val="dotted"/>
          <w:lang w:eastAsia="zh-CN"/>
        </w:rPr>
      </w:pPr>
      <w:r>
        <w:rPr>
          <w:rFonts w:hint="eastAsia" w:asciiTheme="minorEastAsia" w:hAnsiTheme="minorEastAsia" w:eastAsiaTheme="minorEastAsia" w:cstheme="minorEastAsia"/>
          <w:color w:val="auto"/>
          <w:sz w:val="21"/>
          <w:szCs w:val="21"/>
          <w:lang w:eastAsia="zh-CN"/>
        </w:rPr>
        <w:t>质疑事项2</w:t>
      </w:r>
    </w:p>
    <w:p w14:paraId="3E951472">
      <w:pPr>
        <w:pBdr>
          <w:top w:val="none" w:color="auto" w:sz="0" w:space="0"/>
          <w:left w:val="none" w:color="auto" w:sz="0" w:space="0"/>
          <w:bottom w:val="none" w:color="auto" w:sz="0" w:space="0"/>
          <w:right w:val="none" w:color="auto" w:sz="0" w:space="0"/>
          <w:between w:val="none" w:color="auto" w:sz="0" w:space="0"/>
        </w:pBdr>
        <w:adjustRightInd w:val="0"/>
        <w:snapToGrid w:val="0"/>
        <w:spacing w:line="540" w:lineRule="exact"/>
        <w:ind w:firstLine="420" w:firstLineChars="200"/>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w:t>
      </w:r>
    </w:p>
    <w:p w14:paraId="783E1D4C">
      <w:pPr>
        <w:pBdr>
          <w:top w:val="none" w:color="auto" w:sz="0" w:space="0"/>
          <w:left w:val="none" w:color="auto" w:sz="0" w:space="0"/>
          <w:bottom w:val="none" w:color="auto" w:sz="0" w:space="0"/>
          <w:right w:val="none" w:color="auto" w:sz="0" w:space="0"/>
          <w:between w:val="none" w:color="auto" w:sz="0" w:space="0"/>
        </w:pBdr>
        <w:adjustRightInd w:val="0"/>
        <w:snapToGrid w:val="0"/>
        <w:spacing w:line="540" w:lineRule="exact"/>
        <w:ind w:firstLine="420" w:firstLineChars="200"/>
        <w:rPr>
          <w:rFonts w:hint="eastAsia" w:asciiTheme="minorEastAsia" w:hAnsiTheme="minorEastAsia" w:eastAsiaTheme="minorEastAsia" w:cstheme="minorEastAsia"/>
          <w:bCs/>
          <w:color w:val="auto"/>
          <w:sz w:val="21"/>
          <w:szCs w:val="21"/>
          <w:lang w:eastAsia="zh-CN"/>
        </w:rPr>
      </w:pPr>
      <w:bookmarkStart w:id="76" w:name="_Toc22365"/>
      <w:r>
        <w:rPr>
          <w:rFonts w:hint="eastAsia" w:asciiTheme="minorEastAsia" w:hAnsiTheme="minorEastAsia" w:eastAsiaTheme="minorEastAsia" w:cstheme="minorEastAsia"/>
          <w:bCs/>
          <w:color w:val="auto"/>
          <w:sz w:val="21"/>
          <w:szCs w:val="21"/>
          <w:lang w:eastAsia="zh-CN"/>
        </w:rPr>
        <w:t>四、与质疑事项相关的质疑请求</w:t>
      </w:r>
      <w:bookmarkEnd w:id="76"/>
    </w:p>
    <w:p w14:paraId="01F6DC2F">
      <w:pPr>
        <w:pBdr>
          <w:top w:val="none" w:color="auto" w:sz="0" w:space="0"/>
          <w:left w:val="none" w:color="auto" w:sz="0" w:space="0"/>
          <w:bottom w:val="none" w:color="auto" w:sz="0" w:space="0"/>
          <w:right w:val="none" w:color="auto" w:sz="0" w:space="0"/>
          <w:between w:val="none" w:color="auto" w:sz="0" w:space="0"/>
        </w:pBdr>
        <w:adjustRightInd w:val="0"/>
        <w:snapToGrid w:val="0"/>
        <w:spacing w:line="540" w:lineRule="exact"/>
        <w:ind w:firstLine="420" w:firstLineChars="200"/>
        <w:rPr>
          <w:rFonts w:hint="eastAsia" w:asciiTheme="minorEastAsia" w:hAnsiTheme="minorEastAsia" w:eastAsiaTheme="minorEastAsia" w:cstheme="minorEastAsia"/>
          <w:color w:val="auto"/>
          <w:sz w:val="21"/>
          <w:szCs w:val="21"/>
          <w:u w:val="dotted"/>
          <w:lang w:eastAsia="zh-CN"/>
        </w:rPr>
      </w:pPr>
      <w:r>
        <w:rPr>
          <w:rFonts w:hint="eastAsia" w:asciiTheme="minorEastAsia" w:hAnsiTheme="minorEastAsia" w:eastAsiaTheme="minorEastAsia" w:cstheme="minorEastAsia"/>
          <w:color w:val="auto"/>
          <w:sz w:val="21"/>
          <w:szCs w:val="21"/>
          <w:lang w:eastAsia="zh-CN"/>
        </w:rPr>
        <w:t>请求：</w:t>
      </w:r>
      <w:r>
        <w:rPr>
          <w:rFonts w:hint="eastAsia" w:asciiTheme="minorEastAsia" w:hAnsiTheme="minorEastAsia" w:eastAsiaTheme="minorEastAsia" w:cstheme="minorEastAsia"/>
          <w:color w:val="auto"/>
          <w:sz w:val="21"/>
          <w:szCs w:val="21"/>
          <w:u w:val="dotted"/>
          <w:lang w:eastAsia="zh-CN"/>
        </w:rPr>
        <w:t xml:space="preserve">                                               </w:t>
      </w:r>
    </w:p>
    <w:p w14:paraId="76699604">
      <w:pPr>
        <w:pBdr>
          <w:top w:val="none" w:color="auto" w:sz="0" w:space="0"/>
          <w:left w:val="none" w:color="auto" w:sz="0" w:space="0"/>
          <w:bottom w:val="none" w:color="auto" w:sz="0" w:space="0"/>
          <w:right w:val="none" w:color="auto" w:sz="0" w:space="0"/>
          <w:between w:val="none" w:color="auto" w:sz="0" w:space="0"/>
        </w:pBdr>
        <w:spacing w:line="540" w:lineRule="exact"/>
        <w:ind w:firstLine="420" w:firstLineChars="200"/>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 xml:space="preserve">签章(签章)：                   公章：                      </w:t>
      </w:r>
    </w:p>
    <w:p w14:paraId="4BAD1855">
      <w:pPr>
        <w:pBdr>
          <w:top w:val="none" w:color="auto" w:sz="0" w:space="0"/>
          <w:left w:val="none" w:color="auto" w:sz="0" w:space="0"/>
          <w:bottom w:val="none" w:color="auto" w:sz="0" w:space="0"/>
          <w:right w:val="none" w:color="auto" w:sz="0" w:space="0"/>
          <w:between w:val="none" w:color="auto" w:sz="0" w:space="0"/>
        </w:pBdr>
        <w:spacing w:line="540" w:lineRule="exact"/>
        <w:ind w:firstLine="420" w:firstLineChars="200"/>
        <w:rPr>
          <w:rFonts w:hint="eastAsia" w:asciiTheme="minorEastAsia" w:hAnsiTheme="minorEastAsia" w:eastAsiaTheme="minorEastAsia" w:cstheme="minorEastAsia"/>
          <w:b/>
          <w:bCs/>
          <w:color w:val="auto"/>
          <w:sz w:val="21"/>
          <w:szCs w:val="21"/>
          <w:lang w:eastAsia="zh-CN"/>
        </w:rPr>
      </w:pPr>
      <w:r>
        <w:rPr>
          <w:rFonts w:hint="eastAsia" w:asciiTheme="minorEastAsia" w:hAnsiTheme="minorEastAsia" w:eastAsiaTheme="minorEastAsia" w:cstheme="minorEastAsia"/>
          <w:color w:val="auto"/>
          <w:sz w:val="21"/>
          <w:szCs w:val="21"/>
          <w:lang w:eastAsia="zh-CN"/>
        </w:rPr>
        <w:t xml:space="preserve">日期：    </w:t>
      </w:r>
    </w:p>
    <w:p w14:paraId="4A8B4F9E">
      <w:pPr>
        <w:pageBreakBefore/>
        <w:pBdr>
          <w:top w:val="none" w:color="auto" w:sz="0" w:space="0"/>
          <w:left w:val="none" w:color="auto" w:sz="0" w:space="0"/>
          <w:bottom w:val="none" w:color="auto" w:sz="0" w:space="0"/>
          <w:right w:val="none" w:color="auto" w:sz="0" w:space="0"/>
          <w:between w:val="none" w:color="auto" w:sz="0" w:space="0"/>
        </w:pBdr>
        <w:spacing w:line="440" w:lineRule="exact"/>
        <w:jc w:val="center"/>
        <w:outlineLvl w:val="0"/>
        <w:rPr>
          <w:rFonts w:hint="eastAsia" w:asciiTheme="minorEastAsia" w:hAnsiTheme="minorEastAsia" w:eastAsiaTheme="minorEastAsia" w:cstheme="minorEastAsia"/>
          <w:b/>
          <w:bCs/>
          <w:color w:val="auto"/>
          <w:sz w:val="30"/>
          <w:szCs w:val="30"/>
          <w:lang w:eastAsia="zh-CN"/>
        </w:rPr>
      </w:pPr>
      <w:bookmarkStart w:id="77" w:name="_Toc11618"/>
      <w:bookmarkStart w:id="78" w:name="_Toc15244"/>
      <w:bookmarkStart w:id="79" w:name="_Toc469495731"/>
      <w:r>
        <w:rPr>
          <w:rFonts w:hint="eastAsia" w:asciiTheme="minorEastAsia" w:hAnsiTheme="minorEastAsia" w:eastAsiaTheme="minorEastAsia" w:cstheme="minorEastAsia"/>
          <w:b/>
          <w:bCs/>
          <w:color w:val="auto"/>
          <w:sz w:val="30"/>
          <w:szCs w:val="30"/>
          <w:lang w:eastAsia="zh-CN"/>
        </w:rPr>
        <w:t>第三部分  评标办法</w:t>
      </w:r>
      <w:bookmarkEnd w:id="77"/>
      <w:bookmarkEnd w:id="78"/>
      <w:bookmarkEnd w:id="79"/>
    </w:p>
    <w:p w14:paraId="5D7A38F6">
      <w:pPr>
        <w:pBdr>
          <w:top w:val="none" w:color="auto" w:sz="0" w:space="0"/>
          <w:left w:val="none" w:color="auto" w:sz="0" w:space="0"/>
          <w:bottom w:val="none" w:color="auto" w:sz="0" w:space="0"/>
          <w:right w:val="none" w:color="auto" w:sz="0" w:space="0"/>
          <w:between w:val="none" w:color="auto" w:sz="0" w:space="0"/>
        </w:pBdr>
        <w:jc w:val="center"/>
        <w:outlineLvl w:val="9"/>
        <w:rPr>
          <w:rFonts w:hint="eastAsia" w:asciiTheme="minorEastAsia" w:hAnsiTheme="minorEastAsia" w:eastAsiaTheme="minorEastAsia" w:cstheme="minorEastAsia"/>
          <w:b/>
          <w:color w:val="auto"/>
          <w:sz w:val="28"/>
          <w:szCs w:val="28"/>
          <w:lang w:eastAsia="zh-CN"/>
        </w:rPr>
      </w:pPr>
      <w:bookmarkStart w:id="80" w:name="_Toc362983802"/>
      <w:bookmarkStart w:id="81" w:name="_Toc469495733"/>
      <w:bookmarkStart w:id="82" w:name="_Toc267320058"/>
      <w:bookmarkStart w:id="83" w:name="_Toc363135205"/>
      <w:r>
        <w:rPr>
          <w:rFonts w:hint="eastAsia" w:asciiTheme="minorEastAsia" w:hAnsiTheme="minorEastAsia" w:eastAsiaTheme="minorEastAsia" w:cstheme="minorEastAsia"/>
          <w:b/>
          <w:color w:val="auto"/>
          <w:sz w:val="28"/>
          <w:szCs w:val="28"/>
          <w:lang w:eastAsia="zh-CN"/>
        </w:rPr>
        <w:t>一  总  则</w:t>
      </w:r>
    </w:p>
    <w:p w14:paraId="34E82A08">
      <w:pPr>
        <w:pBdr>
          <w:top w:val="none" w:color="auto" w:sz="0" w:space="0"/>
          <w:left w:val="none" w:color="auto" w:sz="0" w:space="0"/>
          <w:bottom w:val="none" w:color="auto" w:sz="0" w:space="0"/>
          <w:right w:val="none" w:color="auto" w:sz="0" w:space="0"/>
          <w:between w:val="none" w:color="auto" w:sz="0" w:space="0"/>
        </w:pBdr>
        <w:tabs>
          <w:tab w:val="left" w:pos="0"/>
          <w:tab w:val="left" w:pos="240"/>
          <w:tab w:val="left" w:pos="600"/>
        </w:tabs>
        <w:spacing w:line="440" w:lineRule="exact"/>
        <w:ind w:firstLine="235" w:firstLineChars="9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1、一般规定</w:t>
      </w:r>
    </w:p>
    <w:p w14:paraId="49A147A0">
      <w:pPr>
        <w:pBdr>
          <w:top w:val="none" w:color="auto" w:sz="0" w:space="0"/>
          <w:left w:val="none" w:color="auto" w:sz="0" w:space="0"/>
          <w:bottom w:val="none" w:color="auto" w:sz="0" w:space="0"/>
          <w:right w:val="none" w:color="auto" w:sz="0" w:space="0"/>
          <w:between w:val="none" w:color="auto" w:sz="0" w:space="0"/>
        </w:pBdr>
        <w:tabs>
          <w:tab w:val="left" w:pos="0"/>
          <w:tab w:val="left" w:pos="240"/>
          <w:tab w:val="left" w:pos="600"/>
        </w:tabs>
        <w:spacing w:line="440" w:lineRule="exact"/>
        <w:ind w:firstLine="235" w:firstLineChars="9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1.1本项目的招标按照《中华人民共和国政府采购法》、《政府采购货物和服务招标投标管理办法》及政府采购的有关规定进行。</w:t>
      </w:r>
    </w:p>
    <w:p w14:paraId="4B45B358">
      <w:pPr>
        <w:pBdr>
          <w:top w:val="none" w:color="auto" w:sz="0" w:space="0"/>
          <w:left w:val="none" w:color="auto" w:sz="0" w:space="0"/>
          <w:bottom w:val="none" w:color="auto" w:sz="0" w:space="0"/>
          <w:right w:val="none" w:color="auto" w:sz="0" w:space="0"/>
          <w:between w:val="none" w:color="auto" w:sz="0" w:space="0"/>
        </w:pBdr>
        <w:tabs>
          <w:tab w:val="left" w:pos="0"/>
          <w:tab w:val="left" w:pos="240"/>
          <w:tab w:val="left" w:pos="600"/>
        </w:tabs>
        <w:spacing w:line="440" w:lineRule="exact"/>
        <w:ind w:firstLine="235" w:firstLineChars="9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1.2评标必须遵循邀请、公平、公正、诚实信用的原则。</w:t>
      </w:r>
    </w:p>
    <w:p w14:paraId="4BFE183A">
      <w:pPr>
        <w:pBdr>
          <w:top w:val="none" w:color="auto" w:sz="0" w:space="0"/>
          <w:left w:val="none" w:color="auto" w:sz="0" w:space="0"/>
          <w:bottom w:val="none" w:color="auto" w:sz="0" w:space="0"/>
          <w:right w:val="none" w:color="auto" w:sz="0" w:space="0"/>
          <w:between w:val="none" w:color="auto" w:sz="0" w:space="0"/>
        </w:pBdr>
        <w:tabs>
          <w:tab w:val="left" w:pos="0"/>
          <w:tab w:val="left" w:pos="240"/>
          <w:tab w:val="left" w:pos="600"/>
        </w:tabs>
        <w:spacing w:line="440" w:lineRule="exact"/>
        <w:ind w:firstLine="235" w:firstLineChars="9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1.3采购代理机构组织招标、开标、评标工作，全过程接受政府采购有关部门的监督、管理和指导。</w:t>
      </w:r>
    </w:p>
    <w:p w14:paraId="6DF43A11">
      <w:pPr>
        <w:pBdr>
          <w:top w:val="none" w:color="auto" w:sz="0" w:space="0"/>
          <w:left w:val="none" w:color="auto" w:sz="0" w:space="0"/>
          <w:bottom w:val="none" w:color="auto" w:sz="0" w:space="0"/>
          <w:right w:val="none" w:color="auto" w:sz="0" w:space="0"/>
          <w:between w:val="none" w:color="auto" w:sz="0" w:space="0"/>
        </w:pBdr>
        <w:tabs>
          <w:tab w:val="left" w:pos="0"/>
          <w:tab w:val="left" w:pos="240"/>
          <w:tab w:val="left" w:pos="600"/>
        </w:tabs>
        <w:spacing w:line="440" w:lineRule="exact"/>
        <w:ind w:firstLine="235" w:firstLineChars="9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1.4评标按照招标文件规定的内容进行，采取符合招标文件要求的综合评分法，即投标文件能够最大限度的满足招标文件规定的各项综合评价标准且经评审得分最高的供应商为中标候选人的评标方法。</w:t>
      </w:r>
    </w:p>
    <w:p w14:paraId="4D648594">
      <w:pPr>
        <w:pBdr>
          <w:top w:val="none" w:color="auto" w:sz="0" w:space="0"/>
          <w:left w:val="none" w:color="auto" w:sz="0" w:space="0"/>
          <w:bottom w:val="none" w:color="auto" w:sz="0" w:space="0"/>
          <w:right w:val="none" w:color="auto" w:sz="0" w:space="0"/>
          <w:between w:val="none" w:color="auto" w:sz="0" w:space="0"/>
        </w:pBdr>
        <w:tabs>
          <w:tab w:val="left" w:pos="0"/>
          <w:tab w:val="left" w:pos="240"/>
          <w:tab w:val="left" w:pos="600"/>
        </w:tabs>
        <w:spacing w:line="440" w:lineRule="exact"/>
        <w:ind w:firstLine="235" w:firstLineChars="9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1.5本办法的评标对象是指投标人按照招标文件要求提供的有效投标文件，包括投标人应评标委员会要求对原投标文件作出的正式书面澄清文件。</w:t>
      </w:r>
    </w:p>
    <w:p w14:paraId="24654BB8">
      <w:pPr>
        <w:pBdr>
          <w:top w:val="none" w:color="auto" w:sz="0" w:space="0"/>
          <w:left w:val="none" w:color="auto" w:sz="0" w:space="0"/>
          <w:bottom w:val="none" w:color="auto" w:sz="0" w:space="0"/>
          <w:right w:val="none" w:color="auto" w:sz="0" w:space="0"/>
          <w:between w:val="none" w:color="auto" w:sz="0" w:space="0"/>
        </w:pBdr>
        <w:tabs>
          <w:tab w:val="left" w:pos="0"/>
          <w:tab w:val="left" w:pos="240"/>
          <w:tab w:val="left" w:pos="600"/>
        </w:tabs>
        <w:spacing w:line="440" w:lineRule="exact"/>
        <w:ind w:firstLine="235" w:firstLineChars="9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2、评标组织机构的组成</w:t>
      </w:r>
    </w:p>
    <w:p w14:paraId="5D169A39">
      <w:pPr>
        <w:pBdr>
          <w:top w:val="none" w:color="auto" w:sz="0" w:space="0"/>
          <w:left w:val="none" w:color="auto" w:sz="0" w:space="0"/>
          <w:bottom w:val="none" w:color="auto" w:sz="0" w:space="0"/>
          <w:right w:val="none" w:color="auto" w:sz="0" w:space="0"/>
          <w:between w:val="none" w:color="auto" w:sz="0" w:space="0"/>
        </w:pBdr>
        <w:tabs>
          <w:tab w:val="left" w:pos="0"/>
          <w:tab w:val="left" w:pos="240"/>
          <w:tab w:val="left" w:pos="600"/>
        </w:tabs>
        <w:spacing w:line="440" w:lineRule="exact"/>
        <w:ind w:firstLine="235" w:firstLineChars="9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2.1 评标委员会由采购人代表和有关技术、经济等方面的专家组成，成员人数应当为5人或5人以上单数。其中，技术、经济等方面的专家不得少于成员总数的三分之二。采购人应当从同级或上一级财政部门设立的政府采购评审专家库中，通过随机方式抽取评标专家。采购人对技术复杂、专业性极强的采购项目，通过随机方式难以确定合适评标专家的，经设区的市、自治州以上人民政府财政部门同意，可以采取选择性方式确定评标专家。</w:t>
      </w:r>
    </w:p>
    <w:p w14:paraId="47276861">
      <w:pPr>
        <w:pBdr>
          <w:top w:val="none" w:color="auto" w:sz="0" w:space="0"/>
          <w:left w:val="none" w:color="auto" w:sz="0" w:space="0"/>
          <w:bottom w:val="none" w:color="auto" w:sz="0" w:space="0"/>
          <w:right w:val="none" w:color="auto" w:sz="0" w:space="0"/>
          <w:between w:val="none" w:color="auto" w:sz="0" w:space="0"/>
        </w:pBdr>
        <w:tabs>
          <w:tab w:val="left" w:pos="0"/>
          <w:tab w:val="left" w:pos="240"/>
          <w:tab w:val="left" w:pos="600"/>
        </w:tabs>
        <w:spacing w:line="440" w:lineRule="exact"/>
        <w:ind w:firstLine="235" w:firstLineChars="9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2.2评标工作组由采购人及有关专家组成，由评标委员会确认，并接受其领导。</w:t>
      </w:r>
    </w:p>
    <w:p w14:paraId="4DDC2BC0">
      <w:pPr>
        <w:pBdr>
          <w:top w:val="none" w:color="auto" w:sz="0" w:space="0"/>
          <w:left w:val="none" w:color="auto" w:sz="0" w:space="0"/>
          <w:bottom w:val="none" w:color="auto" w:sz="0" w:space="0"/>
          <w:right w:val="none" w:color="auto" w:sz="0" w:space="0"/>
          <w:between w:val="none" w:color="auto" w:sz="0" w:space="0"/>
        </w:pBdr>
        <w:tabs>
          <w:tab w:val="left" w:pos="0"/>
          <w:tab w:val="left" w:pos="240"/>
          <w:tab w:val="left" w:pos="600"/>
        </w:tabs>
        <w:spacing w:line="440" w:lineRule="exact"/>
        <w:ind w:firstLine="235" w:firstLineChars="9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2.3评标委员会应相对独立工作，负责评标、撰写技术、商务评标报告。采购代理机构负责评标过程中资料的保管、发放、回收，整理、汇总评标资料。</w:t>
      </w:r>
    </w:p>
    <w:p w14:paraId="12874EC7">
      <w:pPr>
        <w:pBdr>
          <w:top w:val="none" w:color="auto" w:sz="0" w:space="0"/>
          <w:left w:val="none" w:color="auto" w:sz="0" w:space="0"/>
          <w:bottom w:val="none" w:color="auto" w:sz="0" w:space="0"/>
          <w:right w:val="none" w:color="auto" w:sz="0" w:space="0"/>
          <w:between w:val="none" w:color="auto" w:sz="0" w:space="0"/>
        </w:pBdr>
        <w:tabs>
          <w:tab w:val="left" w:pos="0"/>
          <w:tab w:val="left" w:pos="240"/>
          <w:tab w:val="left" w:pos="600"/>
        </w:tabs>
        <w:spacing w:line="440" w:lineRule="exact"/>
        <w:ind w:firstLine="235" w:firstLineChars="9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3、评标委员会职责</w:t>
      </w:r>
    </w:p>
    <w:p w14:paraId="6BE5DC97">
      <w:pPr>
        <w:pStyle w:val="43"/>
        <w:pBdr>
          <w:top w:val="none" w:color="auto" w:sz="0" w:space="0"/>
          <w:left w:val="none" w:color="auto" w:sz="0" w:space="0"/>
          <w:bottom w:val="none" w:color="auto" w:sz="0" w:space="0"/>
          <w:right w:val="none" w:color="auto" w:sz="0" w:space="0"/>
          <w:between w:val="none" w:color="auto" w:sz="0" w:space="0"/>
        </w:pBdr>
        <w:tabs>
          <w:tab w:val="left" w:pos="0"/>
          <w:tab w:val="left" w:pos="240"/>
          <w:tab w:val="left" w:pos="600"/>
        </w:tabs>
        <w:spacing w:before="0" w:beforeAutospacing="0" w:after="0" w:afterAutospacing="0" w:line="440" w:lineRule="exact"/>
        <w:ind w:firstLine="235" w:firstLineChars="98"/>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eastAsia="zh-CN"/>
        </w:rPr>
        <w:t>3.1审查投标文件是否符合招标文件要求，并作出评价；</w:t>
      </w:r>
    </w:p>
    <w:p w14:paraId="6C4C84D0">
      <w:pPr>
        <w:pStyle w:val="43"/>
        <w:pBdr>
          <w:top w:val="none" w:color="auto" w:sz="0" w:space="0"/>
          <w:left w:val="none" w:color="auto" w:sz="0" w:space="0"/>
          <w:bottom w:val="none" w:color="auto" w:sz="0" w:space="0"/>
          <w:right w:val="none" w:color="auto" w:sz="0" w:space="0"/>
          <w:between w:val="none" w:color="auto" w:sz="0" w:space="0"/>
        </w:pBdr>
        <w:tabs>
          <w:tab w:val="left" w:pos="0"/>
          <w:tab w:val="left" w:pos="240"/>
          <w:tab w:val="left" w:pos="600"/>
        </w:tabs>
        <w:spacing w:before="0" w:beforeAutospacing="0" w:after="0" w:afterAutospacing="0" w:line="440" w:lineRule="exact"/>
        <w:ind w:firstLine="235" w:firstLineChars="98"/>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eastAsia="zh-CN"/>
        </w:rPr>
        <w:t>3.2要求投标人对投标文件有关事项作出解释或者澄清；</w:t>
      </w:r>
    </w:p>
    <w:p w14:paraId="4E90186C">
      <w:pPr>
        <w:pStyle w:val="43"/>
        <w:pBdr>
          <w:top w:val="none" w:color="auto" w:sz="0" w:space="0"/>
          <w:left w:val="none" w:color="auto" w:sz="0" w:space="0"/>
          <w:bottom w:val="none" w:color="auto" w:sz="0" w:space="0"/>
          <w:right w:val="none" w:color="auto" w:sz="0" w:space="0"/>
          <w:between w:val="none" w:color="auto" w:sz="0" w:space="0"/>
        </w:pBdr>
        <w:tabs>
          <w:tab w:val="left" w:pos="0"/>
          <w:tab w:val="left" w:pos="240"/>
          <w:tab w:val="left" w:pos="600"/>
        </w:tabs>
        <w:spacing w:before="0" w:beforeAutospacing="0" w:after="0" w:afterAutospacing="0" w:line="440" w:lineRule="exact"/>
        <w:ind w:firstLine="235" w:firstLineChars="98"/>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eastAsia="zh-CN"/>
        </w:rPr>
        <w:t>3.3推荐中标候选人名单；</w:t>
      </w:r>
    </w:p>
    <w:p w14:paraId="0905C0A1">
      <w:pPr>
        <w:pStyle w:val="43"/>
        <w:pBdr>
          <w:top w:val="none" w:color="auto" w:sz="0" w:space="0"/>
          <w:left w:val="none" w:color="auto" w:sz="0" w:space="0"/>
          <w:bottom w:val="none" w:color="auto" w:sz="0" w:space="0"/>
          <w:right w:val="none" w:color="auto" w:sz="0" w:space="0"/>
          <w:between w:val="none" w:color="auto" w:sz="0" w:space="0"/>
        </w:pBdr>
        <w:tabs>
          <w:tab w:val="left" w:pos="0"/>
          <w:tab w:val="left" w:pos="240"/>
          <w:tab w:val="left" w:pos="600"/>
        </w:tabs>
        <w:spacing w:before="0" w:beforeAutospacing="0" w:after="0" w:afterAutospacing="0" w:line="440" w:lineRule="exact"/>
        <w:ind w:firstLine="235" w:firstLineChars="98"/>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eastAsia="zh-CN"/>
        </w:rPr>
        <w:t>3.4向采购人、采购代理机构或者有关部门报告非法干预评标工作的行为。</w:t>
      </w:r>
    </w:p>
    <w:p w14:paraId="3CBB885A">
      <w:pPr>
        <w:pBdr>
          <w:top w:val="none" w:color="auto" w:sz="0" w:space="0"/>
          <w:left w:val="none" w:color="auto" w:sz="0" w:space="0"/>
          <w:bottom w:val="none" w:color="auto" w:sz="0" w:space="0"/>
          <w:right w:val="none" w:color="auto" w:sz="0" w:space="0"/>
          <w:between w:val="none" w:color="auto" w:sz="0" w:space="0"/>
        </w:pBdr>
        <w:tabs>
          <w:tab w:val="left" w:pos="0"/>
          <w:tab w:val="left" w:pos="240"/>
          <w:tab w:val="left" w:pos="600"/>
        </w:tabs>
        <w:spacing w:line="440" w:lineRule="exact"/>
        <w:ind w:firstLine="235" w:firstLineChars="9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4、评标委员会义务</w:t>
      </w:r>
    </w:p>
    <w:p w14:paraId="016AB074">
      <w:pPr>
        <w:pBdr>
          <w:top w:val="none" w:color="auto" w:sz="0" w:space="0"/>
          <w:left w:val="none" w:color="auto" w:sz="0" w:space="0"/>
          <w:bottom w:val="none" w:color="auto" w:sz="0" w:space="0"/>
          <w:right w:val="none" w:color="auto" w:sz="0" w:space="0"/>
          <w:between w:val="none" w:color="auto" w:sz="0" w:space="0"/>
        </w:pBdr>
        <w:tabs>
          <w:tab w:val="left" w:pos="0"/>
          <w:tab w:val="left" w:pos="240"/>
          <w:tab w:val="left" w:pos="600"/>
        </w:tabs>
        <w:spacing w:line="440" w:lineRule="exact"/>
        <w:ind w:firstLine="235" w:firstLineChars="9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4.1遵纪守法，客观、公正、廉洁地履行职责；</w:t>
      </w:r>
    </w:p>
    <w:p w14:paraId="74FFF7C0">
      <w:pPr>
        <w:pBdr>
          <w:top w:val="none" w:color="auto" w:sz="0" w:space="0"/>
          <w:left w:val="none" w:color="auto" w:sz="0" w:space="0"/>
          <w:bottom w:val="none" w:color="auto" w:sz="0" w:space="0"/>
          <w:right w:val="none" w:color="auto" w:sz="0" w:space="0"/>
          <w:between w:val="none" w:color="auto" w:sz="0" w:space="0"/>
        </w:pBdr>
        <w:tabs>
          <w:tab w:val="left" w:pos="0"/>
          <w:tab w:val="left" w:pos="240"/>
          <w:tab w:val="left" w:pos="600"/>
        </w:tabs>
        <w:spacing w:line="440" w:lineRule="exact"/>
        <w:ind w:firstLine="235" w:firstLineChars="9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4.2按照招标文件规定的评标方法和评标标准进行评标，对评审意见承担个人责任；</w:t>
      </w:r>
    </w:p>
    <w:p w14:paraId="1AD08800">
      <w:pPr>
        <w:pBdr>
          <w:top w:val="none" w:color="auto" w:sz="0" w:space="0"/>
          <w:left w:val="none" w:color="auto" w:sz="0" w:space="0"/>
          <w:bottom w:val="none" w:color="auto" w:sz="0" w:space="0"/>
          <w:right w:val="none" w:color="auto" w:sz="0" w:space="0"/>
          <w:between w:val="none" w:color="auto" w:sz="0" w:space="0"/>
        </w:pBdr>
        <w:tabs>
          <w:tab w:val="left" w:pos="0"/>
          <w:tab w:val="left" w:pos="240"/>
          <w:tab w:val="left" w:pos="600"/>
        </w:tabs>
        <w:spacing w:line="440" w:lineRule="exact"/>
        <w:ind w:firstLine="235" w:firstLineChars="9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4.3对评标过程和结果，以及投标人的商业秘密保密；</w:t>
      </w:r>
    </w:p>
    <w:p w14:paraId="4CFE21C5">
      <w:pPr>
        <w:pBdr>
          <w:top w:val="none" w:color="auto" w:sz="0" w:space="0"/>
          <w:left w:val="none" w:color="auto" w:sz="0" w:space="0"/>
          <w:bottom w:val="none" w:color="auto" w:sz="0" w:space="0"/>
          <w:right w:val="none" w:color="auto" w:sz="0" w:space="0"/>
          <w:between w:val="none" w:color="auto" w:sz="0" w:space="0"/>
        </w:pBdr>
        <w:tabs>
          <w:tab w:val="left" w:pos="0"/>
          <w:tab w:val="left" w:pos="240"/>
          <w:tab w:val="left" w:pos="600"/>
        </w:tabs>
        <w:spacing w:line="440" w:lineRule="exact"/>
        <w:ind w:firstLine="235" w:firstLineChars="9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4.4参与评标报告的起草；</w:t>
      </w:r>
    </w:p>
    <w:p w14:paraId="4C625E21">
      <w:pPr>
        <w:pBdr>
          <w:top w:val="none" w:color="auto" w:sz="0" w:space="0"/>
          <w:left w:val="none" w:color="auto" w:sz="0" w:space="0"/>
          <w:bottom w:val="none" w:color="auto" w:sz="0" w:space="0"/>
          <w:right w:val="none" w:color="auto" w:sz="0" w:space="0"/>
          <w:between w:val="none" w:color="auto" w:sz="0" w:space="0"/>
        </w:pBdr>
        <w:tabs>
          <w:tab w:val="left" w:pos="0"/>
          <w:tab w:val="left" w:pos="240"/>
          <w:tab w:val="left" w:pos="600"/>
        </w:tabs>
        <w:spacing w:line="440" w:lineRule="exact"/>
        <w:ind w:firstLine="235" w:firstLineChars="9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4.5配合有关部门的投诉处理工作；</w:t>
      </w:r>
    </w:p>
    <w:p w14:paraId="74C1F07A">
      <w:pPr>
        <w:pBdr>
          <w:top w:val="none" w:color="auto" w:sz="0" w:space="0"/>
          <w:left w:val="none" w:color="auto" w:sz="0" w:space="0"/>
          <w:bottom w:val="none" w:color="auto" w:sz="0" w:space="0"/>
          <w:right w:val="none" w:color="auto" w:sz="0" w:space="0"/>
          <w:between w:val="none" w:color="auto" w:sz="0" w:space="0"/>
        </w:pBdr>
        <w:tabs>
          <w:tab w:val="left" w:pos="0"/>
          <w:tab w:val="left" w:pos="240"/>
          <w:tab w:val="left" w:pos="600"/>
        </w:tabs>
        <w:spacing w:line="440" w:lineRule="exact"/>
        <w:ind w:firstLine="235" w:firstLineChars="9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4.6配合采购人、采购代理机构答复投标供应商提出的质疑。</w:t>
      </w:r>
    </w:p>
    <w:p w14:paraId="4F336604">
      <w:pPr>
        <w:pBdr>
          <w:top w:val="none" w:color="auto" w:sz="0" w:space="0"/>
          <w:left w:val="none" w:color="auto" w:sz="0" w:space="0"/>
          <w:bottom w:val="none" w:color="auto" w:sz="0" w:space="0"/>
          <w:right w:val="none" w:color="auto" w:sz="0" w:space="0"/>
          <w:between w:val="none" w:color="auto" w:sz="0" w:space="0"/>
        </w:pBdr>
        <w:tabs>
          <w:tab w:val="left" w:pos="0"/>
          <w:tab w:val="left" w:pos="240"/>
          <w:tab w:val="left" w:pos="600"/>
        </w:tabs>
        <w:spacing w:line="440" w:lineRule="exact"/>
        <w:ind w:firstLine="235" w:firstLineChars="98"/>
        <w:rPr>
          <w:rFonts w:hint="eastAsia" w:asciiTheme="minorEastAsia" w:hAnsiTheme="minorEastAsia" w:eastAsiaTheme="minorEastAsia" w:cstheme="minorEastAsia"/>
          <w:color w:val="auto"/>
          <w:szCs w:val="21"/>
          <w:lang w:eastAsia="zh-CN" w:bidi="ar-SA"/>
        </w:rPr>
      </w:pPr>
      <w:r>
        <w:rPr>
          <w:rFonts w:hint="eastAsia" w:asciiTheme="minorEastAsia" w:hAnsiTheme="minorEastAsia" w:eastAsiaTheme="minorEastAsia" w:cstheme="minorEastAsia"/>
          <w:color w:val="auto"/>
          <w:szCs w:val="21"/>
          <w:lang w:eastAsia="zh-CN" w:bidi="ar-SA"/>
        </w:rPr>
        <w:t>5、评标程序</w:t>
      </w:r>
    </w:p>
    <w:p w14:paraId="01DD7E4D">
      <w:pPr>
        <w:pStyle w:val="21"/>
        <w:pBdr>
          <w:top w:val="none" w:color="auto" w:sz="0" w:space="0"/>
          <w:left w:val="none" w:color="auto" w:sz="0" w:space="0"/>
          <w:bottom w:val="none" w:color="auto" w:sz="0" w:space="0"/>
          <w:right w:val="none" w:color="auto" w:sz="0" w:space="0"/>
          <w:between w:val="none" w:color="auto" w:sz="0" w:space="0"/>
        </w:pBdr>
        <w:tabs>
          <w:tab w:val="left" w:pos="240"/>
          <w:tab w:val="left" w:pos="600"/>
        </w:tabs>
        <w:spacing w:line="440" w:lineRule="exact"/>
        <w:ind w:firstLine="235" w:firstLineChars="98"/>
        <w:rPr>
          <w:rFonts w:hint="eastAsia" w:asciiTheme="minorEastAsia" w:hAnsiTheme="minorEastAsia" w:eastAsiaTheme="minorEastAsia" w:cstheme="minorEastAsia"/>
          <w:bCs/>
          <w:color w:val="auto"/>
          <w:szCs w:val="21"/>
          <w:lang w:eastAsia="zh-CN" w:bidi="ar-SA"/>
        </w:rPr>
      </w:pPr>
      <w:r>
        <w:rPr>
          <w:rFonts w:hint="eastAsia" w:asciiTheme="minorEastAsia" w:hAnsiTheme="minorEastAsia" w:eastAsiaTheme="minorEastAsia" w:cstheme="minorEastAsia"/>
          <w:bCs/>
          <w:color w:val="auto"/>
          <w:szCs w:val="21"/>
          <w:lang w:eastAsia="zh-CN" w:bidi="ar-SA"/>
        </w:rPr>
        <w:t>5.1本次评标首先由评标委员会对投标人的投标文件进行初审，对未能通过初审的投标文件作无效标处理；</w:t>
      </w:r>
    </w:p>
    <w:p w14:paraId="2942F118">
      <w:pPr>
        <w:pBdr>
          <w:top w:val="none" w:color="auto" w:sz="0" w:space="0"/>
          <w:left w:val="none" w:color="auto" w:sz="0" w:space="0"/>
          <w:bottom w:val="none" w:color="auto" w:sz="0" w:space="0"/>
          <w:right w:val="none" w:color="auto" w:sz="0" w:space="0"/>
          <w:between w:val="none" w:color="auto" w:sz="0" w:space="0"/>
        </w:pBdr>
        <w:tabs>
          <w:tab w:val="left" w:pos="0"/>
          <w:tab w:val="left" w:pos="240"/>
          <w:tab w:val="left" w:pos="600"/>
        </w:tabs>
        <w:spacing w:line="440" w:lineRule="exact"/>
        <w:ind w:firstLine="235" w:firstLineChars="98"/>
        <w:rPr>
          <w:rFonts w:hint="eastAsia" w:asciiTheme="minorEastAsia" w:hAnsiTheme="minorEastAsia" w:eastAsiaTheme="minorEastAsia" w:cstheme="minorEastAsia"/>
          <w:color w:val="auto"/>
          <w:szCs w:val="21"/>
          <w:lang w:eastAsia="zh-CN" w:bidi="ar-SA"/>
        </w:rPr>
      </w:pPr>
      <w:r>
        <w:rPr>
          <w:rFonts w:hint="eastAsia" w:asciiTheme="minorEastAsia" w:hAnsiTheme="minorEastAsia" w:eastAsiaTheme="minorEastAsia" w:cstheme="minorEastAsia"/>
          <w:color w:val="auto"/>
          <w:szCs w:val="21"/>
          <w:lang w:eastAsia="zh-CN" w:bidi="ar-SA"/>
        </w:rPr>
        <w:t>5.2对通过初审的投标人的投标文件进行详细的比较和评价。如需要，进行必要的澄清工作；</w:t>
      </w:r>
    </w:p>
    <w:p w14:paraId="0827E424">
      <w:pPr>
        <w:pBdr>
          <w:top w:val="none" w:color="auto" w:sz="0" w:space="0"/>
          <w:left w:val="none" w:color="auto" w:sz="0" w:space="0"/>
          <w:bottom w:val="none" w:color="auto" w:sz="0" w:space="0"/>
          <w:right w:val="none" w:color="auto" w:sz="0" w:space="0"/>
          <w:between w:val="none" w:color="auto" w:sz="0" w:space="0"/>
        </w:pBdr>
        <w:tabs>
          <w:tab w:val="left" w:pos="0"/>
          <w:tab w:val="left" w:pos="240"/>
          <w:tab w:val="left" w:pos="600"/>
        </w:tabs>
        <w:spacing w:line="440" w:lineRule="exact"/>
        <w:ind w:firstLine="235" w:firstLineChars="98"/>
        <w:rPr>
          <w:rFonts w:hint="eastAsia" w:asciiTheme="minorEastAsia" w:hAnsiTheme="minorEastAsia" w:eastAsiaTheme="minorEastAsia" w:cstheme="minorEastAsia"/>
          <w:color w:val="auto"/>
          <w:szCs w:val="21"/>
          <w:lang w:eastAsia="zh-CN" w:bidi="ar-SA"/>
        </w:rPr>
      </w:pPr>
      <w:r>
        <w:rPr>
          <w:rFonts w:hint="eastAsia" w:asciiTheme="minorEastAsia" w:hAnsiTheme="minorEastAsia" w:eastAsiaTheme="minorEastAsia" w:cstheme="minorEastAsia"/>
          <w:color w:val="auto"/>
          <w:szCs w:val="21"/>
          <w:lang w:eastAsia="zh-CN" w:bidi="ar-SA"/>
        </w:rPr>
        <w:t>5.3依据评分标准以及各项权值，各位评委单独就每个投标人的投标文件进行价格、技术、</w:t>
      </w:r>
      <w:r>
        <w:rPr>
          <w:rFonts w:hint="eastAsia" w:asciiTheme="minorEastAsia" w:hAnsiTheme="minorEastAsia" w:eastAsiaTheme="minorEastAsia" w:cstheme="minorEastAsia"/>
          <w:color w:val="auto"/>
          <w:szCs w:val="21"/>
          <w:lang w:bidi="ar-SA"/>
        </w:rPr>
        <w:fldChar w:fldCharType="begin"/>
      </w:r>
      <w:r>
        <w:rPr>
          <w:rFonts w:hint="eastAsia" w:asciiTheme="minorEastAsia" w:hAnsiTheme="minorEastAsia" w:eastAsiaTheme="minorEastAsia" w:cstheme="minorEastAsia"/>
          <w:color w:val="auto"/>
          <w:szCs w:val="21"/>
          <w:lang w:eastAsia="zh-CN" w:bidi="ar-SA"/>
        </w:rPr>
        <w:instrText xml:space="preserve">HYPERLINK "http://zhidao.baidu.com/search?word=%E8%B4%A2%E5%8A%A1%E7%8A%B6%E5%86%B5&amp;fr=qb_search_exp&amp;ie=utf8&amp;eid_gfrom=151"</w:instrText>
      </w:r>
      <w:r>
        <w:rPr>
          <w:rFonts w:hint="eastAsia" w:asciiTheme="minorEastAsia" w:hAnsiTheme="minorEastAsia" w:eastAsiaTheme="minorEastAsia" w:cstheme="minorEastAsia"/>
          <w:color w:val="auto"/>
          <w:szCs w:val="21"/>
          <w:lang w:bidi="ar-SA"/>
        </w:rPr>
        <w:fldChar w:fldCharType="separate"/>
      </w:r>
      <w:r>
        <w:rPr>
          <w:rFonts w:hint="eastAsia" w:asciiTheme="minorEastAsia" w:hAnsiTheme="minorEastAsia" w:eastAsiaTheme="minorEastAsia" w:cstheme="minorEastAsia"/>
          <w:color w:val="auto"/>
          <w:szCs w:val="21"/>
          <w:lang w:eastAsia="zh-CN" w:bidi="ar-SA"/>
        </w:rPr>
        <w:t>财务状况</w:t>
      </w:r>
      <w:r>
        <w:rPr>
          <w:rFonts w:hint="eastAsia" w:asciiTheme="minorEastAsia" w:hAnsiTheme="minorEastAsia" w:eastAsiaTheme="minorEastAsia" w:cstheme="minorEastAsia"/>
          <w:color w:val="auto"/>
          <w:szCs w:val="21"/>
          <w:lang w:bidi="ar-SA"/>
        </w:rPr>
        <w:fldChar w:fldCharType="end"/>
      </w:r>
      <w:r>
        <w:rPr>
          <w:rFonts w:hint="eastAsia" w:asciiTheme="minorEastAsia" w:hAnsiTheme="minorEastAsia" w:eastAsiaTheme="minorEastAsia" w:cstheme="minorEastAsia"/>
          <w:color w:val="auto"/>
          <w:szCs w:val="21"/>
          <w:lang w:eastAsia="zh-CN" w:bidi="ar-SA"/>
        </w:rPr>
        <w:t>、信誉、业绩、服务、对招标文件的响应程度，以及相应的比重或者权值等各项因素进行综合评审后，按最终综合得分由高向低排序，由评标委员会推荐综合得分最高的投标人为第一中标候选人，综合得分第二名的投标人为第二中标候选人，综合得分第三名的投标人为第三中标候选人。</w:t>
      </w:r>
    </w:p>
    <w:p w14:paraId="7D67E8F4">
      <w:pPr>
        <w:pBdr>
          <w:top w:val="none" w:color="auto" w:sz="0" w:space="0"/>
          <w:left w:val="none" w:color="auto" w:sz="0" w:space="0"/>
          <w:bottom w:val="none" w:color="auto" w:sz="0" w:space="0"/>
          <w:right w:val="none" w:color="auto" w:sz="0" w:space="0"/>
          <w:between w:val="none" w:color="auto" w:sz="0" w:space="0"/>
        </w:pBdr>
        <w:jc w:val="center"/>
        <w:outlineLvl w:val="9"/>
        <w:rPr>
          <w:rFonts w:hint="eastAsia" w:asciiTheme="minorEastAsia" w:hAnsiTheme="minorEastAsia" w:eastAsiaTheme="minorEastAsia" w:cstheme="minorEastAsia"/>
          <w:b/>
          <w:color w:val="auto"/>
          <w:sz w:val="28"/>
          <w:szCs w:val="28"/>
          <w:lang w:eastAsia="zh-CN"/>
        </w:rPr>
      </w:pPr>
      <w:r>
        <w:rPr>
          <w:rFonts w:hint="eastAsia" w:asciiTheme="minorEastAsia" w:hAnsiTheme="minorEastAsia" w:eastAsiaTheme="minorEastAsia" w:cstheme="minorEastAsia"/>
          <w:b/>
          <w:color w:val="auto"/>
          <w:sz w:val="28"/>
          <w:szCs w:val="28"/>
          <w:lang w:eastAsia="zh-CN"/>
        </w:rPr>
        <w:t>二  投标文件初审</w:t>
      </w:r>
      <w:bookmarkEnd w:id="80"/>
      <w:bookmarkEnd w:id="81"/>
    </w:p>
    <w:p w14:paraId="1660DB78">
      <w:pPr>
        <w:pBdr>
          <w:top w:val="none" w:color="auto" w:sz="0" w:space="0"/>
          <w:left w:val="none" w:color="auto" w:sz="0" w:space="0"/>
          <w:bottom w:val="none" w:color="auto" w:sz="0" w:space="0"/>
          <w:right w:val="none" w:color="auto" w:sz="0" w:space="0"/>
          <w:between w:val="none" w:color="auto" w:sz="0" w:space="0"/>
        </w:pBdr>
        <w:tabs>
          <w:tab w:val="left" w:pos="0"/>
          <w:tab w:val="left" w:pos="240"/>
          <w:tab w:val="left" w:pos="600"/>
        </w:tabs>
        <w:spacing w:line="440" w:lineRule="exact"/>
        <w:ind w:firstLine="235" w:firstLineChars="98"/>
        <w:rPr>
          <w:rFonts w:hint="eastAsia" w:asciiTheme="minorEastAsia" w:hAnsiTheme="minorEastAsia" w:eastAsiaTheme="minorEastAsia" w:cstheme="minorEastAsia"/>
          <w:color w:val="auto"/>
          <w:szCs w:val="21"/>
          <w:lang w:eastAsia="zh-CN" w:bidi="ar-SA"/>
        </w:rPr>
      </w:pPr>
      <w:r>
        <w:rPr>
          <w:rFonts w:hint="eastAsia" w:asciiTheme="minorEastAsia" w:hAnsiTheme="minorEastAsia" w:eastAsiaTheme="minorEastAsia" w:cstheme="minorEastAsia"/>
          <w:color w:val="auto"/>
          <w:szCs w:val="21"/>
          <w:lang w:eastAsia="zh-CN" w:bidi="ar-SA"/>
        </w:rPr>
        <w:t>6.</w:t>
      </w:r>
      <w:r>
        <w:rPr>
          <w:rFonts w:hint="eastAsia" w:asciiTheme="minorEastAsia" w:hAnsiTheme="minorEastAsia" w:eastAsiaTheme="minorEastAsia" w:cstheme="minorEastAsia"/>
          <w:b/>
          <w:bCs/>
          <w:color w:val="auto"/>
          <w:szCs w:val="21"/>
          <w:lang w:eastAsia="zh-CN" w:bidi="ar-SA"/>
        </w:rPr>
        <w:t>初步评审为资格性检查和符合性检查。</w:t>
      </w:r>
    </w:p>
    <w:p w14:paraId="1CD043C4">
      <w:pPr>
        <w:pBdr>
          <w:top w:val="none" w:color="auto" w:sz="0" w:space="0"/>
          <w:left w:val="none" w:color="auto" w:sz="0" w:space="0"/>
          <w:bottom w:val="none" w:color="auto" w:sz="0" w:space="0"/>
          <w:right w:val="none" w:color="auto" w:sz="0" w:space="0"/>
          <w:between w:val="none" w:color="auto" w:sz="0" w:space="0"/>
        </w:pBdr>
        <w:tabs>
          <w:tab w:val="left" w:pos="0"/>
          <w:tab w:val="left" w:pos="240"/>
          <w:tab w:val="left" w:pos="600"/>
        </w:tabs>
        <w:spacing w:line="440" w:lineRule="exact"/>
        <w:ind w:firstLine="235" w:firstLineChars="98"/>
        <w:rPr>
          <w:rFonts w:hint="eastAsia" w:asciiTheme="minorEastAsia" w:hAnsiTheme="minorEastAsia" w:eastAsiaTheme="minorEastAsia" w:cstheme="minorEastAsia"/>
          <w:color w:val="auto"/>
          <w:szCs w:val="21"/>
          <w:lang w:eastAsia="zh-CN" w:bidi="ar-SA"/>
        </w:rPr>
      </w:pPr>
      <w:r>
        <w:rPr>
          <w:rFonts w:hint="eastAsia" w:asciiTheme="minorEastAsia" w:hAnsiTheme="minorEastAsia" w:eastAsiaTheme="minorEastAsia" w:cstheme="minorEastAsia"/>
          <w:color w:val="auto"/>
          <w:szCs w:val="21"/>
          <w:lang w:eastAsia="zh-CN" w:bidi="ar-SA"/>
        </w:rPr>
        <w:t>6.1 资格性检查。根据法律法规和采购文件的规定，对投标文件中的资格证明等进行审查，以确定供应商是否具备投标资格。</w:t>
      </w:r>
    </w:p>
    <w:p w14:paraId="7CC48061">
      <w:pPr>
        <w:pBdr>
          <w:top w:val="none" w:color="auto" w:sz="0" w:space="0"/>
          <w:left w:val="none" w:color="auto" w:sz="0" w:space="0"/>
          <w:bottom w:val="none" w:color="auto" w:sz="0" w:space="0"/>
          <w:right w:val="none" w:color="auto" w:sz="0" w:space="0"/>
          <w:between w:val="none" w:color="auto" w:sz="0" w:space="0"/>
        </w:pBdr>
        <w:tabs>
          <w:tab w:val="left" w:pos="0"/>
          <w:tab w:val="left" w:pos="240"/>
          <w:tab w:val="left" w:pos="600"/>
        </w:tabs>
        <w:spacing w:line="440" w:lineRule="exact"/>
        <w:ind w:firstLine="235" w:firstLineChars="98"/>
        <w:rPr>
          <w:rFonts w:hint="eastAsia" w:asciiTheme="minorEastAsia" w:hAnsiTheme="minorEastAsia" w:eastAsiaTheme="minorEastAsia" w:cstheme="minorEastAsia"/>
          <w:color w:val="auto"/>
          <w:szCs w:val="21"/>
          <w:lang w:eastAsia="zh-CN" w:bidi="ar-SA"/>
        </w:rPr>
      </w:pPr>
      <w:r>
        <w:rPr>
          <w:rFonts w:hint="eastAsia" w:asciiTheme="minorEastAsia" w:hAnsiTheme="minorEastAsia" w:eastAsiaTheme="minorEastAsia" w:cstheme="minorEastAsia"/>
          <w:color w:val="auto"/>
          <w:szCs w:val="21"/>
          <w:lang w:eastAsia="zh-CN" w:bidi="ar-SA"/>
        </w:rPr>
        <w:t>6.2 符合性检查。依据采购文件的规定，从投标文件的有效性、完整性和对采购文件的响应程度进行审查，以确定是否对招标文件的实质性要求作出响应。评标委员会决定投标文件的响应性只根据投标文件真实无误的内容，而不依据外部的证据，但投标文件有不真实、不正确的内容时除外。</w:t>
      </w:r>
    </w:p>
    <w:p w14:paraId="197E02B3">
      <w:pPr>
        <w:pBdr>
          <w:top w:val="none" w:color="auto" w:sz="0" w:space="0"/>
          <w:left w:val="none" w:color="auto" w:sz="0" w:space="0"/>
          <w:bottom w:val="none" w:color="auto" w:sz="0" w:space="0"/>
          <w:right w:val="none" w:color="auto" w:sz="0" w:space="0"/>
          <w:between w:val="none" w:color="auto" w:sz="0" w:space="0"/>
        </w:pBdr>
        <w:spacing w:line="400" w:lineRule="exact"/>
        <w:ind w:firstLine="235" w:firstLineChars="98"/>
        <w:rPr>
          <w:rFonts w:hint="eastAsia" w:asciiTheme="minorEastAsia" w:hAnsiTheme="minorEastAsia" w:eastAsiaTheme="minorEastAsia" w:cstheme="minorEastAsia"/>
          <w:color w:val="auto"/>
          <w:szCs w:val="21"/>
          <w:lang w:eastAsia="zh-CN" w:bidi="ar-SA"/>
        </w:rPr>
      </w:pPr>
      <w:r>
        <w:rPr>
          <w:rFonts w:hint="eastAsia" w:asciiTheme="minorEastAsia" w:hAnsiTheme="minorEastAsia" w:eastAsiaTheme="minorEastAsia" w:cstheme="minorEastAsia"/>
          <w:color w:val="auto"/>
          <w:szCs w:val="21"/>
          <w:lang w:eastAsia="zh-CN" w:bidi="ar-SA"/>
        </w:rPr>
        <w:t>6.3供应商不得通过修正或撤销不合要求的偏离从而使其投标成为实质上响应的投标。</w:t>
      </w:r>
    </w:p>
    <w:p w14:paraId="123A5171">
      <w:pPr>
        <w:pBdr>
          <w:top w:val="none" w:color="auto" w:sz="0" w:space="0"/>
          <w:left w:val="none" w:color="auto" w:sz="0" w:space="0"/>
          <w:bottom w:val="none" w:color="auto" w:sz="0" w:space="0"/>
          <w:right w:val="none" w:color="auto" w:sz="0" w:space="0"/>
          <w:between w:val="none" w:color="auto" w:sz="0" w:space="0"/>
        </w:pBdr>
        <w:spacing w:line="400" w:lineRule="exact"/>
        <w:ind w:firstLine="235" w:firstLineChars="9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6.4投标人可在现场20分钟内对评标委员会的评审结论提出异议，评标委员会根据采购文件及有关规定对投标人的异议进行复议</w:t>
      </w:r>
    </w:p>
    <w:p w14:paraId="6253094E">
      <w:pPr>
        <w:pBdr>
          <w:top w:val="none" w:color="auto" w:sz="0" w:space="0"/>
          <w:left w:val="none" w:color="auto" w:sz="0" w:space="0"/>
          <w:bottom w:val="none" w:color="auto" w:sz="0" w:space="0"/>
          <w:right w:val="none" w:color="auto" w:sz="0" w:space="0"/>
          <w:between w:val="none" w:color="auto" w:sz="0" w:space="0"/>
        </w:pBdr>
        <w:spacing w:line="400" w:lineRule="exact"/>
        <w:ind w:firstLine="235" w:firstLineChars="9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6.5只有通过初审的投标人才能进入下一步评标程序。</w:t>
      </w:r>
    </w:p>
    <w:p w14:paraId="3F42C7C0">
      <w:pPr>
        <w:pBdr>
          <w:top w:val="none" w:color="auto" w:sz="0" w:space="0"/>
          <w:left w:val="none" w:color="auto" w:sz="0" w:space="0"/>
          <w:bottom w:val="none" w:color="auto" w:sz="0" w:space="0"/>
          <w:right w:val="none" w:color="auto" w:sz="0" w:space="0"/>
          <w:between w:val="none" w:color="auto" w:sz="0" w:space="0"/>
        </w:pBdr>
        <w:tabs>
          <w:tab w:val="left" w:pos="720"/>
        </w:tabs>
        <w:spacing w:line="440" w:lineRule="exact"/>
        <w:ind w:firstLine="240" w:firstLineChars="100"/>
        <w:rPr>
          <w:rFonts w:hint="eastAsia" w:asciiTheme="minorEastAsia" w:hAnsiTheme="minorEastAsia" w:eastAsiaTheme="minorEastAsia" w:cstheme="minorEastAsia"/>
          <w:b/>
          <w:bCs/>
          <w:color w:val="auto"/>
          <w:sz w:val="28"/>
          <w:szCs w:val="22"/>
          <w:lang w:eastAsia="zh-CN" w:bidi="ar-SA"/>
        </w:rPr>
      </w:pPr>
      <w:r>
        <w:rPr>
          <w:rFonts w:hint="eastAsia" w:asciiTheme="minorEastAsia" w:hAnsiTheme="minorEastAsia" w:eastAsiaTheme="minorEastAsia" w:cstheme="minorEastAsia"/>
          <w:color w:val="auto"/>
          <w:szCs w:val="21"/>
          <w:lang w:eastAsia="zh-CN" w:bidi="ar-SA"/>
        </w:rPr>
        <w:t>6.6评审细则</w:t>
      </w:r>
    </w:p>
    <w:p w14:paraId="369725D4">
      <w:pPr>
        <w:pStyle w:val="12"/>
        <w:numPr>
          <w:ilvl w:val="0"/>
          <w:numId w:val="0"/>
        </w:numPr>
        <w:pBdr>
          <w:top w:val="none" w:color="auto" w:sz="0" w:space="0"/>
          <w:left w:val="none" w:color="auto" w:sz="0" w:space="0"/>
          <w:bottom w:val="none" w:color="auto" w:sz="0" w:space="0"/>
          <w:right w:val="none" w:color="auto" w:sz="0" w:space="0"/>
          <w:between w:val="none" w:color="auto" w:sz="0" w:space="0"/>
        </w:pBdr>
        <w:jc w:val="center"/>
        <w:outlineLvl w:val="9"/>
        <w:rPr>
          <w:rFonts w:hint="eastAsia" w:asciiTheme="minorEastAsia" w:hAnsiTheme="minorEastAsia" w:eastAsiaTheme="minorEastAsia" w:cstheme="minorEastAsia"/>
          <w:b/>
          <w:bCs/>
          <w:color w:val="auto"/>
          <w:sz w:val="28"/>
          <w:szCs w:val="28"/>
          <w:lang w:eastAsia="zh-CN"/>
        </w:rPr>
      </w:pPr>
    </w:p>
    <w:p w14:paraId="7C855692">
      <w:pPr>
        <w:pStyle w:val="12"/>
        <w:numPr>
          <w:ilvl w:val="0"/>
          <w:numId w:val="0"/>
        </w:numPr>
        <w:pBdr>
          <w:top w:val="none" w:color="auto" w:sz="0" w:space="0"/>
          <w:left w:val="none" w:color="auto" w:sz="0" w:space="0"/>
          <w:bottom w:val="none" w:color="auto" w:sz="0" w:space="0"/>
          <w:right w:val="none" w:color="auto" w:sz="0" w:space="0"/>
          <w:between w:val="none" w:color="auto" w:sz="0" w:space="0"/>
        </w:pBdr>
        <w:jc w:val="center"/>
        <w:outlineLvl w:val="9"/>
        <w:rPr>
          <w:rFonts w:hint="eastAsia" w:asciiTheme="minorEastAsia" w:hAnsiTheme="minorEastAsia" w:eastAsiaTheme="minorEastAsia" w:cstheme="minorEastAsia"/>
          <w:b/>
          <w:bCs/>
          <w:color w:val="auto"/>
          <w:sz w:val="28"/>
          <w:szCs w:val="28"/>
          <w:lang w:eastAsia="zh-CN"/>
        </w:rPr>
      </w:pPr>
    </w:p>
    <w:p w14:paraId="7FF5EF9B">
      <w:pPr>
        <w:pStyle w:val="12"/>
        <w:numPr>
          <w:ilvl w:val="0"/>
          <w:numId w:val="0"/>
        </w:numPr>
        <w:pBdr>
          <w:top w:val="none" w:color="auto" w:sz="0" w:space="0"/>
          <w:left w:val="none" w:color="auto" w:sz="0" w:space="0"/>
          <w:bottom w:val="none" w:color="auto" w:sz="0" w:space="0"/>
          <w:right w:val="none" w:color="auto" w:sz="0" w:space="0"/>
          <w:between w:val="none" w:color="auto" w:sz="0" w:space="0"/>
        </w:pBdr>
        <w:jc w:val="center"/>
        <w:outlineLvl w:val="2"/>
        <w:rPr>
          <w:rFonts w:hint="eastAsia" w:asciiTheme="minorEastAsia" w:hAnsiTheme="minorEastAsia" w:eastAsiaTheme="minorEastAsia" w:cstheme="minorEastAsia"/>
          <w:b/>
          <w:bCs/>
          <w:color w:val="auto"/>
          <w:sz w:val="28"/>
          <w:szCs w:val="28"/>
          <w:lang w:eastAsia="zh-CN"/>
        </w:rPr>
      </w:pPr>
      <w:r>
        <w:rPr>
          <w:rFonts w:hint="eastAsia" w:asciiTheme="minorEastAsia" w:hAnsiTheme="minorEastAsia" w:eastAsiaTheme="minorEastAsia" w:cstheme="minorEastAsia"/>
          <w:b/>
          <w:bCs/>
          <w:color w:val="auto"/>
          <w:sz w:val="28"/>
          <w:szCs w:val="28"/>
          <w:lang w:eastAsia="zh-CN"/>
        </w:rPr>
        <w:t>资格审查评审表</w:t>
      </w:r>
    </w:p>
    <w:tbl>
      <w:tblPr>
        <w:tblStyle w:val="25"/>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
        <w:gridCol w:w="475"/>
        <w:gridCol w:w="6609"/>
        <w:gridCol w:w="566"/>
        <w:gridCol w:w="743"/>
      </w:tblGrid>
      <w:tr w14:paraId="2BFED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dxa"/>
            <w:vMerge w:val="restart"/>
            <w:shd w:val="clear" w:color="auto" w:fill="BFBFBF"/>
            <w:vAlign w:val="center"/>
          </w:tcPr>
          <w:p w14:paraId="18F60BDD">
            <w:pPr>
              <w:pBdr>
                <w:top w:val="none" w:color="auto" w:sz="0" w:space="0"/>
                <w:left w:val="none" w:color="auto" w:sz="0" w:space="0"/>
                <w:bottom w:val="none" w:color="auto" w:sz="0" w:space="0"/>
                <w:right w:val="none" w:color="auto" w:sz="0" w:space="0"/>
                <w:between w:val="none" w:color="auto" w:sz="0" w:space="0"/>
              </w:pBdr>
              <w:autoSpaceDE w:val="0"/>
              <w:autoSpaceDN w:val="0"/>
              <w:jc w:val="center"/>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z w:val="22"/>
                <w:szCs w:val="22"/>
              </w:rPr>
              <w:t>项目</w:t>
            </w:r>
          </w:p>
        </w:tc>
        <w:tc>
          <w:tcPr>
            <w:tcW w:w="475" w:type="dxa"/>
            <w:vMerge w:val="restart"/>
            <w:shd w:val="clear" w:color="auto" w:fill="BFBFBF"/>
            <w:vAlign w:val="center"/>
          </w:tcPr>
          <w:p w14:paraId="3231EF2F">
            <w:pPr>
              <w:pBdr>
                <w:top w:val="none" w:color="auto" w:sz="0" w:space="0"/>
                <w:left w:val="none" w:color="auto" w:sz="0" w:space="0"/>
                <w:bottom w:val="none" w:color="auto" w:sz="0" w:space="0"/>
                <w:right w:val="none" w:color="auto" w:sz="0" w:space="0"/>
                <w:between w:val="none" w:color="auto" w:sz="0" w:space="0"/>
              </w:pBdr>
              <w:autoSpaceDE w:val="0"/>
              <w:autoSpaceDN w:val="0"/>
              <w:jc w:val="center"/>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z w:val="22"/>
                <w:szCs w:val="22"/>
              </w:rPr>
              <w:t>序号</w:t>
            </w:r>
          </w:p>
        </w:tc>
        <w:tc>
          <w:tcPr>
            <w:tcW w:w="6609" w:type="dxa"/>
            <w:vMerge w:val="restart"/>
            <w:shd w:val="clear" w:color="auto" w:fill="BFBFBF"/>
            <w:vAlign w:val="center"/>
          </w:tcPr>
          <w:p w14:paraId="40B1A601">
            <w:pPr>
              <w:pBdr>
                <w:top w:val="none" w:color="auto" w:sz="0" w:space="0"/>
                <w:left w:val="none" w:color="auto" w:sz="0" w:space="0"/>
                <w:bottom w:val="none" w:color="auto" w:sz="0" w:space="0"/>
                <w:right w:val="none" w:color="auto" w:sz="0" w:space="0"/>
                <w:between w:val="none" w:color="auto" w:sz="0" w:space="0"/>
              </w:pBdr>
              <w:autoSpaceDE w:val="0"/>
              <w:autoSpaceDN w:val="0"/>
              <w:jc w:val="center"/>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z w:val="22"/>
                <w:szCs w:val="22"/>
              </w:rPr>
              <w:t>评审内容</w:t>
            </w:r>
          </w:p>
        </w:tc>
        <w:tc>
          <w:tcPr>
            <w:tcW w:w="1309" w:type="dxa"/>
            <w:gridSpan w:val="2"/>
            <w:shd w:val="clear" w:color="auto" w:fill="BFBFBF"/>
            <w:vAlign w:val="center"/>
          </w:tcPr>
          <w:p w14:paraId="7A3A5C96">
            <w:pPr>
              <w:pBdr>
                <w:top w:val="none" w:color="auto" w:sz="0" w:space="0"/>
                <w:left w:val="none" w:color="auto" w:sz="0" w:space="0"/>
                <w:bottom w:val="none" w:color="auto" w:sz="0" w:space="0"/>
                <w:right w:val="none" w:color="auto" w:sz="0" w:space="0"/>
                <w:between w:val="none" w:color="auto" w:sz="0" w:space="0"/>
              </w:pBdr>
              <w:autoSpaceDE w:val="0"/>
              <w:autoSpaceDN w:val="0"/>
              <w:jc w:val="center"/>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z w:val="22"/>
                <w:szCs w:val="22"/>
              </w:rPr>
              <w:t>评审方法</w:t>
            </w:r>
          </w:p>
        </w:tc>
      </w:tr>
      <w:tr w14:paraId="30073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dxa"/>
            <w:vMerge w:val="continue"/>
            <w:shd w:val="clear" w:color="auto" w:fill="BFBFBF"/>
            <w:vAlign w:val="center"/>
          </w:tcPr>
          <w:p w14:paraId="6AF3C2DB">
            <w:pPr>
              <w:pBdr>
                <w:top w:val="none" w:color="auto" w:sz="0" w:space="0"/>
                <w:left w:val="none" w:color="auto" w:sz="0" w:space="0"/>
                <w:bottom w:val="none" w:color="auto" w:sz="0" w:space="0"/>
                <w:right w:val="none" w:color="auto" w:sz="0" w:space="0"/>
                <w:between w:val="none" w:color="auto" w:sz="0" w:space="0"/>
              </w:pBdr>
              <w:autoSpaceDE w:val="0"/>
              <w:autoSpaceDN w:val="0"/>
              <w:jc w:val="center"/>
              <w:rPr>
                <w:rFonts w:hint="eastAsia" w:asciiTheme="minorEastAsia" w:hAnsiTheme="minorEastAsia" w:eastAsiaTheme="minorEastAsia" w:cstheme="minorEastAsia"/>
                <w:color w:val="auto"/>
                <w:sz w:val="22"/>
                <w:szCs w:val="22"/>
              </w:rPr>
            </w:pPr>
          </w:p>
        </w:tc>
        <w:tc>
          <w:tcPr>
            <w:tcW w:w="475" w:type="dxa"/>
            <w:vMerge w:val="continue"/>
            <w:shd w:val="clear" w:color="auto" w:fill="BFBFBF"/>
            <w:vAlign w:val="center"/>
          </w:tcPr>
          <w:p w14:paraId="2487494A">
            <w:pPr>
              <w:pBdr>
                <w:top w:val="none" w:color="auto" w:sz="0" w:space="0"/>
                <w:left w:val="none" w:color="auto" w:sz="0" w:space="0"/>
                <w:bottom w:val="none" w:color="auto" w:sz="0" w:space="0"/>
                <w:right w:val="none" w:color="auto" w:sz="0" w:space="0"/>
                <w:between w:val="none" w:color="auto" w:sz="0" w:space="0"/>
              </w:pBdr>
              <w:autoSpaceDE w:val="0"/>
              <w:autoSpaceDN w:val="0"/>
              <w:jc w:val="center"/>
              <w:rPr>
                <w:rFonts w:hint="eastAsia" w:asciiTheme="minorEastAsia" w:hAnsiTheme="minorEastAsia" w:eastAsiaTheme="minorEastAsia" w:cstheme="minorEastAsia"/>
                <w:color w:val="auto"/>
                <w:sz w:val="22"/>
                <w:szCs w:val="22"/>
              </w:rPr>
            </w:pPr>
          </w:p>
        </w:tc>
        <w:tc>
          <w:tcPr>
            <w:tcW w:w="6609" w:type="dxa"/>
            <w:vMerge w:val="continue"/>
            <w:shd w:val="clear" w:color="auto" w:fill="BFBFBF"/>
            <w:vAlign w:val="center"/>
          </w:tcPr>
          <w:p w14:paraId="75136DED">
            <w:pPr>
              <w:pBdr>
                <w:top w:val="none" w:color="auto" w:sz="0" w:space="0"/>
                <w:left w:val="none" w:color="auto" w:sz="0" w:space="0"/>
                <w:bottom w:val="none" w:color="auto" w:sz="0" w:space="0"/>
                <w:right w:val="none" w:color="auto" w:sz="0" w:space="0"/>
                <w:between w:val="none" w:color="auto" w:sz="0" w:space="0"/>
              </w:pBdr>
              <w:autoSpaceDE w:val="0"/>
              <w:autoSpaceDN w:val="0"/>
              <w:rPr>
                <w:rFonts w:hint="eastAsia" w:asciiTheme="minorEastAsia" w:hAnsiTheme="minorEastAsia" w:eastAsiaTheme="minorEastAsia" w:cstheme="minorEastAsia"/>
                <w:color w:val="auto"/>
                <w:sz w:val="22"/>
                <w:szCs w:val="22"/>
              </w:rPr>
            </w:pPr>
          </w:p>
        </w:tc>
        <w:tc>
          <w:tcPr>
            <w:tcW w:w="566" w:type="dxa"/>
            <w:shd w:val="clear" w:color="auto" w:fill="BFBFBF"/>
            <w:vAlign w:val="center"/>
          </w:tcPr>
          <w:p w14:paraId="056D1955">
            <w:pPr>
              <w:pBdr>
                <w:top w:val="none" w:color="auto" w:sz="0" w:space="0"/>
                <w:left w:val="none" w:color="auto" w:sz="0" w:space="0"/>
                <w:bottom w:val="none" w:color="auto" w:sz="0" w:space="0"/>
                <w:right w:val="none" w:color="auto" w:sz="0" w:space="0"/>
                <w:between w:val="none" w:color="auto" w:sz="0" w:space="0"/>
              </w:pBdr>
              <w:autoSpaceDE w:val="0"/>
              <w:autoSpaceDN w:val="0"/>
              <w:jc w:val="center"/>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z w:val="22"/>
                <w:szCs w:val="22"/>
              </w:rPr>
              <w:t>通过</w:t>
            </w:r>
          </w:p>
        </w:tc>
        <w:tc>
          <w:tcPr>
            <w:tcW w:w="743" w:type="dxa"/>
            <w:shd w:val="clear" w:color="auto" w:fill="BFBFBF"/>
            <w:vAlign w:val="center"/>
          </w:tcPr>
          <w:p w14:paraId="45718BA6">
            <w:pPr>
              <w:pBdr>
                <w:top w:val="none" w:color="auto" w:sz="0" w:space="0"/>
                <w:left w:val="none" w:color="auto" w:sz="0" w:space="0"/>
                <w:bottom w:val="none" w:color="auto" w:sz="0" w:space="0"/>
                <w:right w:val="none" w:color="auto" w:sz="0" w:space="0"/>
                <w:between w:val="none" w:color="auto" w:sz="0" w:space="0"/>
              </w:pBdr>
              <w:autoSpaceDE w:val="0"/>
              <w:autoSpaceDN w:val="0"/>
              <w:jc w:val="center"/>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z w:val="22"/>
                <w:szCs w:val="22"/>
              </w:rPr>
              <w:t>未通过</w:t>
            </w:r>
          </w:p>
        </w:tc>
      </w:tr>
      <w:tr w14:paraId="760BF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38" w:type="dxa"/>
            <w:vMerge w:val="restart"/>
            <w:vAlign w:val="center"/>
          </w:tcPr>
          <w:p w14:paraId="206A2F24">
            <w:pPr>
              <w:pBdr>
                <w:top w:val="none" w:color="auto" w:sz="0" w:space="0"/>
                <w:left w:val="none" w:color="auto" w:sz="0" w:space="0"/>
                <w:bottom w:val="none" w:color="auto" w:sz="0" w:space="0"/>
                <w:right w:val="none" w:color="auto" w:sz="0" w:space="0"/>
                <w:between w:val="none" w:color="auto" w:sz="0" w:space="0"/>
              </w:pBdr>
              <w:autoSpaceDE w:val="0"/>
              <w:autoSpaceDN w:val="0"/>
              <w:jc w:val="center"/>
              <w:rPr>
                <w:rFonts w:hint="eastAsia" w:asciiTheme="minorEastAsia" w:hAnsiTheme="minorEastAsia" w:eastAsiaTheme="minorEastAsia" w:cstheme="minorEastAsia"/>
                <w:color w:val="auto"/>
                <w:sz w:val="22"/>
                <w:szCs w:val="22"/>
                <w:lang w:eastAsia="zh-CN"/>
              </w:rPr>
            </w:pPr>
            <w:r>
              <w:rPr>
                <w:rFonts w:hint="eastAsia" w:asciiTheme="minorEastAsia" w:hAnsiTheme="minorEastAsia" w:eastAsiaTheme="minorEastAsia" w:cstheme="minorEastAsia"/>
                <w:color w:val="auto"/>
                <w:sz w:val="22"/>
                <w:szCs w:val="22"/>
              </w:rPr>
              <w:t>资格</w:t>
            </w:r>
            <w:r>
              <w:rPr>
                <w:rFonts w:hint="eastAsia" w:asciiTheme="minorEastAsia" w:hAnsiTheme="minorEastAsia" w:eastAsiaTheme="minorEastAsia" w:cstheme="minorEastAsia"/>
                <w:color w:val="auto"/>
                <w:sz w:val="22"/>
                <w:szCs w:val="22"/>
                <w:lang w:eastAsia="zh-CN"/>
              </w:rPr>
              <w:t>性检查</w:t>
            </w:r>
          </w:p>
        </w:tc>
        <w:tc>
          <w:tcPr>
            <w:tcW w:w="475" w:type="dxa"/>
            <w:vAlign w:val="center"/>
          </w:tcPr>
          <w:p w14:paraId="249F3F69">
            <w:pPr>
              <w:pBdr>
                <w:top w:val="none" w:color="auto" w:sz="0" w:space="0"/>
                <w:left w:val="none" w:color="auto" w:sz="0" w:space="0"/>
                <w:bottom w:val="none" w:color="auto" w:sz="0" w:space="0"/>
                <w:right w:val="none" w:color="auto" w:sz="0" w:space="0"/>
                <w:between w:val="none" w:color="auto" w:sz="0" w:space="0"/>
              </w:pBdr>
              <w:autoSpaceDE w:val="0"/>
              <w:autoSpaceDN w:val="0"/>
              <w:jc w:val="center"/>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z w:val="22"/>
                <w:szCs w:val="22"/>
              </w:rPr>
              <w:t>1</w:t>
            </w:r>
          </w:p>
        </w:tc>
        <w:tc>
          <w:tcPr>
            <w:tcW w:w="6609" w:type="dxa"/>
            <w:vAlign w:val="center"/>
          </w:tcPr>
          <w:p w14:paraId="0C5075FD">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sz w:val="22"/>
                <w:szCs w:val="22"/>
                <w:lang w:eastAsia="zh-CN"/>
              </w:rPr>
            </w:pPr>
            <w:r>
              <w:rPr>
                <w:rFonts w:hint="eastAsia" w:asciiTheme="minorEastAsia" w:hAnsiTheme="minorEastAsia" w:eastAsiaTheme="minorEastAsia" w:cstheme="minorEastAsia"/>
                <w:color w:val="auto"/>
                <w:sz w:val="22"/>
                <w:szCs w:val="22"/>
                <w:lang w:eastAsia="zh-CN"/>
              </w:rPr>
              <w:t>法定代表人授权委托书及被委托人身份证（法定代表人参加投标时提供本人身份证）；</w:t>
            </w:r>
          </w:p>
        </w:tc>
        <w:tc>
          <w:tcPr>
            <w:tcW w:w="566" w:type="dxa"/>
            <w:vAlign w:val="center"/>
          </w:tcPr>
          <w:p w14:paraId="05CB3265">
            <w:pPr>
              <w:pBdr>
                <w:top w:val="none" w:color="auto" w:sz="0" w:space="0"/>
                <w:left w:val="none" w:color="auto" w:sz="0" w:space="0"/>
                <w:bottom w:val="none" w:color="auto" w:sz="0" w:space="0"/>
                <w:right w:val="none" w:color="auto" w:sz="0" w:space="0"/>
                <w:between w:val="none" w:color="auto" w:sz="0" w:space="0"/>
              </w:pBdr>
              <w:autoSpaceDE w:val="0"/>
              <w:autoSpaceDN w:val="0"/>
              <w:jc w:val="center"/>
              <w:rPr>
                <w:rFonts w:hint="eastAsia" w:asciiTheme="minorEastAsia" w:hAnsiTheme="minorEastAsia" w:eastAsiaTheme="minorEastAsia" w:cstheme="minorEastAsia"/>
                <w:color w:val="auto"/>
                <w:sz w:val="22"/>
                <w:szCs w:val="22"/>
                <w:lang w:eastAsia="zh-CN"/>
              </w:rPr>
            </w:pPr>
          </w:p>
        </w:tc>
        <w:tc>
          <w:tcPr>
            <w:tcW w:w="743" w:type="dxa"/>
            <w:vAlign w:val="center"/>
          </w:tcPr>
          <w:p w14:paraId="5F590B1B">
            <w:pPr>
              <w:pBdr>
                <w:top w:val="none" w:color="auto" w:sz="0" w:space="0"/>
                <w:left w:val="none" w:color="auto" w:sz="0" w:space="0"/>
                <w:bottom w:val="none" w:color="auto" w:sz="0" w:space="0"/>
                <w:right w:val="none" w:color="auto" w:sz="0" w:space="0"/>
                <w:between w:val="none" w:color="auto" w:sz="0" w:space="0"/>
              </w:pBdr>
              <w:autoSpaceDE w:val="0"/>
              <w:autoSpaceDN w:val="0"/>
              <w:jc w:val="center"/>
              <w:rPr>
                <w:rFonts w:hint="eastAsia" w:asciiTheme="minorEastAsia" w:hAnsiTheme="minorEastAsia" w:eastAsiaTheme="minorEastAsia" w:cstheme="minorEastAsia"/>
                <w:color w:val="auto"/>
                <w:sz w:val="22"/>
                <w:szCs w:val="22"/>
                <w:lang w:eastAsia="zh-CN"/>
              </w:rPr>
            </w:pPr>
          </w:p>
        </w:tc>
      </w:tr>
      <w:tr w14:paraId="715BE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538" w:type="dxa"/>
            <w:vMerge w:val="continue"/>
            <w:vAlign w:val="center"/>
          </w:tcPr>
          <w:p w14:paraId="4312D1AC">
            <w:pPr>
              <w:pBdr>
                <w:top w:val="none" w:color="auto" w:sz="0" w:space="0"/>
                <w:left w:val="none" w:color="auto" w:sz="0" w:space="0"/>
                <w:bottom w:val="none" w:color="auto" w:sz="0" w:space="0"/>
                <w:right w:val="none" w:color="auto" w:sz="0" w:space="0"/>
                <w:between w:val="none" w:color="auto" w:sz="0" w:space="0"/>
              </w:pBdr>
              <w:autoSpaceDE w:val="0"/>
              <w:autoSpaceDN w:val="0"/>
              <w:jc w:val="center"/>
              <w:rPr>
                <w:rFonts w:hint="eastAsia" w:asciiTheme="minorEastAsia" w:hAnsiTheme="minorEastAsia" w:eastAsiaTheme="minorEastAsia" w:cstheme="minorEastAsia"/>
                <w:color w:val="auto"/>
                <w:sz w:val="22"/>
                <w:szCs w:val="22"/>
                <w:lang w:eastAsia="zh-CN"/>
              </w:rPr>
            </w:pPr>
          </w:p>
        </w:tc>
        <w:tc>
          <w:tcPr>
            <w:tcW w:w="475" w:type="dxa"/>
            <w:vAlign w:val="center"/>
          </w:tcPr>
          <w:p w14:paraId="4402921E">
            <w:pPr>
              <w:pBdr>
                <w:top w:val="none" w:color="auto" w:sz="0" w:space="0"/>
                <w:left w:val="none" w:color="auto" w:sz="0" w:space="0"/>
                <w:bottom w:val="none" w:color="auto" w:sz="0" w:space="0"/>
                <w:right w:val="none" w:color="auto" w:sz="0" w:space="0"/>
                <w:between w:val="none" w:color="auto" w:sz="0" w:space="0"/>
              </w:pBdr>
              <w:autoSpaceDE w:val="0"/>
              <w:autoSpaceDN w:val="0"/>
              <w:jc w:val="center"/>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z w:val="22"/>
                <w:szCs w:val="22"/>
              </w:rPr>
              <w:t>2</w:t>
            </w:r>
          </w:p>
        </w:tc>
        <w:tc>
          <w:tcPr>
            <w:tcW w:w="6609" w:type="dxa"/>
            <w:vAlign w:val="center"/>
          </w:tcPr>
          <w:p w14:paraId="0A8E10C3">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sz w:val="22"/>
                <w:szCs w:val="22"/>
                <w:lang w:eastAsia="zh-CN"/>
              </w:rPr>
            </w:pPr>
            <w:r>
              <w:rPr>
                <w:rFonts w:hint="eastAsia" w:asciiTheme="minorEastAsia" w:hAnsiTheme="minorEastAsia" w:eastAsiaTheme="minorEastAsia" w:cstheme="minorEastAsia"/>
                <w:color w:val="auto"/>
                <w:sz w:val="22"/>
                <w:szCs w:val="22"/>
                <w:lang w:eastAsia="zh-CN"/>
              </w:rPr>
              <w:t>法人或者非法人组织的营业执照等证明文件原件扫描件（须加盖本</w:t>
            </w:r>
          </w:p>
          <w:p w14:paraId="31AC728C">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sz w:val="22"/>
                <w:szCs w:val="22"/>
                <w:lang w:eastAsia="zh-CN"/>
              </w:rPr>
            </w:pPr>
            <w:r>
              <w:rPr>
                <w:rFonts w:hint="eastAsia" w:asciiTheme="minorEastAsia" w:hAnsiTheme="minorEastAsia" w:eastAsiaTheme="minorEastAsia" w:cstheme="minorEastAsia"/>
                <w:color w:val="auto"/>
                <w:sz w:val="22"/>
                <w:szCs w:val="22"/>
                <w:lang w:eastAsia="zh-CN"/>
              </w:rPr>
              <w:t>单位公章）或自然人的身份证明原件扫描件；</w:t>
            </w:r>
          </w:p>
        </w:tc>
        <w:tc>
          <w:tcPr>
            <w:tcW w:w="566" w:type="dxa"/>
            <w:vAlign w:val="center"/>
          </w:tcPr>
          <w:p w14:paraId="3FB3430B">
            <w:pPr>
              <w:pBdr>
                <w:top w:val="none" w:color="auto" w:sz="0" w:space="0"/>
                <w:left w:val="none" w:color="auto" w:sz="0" w:space="0"/>
                <w:bottom w:val="none" w:color="auto" w:sz="0" w:space="0"/>
                <w:right w:val="none" w:color="auto" w:sz="0" w:space="0"/>
                <w:between w:val="none" w:color="auto" w:sz="0" w:space="0"/>
              </w:pBdr>
              <w:autoSpaceDE w:val="0"/>
              <w:autoSpaceDN w:val="0"/>
              <w:jc w:val="center"/>
              <w:rPr>
                <w:rFonts w:hint="eastAsia" w:asciiTheme="minorEastAsia" w:hAnsiTheme="minorEastAsia" w:eastAsiaTheme="minorEastAsia" w:cstheme="minorEastAsia"/>
                <w:color w:val="auto"/>
                <w:sz w:val="22"/>
                <w:szCs w:val="22"/>
                <w:lang w:eastAsia="zh-CN"/>
              </w:rPr>
            </w:pPr>
          </w:p>
        </w:tc>
        <w:tc>
          <w:tcPr>
            <w:tcW w:w="743" w:type="dxa"/>
            <w:vAlign w:val="center"/>
          </w:tcPr>
          <w:p w14:paraId="5B1FE332">
            <w:pPr>
              <w:pBdr>
                <w:top w:val="none" w:color="auto" w:sz="0" w:space="0"/>
                <w:left w:val="none" w:color="auto" w:sz="0" w:space="0"/>
                <w:bottom w:val="none" w:color="auto" w:sz="0" w:space="0"/>
                <w:right w:val="none" w:color="auto" w:sz="0" w:space="0"/>
                <w:between w:val="none" w:color="auto" w:sz="0" w:space="0"/>
              </w:pBdr>
              <w:autoSpaceDE w:val="0"/>
              <w:autoSpaceDN w:val="0"/>
              <w:jc w:val="center"/>
              <w:rPr>
                <w:rFonts w:hint="eastAsia" w:asciiTheme="minorEastAsia" w:hAnsiTheme="minorEastAsia" w:eastAsiaTheme="minorEastAsia" w:cstheme="minorEastAsia"/>
                <w:color w:val="auto"/>
                <w:sz w:val="22"/>
                <w:szCs w:val="22"/>
                <w:lang w:eastAsia="zh-CN"/>
              </w:rPr>
            </w:pPr>
          </w:p>
        </w:tc>
      </w:tr>
      <w:tr w14:paraId="5C989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8" w:type="dxa"/>
            <w:vMerge w:val="continue"/>
            <w:vAlign w:val="center"/>
          </w:tcPr>
          <w:p w14:paraId="6E7C78DB">
            <w:pPr>
              <w:pBdr>
                <w:top w:val="none" w:color="auto" w:sz="0" w:space="0"/>
                <w:left w:val="none" w:color="auto" w:sz="0" w:space="0"/>
                <w:bottom w:val="none" w:color="auto" w:sz="0" w:space="0"/>
                <w:right w:val="none" w:color="auto" w:sz="0" w:space="0"/>
                <w:between w:val="none" w:color="auto" w:sz="0" w:space="0"/>
              </w:pBdr>
              <w:autoSpaceDE w:val="0"/>
              <w:autoSpaceDN w:val="0"/>
              <w:jc w:val="center"/>
              <w:rPr>
                <w:rFonts w:hint="eastAsia" w:asciiTheme="minorEastAsia" w:hAnsiTheme="minorEastAsia" w:eastAsiaTheme="minorEastAsia" w:cstheme="minorEastAsia"/>
                <w:color w:val="auto"/>
                <w:sz w:val="22"/>
                <w:szCs w:val="22"/>
                <w:lang w:eastAsia="zh-CN"/>
              </w:rPr>
            </w:pPr>
          </w:p>
        </w:tc>
        <w:tc>
          <w:tcPr>
            <w:tcW w:w="475" w:type="dxa"/>
            <w:vAlign w:val="center"/>
          </w:tcPr>
          <w:p w14:paraId="38354F63">
            <w:pPr>
              <w:pBdr>
                <w:top w:val="none" w:color="auto" w:sz="0" w:space="0"/>
                <w:left w:val="none" w:color="auto" w:sz="0" w:space="0"/>
                <w:bottom w:val="none" w:color="auto" w:sz="0" w:space="0"/>
                <w:right w:val="none" w:color="auto" w:sz="0" w:space="0"/>
                <w:between w:val="none" w:color="auto" w:sz="0" w:space="0"/>
              </w:pBdr>
              <w:autoSpaceDE w:val="0"/>
              <w:autoSpaceDN w:val="0"/>
              <w:jc w:val="center"/>
              <w:rPr>
                <w:rFonts w:hint="eastAsia" w:asciiTheme="minorEastAsia" w:hAnsiTheme="minorEastAsia" w:eastAsiaTheme="minorEastAsia" w:cstheme="minorEastAsia"/>
                <w:color w:val="auto"/>
                <w:sz w:val="22"/>
                <w:szCs w:val="22"/>
                <w:lang w:eastAsia="zh-CN"/>
              </w:rPr>
            </w:pPr>
            <w:r>
              <w:rPr>
                <w:rFonts w:hint="eastAsia" w:asciiTheme="minorEastAsia" w:hAnsiTheme="minorEastAsia" w:eastAsiaTheme="minorEastAsia" w:cstheme="minorEastAsia"/>
                <w:color w:val="auto"/>
                <w:sz w:val="22"/>
                <w:szCs w:val="22"/>
                <w:lang w:eastAsia="zh-CN"/>
              </w:rPr>
              <w:t>3</w:t>
            </w:r>
          </w:p>
        </w:tc>
        <w:tc>
          <w:tcPr>
            <w:tcW w:w="6609" w:type="dxa"/>
            <w:vAlign w:val="center"/>
          </w:tcPr>
          <w:p w14:paraId="70335D1B">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sz w:val="22"/>
                <w:szCs w:val="22"/>
                <w:lang w:eastAsia="zh-CN"/>
              </w:rPr>
            </w:pPr>
            <w:r>
              <w:rPr>
                <w:rFonts w:hint="eastAsia" w:asciiTheme="minorEastAsia" w:hAnsiTheme="minorEastAsia" w:eastAsiaTheme="minorEastAsia" w:cstheme="minorEastAsia"/>
                <w:color w:val="auto"/>
                <w:sz w:val="22"/>
                <w:szCs w:val="22"/>
                <w:lang w:eastAsia="zh-CN"/>
              </w:rPr>
              <w:t>社会保障资金缴纳记录：</w:t>
            </w:r>
          </w:p>
          <w:p w14:paraId="7D87D455">
            <w:pPr>
              <w:pBdr>
                <w:top w:val="none" w:color="auto" w:sz="0" w:space="0"/>
                <w:left w:val="none" w:color="auto" w:sz="0" w:space="0"/>
                <w:bottom w:val="none" w:color="auto" w:sz="0" w:space="0"/>
                <w:right w:val="none" w:color="auto" w:sz="0" w:space="0"/>
                <w:between w:val="none" w:color="auto" w:sz="0" w:space="0"/>
              </w:pBdr>
              <w:ind w:firstLine="440" w:firstLineChars="200"/>
              <w:rPr>
                <w:rFonts w:hint="eastAsia" w:asciiTheme="minorEastAsia" w:hAnsiTheme="minorEastAsia" w:eastAsiaTheme="minorEastAsia" w:cstheme="minorEastAsia"/>
                <w:color w:val="auto"/>
                <w:sz w:val="22"/>
                <w:szCs w:val="22"/>
                <w:lang w:eastAsia="zh-CN"/>
              </w:rPr>
            </w:pPr>
            <w:r>
              <w:rPr>
                <w:rFonts w:hint="eastAsia" w:asciiTheme="minorEastAsia" w:hAnsiTheme="minorEastAsia" w:eastAsiaTheme="minorEastAsia" w:cstheme="minorEastAsia"/>
                <w:color w:val="auto"/>
                <w:sz w:val="22"/>
                <w:szCs w:val="22"/>
                <w:lang w:eastAsia="zh-CN"/>
              </w:rPr>
              <w:t>提供近一年内（</w:t>
            </w:r>
            <w:r>
              <w:rPr>
                <w:rFonts w:hint="eastAsia" w:asciiTheme="minorEastAsia" w:hAnsiTheme="minorEastAsia" w:eastAsiaTheme="minorEastAsia" w:cstheme="minorEastAsia"/>
                <w:color w:val="auto"/>
                <w:sz w:val="22"/>
                <w:szCs w:val="22"/>
                <w:lang w:val="en-US" w:eastAsia="zh-CN"/>
              </w:rPr>
              <w:t>2023年11月-2024年10月</w:t>
            </w:r>
            <w:r>
              <w:rPr>
                <w:rFonts w:hint="eastAsia" w:asciiTheme="minorEastAsia" w:hAnsiTheme="minorEastAsia" w:eastAsiaTheme="minorEastAsia" w:cstheme="minorEastAsia"/>
                <w:color w:val="auto"/>
                <w:sz w:val="22"/>
                <w:szCs w:val="22"/>
                <w:lang w:eastAsia="zh-CN"/>
              </w:rPr>
              <w:t>）任意三个月社保缴纳证明（专用收据或社会保险缴纳清单），社保机构或税务机构出具的收据或清单均可，银行出具的回执单不予认可。（1.如为社会机构代缴代扣的，需提供和社会机构代缴代扣的协议。其他组织和自然人也需要提供缴纳社会保险的证明。2.刚成立不满三个月的企业，应提供依法缴纳社会保障资金承诺函；如依法不需要缴纳社会保障资金的，应提供相应文件证明其依法不需要缴纳社会保障资金）。</w:t>
            </w:r>
          </w:p>
        </w:tc>
        <w:tc>
          <w:tcPr>
            <w:tcW w:w="566" w:type="dxa"/>
            <w:vAlign w:val="center"/>
          </w:tcPr>
          <w:p w14:paraId="5EE9C713">
            <w:pPr>
              <w:pBdr>
                <w:top w:val="none" w:color="auto" w:sz="0" w:space="0"/>
                <w:left w:val="none" w:color="auto" w:sz="0" w:space="0"/>
                <w:bottom w:val="none" w:color="auto" w:sz="0" w:space="0"/>
                <w:right w:val="none" w:color="auto" w:sz="0" w:space="0"/>
                <w:between w:val="none" w:color="auto" w:sz="0" w:space="0"/>
              </w:pBdr>
              <w:autoSpaceDE w:val="0"/>
              <w:autoSpaceDN w:val="0"/>
              <w:jc w:val="center"/>
              <w:rPr>
                <w:rFonts w:hint="eastAsia" w:asciiTheme="minorEastAsia" w:hAnsiTheme="minorEastAsia" w:eastAsiaTheme="minorEastAsia" w:cstheme="minorEastAsia"/>
                <w:color w:val="auto"/>
                <w:sz w:val="22"/>
                <w:szCs w:val="22"/>
                <w:lang w:eastAsia="zh-CN"/>
              </w:rPr>
            </w:pPr>
          </w:p>
        </w:tc>
        <w:tc>
          <w:tcPr>
            <w:tcW w:w="743" w:type="dxa"/>
            <w:vAlign w:val="center"/>
          </w:tcPr>
          <w:p w14:paraId="49870A08">
            <w:pPr>
              <w:pBdr>
                <w:top w:val="none" w:color="auto" w:sz="0" w:space="0"/>
                <w:left w:val="none" w:color="auto" w:sz="0" w:space="0"/>
                <w:bottom w:val="none" w:color="auto" w:sz="0" w:space="0"/>
                <w:right w:val="none" w:color="auto" w:sz="0" w:space="0"/>
                <w:between w:val="none" w:color="auto" w:sz="0" w:space="0"/>
              </w:pBdr>
              <w:autoSpaceDE w:val="0"/>
              <w:autoSpaceDN w:val="0"/>
              <w:jc w:val="center"/>
              <w:rPr>
                <w:rFonts w:hint="eastAsia" w:asciiTheme="minorEastAsia" w:hAnsiTheme="minorEastAsia" w:eastAsiaTheme="minorEastAsia" w:cstheme="minorEastAsia"/>
                <w:color w:val="auto"/>
                <w:sz w:val="22"/>
                <w:szCs w:val="22"/>
                <w:lang w:eastAsia="zh-CN"/>
              </w:rPr>
            </w:pPr>
          </w:p>
        </w:tc>
      </w:tr>
      <w:tr w14:paraId="6699D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8" w:type="dxa"/>
            <w:vMerge w:val="continue"/>
            <w:vAlign w:val="center"/>
          </w:tcPr>
          <w:p w14:paraId="6604E31F">
            <w:pPr>
              <w:pBdr>
                <w:top w:val="none" w:color="auto" w:sz="0" w:space="0"/>
                <w:left w:val="none" w:color="auto" w:sz="0" w:space="0"/>
                <w:bottom w:val="none" w:color="auto" w:sz="0" w:space="0"/>
                <w:right w:val="none" w:color="auto" w:sz="0" w:space="0"/>
                <w:between w:val="none" w:color="auto" w:sz="0" w:space="0"/>
              </w:pBdr>
              <w:autoSpaceDE w:val="0"/>
              <w:autoSpaceDN w:val="0"/>
              <w:jc w:val="center"/>
              <w:rPr>
                <w:rFonts w:hint="eastAsia" w:asciiTheme="minorEastAsia" w:hAnsiTheme="minorEastAsia" w:eastAsiaTheme="minorEastAsia" w:cstheme="minorEastAsia"/>
                <w:color w:val="auto"/>
                <w:sz w:val="22"/>
                <w:szCs w:val="22"/>
                <w:lang w:eastAsia="zh-CN"/>
              </w:rPr>
            </w:pPr>
          </w:p>
        </w:tc>
        <w:tc>
          <w:tcPr>
            <w:tcW w:w="475" w:type="dxa"/>
            <w:vAlign w:val="center"/>
          </w:tcPr>
          <w:p w14:paraId="648A0190">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sz w:val="22"/>
                <w:szCs w:val="22"/>
                <w:lang w:eastAsia="zh-CN"/>
              </w:rPr>
            </w:pPr>
            <w:r>
              <w:rPr>
                <w:rFonts w:hint="eastAsia" w:asciiTheme="minorEastAsia" w:hAnsiTheme="minorEastAsia" w:eastAsiaTheme="minorEastAsia" w:cstheme="minorEastAsia"/>
                <w:color w:val="auto"/>
                <w:sz w:val="22"/>
                <w:szCs w:val="22"/>
                <w:lang w:eastAsia="zh-CN"/>
              </w:rPr>
              <w:t>4</w:t>
            </w:r>
          </w:p>
        </w:tc>
        <w:tc>
          <w:tcPr>
            <w:tcW w:w="6609" w:type="dxa"/>
            <w:vAlign w:val="center"/>
          </w:tcPr>
          <w:p w14:paraId="1D6AE155">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sz w:val="22"/>
                <w:szCs w:val="22"/>
                <w:lang w:eastAsia="zh-CN"/>
              </w:rPr>
            </w:pPr>
            <w:r>
              <w:rPr>
                <w:rFonts w:hint="eastAsia" w:asciiTheme="minorEastAsia" w:hAnsiTheme="minorEastAsia" w:eastAsiaTheme="minorEastAsia" w:cstheme="minorEastAsia"/>
                <w:color w:val="auto"/>
                <w:sz w:val="22"/>
                <w:szCs w:val="22"/>
                <w:lang w:eastAsia="zh-CN"/>
              </w:rPr>
              <w:t>依法缴纳税收证明：</w:t>
            </w:r>
          </w:p>
          <w:p w14:paraId="28534290">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sz w:val="22"/>
                <w:szCs w:val="22"/>
                <w:lang w:eastAsia="zh-CN"/>
              </w:rPr>
            </w:pPr>
            <w:r>
              <w:rPr>
                <w:rFonts w:hint="eastAsia" w:asciiTheme="minorEastAsia" w:hAnsiTheme="minorEastAsia" w:eastAsiaTheme="minorEastAsia" w:cstheme="minorEastAsia"/>
                <w:color w:val="auto"/>
                <w:sz w:val="22"/>
                <w:szCs w:val="22"/>
                <w:lang w:eastAsia="zh-CN"/>
              </w:rPr>
              <w:tab/>
            </w:r>
            <w:r>
              <w:rPr>
                <w:rFonts w:hint="eastAsia" w:asciiTheme="minorEastAsia" w:hAnsiTheme="minorEastAsia" w:eastAsiaTheme="minorEastAsia" w:cstheme="minorEastAsia"/>
                <w:color w:val="auto"/>
                <w:sz w:val="22"/>
                <w:szCs w:val="22"/>
                <w:lang w:eastAsia="zh-CN"/>
              </w:rPr>
              <w:t>提供税务机构出具的近一年内（</w:t>
            </w:r>
            <w:r>
              <w:rPr>
                <w:rFonts w:hint="eastAsia" w:asciiTheme="minorEastAsia" w:hAnsiTheme="minorEastAsia" w:eastAsiaTheme="minorEastAsia" w:cstheme="minorEastAsia"/>
                <w:color w:val="auto"/>
                <w:sz w:val="22"/>
                <w:szCs w:val="22"/>
                <w:lang w:val="en-US" w:eastAsia="zh-CN"/>
              </w:rPr>
              <w:t>2023年11月-2024年10月</w:t>
            </w:r>
            <w:r>
              <w:rPr>
                <w:rFonts w:hint="eastAsia" w:asciiTheme="minorEastAsia" w:hAnsiTheme="minorEastAsia" w:eastAsiaTheme="minorEastAsia" w:cstheme="minorEastAsia"/>
                <w:color w:val="auto"/>
                <w:sz w:val="22"/>
                <w:szCs w:val="22"/>
                <w:lang w:eastAsia="zh-CN"/>
              </w:rPr>
              <w:t>）任意三个月的依法缴纳税收等证明材料（刚成立不满三个月的企业，应提供依法缴纳税收承诺书；如依法免税的企业，应提供相应文件证明其依法免税）。</w:t>
            </w:r>
          </w:p>
        </w:tc>
        <w:tc>
          <w:tcPr>
            <w:tcW w:w="566" w:type="dxa"/>
            <w:vAlign w:val="center"/>
          </w:tcPr>
          <w:p w14:paraId="1D2D4922">
            <w:pPr>
              <w:pBdr>
                <w:top w:val="none" w:color="auto" w:sz="0" w:space="0"/>
                <w:left w:val="none" w:color="auto" w:sz="0" w:space="0"/>
                <w:bottom w:val="none" w:color="auto" w:sz="0" w:space="0"/>
                <w:right w:val="none" w:color="auto" w:sz="0" w:space="0"/>
                <w:between w:val="none" w:color="auto" w:sz="0" w:space="0"/>
              </w:pBdr>
              <w:autoSpaceDE w:val="0"/>
              <w:autoSpaceDN w:val="0"/>
              <w:jc w:val="center"/>
              <w:rPr>
                <w:rFonts w:hint="eastAsia" w:asciiTheme="minorEastAsia" w:hAnsiTheme="minorEastAsia" w:eastAsiaTheme="minorEastAsia" w:cstheme="minorEastAsia"/>
                <w:color w:val="auto"/>
                <w:sz w:val="22"/>
                <w:szCs w:val="22"/>
                <w:lang w:eastAsia="zh-CN"/>
              </w:rPr>
            </w:pPr>
          </w:p>
        </w:tc>
        <w:tc>
          <w:tcPr>
            <w:tcW w:w="743" w:type="dxa"/>
            <w:vAlign w:val="center"/>
          </w:tcPr>
          <w:p w14:paraId="6D5B6761">
            <w:pPr>
              <w:pBdr>
                <w:top w:val="none" w:color="auto" w:sz="0" w:space="0"/>
                <w:left w:val="none" w:color="auto" w:sz="0" w:space="0"/>
                <w:bottom w:val="none" w:color="auto" w:sz="0" w:space="0"/>
                <w:right w:val="none" w:color="auto" w:sz="0" w:space="0"/>
                <w:between w:val="none" w:color="auto" w:sz="0" w:space="0"/>
              </w:pBdr>
              <w:autoSpaceDE w:val="0"/>
              <w:autoSpaceDN w:val="0"/>
              <w:jc w:val="center"/>
              <w:rPr>
                <w:rFonts w:hint="eastAsia" w:asciiTheme="minorEastAsia" w:hAnsiTheme="minorEastAsia" w:eastAsiaTheme="minorEastAsia" w:cstheme="minorEastAsia"/>
                <w:color w:val="auto"/>
                <w:sz w:val="22"/>
                <w:szCs w:val="22"/>
                <w:lang w:eastAsia="zh-CN"/>
              </w:rPr>
            </w:pPr>
          </w:p>
        </w:tc>
      </w:tr>
      <w:tr w14:paraId="6833C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538" w:type="dxa"/>
            <w:vMerge w:val="continue"/>
            <w:vAlign w:val="center"/>
          </w:tcPr>
          <w:p w14:paraId="382A087E">
            <w:pPr>
              <w:pBdr>
                <w:top w:val="none" w:color="auto" w:sz="0" w:space="0"/>
                <w:left w:val="none" w:color="auto" w:sz="0" w:space="0"/>
                <w:bottom w:val="none" w:color="auto" w:sz="0" w:space="0"/>
                <w:right w:val="none" w:color="auto" w:sz="0" w:space="0"/>
                <w:between w:val="none" w:color="auto" w:sz="0" w:space="0"/>
              </w:pBdr>
              <w:autoSpaceDE w:val="0"/>
              <w:autoSpaceDN w:val="0"/>
              <w:jc w:val="center"/>
              <w:rPr>
                <w:rFonts w:hint="eastAsia" w:asciiTheme="minorEastAsia" w:hAnsiTheme="minorEastAsia" w:eastAsiaTheme="minorEastAsia" w:cstheme="minorEastAsia"/>
                <w:color w:val="auto"/>
                <w:sz w:val="22"/>
                <w:szCs w:val="22"/>
                <w:lang w:eastAsia="zh-CN"/>
              </w:rPr>
            </w:pPr>
          </w:p>
        </w:tc>
        <w:tc>
          <w:tcPr>
            <w:tcW w:w="475" w:type="dxa"/>
            <w:vAlign w:val="center"/>
          </w:tcPr>
          <w:p w14:paraId="3F949CA5">
            <w:pPr>
              <w:pBdr>
                <w:top w:val="none" w:color="auto" w:sz="0" w:space="0"/>
                <w:left w:val="none" w:color="auto" w:sz="0" w:space="0"/>
                <w:bottom w:val="none" w:color="auto" w:sz="0" w:space="0"/>
                <w:right w:val="none" w:color="auto" w:sz="0" w:space="0"/>
                <w:between w:val="none" w:color="auto" w:sz="0" w:space="0"/>
              </w:pBdr>
              <w:autoSpaceDE w:val="0"/>
              <w:autoSpaceDN w:val="0"/>
              <w:jc w:val="center"/>
              <w:rPr>
                <w:rFonts w:hint="eastAsia" w:asciiTheme="minorEastAsia" w:hAnsiTheme="minorEastAsia" w:eastAsiaTheme="minorEastAsia" w:cstheme="minorEastAsia"/>
                <w:color w:val="auto"/>
                <w:sz w:val="22"/>
                <w:szCs w:val="22"/>
                <w:lang w:eastAsia="zh-CN"/>
              </w:rPr>
            </w:pPr>
            <w:r>
              <w:rPr>
                <w:rFonts w:hint="eastAsia" w:asciiTheme="minorEastAsia" w:hAnsiTheme="minorEastAsia" w:eastAsiaTheme="minorEastAsia" w:cstheme="minorEastAsia"/>
                <w:color w:val="auto"/>
                <w:sz w:val="22"/>
                <w:szCs w:val="22"/>
                <w:lang w:eastAsia="zh-CN"/>
              </w:rPr>
              <w:t>5</w:t>
            </w:r>
          </w:p>
        </w:tc>
        <w:tc>
          <w:tcPr>
            <w:tcW w:w="6609" w:type="dxa"/>
            <w:vAlign w:val="center"/>
          </w:tcPr>
          <w:p w14:paraId="28F10BA4">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sz w:val="22"/>
                <w:szCs w:val="22"/>
                <w:lang w:eastAsia="zh-CN"/>
              </w:rPr>
            </w:pPr>
            <w:r>
              <w:rPr>
                <w:rFonts w:hint="eastAsia" w:asciiTheme="minorEastAsia" w:hAnsiTheme="minorEastAsia" w:eastAsiaTheme="minorEastAsia" w:cstheme="minorEastAsia"/>
                <w:color w:val="auto"/>
                <w:sz w:val="22"/>
                <w:szCs w:val="22"/>
                <w:lang w:eastAsia="zh-CN"/>
              </w:rPr>
              <w:t>提供会计师事务所出具的2023年度财务审计报告（包含资产负债表、利润表、现金流量表等），成立不足一年的供应商可提供财务报表或银行出具的资信证明。</w:t>
            </w:r>
          </w:p>
          <w:p w14:paraId="434A3BBC">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sz w:val="22"/>
                <w:szCs w:val="22"/>
                <w:lang w:eastAsia="zh-CN"/>
              </w:rPr>
            </w:pPr>
            <w:r>
              <w:rPr>
                <w:rFonts w:hint="eastAsia" w:asciiTheme="minorEastAsia" w:hAnsiTheme="minorEastAsia" w:eastAsiaTheme="minorEastAsia" w:cstheme="minorEastAsia"/>
                <w:color w:val="auto"/>
                <w:sz w:val="22"/>
                <w:szCs w:val="22"/>
                <w:lang w:eastAsia="zh-CN"/>
              </w:rPr>
              <w:t>注：复印件加盖公章</w:t>
            </w:r>
          </w:p>
        </w:tc>
        <w:tc>
          <w:tcPr>
            <w:tcW w:w="566" w:type="dxa"/>
            <w:vAlign w:val="center"/>
          </w:tcPr>
          <w:p w14:paraId="11E27451">
            <w:pPr>
              <w:pBdr>
                <w:top w:val="none" w:color="auto" w:sz="0" w:space="0"/>
                <w:left w:val="none" w:color="auto" w:sz="0" w:space="0"/>
                <w:bottom w:val="none" w:color="auto" w:sz="0" w:space="0"/>
                <w:right w:val="none" w:color="auto" w:sz="0" w:space="0"/>
                <w:between w:val="none" w:color="auto" w:sz="0" w:space="0"/>
              </w:pBdr>
              <w:autoSpaceDE w:val="0"/>
              <w:autoSpaceDN w:val="0"/>
              <w:jc w:val="center"/>
              <w:rPr>
                <w:rFonts w:hint="eastAsia" w:asciiTheme="minorEastAsia" w:hAnsiTheme="minorEastAsia" w:eastAsiaTheme="minorEastAsia" w:cstheme="minorEastAsia"/>
                <w:color w:val="auto"/>
                <w:sz w:val="22"/>
                <w:szCs w:val="22"/>
                <w:lang w:eastAsia="zh-CN"/>
              </w:rPr>
            </w:pPr>
          </w:p>
        </w:tc>
        <w:tc>
          <w:tcPr>
            <w:tcW w:w="743" w:type="dxa"/>
            <w:vAlign w:val="center"/>
          </w:tcPr>
          <w:p w14:paraId="3794F2CF">
            <w:pPr>
              <w:pBdr>
                <w:top w:val="none" w:color="auto" w:sz="0" w:space="0"/>
                <w:left w:val="none" w:color="auto" w:sz="0" w:space="0"/>
                <w:bottom w:val="none" w:color="auto" w:sz="0" w:space="0"/>
                <w:right w:val="none" w:color="auto" w:sz="0" w:space="0"/>
                <w:between w:val="none" w:color="auto" w:sz="0" w:space="0"/>
              </w:pBdr>
              <w:autoSpaceDE w:val="0"/>
              <w:autoSpaceDN w:val="0"/>
              <w:jc w:val="center"/>
              <w:rPr>
                <w:rFonts w:hint="eastAsia" w:asciiTheme="minorEastAsia" w:hAnsiTheme="minorEastAsia" w:eastAsiaTheme="minorEastAsia" w:cstheme="minorEastAsia"/>
                <w:color w:val="auto"/>
                <w:sz w:val="22"/>
                <w:szCs w:val="22"/>
                <w:lang w:eastAsia="zh-CN"/>
              </w:rPr>
            </w:pPr>
          </w:p>
        </w:tc>
      </w:tr>
      <w:tr w14:paraId="2A791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538" w:type="dxa"/>
            <w:vMerge w:val="continue"/>
            <w:vAlign w:val="center"/>
          </w:tcPr>
          <w:p w14:paraId="26AE6B0E">
            <w:pPr>
              <w:pBdr>
                <w:top w:val="none" w:color="auto" w:sz="0" w:space="0"/>
                <w:left w:val="none" w:color="auto" w:sz="0" w:space="0"/>
                <w:bottom w:val="none" w:color="auto" w:sz="0" w:space="0"/>
                <w:right w:val="none" w:color="auto" w:sz="0" w:space="0"/>
                <w:between w:val="none" w:color="auto" w:sz="0" w:space="0"/>
              </w:pBdr>
              <w:autoSpaceDE w:val="0"/>
              <w:autoSpaceDN w:val="0"/>
              <w:jc w:val="center"/>
              <w:rPr>
                <w:rFonts w:hint="eastAsia" w:asciiTheme="minorEastAsia" w:hAnsiTheme="minorEastAsia" w:eastAsiaTheme="minorEastAsia" w:cstheme="minorEastAsia"/>
                <w:color w:val="auto"/>
                <w:sz w:val="22"/>
                <w:szCs w:val="22"/>
                <w:lang w:eastAsia="zh-CN"/>
              </w:rPr>
            </w:pPr>
          </w:p>
        </w:tc>
        <w:tc>
          <w:tcPr>
            <w:tcW w:w="475" w:type="dxa"/>
            <w:vAlign w:val="center"/>
          </w:tcPr>
          <w:p w14:paraId="0C4DC437">
            <w:pPr>
              <w:pBdr>
                <w:top w:val="none" w:color="auto" w:sz="0" w:space="0"/>
                <w:left w:val="none" w:color="auto" w:sz="0" w:space="0"/>
                <w:bottom w:val="none" w:color="auto" w:sz="0" w:space="0"/>
                <w:right w:val="none" w:color="auto" w:sz="0" w:space="0"/>
                <w:between w:val="none" w:color="auto" w:sz="0" w:space="0"/>
              </w:pBdr>
              <w:autoSpaceDE w:val="0"/>
              <w:autoSpaceDN w:val="0"/>
              <w:jc w:val="center"/>
              <w:rPr>
                <w:rFonts w:hint="eastAsia" w:asciiTheme="minorEastAsia" w:hAnsiTheme="minorEastAsia" w:eastAsiaTheme="minorEastAsia" w:cstheme="minorEastAsia"/>
                <w:color w:val="auto"/>
                <w:sz w:val="22"/>
                <w:szCs w:val="22"/>
                <w:lang w:eastAsia="zh-CN"/>
              </w:rPr>
            </w:pPr>
            <w:r>
              <w:rPr>
                <w:rFonts w:hint="eastAsia" w:asciiTheme="minorEastAsia" w:hAnsiTheme="minorEastAsia" w:eastAsiaTheme="minorEastAsia" w:cstheme="minorEastAsia"/>
                <w:color w:val="auto"/>
                <w:sz w:val="22"/>
                <w:szCs w:val="22"/>
                <w:lang w:eastAsia="zh-CN"/>
              </w:rPr>
              <w:t>6</w:t>
            </w:r>
          </w:p>
        </w:tc>
        <w:tc>
          <w:tcPr>
            <w:tcW w:w="6609" w:type="dxa"/>
            <w:vAlign w:val="center"/>
          </w:tcPr>
          <w:p w14:paraId="1E6D3A70">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sz w:val="22"/>
                <w:szCs w:val="22"/>
                <w:lang w:eastAsia="zh-CN"/>
              </w:rPr>
            </w:pPr>
            <w:r>
              <w:rPr>
                <w:rFonts w:hint="eastAsia" w:asciiTheme="minorEastAsia" w:hAnsiTheme="minorEastAsia" w:eastAsiaTheme="minorEastAsia" w:cstheme="minorEastAsia"/>
                <w:color w:val="auto"/>
                <w:kern w:val="2"/>
                <w:sz w:val="22"/>
                <w:szCs w:val="22"/>
                <w:lang w:eastAsia="zh-CN" w:bidi="ar-SA"/>
              </w:rPr>
              <w:t>提供参加政府采购活动近三年无重大违法记录声明。</w:t>
            </w:r>
          </w:p>
        </w:tc>
        <w:tc>
          <w:tcPr>
            <w:tcW w:w="566" w:type="dxa"/>
            <w:vAlign w:val="center"/>
          </w:tcPr>
          <w:p w14:paraId="5F67A6F7">
            <w:pPr>
              <w:pBdr>
                <w:top w:val="none" w:color="auto" w:sz="0" w:space="0"/>
                <w:left w:val="none" w:color="auto" w:sz="0" w:space="0"/>
                <w:bottom w:val="none" w:color="auto" w:sz="0" w:space="0"/>
                <w:right w:val="none" w:color="auto" w:sz="0" w:space="0"/>
                <w:between w:val="none" w:color="auto" w:sz="0" w:space="0"/>
              </w:pBdr>
              <w:autoSpaceDE w:val="0"/>
              <w:autoSpaceDN w:val="0"/>
              <w:jc w:val="center"/>
              <w:rPr>
                <w:rFonts w:hint="eastAsia" w:asciiTheme="minorEastAsia" w:hAnsiTheme="minorEastAsia" w:eastAsiaTheme="minorEastAsia" w:cstheme="minorEastAsia"/>
                <w:color w:val="auto"/>
                <w:sz w:val="22"/>
                <w:szCs w:val="22"/>
                <w:lang w:eastAsia="zh-CN"/>
              </w:rPr>
            </w:pPr>
          </w:p>
        </w:tc>
        <w:tc>
          <w:tcPr>
            <w:tcW w:w="743" w:type="dxa"/>
            <w:vAlign w:val="center"/>
          </w:tcPr>
          <w:p w14:paraId="267D2820">
            <w:pPr>
              <w:pBdr>
                <w:top w:val="none" w:color="auto" w:sz="0" w:space="0"/>
                <w:left w:val="none" w:color="auto" w:sz="0" w:space="0"/>
                <w:bottom w:val="none" w:color="auto" w:sz="0" w:space="0"/>
                <w:right w:val="none" w:color="auto" w:sz="0" w:space="0"/>
                <w:between w:val="none" w:color="auto" w:sz="0" w:space="0"/>
              </w:pBdr>
              <w:autoSpaceDE w:val="0"/>
              <w:autoSpaceDN w:val="0"/>
              <w:jc w:val="center"/>
              <w:rPr>
                <w:rFonts w:hint="eastAsia" w:asciiTheme="minorEastAsia" w:hAnsiTheme="minorEastAsia" w:eastAsiaTheme="minorEastAsia" w:cstheme="minorEastAsia"/>
                <w:color w:val="auto"/>
                <w:sz w:val="22"/>
                <w:szCs w:val="22"/>
                <w:lang w:eastAsia="zh-CN"/>
              </w:rPr>
            </w:pPr>
          </w:p>
        </w:tc>
      </w:tr>
      <w:tr w14:paraId="017E4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dxa"/>
            <w:vMerge w:val="continue"/>
            <w:vAlign w:val="center"/>
          </w:tcPr>
          <w:p w14:paraId="028D858A">
            <w:pPr>
              <w:pBdr>
                <w:top w:val="none" w:color="auto" w:sz="0" w:space="0"/>
                <w:left w:val="none" w:color="auto" w:sz="0" w:space="0"/>
                <w:bottom w:val="none" w:color="auto" w:sz="0" w:space="0"/>
                <w:right w:val="none" w:color="auto" w:sz="0" w:space="0"/>
                <w:between w:val="none" w:color="auto" w:sz="0" w:space="0"/>
              </w:pBdr>
              <w:autoSpaceDE w:val="0"/>
              <w:autoSpaceDN w:val="0"/>
              <w:jc w:val="center"/>
              <w:rPr>
                <w:rFonts w:hint="eastAsia" w:asciiTheme="minorEastAsia" w:hAnsiTheme="minorEastAsia" w:eastAsiaTheme="minorEastAsia" w:cstheme="minorEastAsia"/>
                <w:color w:val="auto"/>
                <w:sz w:val="22"/>
                <w:szCs w:val="22"/>
                <w:lang w:eastAsia="zh-CN"/>
              </w:rPr>
            </w:pPr>
          </w:p>
        </w:tc>
        <w:tc>
          <w:tcPr>
            <w:tcW w:w="475" w:type="dxa"/>
            <w:vAlign w:val="center"/>
          </w:tcPr>
          <w:p w14:paraId="0A48BC21">
            <w:pPr>
              <w:pBdr>
                <w:top w:val="none" w:color="auto" w:sz="0" w:space="0"/>
                <w:left w:val="none" w:color="auto" w:sz="0" w:space="0"/>
                <w:bottom w:val="none" w:color="auto" w:sz="0" w:space="0"/>
                <w:right w:val="none" w:color="auto" w:sz="0" w:space="0"/>
                <w:between w:val="none" w:color="auto" w:sz="0" w:space="0"/>
              </w:pBdr>
              <w:autoSpaceDE w:val="0"/>
              <w:autoSpaceDN w:val="0"/>
              <w:jc w:val="center"/>
              <w:rPr>
                <w:rFonts w:hint="eastAsia" w:asciiTheme="minorEastAsia" w:hAnsiTheme="minorEastAsia" w:eastAsiaTheme="minorEastAsia" w:cstheme="minorEastAsia"/>
                <w:color w:val="auto"/>
                <w:sz w:val="22"/>
                <w:szCs w:val="22"/>
                <w:lang w:eastAsia="zh-CN"/>
              </w:rPr>
            </w:pPr>
            <w:r>
              <w:rPr>
                <w:rFonts w:hint="eastAsia" w:asciiTheme="minorEastAsia" w:hAnsiTheme="minorEastAsia" w:eastAsiaTheme="minorEastAsia" w:cstheme="minorEastAsia"/>
                <w:color w:val="auto"/>
                <w:sz w:val="22"/>
                <w:szCs w:val="22"/>
                <w:lang w:eastAsia="zh-CN"/>
              </w:rPr>
              <w:t>7</w:t>
            </w:r>
          </w:p>
        </w:tc>
        <w:tc>
          <w:tcPr>
            <w:tcW w:w="6609" w:type="dxa"/>
            <w:vAlign w:val="center"/>
          </w:tcPr>
          <w:p w14:paraId="2365EBEC">
            <w:pPr>
              <w:pStyle w:val="22"/>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z w:val="22"/>
                <w:szCs w:val="22"/>
                <w:lang w:eastAsia="zh-CN"/>
              </w:rPr>
              <w:t>投标</w:t>
            </w:r>
            <w:r>
              <w:rPr>
                <w:rFonts w:hint="eastAsia" w:asciiTheme="minorEastAsia" w:hAnsiTheme="minorEastAsia" w:eastAsiaTheme="minorEastAsia" w:cstheme="minorEastAsia"/>
                <w:color w:val="auto"/>
                <w:sz w:val="22"/>
                <w:szCs w:val="22"/>
              </w:rPr>
              <w:t>保证金</w:t>
            </w:r>
            <w:r>
              <w:rPr>
                <w:rFonts w:hint="eastAsia" w:asciiTheme="minorEastAsia" w:hAnsiTheme="minorEastAsia" w:eastAsiaTheme="minorEastAsia" w:cstheme="minorEastAsia"/>
                <w:color w:val="auto"/>
                <w:sz w:val="22"/>
                <w:szCs w:val="22"/>
                <w:lang w:eastAsia="zh-CN"/>
              </w:rPr>
              <w:t>缴纳证明。</w:t>
            </w:r>
          </w:p>
        </w:tc>
        <w:tc>
          <w:tcPr>
            <w:tcW w:w="566" w:type="dxa"/>
            <w:vAlign w:val="center"/>
          </w:tcPr>
          <w:p w14:paraId="18189478">
            <w:pPr>
              <w:pBdr>
                <w:top w:val="none" w:color="auto" w:sz="0" w:space="0"/>
                <w:left w:val="none" w:color="auto" w:sz="0" w:space="0"/>
                <w:bottom w:val="none" w:color="auto" w:sz="0" w:space="0"/>
                <w:right w:val="none" w:color="auto" w:sz="0" w:space="0"/>
                <w:between w:val="none" w:color="auto" w:sz="0" w:space="0"/>
              </w:pBdr>
              <w:autoSpaceDE w:val="0"/>
              <w:autoSpaceDN w:val="0"/>
              <w:jc w:val="center"/>
              <w:rPr>
                <w:rFonts w:hint="eastAsia" w:asciiTheme="minorEastAsia" w:hAnsiTheme="minorEastAsia" w:eastAsiaTheme="minorEastAsia" w:cstheme="minorEastAsia"/>
                <w:color w:val="auto"/>
                <w:sz w:val="22"/>
                <w:szCs w:val="22"/>
              </w:rPr>
            </w:pPr>
          </w:p>
        </w:tc>
        <w:tc>
          <w:tcPr>
            <w:tcW w:w="743" w:type="dxa"/>
            <w:vAlign w:val="center"/>
          </w:tcPr>
          <w:p w14:paraId="02047EBA">
            <w:pPr>
              <w:pBdr>
                <w:top w:val="none" w:color="auto" w:sz="0" w:space="0"/>
                <w:left w:val="none" w:color="auto" w:sz="0" w:space="0"/>
                <w:bottom w:val="none" w:color="auto" w:sz="0" w:space="0"/>
                <w:right w:val="none" w:color="auto" w:sz="0" w:space="0"/>
                <w:between w:val="none" w:color="auto" w:sz="0" w:space="0"/>
              </w:pBdr>
              <w:autoSpaceDE w:val="0"/>
              <w:autoSpaceDN w:val="0"/>
              <w:jc w:val="center"/>
              <w:rPr>
                <w:rFonts w:hint="eastAsia" w:asciiTheme="minorEastAsia" w:hAnsiTheme="minorEastAsia" w:eastAsiaTheme="minorEastAsia" w:cstheme="minorEastAsia"/>
                <w:color w:val="auto"/>
                <w:sz w:val="22"/>
                <w:szCs w:val="22"/>
              </w:rPr>
            </w:pPr>
          </w:p>
        </w:tc>
      </w:tr>
      <w:tr w14:paraId="35A78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31" w:type="dxa"/>
            <w:gridSpan w:val="5"/>
            <w:vAlign w:val="center"/>
          </w:tcPr>
          <w:p w14:paraId="6FADFAE4">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结论：是否通过评审（须填写通过或不通过）</w:t>
            </w:r>
          </w:p>
          <w:p w14:paraId="4ADA597B">
            <w:pPr>
              <w:pBdr>
                <w:top w:val="none" w:color="auto" w:sz="0" w:space="0"/>
                <w:left w:val="none" w:color="auto" w:sz="0" w:space="0"/>
                <w:bottom w:val="none" w:color="auto" w:sz="0" w:space="0"/>
                <w:right w:val="none" w:color="auto" w:sz="0" w:space="0"/>
                <w:between w:val="none" w:color="auto" w:sz="0" w:space="0"/>
              </w:pBdr>
              <w:autoSpaceDE w:val="0"/>
              <w:autoSpaceDN w:val="0"/>
              <w:jc w:val="left"/>
              <w:rPr>
                <w:rFonts w:hint="eastAsia" w:asciiTheme="minorEastAsia" w:hAnsiTheme="minorEastAsia" w:eastAsiaTheme="minorEastAsia" w:cstheme="minorEastAsia"/>
                <w:color w:val="auto"/>
                <w:sz w:val="22"/>
                <w:szCs w:val="22"/>
                <w:lang w:eastAsia="zh-CN"/>
              </w:rPr>
            </w:pPr>
            <w:r>
              <w:rPr>
                <w:rFonts w:hint="eastAsia" w:asciiTheme="minorEastAsia" w:hAnsiTheme="minorEastAsia" w:eastAsiaTheme="minorEastAsia" w:cstheme="minorEastAsia"/>
                <w:color w:val="auto"/>
                <w:lang w:eastAsia="zh-CN"/>
              </w:rPr>
              <w:t>注：以上</w:t>
            </w:r>
            <w:r>
              <w:rPr>
                <w:rFonts w:hint="eastAsia" w:ascii="宋体" w:hAnsi="宋体" w:eastAsia="宋体" w:cs="宋体"/>
                <w:color w:val="auto"/>
                <w:sz w:val="24"/>
                <w:szCs w:val="24"/>
                <w:lang w:val="zh-CN"/>
              </w:rPr>
              <w:t>有一项不满足审查标准的，评审小组将认定该投标人不通过资格性检查，不得进入下一阶段评审。</w:t>
            </w:r>
          </w:p>
        </w:tc>
      </w:tr>
    </w:tbl>
    <w:p w14:paraId="7828284F">
      <w:pPr>
        <w:pBdr>
          <w:top w:val="none" w:color="auto" w:sz="0" w:space="0"/>
          <w:left w:val="none" w:color="auto" w:sz="0" w:space="0"/>
          <w:bottom w:val="none" w:color="auto" w:sz="0" w:space="0"/>
          <w:right w:val="none" w:color="auto" w:sz="0" w:space="0"/>
          <w:between w:val="none" w:color="auto" w:sz="0" w:space="0"/>
        </w:pBdr>
        <w:spacing w:line="400" w:lineRule="exact"/>
        <w:rPr>
          <w:rFonts w:hint="eastAsia" w:asciiTheme="minorEastAsia" w:hAnsiTheme="minorEastAsia" w:eastAsiaTheme="minorEastAsia" w:cstheme="minorEastAsia"/>
          <w:bCs/>
          <w:color w:val="auto"/>
          <w:szCs w:val="21"/>
          <w:lang w:eastAsia="zh-CN"/>
        </w:rPr>
      </w:pPr>
      <w:r>
        <w:rPr>
          <w:rFonts w:hint="eastAsia" w:asciiTheme="minorEastAsia" w:hAnsiTheme="minorEastAsia" w:eastAsiaTheme="minorEastAsia" w:cstheme="minorEastAsia"/>
          <w:bCs/>
          <w:color w:val="auto"/>
          <w:szCs w:val="21"/>
          <w:lang w:eastAsia="zh-CN"/>
        </w:rPr>
        <w:t>6.7如评标专家在检验电子标书过程中，如果由于投标人自身原因导致评标专家无法查看并检验电子标书中以上相关资料的，否决其投标。即使投标单位将原件携带至现场的，同样按无效投标处理。</w:t>
      </w:r>
    </w:p>
    <w:p w14:paraId="379F5430">
      <w:pPr>
        <w:pBdr>
          <w:top w:val="none" w:color="auto" w:sz="0" w:space="0"/>
          <w:left w:val="none" w:color="auto" w:sz="0" w:space="0"/>
          <w:bottom w:val="none" w:color="auto" w:sz="0" w:space="0"/>
          <w:right w:val="none" w:color="auto" w:sz="0" w:space="0"/>
          <w:between w:val="none" w:color="auto" w:sz="0" w:space="0"/>
        </w:pBdr>
        <w:spacing w:line="400" w:lineRule="exact"/>
        <w:rPr>
          <w:rFonts w:hint="eastAsia" w:asciiTheme="minorEastAsia" w:hAnsiTheme="minorEastAsia" w:eastAsiaTheme="minorEastAsia" w:cstheme="minorEastAsia"/>
          <w:bCs/>
          <w:color w:val="auto"/>
          <w:szCs w:val="21"/>
          <w:lang w:eastAsia="zh-CN"/>
        </w:rPr>
      </w:pPr>
      <w:r>
        <w:rPr>
          <w:rFonts w:hint="eastAsia" w:asciiTheme="minorEastAsia" w:hAnsiTheme="minorEastAsia" w:eastAsiaTheme="minorEastAsia" w:cstheme="minorEastAsia"/>
          <w:bCs/>
          <w:color w:val="auto"/>
          <w:szCs w:val="21"/>
          <w:lang w:eastAsia="zh-CN"/>
        </w:rPr>
        <w:t>6.8符合性审查</w:t>
      </w:r>
    </w:p>
    <w:p w14:paraId="766D8815">
      <w:pPr>
        <w:pBdr>
          <w:top w:val="none" w:color="auto" w:sz="0" w:space="0"/>
          <w:left w:val="none" w:color="auto" w:sz="0" w:space="0"/>
          <w:bottom w:val="none" w:color="auto" w:sz="0" w:space="0"/>
          <w:right w:val="none" w:color="auto" w:sz="0" w:space="0"/>
          <w:between w:val="none" w:color="auto" w:sz="0" w:space="0"/>
        </w:pBdr>
        <w:jc w:val="both"/>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6.9评审细则</w:t>
      </w:r>
    </w:p>
    <w:p w14:paraId="630A74E1">
      <w:pPr>
        <w:pBdr>
          <w:top w:val="none" w:color="auto" w:sz="0" w:space="0"/>
          <w:left w:val="none" w:color="auto" w:sz="0" w:space="0"/>
          <w:bottom w:val="none" w:color="auto" w:sz="0" w:space="0"/>
          <w:right w:val="none" w:color="auto" w:sz="0" w:space="0"/>
          <w:between w:val="none" w:color="auto" w:sz="0" w:space="0"/>
        </w:pBdr>
        <w:ind w:firstLine="240" w:firstLineChars="100"/>
        <w:jc w:val="both"/>
        <w:rPr>
          <w:rFonts w:hint="eastAsia" w:asciiTheme="minorEastAsia" w:hAnsiTheme="minorEastAsia" w:eastAsiaTheme="minorEastAsia" w:cstheme="minorEastAsia"/>
          <w:color w:val="auto"/>
          <w:szCs w:val="21"/>
          <w:lang w:eastAsia="zh-CN"/>
        </w:rPr>
      </w:pPr>
    </w:p>
    <w:p w14:paraId="237ECFC8">
      <w:pPr>
        <w:pStyle w:val="18"/>
        <w:rPr>
          <w:rFonts w:hint="eastAsia" w:asciiTheme="minorEastAsia" w:hAnsiTheme="minorEastAsia" w:eastAsiaTheme="minorEastAsia" w:cstheme="minorEastAsia"/>
          <w:color w:val="auto"/>
          <w:szCs w:val="21"/>
          <w:lang w:eastAsia="zh-CN"/>
        </w:rPr>
      </w:pPr>
    </w:p>
    <w:p w14:paraId="2B2F5286">
      <w:pPr>
        <w:rPr>
          <w:rFonts w:hint="eastAsia" w:asciiTheme="minorEastAsia" w:hAnsiTheme="minorEastAsia" w:eastAsiaTheme="minorEastAsia" w:cstheme="minorEastAsia"/>
          <w:color w:val="auto"/>
          <w:szCs w:val="21"/>
          <w:lang w:eastAsia="zh-CN"/>
        </w:rPr>
      </w:pPr>
    </w:p>
    <w:p w14:paraId="24F1D93D">
      <w:pPr>
        <w:pStyle w:val="18"/>
        <w:rPr>
          <w:rFonts w:hint="eastAsia" w:asciiTheme="minorEastAsia" w:hAnsiTheme="minorEastAsia" w:eastAsiaTheme="minorEastAsia" w:cstheme="minorEastAsia"/>
          <w:color w:val="auto"/>
          <w:szCs w:val="21"/>
          <w:lang w:eastAsia="zh-CN"/>
        </w:rPr>
      </w:pPr>
    </w:p>
    <w:p w14:paraId="02641940">
      <w:pPr>
        <w:rPr>
          <w:rFonts w:hint="eastAsia" w:asciiTheme="minorEastAsia" w:hAnsiTheme="minorEastAsia" w:eastAsiaTheme="minorEastAsia" w:cstheme="minorEastAsia"/>
          <w:color w:val="auto"/>
          <w:szCs w:val="21"/>
          <w:lang w:eastAsia="zh-CN"/>
        </w:rPr>
      </w:pPr>
    </w:p>
    <w:p w14:paraId="4EDF03CB">
      <w:pPr>
        <w:pStyle w:val="18"/>
        <w:rPr>
          <w:rFonts w:hint="eastAsia" w:asciiTheme="minorEastAsia" w:hAnsiTheme="minorEastAsia" w:eastAsiaTheme="minorEastAsia" w:cstheme="minorEastAsia"/>
          <w:color w:val="auto"/>
          <w:szCs w:val="21"/>
          <w:lang w:eastAsia="zh-CN"/>
        </w:rPr>
      </w:pPr>
    </w:p>
    <w:p w14:paraId="33A50E7A">
      <w:pPr>
        <w:rPr>
          <w:rFonts w:hint="eastAsia" w:asciiTheme="minorEastAsia" w:hAnsiTheme="minorEastAsia" w:eastAsiaTheme="minorEastAsia" w:cstheme="minorEastAsia"/>
          <w:color w:val="auto"/>
          <w:szCs w:val="21"/>
          <w:lang w:eastAsia="zh-CN"/>
        </w:rPr>
      </w:pPr>
    </w:p>
    <w:p w14:paraId="2332C145">
      <w:pPr>
        <w:pBdr>
          <w:top w:val="none" w:color="auto" w:sz="0" w:space="0"/>
          <w:left w:val="none" w:color="auto" w:sz="0" w:space="0"/>
          <w:bottom w:val="none" w:color="auto" w:sz="0" w:space="0"/>
          <w:right w:val="none" w:color="auto" w:sz="0" w:space="0"/>
          <w:between w:val="none" w:color="auto" w:sz="0" w:space="0"/>
        </w:pBdr>
        <w:jc w:val="center"/>
        <w:outlineLvl w:val="2"/>
        <w:rPr>
          <w:rFonts w:hint="eastAsia" w:asciiTheme="minorEastAsia" w:hAnsiTheme="minorEastAsia" w:eastAsiaTheme="minorEastAsia" w:cstheme="minorEastAsia"/>
          <w:b/>
          <w:bCs/>
          <w:color w:val="auto"/>
          <w:sz w:val="28"/>
          <w:szCs w:val="28"/>
          <w:lang w:eastAsia="zh-CN"/>
        </w:rPr>
      </w:pPr>
      <w:r>
        <w:rPr>
          <w:rFonts w:hint="eastAsia" w:asciiTheme="minorEastAsia" w:hAnsiTheme="minorEastAsia" w:eastAsiaTheme="minorEastAsia" w:cstheme="minorEastAsia"/>
          <w:b/>
          <w:bCs/>
          <w:color w:val="auto"/>
          <w:sz w:val="28"/>
          <w:szCs w:val="28"/>
          <w:lang w:eastAsia="zh-CN"/>
        </w:rPr>
        <w:t>符合性审查表</w:t>
      </w:r>
    </w:p>
    <w:tbl>
      <w:tblPr>
        <w:tblStyle w:val="25"/>
        <w:tblpPr w:leftFromText="180" w:rightFromText="180" w:vertAnchor="text" w:horzAnchor="page" w:tblpX="1599" w:tblpY="459"/>
        <w:tblW w:w="904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84"/>
        <w:gridCol w:w="597"/>
        <w:gridCol w:w="6378"/>
        <w:gridCol w:w="658"/>
        <w:gridCol w:w="628"/>
      </w:tblGrid>
      <w:tr w14:paraId="2A4F36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0" w:hRule="atLeast"/>
        </w:trPr>
        <w:tc>
          <w:tcPr>
            <w:tcW w:w="784" w:type="dxa"/>
            <w:tcBorders>
              <w:top w:val="single" w:color="auto" w:sz="4" w:space="0"/>
              <w:left w:val="single" w:color="auto" w:sz="4" w:space="0"/>
            </w:tcBorders>
            <w:vAlign w:val="center"/>
          </w:tcPr>
          <w:p w14:paraId="6D2D2C43">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b/>
                <w:color w:val="auto"/>
              </w:rPr>
            </w:pPr>
            <w:r>
              <w:rPr>
                <w:rFonts w:hint="eastAsia" w:asciiTheme="minorEastAsia" w:hAnsiTheme="minorEastAsia" w:eastAsiaTheme="minorEastAsia" w:cstheme="minorEastAsia"/>
                <w:b/>
                <w:color w:val="auto"/>
              </w:rPr>
              <w:t>项目</w:t>
            </w:r>
          </w:p>
        </w:tc>
        <w:tc>
          <w:tcPr>
            <w:tcW w:w="6975" w:type="dxa"/>
            <w:gridSpan w:val="2"/>
            <w:tcBorders>
              <w:top w:val="single" w:color="auto" w:sz="4" w:space="0"/>
            </w:tcBorders>
            <w:vAlign w:val="center"/>
          </w:tcPr>
          <w:p w14:paraId="7907E904">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b/>
                <w:color w:val="auto"/>
              </w:rPr>
            </w:pPr>
            <w:r>
              <w:rPr>
                <w:rFonts w:hint="eastAsia" w:asciiTheme="minorEastAsia" w:hAnsiTheme="minorEastAsia" w:eastAsiaTheme="minorEastAsia" w:cstheme="minorEastAsia"/>
                <w:b/>
                <w:color w:val="auto"/>
              </w:rPr>
              <w:t>评审内容</w:t>
            </w:r>
          </w:p>
        </w:tc>
        <w:tc>
          <w:tcPr>
            <w:tcW w:w="1286" w:type="dxa"/>
            <w:gridSpan w:val="2"/>
            <w:tcBorders>
              <w:top w:val="single" w:color="auto" w:sz="4" w:space="0"/>
              <w:right w:val="single" w:color="auto" w:sz="4" w:space="0"/>
            </w:tcBorders>
            <w:vAlign w:val="center"/>
          </w:tcPr>
          <w:p w14:paraId="3F834733">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b/>
                <w:color w:val="auto"/>
              </w:rPr>
            </w:pPr>
            <w:r>
              <w:rPr>
                <w:rFonts w:hint="eastAsia" w:asciiTheme="minorEastAsia" w:hAnsiTheme="minorEastAsia" w:eastAsiaTheme="minorEastAsia" w:cstheme="minorEastAsia"/>
                <w:b/>
                <w:color w:val="auto"/>
              </w:rPr>
              <w:t>评审意见</w:t>
            </w:r>
          </w:p>
        </w:tc>
      </w:tr>
      <w:tr w14:paraId="07787B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784" w:type="dxa"/>
            <w:tcBorders>
              <w:left w:val="single" w:color="auto" w:sz="4" w:space="0"/>
              <w:bottom w:val="single" w:color="auto" w:sz="4" w:space="0"/>
            </w:tcBorders>
            <w:vAlign w:val="center"/>
          </w:tcPr>
          <w:p w14:paraId="3BD8CE30">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rPr>
            </w:pPr>
          </w:p>
        </w:tc>
        <w:tc>
          <w:tcPr>
            <w:tcW w:w="6975" w:type="dxa"/>
            <w:gridSpan w:val="2"/>
            <w:tcBorders>
              <w:bottom w:val="single" w:color="auto" w:sz="4" w:space="0"/>
            </w:tcBorders>
          </w:tcPr>
          <w:p w14:paraId="076AD5E4">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rPr>
            </w:pPr>
          </w:p>
        </w:tc>
        <w:tc>
          <w:tcPr>
            <w:tcW w:w="658" w:type="dxa"/>
            <w:vAlign w:val="center"/>
          </w:tcPr>
          <w:p w14:paraId="289C4620">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b/>
                <w:color w:val="auto"/>
              </w:rPr>
            </w:pPr>
            <w:r>
              <w:rPr>
                <w:rFonts w:hint="eastAsia" w:asciiTheme="minorEastAsia" w:hAnsiTheme="minorEastAsia" w:eastAsiaTheme="minorEastAsia" w:cstheme="minorEastAsia"/>
                <w:b/>
                <w:color w:val="auto"/>
              </w:rPr>
              <w:t>是</w:t>
            </w:r>
          </w:p>
        </w:tc>
        <w:tc>
          <w:tcPr>
            <w:tcW w:w="628" w:type="dxa"/>
            <w:tcBorders>
              <w:right w:val="single" w:color="auto" w:sz="4" w:space="0"/>
            </w:tcBorders>
            <w:vAlign w:val="center"/>
          </w:tcPr>
          <w:p w14:paraId="0E3AF93E">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b/>
                <w:color w:val="auto"/>
              </w:rPr>
            </w:pPr>
            <w:r>
              <w:rPr>
                <w:rFonts w:hint="eastAsia" w:asciiTheme="minorEastAsia" w:hAnsiTheme="minorEastAsia" w:eastAsiaTheme="minorEastAsia" w:cstheme="minorEastAsia"/>
                <w:b/>
                <w:color w:val="auto"/>
              </w:rPr>
              <w:t>否</w:t>
            </w:r>
          </w:p>
        </w:tc>
      </w:tr>
      <w:tr w14:paraId="6ADC14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0" w:hRule="atLeast"/>
        </w:trPr>
        <w:tc>
          <w:tcPr>
            <w:tcW w:w="784" w:type="dxa"/>
            <w:vMerge w:val="restart"/>
            <w:tcBorders>
              <w:top w:val="single" w:color="auto" w:sz="4" w:space="0"/>
              <w:left w:val="single" w:color="auto" w:sz="4" w:space="0"/>
              <w:right w:val="single" w:color="auto" w:sz="4" w:space="0"/>
            </w:tcBorders>
            <w:vAlign w:val="center"/>
          </w:tcPr>
          <w:p w14:paraId="3419EA94">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符合性</w:t>
            </w:r>
            <w:r>
              <w:rPr>
                <w:rFonts w:hint="eastAsia" w:asciiTheme="minorEastAsia" w:hAnsiTheme="minorEastAsia" w:eastAsiaTheme="minorEastAsia" w:cstheme="minorEastAsia"/>
                <w:color w:val="auto"/>
                <w:lang w:eastAsia="zh-CN"/>
              </w:rPr>
              <w:t>审查</w:t>
            </w:r>
          </w:p>
        </w:tc>
        <w:tc>
          <w:tcPr>
            <w:tcW w:w="597" w:type="dxa"/>
            <w:tcBorders>
              <w:top w:val="single" w:color="auto" w:sz="4" w:space="0"/>
              <w:left w:val="single" w:color="auto" w:sz="4" w:space="0"/>
              <w:right w:val="single" w:color="auto" w:sz="4" w:space="0"/>
            </w:tcBorders>
            <w:vAlign w:val="center"/>
          </w:tcPr>
          <w:p w14:paraId="6148EDF4">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w:t>
            </w:r>
          </w:p>
        </w:tc>
        <w:tc>
          <w:tcPr>
            <w:tcW w:w="6378" w:type="dxa"/>
            <w:tcBorders>
              <w:top w:val="single" w:color="auto" w:sz="4" w:space="0"/>
              <w:left w:val="single" w:color="auto" w:sz="4" w:space="0"/>
              <w:right w:val="single" w:color="auto" w:sz="4" w:space="0"/>
            </w:tcBorders>
            <w:vAlign w:val="center"/>
          </w:tcPr>
          <w:p w14:paraId="45DDA0B4">
            <w:pPr>
              <w:widowControl/>
              <w:pBdr>
                <w:top w:val="none" w:color="auto" w:sz="0" w:space="0"/>
                <w:left w:val="none" w:color="auto" w:sz="0" w:space="0"/>
                <w:bottom w:val="none" w:color="auto" w:sz="0" w:space="0"/>
                <w:right w:val="none" w:color="auto" w:sz="0" w:space="0"/>
                <w:between w:val="none" w:color="auto" w:sz="0" w:space="0"/>
              </w:pBdr>
              <w:textAlignment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bidi="ar"/>
              </w:rPr>
              <w:t>由政府立项核准、审批的采购项目, 报价</w:t>
            </w:r>
            <w:r>
              <w:rPr>
                <w:rFonts w:hint="eastAsia" w:asciiTheme="minorEastAsia" w:hAnsiTheme="minorEastAsia" w:eastAsiaTheme="minorEastAsia" w:cstheme="minorEastAsia"/>
                <w:color w:val="auto"/>
                <w:lang w:val="en-US" w:eastAsia="zh-CN" w:bidi="ar"/>
              </w:rPr>
              <w:t>不</w:t>
            </w:r>
            <w:r>
              <w:rPr>
                <w:rFonts w:hint="eastAsia" w:asciiTheme="minorEastAsia" w:hAnsiTheme="minorEastAsia" w:eastAsiaTheme="minorEastAsia" w:cstheme="minorEastAsia"/>
                <w:color w:val="auto"/>
                <w:lang w:eastAsia="zh-CN" w:bidi="ar"/>
              </w:rPr>
              <w:t>高于设定的采购</w:t>
            </w:r>
            <w:r>
              <w:rPr>
                <w:rFonts w:hint="eastAsia" w:asciiTheme="minorEastAsia" w:hAnsiTheme="minorEastAsia" w:eastAsiaTheme="minorEastAsia" w:cstheme="minorEastAsia"/>
                <w:color w:val="auto"/>
                <w:lang w:eastAsia="zh-CN"/>
              </w:rPr>
              <w:t>最高限价</w:t>
            </w:r>
            <w:r>
              <w:rPr>
                <w:rFonts w:hint="eastAsia" w:asciiTheme="minorEastAsia" w:hAnsiTheme="minorEastAsia" w:eastAsiaTheme="minorEastAsia" w:cstheme="minorEastAsia"/>
                <w:color w:val="auto"/>
                <w:lang w:eastAsia="zh-CN" w:bidi="ar"/>
              </w:rPr>
              <w:t>的；</w:t>
            </w:r>
          </w:p>
        </w:tc>
        <w:tc>
          <w:tcPr>
            <w:tcW w:w="658" w:type="dxa"/>
            <w:tcBorders>
              <w:left w:val="single" w:color="auto" w:sz="4" w:space="0"/>
              <w:right w:val="single" w:color="auto" w:sz="4" w:space="0"/>
            </w:tcBorders>
          </w:tcPr>
          <w:p w14:paraId="626AE4EB">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b/>
                <w:color w:val="auto"/>
                <w:szCs w:val="21"/>
                <w:lang w:eastAsia="zh-CN"/>
              </w:rPr>
            </w:pPr>
          </w:p>
        </w:tc>
        <w:tc>
          <w:tcPr>
            <w:tcW w:w="628" w:type="dxa"/>
            <w:tcBorders>
              <w:left w:val="single" w:color="auto" w:sz="4" w:space="0"/>
              <w:right w:val="single" w:color="auto" w:sz="4" w:space="0"/>
            </w:tcBorders>
          </w:tcPr>
          <w:p w14:paraId="39DCE8CF">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b/>
                <w:color w:val="auto"/>
                <w:szCs w:val="21"/>
                <w:lang w:eastAsia="zh-CN"/>
              </w:rPr>
            </w:pPr>
          </w:p>
        </w:tc>
      </w:tr>
      <w:tr w14:paraId="1E5BE8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84" w:type="dxa"/>
            <w:vMerge w:val="continue"/>
            <w:tcBorders>
              <w:left w:val="single" w:color="auto" w:sz="4" w:space="0"/>
              <w:right w:val="single" w:color="auto" w:sz="4" w:space="0"/>
            </w:tcBorders>
            <w:vAlign w:val="center"/>
          </w:tcPr>
          <w:p w14:paraId="17FB3D07">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p>
        </w:tc>
        <w:tc>
          <w:tcPr>
            <w:tcW w:w="597" w:type="dxa"/>
            <w:tcBorders>
              <w:top w:val="single" w:color="auto" w:sz="4" w:space="0"/>
              <w:left w:val="single" w:color="auto" w:sz="4" w:space="0"/>
              <w:bottom w:val="single" w:color="auto" w:sz="4" w:space="0"/>
              <w:right w:val="single" w:color="auto" w:sz="4" w:space="0"/>
            </w:tcBorders>
            <w:vAlign w:val="center"/>
          </w:tcPr>
          <w:p w14:paraId="1C60EF77">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w:t>
            </w:r>
          </w:p>
        </w:tc>
        <w:tc>
          <w:tcPr>
            <w:tcW w:w="6378" w:type="dxa"/>
            <w:tcBorders>
              <w:top w:val="single" w:color="auto" w:sz="4" w:space="0"/>
              <w:left w:val="single" w:color="auto" w:sz="4" w:space="0"/>
              <w:bottom w:val="single" w:color="auto" w:sz="4" w:space="0"/>
              <w:right w:val="single" w:color="auto" w:sz="4" w:space="0"/>
            </w:tcBorders>
            <w:vAlign w:val="center"/>
          </w:tcPr>
          <w:p w14:paraId="4DCF6B5E">
            <w:pPr>
              <w:widowControl/>
              <w:pBdr>
                <w:top w:val="none" w:color="auto" w:sz="0" w:space="0"/>
                <w:left w:val="none" w:color="auto" w:sz="0" w:space="0"/>
                <w:bottom w:val="none" w:color="auto" w:sz="0" w:space="0"/>
                <w:right w:val="none" w:color="auto" w:sz="0" w:space="0"/>
                <w:between w:val="none" w:color="auto" w:sz="0" w:space="0"/>
              </w:pBdr>
              <w:textAlignment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bidi="ar"/>
              </w:rPr>
              <w:t>法定代表人身份证明及授权委托书有效，且符合招标文件规定的格式。</w:t>
            </w:r>
          </w:p>
        </w:tc>
        <w:tc>
          <w:tcPr>
            <w:tcW w:w="658" w:type="dxa"/>
            <w:tcBorders>
              <w:left w:val="single" w:color="auto" w:sz="4" w:space="0"/>
            </w:tcBorders>
          </w:tcPr>
          <w:p w14:paraId="2956C566">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szCs w:val="21"/>
                <w:lang w:eastAsia="zh-CN"/>
              </w:rPr>
            </w:pPr>
          </w:p>
        </w:tc>
        <w:tc>
          <w:tcPr>
            <w:tcW w:w="628" w:type="dxa"/>
            <w:tcBorders>
              <w:right w:val="single" w:color="auto" w:sz="4" w:space="0"/>
            </w:tcBorders>
          </w:tcPr>
          <w:p w14:paraId="00DFA224">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szCs w:val="21"/>
                <w:lang w:eastAsia="zh-CN"/>
              </w:rPr>
            </w:pPr>
          </w:p>
        </w:tc>
      </w:tr>
      <w:tr w14:paraId="51E1CE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4" w:hRule="atLeast"/>
        </w:trPr>
        <w:tc>
          <w:tcPr>
            <w:tcW w:w="784" w:type="dxa"/>
            <w:vMerge w:val="continue"/>
            <w:tcBorders>
              <w:left w:val="single" w:color="auto" w:sz="4" w:space="0"/>
              <w:right w:val="single" w:color="auto" w:sz="4" w:space="0"/>
            </w:tcBorders>
            <w:vAlign w:val="center"/>
          </w:tcPr>
          <w:p w14:paraId="46F3D497">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p>
        </w:tc>
        <w:tc>
          <w:tcPr>
            <w:tcW w:w="597" w:type="dxa"/>
            <w:tcBorders>
              <w:top w:val="single" w:color="auto" w:sz="4" w:space="0"/>
              <w:left w:val="single" w:color="auto" w:sz="4" w:space="0"/>
              <w:right w:val="single" w:color="auto" w:sz="4" w:space="0"/>
            </w:tcBorders>
            <w:vAlign w:val="center"/>
          </w:tcPr>
          <w:p w14:paraId="132F7286">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3</w:t>
            </w:r>
          </w:p>
        </w:tc>
        <w:tc>
          <w:tcPr>
            <w:tcW w:w="6378" w:type="dxa"/>
            <w:tcBorders>
              <w:top w:val="single" w:color="auto" w:sz="4" w:space="0"/>
              <w:left w:val="single" w:color="auto" w:sz="4" w:space="0"/>
              <w:right w:val="single" w:color="auto" w:sz="4" w:space="0"/>
            </w:tcBorders>
            <w:vAlign w:val="center"/>
          </w:tcPr>
          <w:p w14:paraId="1E492964">
            <w:pPr>
              <w:widowControl/>
              <w:pBdr>
                <w:top w:val="none" w:color="auto" w:sz="0" w:space="0"/>
                <w:left w:val="none" w:color="auto" w:sz="0" w:space="0"/>
                <w:bottom w:val="none" w:color="auto" w:sz="0" w:space="0"/>
                <w:right w:val="none" w:color="auto" w:sz="0" w:space="0"/>
                <w:between w:val="none" w:color="auto" w:sz="0" w:space="0"/>
              </w:pBdr>
              <w:textAlignment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bidi="ar"/>
              </w:rPr>
              <w:t>只有一个方案投标。</w:t>
            </w:r>
          </w:p>
        </w:tc>
        <w:tc>
          <w:tcPr>
            <w:tcW w:w="658" w:type="dxa"/>
            <w:tcBorders>
              <w:left w:val="single" w:color="auto" w:sz="4" w:space="0"/>
            </w:tcBorders>
          </w:tcPr>
          <w:p w14:paraId="77C5A955">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szCs w:val="21"/>
              </w:rPr>
            </w:pPr>
          </w:p>
        </w:tc>
        <w:tc>
          <w:tcPr>
            <w:tcW w:w="628" w:type="dxa"/>
            <w:tcBorders>
              <w:right w:val="single" w:color="auto" w:sz="4" w:space="0"/>
            </w:tcBorders>
          </w:tcPr>
          <w:p w14:paraId="74FE1112">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szCs w:val="21"/>
              </w:rPr>
            </w:pPr>
          </w:p>
        </w:tc>
      </w:tr>
      <w:tr w14:paraId="004D61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8" w:hRule="atLeast"/>
        </w:trPr>
        <w:tc>
          <w:tcPr>
            <w:tcW w:w="784" w:type="dxa"/>
            <w:vMerge w:val="continue"/>
            <w:tcBorders>
              <w:left w:val="single" w:color="auto" w:sz="4" w:space="0"/>
              <w:right w:val="single" w:color="auto" w:sz="4" w:space="0"/>
            </w:tcBorders>
            <w:vAlign w:val="center"/>
          </w:tcPr>
          <w:p w14:paraId="5EC1EB41">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rPr>
            </w:pPr>
          </w:p>
        </w:tc>
        <w:tc>
          <w:tcPr>
            <w:tcW w:w="597" w:type="dxa"/>
            <w:tcBorders>
              <w:left w:val="single" w:color="auto" w:sz="4" w:space="0"/>
            </w:tcBorders>
            <w:vAlign w:val="center"/>
          </w:tcPr>
          <w:p w14:paraId="506B0FDA">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eastAsia="zh-CN"/>
              </w:rPr>
              <w:t>4</w:t>
            </w:r>
          </w:p>
        </w:tc>
        <w:tc>
          <w:tcPr>
            <w:tcW w:w="6378" w:type="dxa"/>
            <w:tcBorders>
              <w:right w:val="single" w:color="auto" w:sz="4" w:space="0"/>
            </w:tcBorders>
            <w:vAlign w:val="center"/>
          </w:tcPr>
          <w:p w14:paraId="364C05F9">
            <w:pPr>
              <w:widowControl/>
              <w:pBdr>
                <w:top w:val="none" w:color="auto" w:sz="0" w:space="0"/>
                <w:left w:val="none" w:color="auto" w:sz="0" w:space="0"/>
                <w:bottom w:val="none" w:color="auto" w:sz="0" w:space="0"/>
                <w:right w:val="none" w:color="auto" w:sz="0" w:space="0"/>
                <w:between w:val="none" w:color="auto" w:sz="0" w:space="0"/>
              </w:pBdr>
              <w:textAlignment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bidi="ar"/>
              </w:rPr>
              <w:t>投标文件内容齐全、无遗漏。</w:t>
            </w:r>
          </w:p>
        </w:tc>
        <w:tc>
          <w:tcPr>
            <w:tcW w:w="658" w:type="dxa"/>
            <w:tcBorders>
              <w:left w:val="single" w:color="auto" w:sz="4" w:space="0"/>
            </w:tcBorders>
          </w:tcPr>
          <w:p w14:paraId="1D8DEAE4">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szCs w:val="21"/>
                <w:lang w:eastAsia="zh-CN"/>
              </w:rPr>
            </w:pPr>
          </w:p>
        </w:tc>
        <w:tc>
          <w:tcPr>
            <w:tcW w:w="628" w:type="dxa"/>
            <w:tcBorders>
              <w:right w:val="single" w:color="auto" w:sz="4" w:space="0"/>
            </w:tcBorders>
          </w:tcPr>
          <w:p w14:paraId="6878E09A">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szCs w:val="21"/>
                <w:lang w:eastAsia="zh-CN"/>
              </w:rPr>
            </w:pPr>
          </w:p>
        </w:tc>
      </w:tr>
      <w:tr w14:paraId="038D80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784" w:type="dxa"/>
            <w:vMerge w:val="continue"/>
            <w:tcBorders>
              <w:left w:val="single" w:color="auto" w:sz="4" w:space="0"/>
              <w:right w:val="single" w:color="auto" w:sz="4" w:space="0"/>
            </w:tcBorders>
            <w:vAlign w:val="center"/>
          </w:tcPr>
          <w:p w14:paraId="33A1E7AE">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p>
        </w:tc>
        <w:tc>
          <w:tcPr>
            <w:tcW w:w="597" w:type="dxa"/>
            <w:tcBorders>
              <w:left w:val="single" w:color="auto" w:sz="4" w:space="0"/>
              <w:bottom w:val="single" w:color="auto" w:sz="4" w:space="0"/>
            </w:tcBorders>
            <w:vAlign w:val="center"/>
          </w:tcPr>
          <w:p w14:paraId="6541CDEF">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5</w:t>
            </w:r>
          </w:p>
        </w:tc>
        <w:tc>
          <w:tcPr>
            <w:tcW w:w="6378" w:type="dxa"/>
            <w:tcBorders>
              <w:bottom w:val="single" w:color="auto" w:sz="4" w:space="0"/>
              <w:right w:val="single" w:color="auto" w:sz="4" w:space="0"/>
            </w:tcBorders>
            <w:vAlign w:val="center"/>
          </w:tcPr>
          <w:p w14:paraId="28863C3E">
            <w:pPr>
              <w:widowControl/>
              <w:pBdr>
                <w:top w:val="none" w:color="auto" w:sz="0" w:space="0"/>
                <w:left w:val="none" w:color="auto" w:sz="0" w:space="0"/>
                <w:bottom w:val="none" w:color="auto" w:sz="0" w:space="0"/>
                <w:right w:val="none" w:color="auto" w:sz="0" w:space="0"/>
                <w:between w:val="none" w:color="auto" w:sz="0" w:space="0"/>
              </w:pBdr>
              <w:textAlignment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bidi="ar"/>
              </w:rPr>
              <w:t>对招标文件规定的招标内容全部作出响应。</w:t>
            </w:r>
          </w:p>
        </w:tc>
        <w:tc>
          <w:tcPr>
            <w:tcW w:w="658" w:type="dxa"/>
            <w:tcBorders>
              <w:left w:val="single" w:color="auto" w:sz="4" w:space="0"/>
              <w:bottom w:val="single" w:color="auto" w:sz="4" w:space="0"/>
            </w:tcBorders>
          </w:tcPr>
          <w:p w14:paraId="40C1D803">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szCs w:val="21"/>
                <w:lang w:eastAsia="zh-CN"/>
              </w:rPr>
            </w:pPr>
          </w:p>
        </w:tc>
        <w:tc>
          <w:tcPr>
            <w:tcW w:w="628" w:type="dxa"/>
            <w:tcBorders>
              <w:bottom w:val="single" w:color="auto" w:sz="4" w:space="0"/>
              <w:right w:val="single" w:color="auto" w:sz="4" w:space="0"/>
            </w:tcBorders>
          </w:tcPr>
          <w:p w14:paraId="6788BB7C">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szCs w:val="21"/>
                <w:lang w:eastAsia="zh-CN"/>
              </w:rPr>
            </w:pPr>
          </w:p>
        </w:tc>
      </w:tr>
      <w:tr w14:paraId="3036AA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1" w:hRule="atLeast"/>
        </w:trPr>
        <w:tc>
          <w:tcPr>
            <w:tcW w:w="784" w:type="dxa"/>
            <w:vMerge w:val="continue"/>
            <w:tcBorders>
              <w:left w:val="single" w:color="auto" w:sz="4" w:space="0"/>
              <w:right w:val="single" w:color="auto" w:sz="4" w:space="0"/>
            </w:tcBorders>
            <w:vAlign w:val="center"/>
          </w:tcPr>
          <w:p w14:paraId="6684C384">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p>
        </w:tc>
        <w:tc>
          <w:tcPr>
            <w:tcW w:w="597" w:type="dxa"/>
            <w:tcBorders>
              <w:top w:val="single" w:color="auto" w:sz="4" w:space="0"/>
              <w:left w:val="single" w:color="auto" w:sz="4" w:space="0"/>
            </w:tcBorders>
            <w:vAlign w:val="center"/>
          </w:tcPr>
          <w:p w14:paraId="0E4D8AB4">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6</w:t>
            </w:r>
          </w:p>
        </w:tc>
        <w:tc>
          <w:tcPr>
            <w:tcW w:w="6378" w:type="dxa"/>
            <w:tcBorders>
              <w:top w:val="single" w:color="auto" w:sz="4" w:space="0"/>
              <w:right w:val="single" w:color="auto" w:sz="4" w:space="0"/>
            </w:tcBorders>
            <w:vAlign w:val="center"/>
          </w:tcPr>
          <w:p w14:paraId="4FCED682">
            <w:pPr>
              <w:widowControl/>
              <w:pBdr>
                <w:top w:val="none" w:color="auto" w:sz="0" w:space="0"/>
                <w:left w:val="none" w:color="auto" w:sz="0" w:space="0"/>
                <w:bottom w:val="none" w:color="auto" w:sz="0" w:space="0"/>
                <w:right w:val="none" w:color="auto" w:sz="0" w:space="0"/>
                <w:between w:val="none" w:color="auto" w:sz="0" w:space="0"/>
              </w:pBdr>
              <w:textAlignment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bidi="ar"/>
              </w:rPr>
              <w:t>完成期限满足招标文件要求。</w:t>
            </w:r>
          </w:p>
        </w:tc>
        <w:tc>
          <w:tcPr>
            <w:tcW w:w="658" w:type="dxa"/>
            <w:tcBorders>
              <w:top w:val="single" w:color="auto" w:sz="4" w:space="0"/>
              <w:left w:val="single" w:color="auto" w:sz="4" w:space="0"/>
            </w:tcBorders>
          </w:tcPr>
          <w:p w14:paraId="4D081F21">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szCs w:val="21"/>
                <w:lang w:eastAsia="zh-CN"/>
              </w:rPr>
            </w:pPr>
          </w:p>
        </w:tc>
        <w:tc>
          <w:tcPr>
            <w:tcW w:w="628" w:type="dxa"/>
            <w:tcBorders>
              <w:top w:val="single" w:color="auto" w:sz="4" w:space="0"/>
              <w:right w:val="single" w:color="auto" w:sz="4" w:space="0"/>
            </w:tcBorders>
          </w:tcPr>
          <w:p w14:paraId="4B9F1007">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szCs w:val="21"/>
                <w:lang w:eastAsia="zh-CN"/>
              </w:rPr>
            </w:pPr>
          </w:p>
        </w:tc>
      </w:tr>
      <w:tr w14:paraId="20D109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trPr>
        <w:tc>
          <w:tcPr>
            <w:tcW w:w="784" w:type="dxa"/>
            <w:vMerge w:val="continue"/>
            <w:tcBorders>
              <w:left w:val="single" w:color="auto" w:sz="4" w:space="0"/>
              <w:right w:val="single" w:color="auto" w:sz="4" w:space="0"/>
            </w:tcBorders>
            <w:vAlign w:val="center"/>
          </w:tcPr>
          <w:p w14:paraId="3C3C5394">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p>
        </w:tc>
        <w:tc>
          <w:tcPr>
            <w:tcW w:w="597" w:type="dxa"/>
            <w:tcBorders>
              <w:left w:val="single" w:color="auto" w:sz="4" w:space="0"/>
            </w:tcBorders>
            <w:vAlign w:val="center"/>
          </w:tcPr>
          <w:p w14:paraId="715F28FB">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7</w:t>
            </w:r>
          </w:p>
        </w:tc>
        <w:tc>
          <w:tcPr>
            <w:tcW w:w="6378" w:type="dxa"/>
            <w:tcBorders>
              <w:right w:val="single" w:color="auto" w:sz="4" w:space="0"/>
            </w:tcBorders>
            <w:vAlign w:val="center"/>
          </w:tcPr>
          <w:p w14:paraId="6AB42BAD">
            <w:pPr>
              <w:widowControl/>
              <w:pBdr>
                <w:top w:val="none" w:color="auto" w:sz="0" w:space="0"/>
                <w:left w:val="none" w:color="auto" w:sz="0" w:space="0"/>
                <w:bottom w:val="none" w:color="auto" w:sz="0" w:space="0"/>
                <w:right w:val="none" w:color="auto" w:sz="0" w:space="0"/>
                <w:between w:val="none" w:color="auto" w:sz="0" w:space="0"/>
              </w:pBdr>
              <w:textAlignment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bidi="ar"/>
              </w:rPr>
              <w:t>投标有效期满足招标文件要求。</w:t>
            </w:r>
          </w:p>
        </w:tc>
        <w:tc>
          <w:tcPr>
            <w:tcW w:w="658" w:type="dxa"/>
            <w:tcBorders>
              <w:left w:val="single" w:color="auto" w:sz="4" w:space="0"/>
            </w:tcBorders>
          </w:tcPr>
          <w:p w14:paraId="1CFC8DDA">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szCs w:val="21"/>
                <w:lang w:eastAsia="zh-CN"/>
              </w:rPr>
            </w:pPr>
          </w:p>
        </w:tc>
        <w:tc>
          <w:tcPr>
            <w:tcW w:w="628" w:type="dxa"/>
            <w:tcBorders>
              <w:right w:val="single" w:color="auto" w:sz="4" w:space="0"/>
            </w:tcBorders>
          </w:tcPr>
          <w:p w14:paraId="1FDA9D4B">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szCs w:val="21"/>
                <w:lang w:eastAsia="zh-CN"/>
              </w:rPr>
            </w:pPr>
          </w:p>
        </w:tc>
      </w:tr>
      <w:tr w14:paraId="1BFDBB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trPr>
        <w:tc>
          <w:tcPr>
            <w:tcW w:w="784" w:type="dxa"/>
            <w:vMerge w:val="continue"/>
            <w:tcBorders>
              <w:left w:val="single" w:color="auto" w:sz="4" w:space="0"/>
              <w:right w:val="single" w:color="auto" w:sz="4" w:space="0"/>
            </w:tcBorders>
            <w:vAlign w:val="center"/>
          </w:tcPr>
          <w:p w14:paraId="0E64A4B9">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p>
        </w:tc>
        <w:tc>
          <w:tcPr>
            <w:tcW w:w="597" w:type="dxa"/>
            <w:tcBorders>
              <w:left w:val="single" w:color="auto" w:sz="4" w:space="0"/>
            </w:tcBorders>
            <w:vAlign w:val="center"/>
          </w:tcPr>
          <w:p w14:paraId="4610112B">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8</w:t>
            </w:r>
          </w:p>
        </w:tc>
        <w:tc>
          <w:tcPr>
            <w:tcW w:w="6378" w:type="dxa"/>
            <w:tcBorders>
              <w:right w:val="single" w:color="auto" w:sz="4" w:space="0"/>
            </w:tcBorders>
            <w:vAlign w:val="center"/>
          </w:tcPr>
          <w:p w14:paraId="716F6ECB">
            <w:pPr>
              <w:widowControl/>
              <w:pBdr>
                <w:top w:val="none" w:color="auto" w:sz="0" w:space="0"/>
                <w:left w:val="none" w:color="auto" w:sz="0" w:space="0"/>
                <w:bottom w:val="none" w:color="auto" w:sz="0" w:space="0"/>
                <w:right w:val="none" w:color="auto" w:sz="0" w:space="0"/>
                <w:between w:val="none" w:color="auto" w:sz="0" w:space="0"/>
              </w:pBdr>
              <w:textAlignment w:val="center"/>
              <w:rPr>
                <w:rFonts w:hint="eastAsia" w:asciiTheme="minorEastAsia" w:hAnsiTheme="minorEastAsia" w:eastAsiaTheme="minorEastAsia" w:cstheme="minorEastAsia"/>
                <w:color w:val="auto"/>
                <w:lang w:eastAsia="zh-CN" w:bidi="ar"/>
              </w:rPr>
            </w:pPr>
            <w:r>
              <w:rPr>
                <w:rFonts w:hint="eastAsia" w:asciiTheme="minorEastAsia" w:hAnsiTheme="minorEastAsia" w:eastAsiaTheme="minorEastAsia" w:cstheme="minorEastAsia"/>
                <w:color w:val="auto"/>
                <w:lang w:eastAsia="zh-CN" w:bidi="ar"/>
              </w:rPr>
              <w:t>1、投标文件未附有采购人不能接受的条件或不符合招标文件的其他要求。</w:t>
            </w:r>
          </w:p>
          <w:p w14:paraId="5AFA4939">
            <w:pPr>
              <w:widowControl/>
              <w:pBdr>
                <w:top w:val="none" w:color="auto" w:sz="0" w:space="0"/>
                <w:left w:val="none" w:color="auto" w:sz="0" w:space="0"/>
                <w:bottom w:val="none" w:color="auto" w:sz="0" w:space="0"/>
                <w:right w:val="none" w:color="auto" w:sz="0" w:space="0"/>
                <w:between w:val="none" w:color="auto" w:sz="0" w:space="0"/>
              </w:pBdr>
              <w:textAlignment w:val="center"/>
              <w:rPr>
                <w:rFonts w:hint="eastAsia" w:asciiTheme="minorEastAsia" w:hAnsiTheme="minorEastAsia" w:eastAsiaTheme="minorEastAsia" w:cstheme="minorEastAsia"/>
                <w:color w:val="auto"/>
                <w:lang w:eastAsia="zh-CN" w:bidi="ar"/>
              </w:rPr>
            </w:pPr>
            <w:r>
              <w:rPr>
                <w:rFonts w:hint="eastAsia" w:asciiTheme="minorEastAsia" w:hAnsiTheme="minorEastAsia" w:eastAsiaTheme="minorEastAsia" w:cstheme="minorEastAsia"/>
                <w:color w:val="auto"/>
                <w:lang w:eastAsia="zh-CN" w:bidi="ar"/>
              </w:rPr>
              <w:t>2、符合国家、行业技术标准的要求。</w:t>
            </w:r>
          </w:p>
          <w:p w14:paraId="4ED7E3B3">
            <w:pPr>
              <w:widowControl/>
              <w:pBdr>
                <w:top w:val="none" w:color="auto" w:sz="0" w:space="0"/>
                <w:left w:val="none" w:color="auto" w:sz="0" w:space="0"/>
                <w:bottom w:val="none" w:color="auto" w:sz="0" w:space="0"/>
                <w:right w:val="none" w:color="auto" w:sz="0" w:space="0"/>
                <w:between w:val="none" w:color="auto" w:sz="0" w:space="0"/>
              </w:pBdr>
              <w:textAlignment w:val="center"/>
              <w:rPr>
                <w:rFonts w:hint="eastAsia" w:asciiTheme="minorEastAsia" w:hAnsiTheme="minorEastAsia" w:eastAsiaTheme="minorEastAsia" w:cstheme="minorEastAsia"/>
                <w:color w:val="auto"/>
                <w:lang w:eastAsia="zh-CN" w:bidi="ar"/>
              </w:rPr>
            </w:pPr>
            <w:r>
              <w:rPr>
                <w:rFonts w:hint="eastAsia" w:asciiTheme="minorEastAsia" w:hAnsiTheme="minorEastAsia" w:eastAsiaTheme="minorEastAsia" w:cstheme="minorEastAsia"/>
                <w:color w:val="auto"/>
                <w:lang w:eastAsia="zh-CN" w:bidi="ar"/>
              </w:rPr>
              <w:t>3、不属于法律、法规、规章规定无效投标的其他情形。</w:t>
            </w:r>
          </w:p>
        </w:tc>
        <w:tc>
          <w:tcPr>
            <w:tcW w:w="658" w:type="dxa"/>
            <w:tcBorders>
              <w:left w:val="single" w:color="auto" w:sz="4" w:space="0"/>
            </w:tcBorders>
          </w:tcPr>
          <w:p w14:paraId="4B473B9E">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szCs w:val="21"/>
                <w:lang w:eastAsia="zh-CN"/>
              </w:rPr>
            </w:pPr>
          </w:p>
        </w:tc>
        <w:tc>
          <w:tcPr>
            <w:tcW w:w="628" w:type="dxa"/>
            <w:tcBorders>
              <w:right w:val="single" w:color="auto" w:sz="4" w:space="0"/>
            </w:tcBorders>
          </w:tcPr>
          <w:p w14:paraId="06C70454">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szCs w:val="21"/>
                <w:lang w:eastAsia="zh-CN"/>
              </w:rPr>
            </w:pPr>
          </w:p>
        </w:tc>
      </w:tr>
      <w:tr w14:paraId="6A40C1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9" w:hRule="atLeast"/>
        </w:trPr>
        <w:tc>
          <w:tcPr>
            <w:tcW w:w="784" w:type="dxa"/>
            <w:vMerge w:val="continue"/>
            <w:tcBorders>
              <w:left w:val="single" w:color="auto" w:sz="4" w:space="0"/>
              <w:bottom w:val="single" w:color="auto" w:sz="4" w:space="0"/>
              <w:right w:val="single" w:color="auto" w:sz="4" w:space="0"/>
            </w:tcBorders>
            <w:vAlign w:val="center"/>
          </w:tcPr>
          <w:p w14:paraId="700FAF36">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szCs w:val="21"/>
                <w:lang w:eastAsia="zh-CN"/>
              </w:rPr>
            </w:pPr>
          </w:p>
        </w:tc>
        <w:tc>
          <w:tcPr>
            <w:tcW w:w="6975" w:type="dxa"/>
            <w:gridSpan w:val="2"/>
            <w:tcBorders>
              <w:left w:val="single" w:color="auto" w:sz="4" w:space="0"/>
              <w:bottom w:val="single" w:color="auto" w:sz="4" w:space="0"/>
              <w:right w:val="single" w:color="auto" w:sz="4" w:space="0"/>
            </w:tcBorders>
          </w:tcPr>
          <w:p w14:paraId="24C198EA">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结论：是否通过评审（须填写通过或不通过）</w:t>
            </w:r>
          </w:p>
          <w:p w14:paraId="32140ADF">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注：以上</w:t>
            </w:r>
            <w:r>
              <w:rPr>
                <w:rFonts w:hint="eastAsia" w:ascii="宋体" w:hAnsi="宋体" w:eastAsia="宋体" w:cs="宋体"/>
                <w:color w:val="auto"/>
                <w:sz w:val="24"/>
                <w:szCs w:val="24"/>
                <w:lang w:val="zh-CN"/>
              </w:rPr>
              <w:t>有一项不满足审查标准的，评审小组将认定该投标人不通过</w:t>
            </w:r>
            <w:r>
              <w:rPr>
                <w:rFonts w:hint="eastAsia" w:asciiTheme="minorEastAsia" w:hAnsiTheme="minorEastAsia" w:eastAsiaTheme="minorEastAsia" w:cstheme="minorEastAsia"/>
                <w:color w:val="auto"/>
                <w:szCs w:val="21"/>
                <w:lang w:eastAsia="zh-CN"/>
              </w:rPr>
              <w:t>符合性</w:t>
            </w:r>
            <w:r>
              <w:rPr>
                <w:rFonts w:hint="eastAsia" w:asciiTheme="minorEastAsia" w:hAnsiTheme="minorEastAsia" w:eastAsiaTheme="minorEastAsia" w:cstheme="minorEastAsia"/>
                <w:color w:val="auto"/>
                <w:lang w:eastAsia="zh-CN"/>
              </w:rPr>
              <w:t>审查</w:t>
            </w:r>
            <w:r>
              <w:rPr>
                <w:rFonts w:hint="eastAsia" w:ascii="宋体" w:hAnsi="宋体" w:eastAsia="宋体" w:cs="宋体"/>
                <w:color w:val="auto"/>
                <w:sz w:val="24"/>
                <w:szCs w:val="24"/>
                <w:lang w:val="zh-CN"/>
              </w:rPr>
              <w:t>，不得进入下一阶段评审。</w:t>
            </w:r>
          </w:p>
        </w:tc>
        <w:tc>
          <w:tcPr>
            <w:tcW w:w="1286" w:type="dxa"/>
            <w:gridSpan w:val="2"/>
            <w:tcBorders>
              <w:left w:val="single" w:color="auto" w:sz="4" w:space="0"/>
              <w:bottom w:val="single" w:color="auto" w:sz="4" w:space="0"/>
              <w:right w:val="single" w:color="auto" w:sz="4" w:space="0"/>
            </w:tcBorders>
          </w:tcPr>
          <w:p w14:paraId="45F1D9E3">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szCs w:val="21"/>
                <w:lang w:eastAsia="zh-CN"/>
              </w:rPr>
            </w:pPr>
          </w:p>
        </w:tc>
      </w:tr>
    </w:tbl>
    <w:p w14:paraId="514230F4">
      <w:pPr>
        <w:pBdr>
          <w:top w:val="none" w:color="auto" w:sz="0" w:space="0"/>
          <w:left w:val="none" w:color="auto" w:sz="0" w:space="0"/>
          <w:bottom w:val="none" w:color="auto" w:sz="0" w:space="0"/>
          <w:right w:val="none" w:color="auto" w:sz="0" w:space="0"/>
          <w:between w:val="none" w:color="auto" w:sz="0" w:space="0"/>
        </w:pBdr>
        <w:spacing w:line="400" w:lineRule="exact"/>
        <w:ind w:firstLine="6316" w:firstLineChars="3495"/>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b/>
          <w:color w:val="auto"/>
          <w:sz w:val="18"/>
          <w:szCs w:val="15"/>
          <w:lang w:val="en-US" w:eastAsia="zh-CN"/>
        </w:rPr>
        <w:t xml:space="preserve">  </w:t>
      </w:r>
      <w:r>
        <w:rPr>
          <w:rFonts w:hint="eastAsia" w:asciiTheme="minorEastAsia" w:hAnsiTheme="minorEastAsia" w:eastAsiaTheme="minorEastAsia" w:cstheme="minorEastAsia"/>
          <w:b/>
          <w:color w:val="auto"/>
          <w:szCs w:val="21"/>
          <w:lang w:val="en-US" w:eastAsia="zh-CN"/>
        </w:rPr>
        <w:t xml:space="preserve">               </w:t>
      </w:r>
      <w:r>
        <w:rPr>
          <w:rFonts w:hint="eastAsia" w:asciiTheme="minorEastAsia" w:hAnsiTheme="minorEastAsia" w:eastAsiaTheme="minorEastAsia" w:cstheme="minorEastAsia"/>
          <w:b/>
          <w:color w:val="auto"/>
          <w:szCs w:val="21"/>
          <w:lang w:eastAsia="zh-CN"/>
        </w:rPr>
        <w:t>温馨提示：投标文件资格审查资料请精心准备,如评标专家在检验电子标书过程中，如果由于投标人自身原因导致评标专家无法查看并检验电子标书中以上相关资料的，按无效投标处理。即使投标单位将原件携带至现场的，同样按无效投标处理。</w:t>
      </w:r>
    </w:p>
    <w:p w14:paraId="735CDAC7">
      <w:pPr>
        <w:pBdr>
          <w:top w:val="none" w:color="auto" w:sz="0" w:space="0"/>
          <w:left w:val="none" w:color="auto" w:sz="0" w:space="0"/>
          <w:bottom w:val="none" w:color="auto" w:sz="0" w:space="0"/>
          <w:right w:val="none" w:color="auto" w:sz="0" w:space="0"/>
          <w:between w:val="none" w:color="auto" w:sz="0" w:space="0"/>
        </w:pBdr>
        <w:spacing w:before="156" w:beforeLines="50" w:line="400" w:lineRule="exact"/>
        <w:jc w:val="center"/>
        <w:outlineLvl w:val="9"/>
        <w:rPr>
          <w:rFonts w:hint="eastAsia" w:asciiTheme="minorEastAsia" w:hAnsiTheme="minorEastAsia" w:eastAsiaTheme="minorEastAsia" w:cstheme="minorEastAsia"/>
          <w:b/>
          <w:color w:val="auto"/>
          <w:lang w:eastAsia="zh-CN"/>
        </w:rPr>
      </w:pPr>
      <w:bookmarkStart w:id="84" w:name="_Toc362983803"/>
      <w:bookmarkStart w:id="85" w:name="_Toc469495734"/>
      <w:r>
        <w:rPr>
          <w:rFonts w:hint="eastAsia" w:asciiTheme="minorEastAsia" w:hAnsiTheme="minorEastAsia" w:eastAsiaTheme="minorEastAsia" w:cstheme="minorEastAsia"/>
          <w:b/>
          <w:color w:val="auto"/>
          <w:sz w:val="28"/>
          <w:szCs w:val="28"/>
          <w:lang w:eastAsia="zh-CN"/>
        </w:rPr>
        <w:t xml:space="preserve">三  </w:t>
      </w:r>
      <w:r>
        <w:rPr>
          <w:rFonts w:hint="eastAsia" w:asciiTheme="minorEastAsia" w:hAnsiTheme="minorEastAsia" w:eastAsiaTheme="minorEastAsia" w:cstheme="minorEastAsia"/>
          <w:b/>
          <w:color w:val="auto"/>
          <w:lang w:eastAsia="zh-CN"/>
        </w:rPr>
        <w:t>投标文件的澄清和补正</w:t>
      </w:r>
      <w:bookmarkEnd w:id="84"/>
      <w:bookmarkEnd w:id="85"/>
    </w:p>
    <w:p w14:paraId="4C41F1D6">
      <w:pPr>
        <w:pBdr>
          <w:top w:val="none" w:color="auto" w:sz="0" w:space="0"/>
          <w:left w:val="none" w:color="auto" w:sz="0" w:space="0"/>
          <w:bottom w:val="none" w:color="auto" w:sz="0" w:space="0"/>
          <w:right w:val="none" w:color="auto" w:sz="0" w:space="0"/>
          <w:between w:val="none" w:color="auto" w:sz="0" w:space="0"/>
        </w:pBdr>
        <w:tabs>
          <w:tab w:val="left" w:pos="0"/>
          <w:tab w:val="left" w:pos="240"/>
          <w:tab w:val="left" w:pos="600"/>
        </w:tabs>
        <w:spacing w:line="440" w:lineRule="exact"/>
        <w:ind w:firstLine="235" w:firstLineChars="98"/>
        <w:rPr>
          <w:rFonts w:hint="eastAsia" w:asciiTheme="minorEastAsia" w:hAnsiTheme="minorEastAsia" w:eastAsiaTheme="minorEastAsia" w:cstheme="minorEastAsia"/>
          <w:color w:val="auto"/>
          <w:szCs w:val="21"/>
          <w:lang w:eastAsia="zh-CN" w:bidi="ar-SA"/>
        </w:rPr>
      </w:pPr>
      <w:r>
        <w:rPr>
          <w:rFonts w:hint="eastAsia" w:asciiTheme="minorEastAsia" w:hAnsiTheme="minorEastAsia" w:eastAsiaTheme="minorEastAsia" w:cstheme="minorEastAsia"/>
          <w:color w:val="auto"/>
          <w:szCs w:val="21"/>
          <w:lang w:eastAsia="zh-CN" w:bidi="ar-SA"/>
        </w:rPr>
        <w:t>7．澄清、说明或补正的形式</w:t>
      </w:r>
    </w:p>
    <w:p w14:paraId="18E78E2A">
      <w:pPr>
        <w:pBdr>
          <w:top w:val="none" w:color="auto" w:sz="0" w:space="0"/>
          <w:left w:val="none" w:color="auto" w:sz="0" w:space="0"/>
          <w:bottom w:val="none" w:color="auto" w:sz="0" w:space="0"/>
          <w:right w:val="none" w:color="auto" w:sz="0" w:space="0"/>
          <w:between w:val="none" w:color="auto" w:sz="0" w:space="0"/>
        </w:pBdr>
        <w:tabs>
          <w:tab w:val="left" w:pos="0"/>
          <w:tab w:val="left" w:pos="240"/>
          <w:tab w:val="left" w:pos="600"/>
        </w:tabs>
        <w:spacing w:line="440" w:lineRule="exact"/>
        <w:ind w:firstLine="235" w:firstLineChars="98"/>
        <w:rPr>
          <w:rFonts w:hint="eastAsia" w:asciiTheme="minorEastAsia" w:hAnsiTheme="minorEastAsia" w:eastAsiaTheme="minorEastAsia" w:cstheme="minorEastAsia"/>
          <w:color w:val="auto"/>
          <w:szCs w:val="21"/>
          <w:lang w:eastAsia="zh-CN" w:bidi="ar-SA"/>
        </w:rPr>
      </w:pPr>
      <w:r>
        <w:rPr>
          <w:rFonts w:hint="eastAsia" w:asciiTheme="minorEastAsia" w:hAnsiTheme="minorEastAsia" w:eastAsiaTheme="minorEastAsia" w:cstheme="minorEastAsia"/>
          <w:color w:val="auto"/>
          <w:szCs w:val="21"/>
          <w:lang w:eastAsia="zh-CN" w:bidi="ar-SA"/>
        </w:rPr>
        <w:t>7.1对于投标文件中含义不明确、同类问题表述不一致或者有明显文字和计算错误的内容，评标委员会将通过“政府采购云平台”在线询标的方式要求投标供应商在规定的时间内作出必要的澄清、说明或者补正，投标供应商澄清、说明或补正时间为20分钟。</w:t>
      </w:r>
    </w:p>
    <w:p w14:paraId="0645988F">
      <w:pPr>
        <w:pBdr>
          <w:top w:val="none" w:color="auto" w:sz="0" w:space="0"/>
          <w:left w:val="none" w:color="auto" w:sz="0" w:space="0"/>
          <w:bottom w:val="none" w:color="auto" w:sz="0" w:space="0"/>
          <w:right w:val="none" w:color="auto" w:sz="0" w:space="0"/>
          <w:between w:val="none" w:color="auto" w:sz="0" w:space="0"/>
        </w:pBdr>
        <w:tabs>
          <w:tab w:val="left" w:pos="0"/>
          <w:tab w:val="left" w:pos="240"/>
          <w:tab w:val="left" w:pos="600"/>
        </w:tabs>
        <w:spacing w:line="440" w:lineRule="exact"/>
        <w:ind w:firstLine="235" w:firstLineChars="98"/>
        <w:rPr>
          <w:rFonts w:hint="eastAsia" w:asciiTheme="minorEastAsia" w:hAnsiTheme="minorEastAsia" w:eastAsiaTheme="minorEastAsia" w:cstheme="minorEastAsia"/>
          <w:color w:val="auto"/>
          <w:szCs w:val="21"/>
          <w:lang w:eastAsia="zh-CN" w:bidi="ar-SA"/>
        </w:rPr>
      </w:pPr>
      <w:r>
        <w:rPr>
          <w:rFonts w:hint="eastAsia" w:asciiTheme="minorEastAsia" w:hAnsiTheme="minorEastAsia" w:eastAsiaTheme="minorEastAsia" w:cstheme="minorEastAsia"/>
          <w:color w:val="auto"/>
          <w:szCs w:val="21"/>
          <w:lang w:eastAsia="zh-CN" w:bidi="ar-SA"/>
        </w:rPr>
        <w:t>7.2投标供应商的澄清、说明或者补正应当通过“政府采购云平台”在线答复的方式提交，并加盖公章（电子印章），或者由法定代表人（负责人）或其授权的代表签章。投标供应商的澄清、说明或者补正不得超出投标文件的范围或者改变投标文件的实质性内容，不接受投标供应商主动对投标文件的澄清、说明或者补正。</w:t>
      </w:r>
    </w:p>
    <w:p w14:paraId="36FA5B60">
      <w:pPr>
        <w:pBdr>
          <w:top w:val="none" w:color="auto" w:sz="0" w:space="0"/>
          <w:left w:val="none" w:color="auto" w:sz="0" w:space="0"/>
          <w:bottom w:val="none" w:color="auto" w:sz="0" w:space="0"/>
          <w:right w:val="none" w:color="auto" w:sz="0" w:space="0"/>
          <w:between w:val="none" w:color="auto" w:sz="0" w:space="0"/>
        </w:pBdr>
        <w:tabs>
          <w:tab w:val="left" w:pos="0"/>
          <w:tab w:val="left" w:pos="240"/>
          <w:tab w:val="left" w:pos="600"/>
        </w:tabs>
        <w:spacing w:line="440" w:lineRule="exact"/>
        <w:ind w:firstLine="235" w:firstLineChars="98"/>
        <w:rPr>
          <w:rFonts w:hint="eastAsia" w:asciiTheme="minorEastAsia" w:hAnsiTheme="minorEastAsia" w:eastAsiaTheme="minorEastAsia" w:cstheme="minorEastAsia"/>
          <w:color w:val="auto"/>
          <w:szCs w:val="21"/>
          <w:lang w:eastAsia="zh-CN" w:bidi="ar-SA"/>
        </w:rPr>
      </w:pPr>
      <w:r>
        <w:rPr>
          <w:rFonts w:hint="eastAsia" w:asciiTheme="minorEastAsia" w:hAnsiTheme="minorEastAsia" w:eastAsiaTheme="minorEastAsia" w:cstheme="minorEastAsia"/>
          <w:color w:val="auto"/>
          <w:szCs w:val="21"/>
          <w:lang w:eastAsia="zh-CN" w:bidi="ar-SA"/>
        </w:rPr>
        <w:t>7.3有效的书面澄清材料，是投标文件的补充材料，成为投标文件的组成部分。</w:t>
      </w:r>
    </w:p>
    <w:p w14:paraId="3D9038E8">
      <w:pPr>
        <w:pBdr>
          <w:top w:val="none" w:color="auto" w:sz="0" w:space="0"/>
          <w:left w:val="none" w:color="auto" w:sz="0" w:space="0"/>
          <w:bottom w:val="none" w:color="auto" w:sz="0" w:space="0"/>
          <w:right w:val="none" w:color="auto" w:sz="0" w:space="0"/>
          <w:between w:val="none" w:color="auto" w:sz="0" w:space="0"/>
        </w:pBdr>
        <w:tabs>
          <w:tab w:val="left" w:pos="0"/>
          <w:tab w:val="left" w:pos="240"/>
          <w:tab w:val="left" w:pos="600"/>
        </w:tabs>
        <w:spacing w:line="440" w:lineRule="exact"/>
        <w:ind w:firstLine="235" w:firstLineChars="98"/>
        <w:rPr>
          <w:rFonts w:hint="eastAsia" w:asciiTheme="minorEastAsia" w:hAnsiTheme="minorEastAsia" w:eastAsiaTheme="minorEastAsia" w:cstheme="minorEastAsia"/>
          <w:color w:val="auto"/>
          <w:szCs w:val="21"/>
          <w:lang w:eastAsia="zh-CN" w:bidi="ar-SA"/>
        </w:rPr>
      </w:pPr>
      <w:r>
        <w:rPr>
          <w:rFonts w:hint="eastAsia" w:asciiTheme="minorEastAsia" w:hAnsiTheme="minorEastAsia" w:eastAsiaTheme="minorEastAsia" w:cstheme="minorEastAsia"/>
          <w:color w:val="auto"/>
          <w:szCs w:val="21"/>
          <w:lang w:eastAsia="zh-CN" w:bidi="ar-SA"/>
        </w:rPr>
        <w:t>7.4上述询标、澄清、说明和补正工作如因客观原因无法通过“政府采购云平台”在线进行的，将采用电子邮件等形式进行，请供应商保证办理投标事宜人员电话畅通、网络在线。如未及时进行澄清、说明或者补正的，视为放弃澄清、说明或者补正的权利。</w:t>
      </w:r>
    </w:p>
    <w:p w14:paraId="60E3FD9D">
      <w:pPr>
        <w:pBdr>
          <w:top w:val="none" w:color="auto" w:sz="0" w:space="0"/>
          <w:left w:val="none" w:color="auto" w:sz="0" w:space="0"/>
          <w:bottom w:val="none" w:color="auto" w:sz="0" w:space="0"/>
          <w:right w:val="none" w:color="auto" w:sz="0" w:space="0"/>
          <w:between w:val="none" w:color="auto" w:sz="0" w:space="0"/>
        </w:pBdr>
        <w:tabs>
          <w:tab w:val="left" w:pos="0"/>
          <w:tab w:val="left" w:pos="240"/>
          <w:tab w:val="left" w:pos="600"/>
        </w:tabs>
        <w:spacing w:line="440" w:lineRule="exact"/>
        <w:ind w:firstLine="235" w:firstLineChars="98"/>
        <w:rPr>
          <w:rFonts w:hint="eastAsia" w:asciiTheme="minorEastAsia" w:hAnsiTheme="minorEastAsia" w:eastAsiaTheme="minorEastAsia" w:cstheme="minorEastAsia"/>
          <w:color w:val="auto"/>
          <w:szCs w:val="21"/>
          <w:lang w:eastAsia="zh-CN" w:bidi="ar-SA"/>
        </w:rPr>
      </w:pPr>
      <w:r>
        <w:rPr>
          <w:rFonts w:hint="eastAsia" w:asciiTheme="minorEastAsia" w:hAnsiTheme="minorEastAsia" w:eastAsiaTheme="minorEastAsia" w:cstheme="minorEastAsia"/>
          <w:color w:val="auto"/>
          <w:szCs w:val="21"/>
          <w:lang w:eastAsia="zh-CN" w:bidi="ar-SA"/>
        </w:rPr>
        <w:t>8．错误修正的原则</w:t>
      </w:r>
    </w:p>
    <w:p w14:paraId="25854801">
      <w:pPr>
        <w:pBdr>
          <w:top w:val="none" w:color="auto" w:sz="0" w:space="0"/>
          <w:left w:val="none" w:color="auto" w:sz="0" w:space="0"/>
          <w:bottom w:val="none" w:color="auto" w:sz="0" w:space="0"/>
          <w:right w:val="none" w:color="auto" w:sz="0" w:space="0"/>
          <w:between w:val="none" w:color="auto" w:sz="0" w:space="0"/>
        </w:pBdr>
        <w:tabs>
          <w:tab w:val="left" w:pos="0"/>
          <w:tab w:val="left" w:pos="240"/>
          <w:tab w:val="left" w:pos="600"/>
        </w:tabs>
        <w:spacing w:line="440" w:lineRule="exact"/>
        <w:ind w:firstLine="235" w:firstLineChars="98"/>
        <w:rPr>
          <w:rFonts w:hint="eastAsia" w:asciiTheme="minorEastAsia" w:hAnsiTheme="minorEastAsia" w:eastAsiaTheme="minorEastAsia" w:cstheme="minorEastAsia"/>
          <w:color w:val="auto"/>
          <w:szCs w:val="21"/>
          <w:lang w:eastAsia="zh-CN" w:bidi="ar-SA"/>
        </w:rPr>
      </w:pPr>
      <w:r>
        <w:rPr>
          <w:rFonts w:hint="eastAsia" w:asciiTheme="minorEastAsia" w:hAnsiTheme="minorEastAsia" w:eastAsiaTheme="minorEastAsia" w:cstheme="minorEastAsia"/>
          <w:color w:val="auto"/>
          <w:szCs w:val="21"/>
          <w:lang w:eastAsia="zh-CN" w:bidi="ar-SA"/>
        </w:rPr>
        <w:t>电子交易平台客户端里开标一览表录入的投标报价或优惠率与扫描上传的报价文件信息不一致的，以扫描上传的报价文件信息为准进行修正。</w:t>
      </w:r>
    </w:p>
    <w:p w14:paraId="05280B49">
      <w:pPr>
        <w:pBdr>
          <w:top w:val="none" w:color="auto" w:sz="0" w:space="0"/>
          <w:left w:val="none" w:color="auto" w:sz="0" w:space="0"/>
          <w:bottom w:val="none" w:color="auto" w:sz="0" w:space="0"/>
          <w:right w:val="none" w:color="auto" w:sz="0" w:space="0"/>
          <w:between w:val="none" w:color="auto" w:sz="0" w:space="0"/>
        </w:pBdr>
        <w:tabs>
          <w:tab w:val="left" w:pos="0"/>
          <w:tab w:val="left" w:pos="240"/>
          <w:tab w:val="left" w:pos="600"/>
        </w:tabs>
        <w:spacing w:line="440" w:lineRule="exact"/>
        <w:ind w:firstLine="235" w:firstLineChars="98"/>
        <w:rPr>
          <w:rFonts w:hint="eastAsia" w:asciiTheme="minorEastAsia" w:hAnsiTheme="minorEastAsia" w:eastAsiaTheme="minorEastAsia" w:cstheme="minorEastAsia"/>
          <w:color w:val="auto"/>
          <w:szCs w:val="21"/>
          <w:lang w:eastAsia="zh-CN" w:bidi="ar-SA"/>
        </w:rPr>
      </w:pPr>
      <w:r>
        <w:rPr>
          <w:rFonts w:hint="eastAsia" w:asciiTheme="minorEastAsia" w:hAnsiTheme="minorEastAsia" w:eastAsiaTheme="minorEastAsia" w:cstheme="minorEastAsia"/>
          <w:color w:val="auto"/>
          <w:szCs w:val="21"/>
          <w:lang w:eastAsia="zh-CN" w:bidi="ar-SA"/>
        </w:rPr>
        <w:t>投标文件报价出现前后不一致的，除采购文件另有规定外，按照下列规定修正：</w:t>
      </w:r>
    </w:p>
    <w:p w14:paraId="6C45967B">
      <w:pPr>
        <w:pBdr>
          <w:top w:val="none" w:color="auto" w:sz="0" w:space="0"/>
          <w:left w:val="none" w:color="auto" w:sz="0" w:space="0"/>
          <w:bottom w:val="none" w:color="auto" w:sz="0" w:space="0"/>
          <w:right w:val="none" w:color="auto" w:sz="0" w:space="0"/>
          <w:between w:val="none" w:color="auto" w:sz="0" w:space="0"/>
        </w:pBdr>
        <w:tabs>
          <w:tab w:val="left" w:pos="0"/>
          <w:tab w:val="left" w:pos="240"/>
          <w:tab w:val="left" w:pos="600"/>
        </w:tabs>
        <w:spacing w:line="440" w:lineRule="exact"/>
        <w:ind w:firstLine="235" w:firstLineChars="98"/>
        <w:rPr>
          <w:rFonts w:hint="eastAsia" w:asciiTheme="minorEastAsia" w:hAnsiTheme="minorEastAsia" w:eastAsiaTheme="minorEastAsia" w:cstheme="minorEastAsia"/>
          <w:color w:val="auto"/>
          <w:szCs w:val="21"/>
          <w:lang w:eastAsia="zh-CN" w:bidi="ar-SA"/>
        </w:rPr>
      </w:pPr>
      <w:r>
        <w:rPr>
          <w:rFonts w:hint="eastAsia" w:asciiTheme="minorEastAsia" w:hAnsiTheme="minorEastAsia" w:eastAsiaTheme="minorEastAsia" w:cstheme="minorEastAsia"/>
          <w:color w:val="auto"/>
          <w:szCs w:val="21"/>
          <w:lang w:eastAsia="zh-CN" w:bidi="ar-SA"/>
        </w:rPr>
        <w:t>8.1 投标函中表述的内容与报价表中不一致的，以报价表为准；报价表中的内容与报价明细表不一致的，以报价表为准；</w:t>
      </w:r>
    </w:p>
    <w:p w14:paraId="44AAD7E8">
      <w:pPr>
        <w:pBdr>
          <w:top w:val="none" w:color="auto" w:sz="0" w:space="0"/>
          <w:left w:val="none" w:color="auto" w:sz="0" w:space="0"/>
          <w:bottom w:val="none" w:color="auto" w:sz="0" w:space="0"/>
          <w:right w:val="none" w:color="auto" w:sz="0" w:space="0"/>
          <w:between w:val="none" w:color="auto" w:sz="0" w:space="0"/>
        </w:pBdr>
        <w:tabs>
          <w:tab w:val="left" w:pos="0"/>
          <w:tab w:val="left" w:pos="240"/>
          <w:tab w:val="left" w:pos="600"/>
        </w:tabs>
        <w:spacing w:line="440" w:lineRule="exact"/>
        <w:ind w:firstLine="235" w:firstLineChars="98"/>
        <w:rPr>
          <w:rFonts w:hint="eastAsia" w:asciiTheme="minorEastAsia" w:hAnsiTheme="minorEastAsia" w:eastAsiaTheme="minorEastAsia" w:cstheme="minorEastAsia"/>
          <w:color w:val="auto"/>
          <w:szCs w:val="21"/>
          <w:lang w:eastAsia="zh-CN" w:bidi="ar-SA"/>
        </w:rPr>
      </w:pPr>
      <w:r>
        <w:rPr>
          <w:rFonts w:hint="eastAsia" w:asciiTheme="minorEastAsia" w:hAnsiTheme="minorEastAsia" w:eastAsiaTheme="minorEastAsia" w:cstheme="minorEastAsia"/>
          <w:color w:val="auto"/>
          <w:szCs w:val="21"/>
          <w:lang w:eastAsia="zh-CN" w:bidi="ar-SA"/>
        </w:rPr>
        <w:t>8.2 投标文件中的大写金额和小写金额不一致的，以大写金额为准；</w:t>
      </w:r>
    </w:p>
    <w:p w14:paraId="6929B66C">
      <w:pPr>
        <w:pBdr>
          <w:top w:val="none" w:color="auto" w:sz="0" w:space="0"/>
          <w:left w:val="none" w:color="auto" w:sz="0" w:space="0"/>
          <w:bottom w:val="none" w:color="auto" w:sz="0" w:space="0"/>
          <w:right w:val="none" w:color="auto" w:sz="0" w:space="0"/>
          <w:between w:val="none" w:color="auto" w:sz="0" w:space="0"/>
        </w:pBdr>
        <w:tabs>
          <w:tab w:val="left" w:pos="0"/>
          <w:tab w:val="left" w:pos="240"/>
          <w:tab w:val="left" w:pos="600"/>
        </w:tabs>
        <w:spacing w:line="440" w:lineRule="exact"/>
        <w:ind w:firstLine="235" w:firstLineChars="98"/>
        <w:rPr>
          <w:rFonts w:hint="eastAsia" w:asciiTheme="minorEastAsia" w:hAnsiTheme="minorEastAsia" w:eastAsiaTheme="minorEastAsia" w:cstheme="minorEastAsia"/>
          <w:color w:val="auto"/>
          <w:szCs w:val="21"/>
          <w:lang w:eastAsia="zh-CN" w:bidi="ar-SA"/>
        </w:rPr>
      </w:pPr>
      <w:r>
        <w:rPr>
          <w:rFonts w:hint="eastAsia" w:asciiTheme="minorEastAsia" w:hAnsiTheme="minorEastAsia" w:eastAsiaTheme="minorEastAsia" w:cstheme="minorEastAsia"/>
          <w:color w:val="auto"/>
          <w:szCs w:val="21"/>
          <w:lang w:eastAsia="zh-CN" w:bidi="ar-SA"/>
        </w:rPr>
        <w:t>8.3 单价金额小数点或者百分比有明显错位的，以开标一览表的总价为准，并修改单价；</w:t>
      </w:r>
    </w:p>
    <w:p w14:paraId="00483098">
      <w:pPr>
        <w:pBdr>
          <w:top w:val="none" w:color="auto" w:sz="0" w:space="0"/>
          <w:left w:val="none" w:color="auto" w:sz="0" w:space="0"/>
          <w:bottom w:val="none" w:color="auto" w:sz="0" w:space="0"/>
          <w:right w:val="none" w:color="auto" w:sz="0" w:space="0"/>
          <w:between w:val="none" w:color="auto" w:sz="0" w:space="0"/>
        </w:pBdr>
        <w:tabs>
          <w:tab w:val="left" w:pos="0"/>
          <w:tab w:val="left" w:pos="240"/>
          <w:tab w:val="left" w:pos="600"/>
        </w:tabs>
        <w:spacing w:line="440" w:lineRule="exact"/>
        <w:ind w:firstLine="235" w:firstLineChars="98"/>
        <w:rPr>
          <w:rFonts w:hint="eastAsia" w:asciiTheme="minorEastAsia" w:hAnsiTheme="minorEastAsia" w:eastAsiaTheme="minorEastAsia" w:cstheme="minorEastAsia"/>
          <w:color w:val="auto"/>
          <w:szCs w:val="21"/>
          <w:lang w:eastAsia="zh-CN" w:bidi="ar-SA"/>
        </w:rPr>
      </w:pPr>
      <w:r>
        <w:rPr>
          <w:rFonts w:hint="eastAsia" w:asciiTheme="minorEastAsia" w:hAnsiTheme="minorEastAsia" w:eastAsiaTheme="minorEastAsia" w:cstheme="minorEastAsia"/>
          <w:color w:val="auto"/>
          <w:szCs w:val="21"/>
          <w:lang w:eastAsia="zh-CN" w:bidi="ar-SA"/>
        </w:rPr>
        <w:t>8.4 总价金额与按单价汇总金额不一致的，以单价金额计算结果为准；</w:t>
      </w:r>
    </w:p>
    <w:p w14:paraId="6C7CE526">
      <w:pPr>
        <w:pBdr>
          <w:top w:val="none" w:color="auto" w:sz="0" w:space="0"/>
          <w:left w:val="none" w:color="auto" w:sz="0" w:space="0"/>
          <w:bottom w:val="none" w:color="auto" w:sz="0" w:space="0"/>
          <w:right w:val="none" w:color="auto" w:sz="0" w:space="0"/>
          <w:between w:val="none" w:color="auto" w:sz="0" w:space="0"/>
        </w:pBdr>
        <w:tabs>
          <w:tab w:val="left" w:pos="0"/>
          <w:tab w:val="left" w:pos="240"/>
          <w:tab w:val="left" w:pos="600"/>
        </w:tabs>
        <w:spacing w:line="440" w:lineRule="exact"/>
        <w:ind w:firstLine="235" w:firstLineChars="98"/>
        <w:rPr>
          <w:rFonts w:hint="eastAsia" w:asciiTheme="minorEastAsia" w:hAnsiTheme="minorEastAsia" w:eastAsiaTheme="minorEastAsia" w:cstheme="minorEastAsia"/>
          <w:color w:val="auto"/>
          <w:szCs w:val="21"/>
          <w:lang w:eastAsia="zh-CN" w:bidi="ar-SA"/>
        </w:rPr>
      </w:pPr>
      <w:r>
        <w:rPr>
          <w:rFonts w:hint="eastAsia" w:asciiTheme="minorEastAsia" w:hAnsiTheme="minorEastAsia" w:eastAsiaTheme="minorEastAsia" w:cstheme="minorEastAsia"/>
          <w:color w:val="auto"/>
          <w:szCs w:val="21"/>
          <w:lang w:eastAsia="zh-CN" w:bidi="ar-SA"/>
        </w:rPr>
        <w:t>8.5 若用文字表示的数值与用数字表示的数值不一致，以文字表示的数值为准；</w:t>
      </w:r>
    </w:p>
    <w:p w14:paraId="0E6FC9E9">
      <w:pPr>
        <w:pBdr>
          <w:top w:val="none" w:color="auto" w:sz="0" w:space="0"/>
          <w:left w:val="none" w:color="auto" w:sz="0" w:space="0"/>
          <w:bottom w:val="none" w:color="auto" w:sz="0" w:space="0"/>
          <w:right w:val="none" w:color="auto" w:sz="0" w:space="0"/>
          <w:between w:val="none" w:color="auto" w:sz="0" w:space="0"/>
        </w:pBdr>
        <w:tabs>
          <w:tab w:val="left" w:pos="0"/>
          <w:tab w:val="left" w:pos="240"/>
          <w:tab w:val="left" w:pos="600"/>
        </w:tabs>
        <w:spacing w:line="440" w:lineRule="exact"/>
        <w:ind w:firstLine="235" w:firstLineChars="98"/>
        <w:rPr>
          <w:rFonts w:hint="eastAsia" w:asciiTheme="minorEastAsia" w:hAnsiTheme="minorEastAsia" w:eastAsiaTheme="minorEastAsia" w:cstheme="minorEastAsia"/>
          <w:color w:val="auto"/>
          <w:szCs w:val="21"/>
          <w:lang w:eastAsia="zh-CN" w:bidi="ar-SA"/>
        </w:rPr>
      </w:pPr>
      <w:r>
        <w:rPr>
          <w:rFonts w:hint="eastAsia" w:asciiTheme="minorEastAsia" w:hAnsiTheme="minorEastAsia" w:eastAsiaTheme="minorEastAsia" w:cstheme="minorEastAsia"/>
          <w:color w:val="auto"/>
          <w:szCs w:val="21"/>
          <w:lang w:eastAsia="zh-CN" w:bidi="ar-SA"/>
        </w:rPr>
        <w:t>8.6 如有多报（指数量超出采购文件需求）、重报（指同一货物重复报价），其投标总价在评标过程中不予调整，如其中标，其合同价按其投标单价予以调整；</w:t>
      </w:r>
    </w:p>
    <w:p w14:paraId="71A1AF1B">
      <w:pPr>
        <w:pBdr>
          <w:top w:val="none" w:color="auto" w:sz="0" w:space="0"/>
          <w:left w:val="none" w:color="auto" w:sz="0" w:space="0"/>
          <w:bottom w:val="none" w:color="auto" w:sz="0" w:space="0"/>
          <w:right w:val="none" w:color="auto" w:sz="0" w:space="0"/>
          <w:between w:val="none" w:color="auto" w:sz="0" w:space="0"/>
        </w:pBdr>
        <w:tabs>
          <w:tab w:val="left" w:pos="0"/>
          <w:tab w:val="left" w:pos="240"/>
          <w:tab w:val="left" w:pos="600"/>
        </w:tabs>
        <w:spacing w:line="440" w:lineRule="exact"/>
        <w:ind w:firstLine="235" w:firstLineChars="98"/>
        <w:rPr>
          <w:rFonts w:hint="eastAsia" w:asciiTheme="minorEastAsia" w:hAnsiTheme="minorEastAsia" w:eastAsiaTheme="minorEastAsia" w:cstheme="minorEastAsia"/>
          <w:color w:val="auto"/>
          <w:szCs w:val="21"/>
          <w:lang w:eastAsia="zh-CN" w:bidi="ar-SA"/>
        </w:rPr>
      </w:pPr>
      <w:r>
        <w:rPr>
          <w:rFonts w:hint="eastAsia" w:asciiTheme="minorEastAsia" w:hAnsiTheme="minorEastAsia" w:eastAsiaTheme="minorEastAsia" w:cstheme="minorEastAsia"/>
          <w:color w:val="auto"/>
          <w:szCs w:val="21"/>
          <w:lang w:eastAsia="zh-CN" w:bidi="ar-SA"/>
        </w:rPr>
        <w:t>8.7 对不同文字文本投标文件的解释发生异议的，以中文文本为准；</w:t>
      </w:r>
    </w:p>
    <w:p w14:paraId="62C7993D">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同时出现两种以上不一致的，按照前款规定的顺序修正。按上述修正错误的原则及方法调整或修正投标文件的投标报价，供应商确认后，以调整或修正后的投标报价为准。如供应商拒绝调整或修正的，其投标文件按无效标处理。修正应当采用电子询标的形式，并加盖公章（电子印章）。</w:t>
      </w:r>
    </w:p>
    <w:p w14:paraId="1E4EB1DF">
      <w:pPr>
        <w:pBdr>
          <w:top w:val="none" w:color="auto" w:sz="0" w:space="0"/>
          <w:left w:val="none" w:color="auto" w:sz="0" w:space="0"/>
          <w:bottom w:val="none" w:color="auto" w:sz="0" w:space="0"/>
          <w:right w:val="none" w:color="auto" w:sz="0" w:space="0"/>
          <w:between w:val="none" w:color="auto" w:sz="0" w:space="0"/>
        </w:pBdr>
        <w:spacing w:line="400" w:lineRule="exact"/>
        <w:jc w:val="center"/>
        <w:outlineLvl w:val="9"/>
        <w:rPr>
          <w:rFonts w:hint="eastAsia" w:asciiTheme="minorEastAsia" w:hAnsiTheme="minorEastAsia" w:eastAsiaTheme="minorEastAsia" w:cstheme="minorEastAsia"/>
          <w:b/>
          <w:color w:val="auto"/>
          <w:lang w:eastAsia="zh-CN"/>
        </w:rPr>
      </w:pPr>
      <w:bookmarkStart w:id="86" w:name="_Toc469495735"/>
      <w:r>
        <w:rPr>
          <w:rFonts w:hint="eastAsia" w:asciiTheme="minorEastAsia" w:hAnsiTheme="minorEastAsia" w:eastAsiaTheme="minorEastAsia" w:cstheme="minorEastAsia"/>
          <w:b/>
          <w:color w:val="auto"/>
          <w:lang w:eastAsia="zh-CN"/>
        </w:rPr>
        <w:t>四 比较与评价</w:t>
      </w:r>
      <w:bookmarkEnd w:id="86"/>
    </w:p>
    <w:p w14:paraId="4C0A8364">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szCs w:val="21"/>
          <w:lang w:eastAsia="zh-CN"/>
        </w:rPr>
      </w:pPr>
      <w:bookmarkStart w:id="87" w:name="_Toc469495736"/>
      <w:bookmarkStart w:id="88" w:name="_Toc362983805"/>
      <w:r>
        <w:rPr>
          <w:rFonts w:hint="eastAsia" w:asciiTheme="minorEastAsia" w:hAnsiTheme="minorEastAsia" w:eastAsiaTheme="minorEastAsia" w:cstheme="minorEastAsia"/>
          <w:color w:val="auto"/>
          <w:szCs w:val="21"/>
          <w:lang w:eastAsia="zh-CN"/>
        </w:rPr>
        <w:t>9.1评标委员会按招标文件中规定的评标方法和标准，对资格性检查和符合性检查合格的投标文件进行商务和技术评估、综合比较与评价。</w:t>
      </w:r>
    </w:p>
    <w:p w14:paraId="4A5F62D4">
      <w:pPr>
        <w:pBdr>
          <w:top w:val="none" w:color="auto" w:sz="0" w:space="0"/>
          <w:left w:val="none" w:color="auto" w:sz="0" w:space="0"/>
          <w:bottom w:val="none" w:color="auto" w:sz="0" w:space="0"/>
          <w:right w:val="none" w:color="auto" w:sz="0" w:space="0"/>
          <w:between w:val="none" w:color="auto" w:sz="0" w:space="0"/>
        </w:pBdr>
        <w:spacing w:line="440" w:lineRule="exact"/>
        <w:ind w:firstLine="240" w:firstLineChars="1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szCs w:val="21"/>
          <w:lang w:eastAsia="zh-CN"/>
        </w:rPr>
        <w:t>9.2评标委员会根据商务和技术评估的结果，采用综合评分法，分别对投标文</w:t>
      </w:r>
      <w:r>
        <w:rPr>
          <w:rFonts w:hint="eastAsia" w:asciiTheme="minorEastAsia" w:hAnsiTheme="minorEastAsia" w:eastAsiaTheme="minorEastAsia" w:cstheme="minorEastAsia"/>
          <w:color w:val="auto"/>
          <w:szCs w:val="21"/>
          <w:lang w:eastAsia="zh-CN" w:bidi="ar-SA"/>
        </w:rPr>
        <w:t>件的商务、技术、价格等内容进行打分。其中，商务评估、技术评估、价格评估的评分权值（详见附件1）。</w:t>
      </w:r>
    </w:p>
    <w:p w14:paraId="485F2E24">
      <w:pPr>
        <w:pBdr>
          <w:top w:val="none" w:color="auto" w:sz="0" w:space="0"/>
          <w:left w:val="none" w:color="auto" w:sz="0" w:space="0"/>
          <w:bottom w:val="none" w:color="auto" w:sz="0" w:space="0"/>
          <w:right w:val="none" w:color="auto" w:sz="0" w:space="0"/>
          <w:between w:val="none" w:color="auto" w:sz="0" w:space="0"/>
        </w:pBdr>
        <w:spacing w:line="440" w:lineRule="exact"/>
        <w:ind w:firstLine="235" w:firstLineChars="98"/>
        <w:rPr>
          <w:rFonts w:hint="eastAsia" w:asciiTheme="minorEastAsia" w:hAnsiTheme="minorEastAsia" w:eastAsiaTheme="minorEastAsia" w:cstheme="minorEastAsia"/>
          <w:bCs/>
          <w:color w:val="auto"/>
          <w:szCs w:val="21"/>
          <w:lang w:eastAsia="zh-CN" w:bidi="ar-SA"/>
        </w:rPr>
      </w:pPr>
      <w:r>
        <w:rPr>
          <w:rFonts w:hint="eastAsia" w:asciiTheme="minorEastAsia" w:hAnsiTheme="minorEastAsia" w:eastAsiaTheme="minorEastAsia" w:cstheme="minorEastAsia"/>
          <w:color w:val="auto"/>
          <w:szCs w:val="21"/>
          <w:lang w:eastAsia="zh-CN" w:bidi="ar-SA"/>
        </w:rPr>
        <w:t>9.</w:t>
      </w:r>
      <w:r>
        <w:rPr>
          <w:rFonts w:hint="eastAsia" w:asciiTheme="minorEastAsia" w:hAnsiTheme="minorEastAsia" w:eastAsiaTheme="minorEastAsia" w:cstheme="minorEastAsia"/>
          <w:bCs/>
          <w:color w:val="auto"/>
          <w:szCs w:val="21"/>
          <w:lang w:eastAsia="zh-CN" w:bidi="ar-SA"/>
        </w:rPr>
        <w:t>2.1评委打分办法</w:t>
      </w:r>
    </w:p>
    <w:p w14:paraId="0679EDBA">
      <w:pPr>
        <w:pBdr>
          <w:top w:val="none" w:color="auto" w:sz="0" w:space="0"/>
          <w:left w:val="none" w:color="auto" w:sz="0" w:space="0"/>
          <w:bottom w:val="none" w:color="auto" w:sz="0" w:space="0"/>
          <w:right w:val="none" w:color="auto" w:sz="0" w:space="0"/>
          <w:between w:val="none" w:color="auto" w:sz="0" w:space="0"/>
        </w:pBdr>
        <w:spacing w:line="440" w:lineRule="exact"/>
        <w:ind w:left="0" w:leftChars="0" w:firstLine="480" w:firstLineChars="200"/>
        <w:rPr>
          <w:rFonts w:hint="eastAsia" w:asciiTheme="minorEastAsia" w:hAnsiTheme="minorEastAsia" w:eastAsiaTheme="minorEastAsia" w:cstheme="minorEastAsia"/>
          <w:color w:val="auto"/>
          <w:szCs w:val="21"/>
          <w:lang w:eastAsia="zh-CN" w:bidi="ar-SA"/>
        </w:rPr>
      </w:pPr>
      <w:r>
        <w:rPr>
          <w:rFonts w:hint="eastAsia" w:asciiTheme="minorEastAsia" w:hAnsiTheme="minorEastAsia" w:eastAsiaTheme="minorEastAsia" w:cstheme="minorEastAsia"/>
          <w:bCs/>
          <w:color w:val="auto"/>
          <w:szCs w:val="21"/>
          <w:lang w:eastAsia="zh-CN" w:bidi="ar-SA"/>
        </w:rPr>
        <w:t>（1）</w:t>
      </w:r>
      <w:r>
        <w:rPr>
          <w:rFonts w:hint="eastAsia" w:asciiTheme="minorEastAsia" w:hAnsiTheme="minorEastAsia" w:eastAsiaTheme="minorEastAsia" w:cstheme="minorEastAsia"/>
          <w:color w:val="auto"/>
          <w:szCs w:val="21"/>
          <w:lang w:eastAsia="zh-CN" w:bidi="ar-SA"/>
        </w:rPr>
        <w:t>参加评分的评委应尽力体现客观、实事求是，避免学派偏见和个人偏好。</w:t>
      </w:r>
    </w:p>
    <w:p w14:paraId="0EA1B976">
      <w:pPr>
        <w:pBdr>
          <w:top w:val="none" w:color="auto" w:sz="0" w:space="0"/>
          <w:left w:val="none" w:color="auto" w:sz="0" w:space="0"/>
          <w:bottom w:val="none" w:color="auto" w:sz="0" w:space="0"/>
          <w:right w:val="none" w:color="auto" w:sz="0" w:space="0"/>
          <w:between w:val="none" w:color="auto" w:sz="0" w:space="0"/>
        </w:pBdr>
        <w:spacing w:line="440" w:lineRule="exact"/>
        <w:ind w:left="0" w:leftChars="0" w:firstLine="480" w:firstLineChars="200"/>
        <w:rPr>
          <w:rFonts w:hint="eastAsia" w:asciiTheme="minorEastAsia" w:hAnsiTheme="minorEastAsia" w:eastAsiaTheme="minorEastAsia" w:cstheme="minorEastAsia"/>
          <w:color w:val="auto"/>
          <w:szCs w:val="21"/>
          <w:lang w:eastAsia="zh-CN" w:bidi="ar-SA"/>
        </w:rPr>
      </w:pPr>
      <w:r>
        <w:rPr>
          <w:rFonts w:hint="eastAsia" w:asciiTheme="minorEastAsia" w:hAnsiTheme="minorEastAsia" w:eastAsiaTheme="minorEastAsia" w:cstheme="minorEastAsia"/>
          <w:color w:val="auto"/>
          <w:szCs w:val="21"/>
          <w:lang w:eastAsia="zh-CN" w:bidi="ar-SA"/>
        </w:rPr>
        <w:t>（2）衡量、对比的依据，应以招标文件、投标文件、提供的正式试验数据、质询澄清中的文字为准，口头回答和收集的资料只作为参考。</w:t>
      </w:r>
    </w:p>
    <w:p w14:paraId="6D54A2E1">
      <w:pPr>
        <w:pBdr>
          <w:top w:val="none" w:color="auto" w:sz="0" w:space="0"/>
          <w:left w:val="none" w:color="auto" w:sz="0" w:space="0"/>
          <w:bottom w:val="none" w:color="auto" w:sz="0" w:space="0"/>
          <w:right w:val="none" w:color="auto" w:sz="0" w:space="0"/>
          <w:between w:val="none" w:color="auto" w:sz="0" w:space="0"/>
        </w:pBdr>
        <w:spacing w:line="440" w:lineRule="exact"/>
        <w:ind w:left="0" w:leftChars="0" w:firstLine="480" w:firstLineChars="200"/>
        <w:rPr>
          <w:rFonts w:hint="eastAsia" w:asciiTheme="minorEastAsia" w:hAnsiTheme="minorEastAsia" w:eastAsiaTheme="minorEastAsia" w:cstheme="minorEastAsia"/>
          <w:color w:val="auto"/>
          <w:szCs w:val="21"/>
          <w:lang w:eastAsia="zh-CN" w:bidi="ar-SA"/>
        </w:rPr>
      </w:pPr>
      <w:r>
        <w:rPr>
          <w:rFonts w:hint="eastAsia" w:asciiTheme="minorEastAsia" w:hAnsiTheme="minorEastAsia" w:eastAsiaTheme="minorEastAsia" w:cstheme="minorEastAsia"/>
          <w:color w:val="auto"/>
          <w:szCs w:val="21"/>
          <w:lang w:eastAsia="zh-CN" w:bidi="ar-SA"/>
        </w:rPr>
        <w:t>（3）评分主要是为比较各投标人的价格、商务和技术综合排序。</w:t>
      </w:r>
    </w:p>
    <w:p w14:paraId="62F988B9">
      <w:pPr>
        <w:pBdr>
          <w:top w:val="none" w:color="auto" w:sz="0" w:space="0"/>
          <w:left w:val="none" w:color="auto" w:sz="0" w:space="0"/>
          <w:bottom w:val="none" w:color="auto" w:sz="0" w:space="0"/>
          <w:right w:val="none" w:color="auto" w:sz="0" w:space="0"/>
          <w:between w:val="none" w:color="auto" w:sz="0" w:space="0"/>
        </w:pBdr>
        <w:spacing w:line="440" w:lineRule="exact"/>
        <w:ind w:left="0" w:leftChars="0" w:firstLine="480" w:firstLineChars="200"/>
        <w:rPr>
          <w:rFonts w:hint="eastAsia" w:asciiTheme="minorEastAsia" w:hAnsiTheme="minorEastAsia" w:eastAsiaTheme="minorEastAsia" w:cstheme="minorEastAsia"/>
          <w:color w:val="auto"/>
          <w:szCs w:val="21"/>
          <w:lang w:eastAsia="zh-CN" w:bidi="ar-SA"/>
        </w:rPr>
      </w:pPr>
      <w:r>
        <w:rPr>
          <w:rFonts w:hint="eastAsia" w:asciiTheme="minorEastAsia" w:hAnsiTheme="minorEastAsia" w:eastAsiaTheme="minorEastAsia" w:cstheme="minorEastAsia"/>
          <w:color w:val="auto"/>
          <w:szCs w:val="21"/>
          <w:lang w:eastAsia="zh-CN" w:bidi="ar-SA"/>
        </w:rPr>
        <w:t>（4）评委打分采取记名形式。</w:t>
      </w:r>
    </w:p>
    <w:p w14:paraId="2423FAA8">
      <w:pPr>
        <w:pBdr>
          <w:top w:val="none" w:color="auto" w:sz="0" w:space="0"/>
          <w:left w:val="none" w:color="auto" w:sz="0" w:space="0"/>
          <w:bottom w:val="none" w:color="auto" w:sz="0" w:space="0"/>
          <w:right w:val="none" w:color="auto" w:sz="0" w:space="0"/>
          <w:between w:val="none" w:color="auto" w:sz="0" w:space="0"/>
        </w:pBdr>
        <w:spacing w:line="440" w:lineRule="exact"/>
        <w:ind w:left="0" w:leftChars="0" w:firstLine="480" w:firstLineChars="200"/>
        <w:rPr>
          <w:rFonts w:hint="eastAsia" w:asciiTheme="minorEastAsia" w:hAnsiTheme="minorEastAsia" w:eastAsiaTheme="minorEastAsia" w:cstheme="minorEastAsia"/>
          <w:color w:val="auto"/>
          <w:szCs w:val="21"/>
          <w:lang w:eastAsia="zh-CN" w:bidi="ar-SA"/>
        </w:rPr>
      </w:pPr>
      <w:r>
        <w:rPr>
          <w:rFonts w:hint="eastAsia" w:asciiTheme="minorEastAsia" w:hAnsiTheme="minorEastAsia" w:eastAsiaTheme="minorEastAsia" w:cstheme="minorEastAsia"/>
          <w:color w:val="auto"/>
          <w:szCs w:val="21"/>
          <w:lang w:eastAsia="zh-CN" w:bidi="ar-SA"/>
        </w:rPr>
        <w:t>（5）各评委根据提供的技术打分表独立自主打分，任何人不得要求评委统一打分或统一确定等次顺序。</w:t>
      </w:r>
    </w:p>
    <w:p w14:paraId="3B59AC35">
      <w:pPr>
        <w:pBdr>
          <w:top w:val="none" w:color="auto" w:sz="0" w:space="0"/>
          <w:left w:val="none" w:color="auto" w:sz="0" w:space="0"/>
          <w:bottom w:val="none" w:color="auto" w:sz="0" w:space="0"/>
          <w:right w:val="none" w:color="auto" w:sz="0" w:space="0"/>
          <w:between w:val="none" w:color="auto" w:sz="0" w:space="0"/>
        </w:pBdr>
        <w:spacing w:line="440" w:lineRule="exact"/>
        <w:ind w:left="0" w:leftChars="0" w:firstLine="480" w:firstLineChars="200"/>
        <w:rPr>
          <w:rFonts w:hint="eastAsia" w:asciiTheme="minorEastAsia" w:hAnsiTheme="minorEastAsia" w:eastAsiaTheme="minorEastAsia" w:cstheme="minorEastAsia"/>
          <w:color w:val="auto"/>
          <w:szCs w:val="21"/>
          <w:lang w:eastAsia="zh-CN" w:bidi="ar-SA"/>
        </w:rPr>
      </w:pPr>
      <w:r>
        <w:rPr>
          <w:rFonts w:hint="eastAsia" w:asciiTheme="minorEastAsia" w:hAnsiTheme="minorEastAsia" w:eastAsiaTheme="minorEastAsia" w:cstheme="minorEastAsia"/>
          <w:color w:val="auto"/>
          <w:szCs w:val="21"/>
          <w:lang w:eastAsia="zh-CN" w:bidi="ar-SA"/>
        </w:rPr>
        <w:t>（6）对打分表中的每项条款，各评委应根据投标文件、澄清材料、招标文件要求，按满足的程度给投标人打分。</w:t>
      </w:r>
    </w:p>
    <w:p w14:paraId="7E3F09AF">
      <w:pPr>
        <w:pBdr>
          <w:top w:val="none" w:color="auto" w:sz="0" w:space="0"/>
          <w:left w:val="none" w:color="auto" w:sz="0" w:space="0"/>
          <w:bottom w:val="none" w:color="auto" w:sz="0" w:space="0"/>
          <w:right w:val="none" w:color="auto" w:sz="0" w:space="0"/>
          <w:between w:val="none" w:color="auto" w:sz="0" w:space="0"/>
        </w:pBdr>
        <w:spacing w:line="440" w:lineRule="exact"/>
        <w:ind w:left="0" w:leftChars="0" w:firstLine="480" w:firstLineChars="200"/>
        <w:rPr>
          <w:rFonts w:hint="eastAsia" w:asciiTheme="minorEastAsia" w:hAnsiTheme="minorEastAsia" w:eastAsiaTheme="minorEastAsia" w:cstheme="minorEastAsia"/>
          <w:color w:val="auto"/>
          <w:szCs w:val="21"/>
          <w:lang w:eastAsia="zh-CN" w:bidi="ar-SA"/>
        </w:rPr>
      </w:pPr>
      <w:r>
        <w:rPr>
          <w:rFonts w:hint="eastAsia" w:asciiTheme="minorEastAsia" w:hAnsiTheme="minorEastAsia" w:eastAsiaTheme="minorEastAsia" w:cstheme="minorEastAsia"/>
          <w:color w:val="auto"/>
          <w:szCs w:val="21"/>
          <w:lang w:eastAsia="zh-CN" w:bidi="ar-SA"/>
        </w:rPr>
        <w:t>（7）评分程序</w:t>
      </w:r>
    </w:p>
    <w:p w14:paraId="65850EE4">
      <w:pPr>
        <w:pBdr>
          <w:top w:val="none" w:color="auto" w:sz="0" w:space="0"/>
          <w:left w:val="none" w:color="auto" w:sz="0" w:space="0"/>
          <w:bottom w:val="none" w:color="auto" w:sz="0" w:space="0"/>
          <w:right w:val="none" w:color="auto" w:sz="0" w:space="0"/>
          <w:between w:val="none" w:color="auto" w:sz="0" w:space="0"/>
        </w:pBdr>
        <w:spacing w:line="440" w:lineRule="exact"/>
        <w:ind w:firstLine="616" w:firstLineChars="257"/>
        <w:rPr>
          <w:rFonts w:hint="eastAsia" w:asciiTheme="minorEastAsia" w:hAnsiTheme="minorEastAsia" w:eastAsiaTheme="minorEastAsia" w:cstheme="minorEastAsia"/>
          <w:color w:val="auto"/>
          <w:szCs w:val="21"/>
          <w:lang w:eastAsia="zh-CN" w:bidi="ar-SA"/>
        </w:rPr>
      </w:pPr>
      <w:r>
        <w:rPr>
          <w:rFonts w:hint="eastAsia" w:asciiTheme="minorEastAsia" w:hAnsiTheme="minorEastAsia" w:eastAsiaTheme="minorEastAsia" w:cstheme="minorEastAsia"/>
          <w:color w:val="auto"/>
          <w:szCs w:val="21"/>
          <w:lang w:eastAsia="zh-CN" w:bidi="ar-SA"/>
        </w:rPr>
        <w:t>1)就投标人的投标文件对照整理出商务、技术评标因素对比表、偏差表，并在经过校核的基础上逐项打分。</w:t>
      </w:r>
    </w:p>
    <w:p w14:paraId="5FA5BD91">
      <w:pPr>
        <w:pBdr>
          <w:top w:val="none" w:color="auto" w:sz="0" w:space="0"/>
          <w:left w:val="none" w:color="auto" w:sz="0" w:space="0"/>
          <w:bottom w:val="none" w:color="auto" w:sz="0" w:space="0"/>
          <w:right w:val="none" w:color="auto" w:sz="0" w:space="0"/>
          <w:between w:val="none" w:color="auto" w:sz="0" w:space="0"/>
        </w:pBdr>
        <w:spacing w:line="440" w:lineRule="exact"/>
        <w:ind w:firstLine="616" w:firstLineChars="257"/>
        <w:rPr>
          <w:rFonts w:hint="eastAsia" w:asciiTheme="minorEastAsia" w:hAnsiTheme="minorEastAsia" w:eastAsiaTheme="minorEastAsia" w:cstheme="minorEastAsia"/>
          <w:color w:val="auto"/>
          <w:szCs w:val="21"/>
          <w:lang w:eastAsia="zh-CN" w:bidi="ar-SA"/>
        </w:rPr>
      </w:pPr>
      <w:r>
        <w:rPr>
          <w:rFonts w:hint="eastAsia" w:asciiTheme="minorEastAsia" w:hAnsiTheme="minorEastAsia" w:eastAsiaTheme="minorEastAsia" w:cstheme="minorEastAsia"/>
          <w:color w:val="auto"/>
          <w:szCs w:val="21"/>
          <w:lang w:eastAsia="zh-CN" w:bidi="ar-SA"/>
        </w:rPr>
        <w:t>2)各评委独立完成打分后，将评分表交给代理机构，由代理机构组织进行分数统计。</w:t>
      </w:r>
    </w:p>
    <w:p w14:paraId="2183B531">
      <w:pPr>
        <w:pBdr>
          <w:top w:val="none" w:color="auto" w:sz="0" w:space="0"/>
          <w:left w:val="none" w:color="auto" w:sz="0" w:space="0"/>
          <w:bottom w:val="none" w:color="auto" w:sz="0" w:space="0"/>
          <w:right w:val="none" w:color="auto" w:sz="0" w:space="0"/>
          <w:between w:val="none" w:color="auto" w:sz="0" w:space="0"/>
        </w:pBdr>
        <w:spacing w:line="440" w:lineRule="exact"/>
        <w:ind w:firstLine="616" w:firstLineChars="257"/>
        <w:rPr>
          <w:rFonts w:hint="eastAsia" w:asciiTheme="minorEastAsia" w:hAnsiTheme="minorEastAsia" w:eastAsiaTheme="minorEastAsia" w:cstheme="minorEastAsia"/>
          <w:color w:val="auto"/>
          <w:szCs w:val="21"/>
          <w:lang w:eastAsia="zh-CN" w:bidi="ar-SA"/>
        </w:rPr>
      </w:pPr>
      <w:r>
        <w:rPr>
          <w:rFonts w:hint="eastAsia" w:asciiTheme="minorEastAsia" w:hAnsiTheme="minorEastAsia" w:eastAsiaTheme="minorEastAsia" w:cstheme="minorEastAsia"/>
          <w:color w:val="auto"/>
          <w:szCs w:val="21"/>
          <w:lang w:eastAsia="zh-CN" w:bidi="ar-SA"/>
        </w:rPr>
        <w:t>3)最终汇总表中各投标人得分应为评委打分的算术平均值。</w:t>
      </w:r>
    </w:p>
    <w:p w14:paraId="3F09D45E">
      <w:pPr>
        <w:pBdr>
          <w:top w:val="none" w:color="auto" w:sz="0" w:space="0"/>
          <w:left w:val="none" w:color="auto" w:sz="0" w:space="0"/>
          <w:bottom w:val="none" w:color="auto" w:sz="0" w:space="0"/>
          <w:right w:val="none" w:color="auto" w:sz="0" w:space="0"/>
          <w:between w:val="none" w:color="auto" w:sz="0" w:space="0"/>
        </w:pBdr>
        <w:spacing w:line="440" w:lineRule="exact"/>
        <w:ind w:firstLine="616" w:firstLineChars="257"/>
        <w:rPr>
          <w:rFonts w:hint="eastAsia" w:asciiTheme="minorEastAsia" w:hAnsiTheme="minorEastAsia" w:eastAsiaTheme="minorEastAsia" w:cstheme="minorEastAsia"/>
          <w:color w:val="auto"/>
          <w:szCs w:val="21"/>
          <w:lang w:eastAsia="zh-CN" w:bidi="ar-SA"/>
        </w:rPr>
      </w:pPr>
      <w:r>
        <w:rPr>
          <w:rFonts w:hint="eastAsia" w:asciiTheme="minorEastAsia" w:hAnsiTheme="minorEastAsia" w:eastAsiaTheme="minorEastAsia" w:cstheme="minorEastAsia"/>
          <w:color w:val="auto"/>
          <w:szCs w:val="21"/>
          <w:lang w:eastAsia="zh-CN" w:bidi="ar-SA"/>
        </w:rPr>
        <w:t>9.3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投标处理。</w:t>
      </w:r>
    </w:p>
    <w:p w14:paraId="7724F110">
      <w:pPr>
        <w:pBdr>
          <w:top w:val="none" w:color="auto" w:sz="0" w:space="0"/>
          <w:left w:val="none" w:color="auto" w:sz="0" w:space="0"/>
          <w:bottom w:val="none" w:color="auto" w:sz="0" w:space="0"/>
          <w:right w:val="none" w:color="auto" w:sz="0" w:space="0"/>
          <w:between w:val="none" w:color="auto" w:sz="0" w:space="0"/>
        </w:pBdr>
        <w:spacing w:line="440" w:lineRule="exact"/>
        <w:ind w:firstLine="616" w:firstLineChars="257"/>
        <w:rPr>
          <w:rFonts w:hint="eastAsia" w:asciiTheme="minorEastAsia" w:hAnsiTheme="minorEastAsia" w:eastAsiaTheme="minorEastAsia" w:cstheme="minorEastAsia"/>
          <w:color w:val="auto"/>
          <w:szCs w:val="21"/>
          <w:lang w:eastAsia="zh-CN" w:bidi="ar-SA"/>
        </w:rPr>
      </w:pPr>
      <w:r>
        <w:rPr>
          <w:rFonts w:hint="eastAsia" w:asciiTheme="minorEastAsia" w:hAnsiTheme="minorEastAsia" w:eastAsiaTheme="minorEastAsia" w:cstheme="minorEastAsia"/>
          <w:color w:val="auto"/>
          <w:szCs w:val="21"/>
          <w:lang w:eastAsia="zh-CN" w:bidi="ar-SA"/>
        </w:rPr>
        <w:t>9.4评标委员会成员对需要共同认定的事项存在争议的，应当按照少数服从多数的原则作出结论。持不同意见的评标委员会成员应当在评标报告上签署不同意见及理由，否则视为同意评标报告。</w:t>
      </w:r>
    </w:p>
    <w:p w14:paraId="658FE5BF">
      <w:pPr>
        <w:pBdr>
          <w:top w:val="none" w:color="auto" w:sz="0" w:space="0"/>
          <w:left w:val="none" w:color="auto" w:sz="0" w:space="0"/>
          <w:bottom w:val="none" w:color="auto" w:sz="0" w:space="0"/>
          <w:right w:val="none" w:color="auto" w:sz="0" w:space="0"/>
          <w:between w:val="none" w:color="auto" w:sz="0" w:space="0"/>
        </w:pBdr>
        <w:spacing w:line="440" w:lineRule="exact"/>
        <w:ind w:firstLine="616" w:firstLineChars="257"/>
        <w:rPr>
          <w:rFonts w:hint="eastAsia" w:asciiTheme="minorEastAsia" w:hAnsiTheme="minorEastAsia" w:eastAsiaTheme="minorEastAsia" w:cstheme="minorEastAsia"/>
          <w:color w:val="auto"/>
          <w:szCs w:val="21"/>
          <w:lang w:eastAsia="zh-CN" w:bidi="ar-SA"/>
        </w:rPr>
      </w:pPr>
    </w:p>
    <w:p w14:paraId="30EE3A84">
      <w:pPr>
        <w:pBdr>
          <w:top w:val="none" w:color="auto" w:sz="0" w:space="0"/>
          <w:left w:val="none" w:color="auto" w:sz="0" w:space="0"/>
          <w:bottom w:val="none" w:color="auto" w:sz="0" w:space="0"/>
          <w:right w:val="none" w:color="auto" w:sz="0" w:space="0"/>
          <w:between w:val="none" w:color="auto" w:sz="0" w:space="0"/>
        </w:pBdr>
        <w:spacing w:line="440" w:lineRule="exact"/>
        <w:ind w:firstLine="2249" w:firstLineChars="800"/>
        <w:rPr>
          <w:rFonts w:hint="eastAsia" w:asciiTheme="minorEastAsia" w:hAnsiTheme="minorEastAsia" w:eastAsiaTheme="minorEastAsia" w:cstheme="minorEastAsia"/>
          <w:b/>
          <w:bCs/>
          <w:color w:val="auto"/>
          <w:sz w:val="28"/>
          <w:szCs w:val="28"/>
          <w:lang w:eastAsia="zh-CN" w:bidi="ar-SA"/>
        </w:rPr>
      </w:pPr>
    </w:p>
    <w:p w14:paraId="56D68BC9">
      <w:pPr>
        <w:pBdr>
          <w:top w:val="none" w:color="auto" w:sz="0" w:space="0"/>
          <w:left w:val="none" w:color="auto" w:sz="0" w:space="0"/>
          <w:bottom w:val="none" w:color="auto" w:sz="0" w:space="0"/>
          <w:right w:val="none" w:color="auto" w:sz="0" w:space="0"/>
          <w:between w:val="none" w:color="auto" w:sz="0" w:space="0"/>
        </w:pBdr>
        <w:spacing w:line="440" w:lineRule="exact"/>
        <w:ind w:firstLine="2249" w:firstLineChars="800"/>
        <w:rPr>
          <w:rFonts w:hint="eastAsia" w:asciiTheme="minorEastAsia" w:hAnsiTheme="minorEastAsia" w:eastAsiaTheme="minorEastAsia" w:cstheme="minorEastAsia"/>
          <w:b/>
          <w:bCs/>
          <w:color w:val="auto"/>
          <w:sz w:val="28"/>
          <w:szCs w:val="28"/>
          <w:lang w:eastAsia="zh-CN" w:bidi="ar-SA"/>
        </w:rPr>
      </w:pPr>
    </w:p>
    <w:p w14:paraId="0B4C82CD">
      <w:pPr>
        <w:pBdr>
          <w:top w:val="none" w:color="auto" w:sz="0" w:space="0"/>
          <w:left w:val="none" w:color="auto" w:sz="0" w:space="0"/>
          <w:bottom w:val="none" w:color="auto" w:sz="0" w:space="0"/>
          <w:right w:val="none" w:color="auto" w:sz="0" w:space="0"/>
          <w:between w:val="none" w:color="auto" w:sz="0" w:space="0"/>
        </w:pBdr>
        <w:spacing w:line="440" w:lineRule="exact"/>
        <w:ind w:firstLine="2249" w:firstLineChars="800"/>
        <w:rPr>
          <w:rFonts w:hint="eastAsia" w:asciiTheme="minorEastAsia" w:hAnsiTheme="minorEastAsia" w:eastAsiaTheme="minorEastAsia" w:cstheme="minorEastAsia"/>
          <w:b/>
          <w:bCs/>
          <w:color w:val="auto"/>
          <w:sz w:val="28"/>
          <w:szCs w:val="28"/>
          <w:lang w:eastAsia="zh-CN" w:bidi="ar-SA"/>
        </w:rPr>
      </w:pPr>
    </w:p>
    <w:p w14:paraId="72B7DFA5">
      <w:pPr>
        <w:pBdr>
          <w:top w:val="none" w:color="auto" w:sz="0" w:space="0"/>
          <w:left w:val="none" w:color="auto" w:sz="0" w:space="0"/>
          <w:bottom w:val="none" w:color="auto" w:sz="0" w:space="0"/>
          <w:right w:val="none" w:color="auto" w:sz="0" w:space="0"/>
          <w:between w:val="none" w:color="auto" w:sz="0" w:space="0"/>
        </w:pBdr>
        <w:spacing w:line="440" w:lineRule="exact"/>
        <w:ind w:firstLine="2249" w:firstLineChars="800"/>
        <w:rPr>
          <w:rFonts w:hint="eastAsia" w:asciiTheme="minorEastAsia" w:hAnsiTheme="minorEastAsia" w:eastAsiaTheme="minorEastAsia" w:cstheme="minorEastAsia"/>
          <w:b/>
          <w:bCs/>
          <w:color w:val="auto"/>
          <w:sz w:val="28"/>
          <w:szCs w:val="28"/>
          <w:lang w:eastAsia="zh-CN" w:bidi="ar-SA"/>
        </w:rPr>
      </w:pPr>
    </w:p>
    <w:p w14:paraId="0F889750">
      <w:pPr>
        <w:pStyle w:val="18"/>
        <w:rPr>
          <w:rFonts w:hint="eastAsia" w:asciiTheme="minorEastAsia" w:hAnsiTheme="minorEastAsia" w:eastAsiaTheme="minorEastAsia" w:cstheme="minorEastAsia"/>
          <w:b/>
          <w:bCs/>
          <w:color w:val="auto"/>
          <w:sz w:val="28"/>
          <w:szCs w:val="28"/>
          <w:lang w:eastAsia="zh-CN" w:bidi="ar-SA"/>
        </w:rPr>
      </w:pPr>
    </w:p>
    <w:p w14:paraId="13E25183">
      <w:pPr>
        <w:rPr>
          <w:rFonts w:hint="eastAsia"/>
          <w:lang w:eastAsia="zh-CN"/>
        </w:rPr>
      </w:pPr>
    </w:p>
    <w:p w14:paraId="555F3038">
      <w:pPr>
        <w:pStyle w:val="18"/>
        <w:rPr>
          <w:rFonts w:hint="eastAsia"/>
          <w:lang w:eastAsia="zh-CN"/>
        </w:rPr>
      </w:pPr>
    </w:p>
    <w:p w14:paraId="4D63FA03">
      <w:pPr>
        <w:pBdr>
          <w:top w:val="none" w:color="auto" w:sz="0" w:space="0"/>
          <w:left w:val="none" w:color="auto" w:sz="0" w:space="0"/>
          <w:bottom w:val="none" w:color="auto" w:sz="0" w:space="0"/>
          <w:right w:val="none" w:color="auto" w:sz="0" w:space="0"/>
          <w:between w:val="none" w:color="auto" w:sz="0" w:space="0"/>
        </w:pBdr>
        <w:spacing w:line="440" w:lineRule="exact"/>
        <w:ind w:firstLine="2249" w:firstLineChars="800"/>
        <w:rPr>
          <w:rFonts w:hint="eastAsia" w:asciiTheme="minorEastAsia" w:hAnsiTheme="minorEastAsia" w:eastAsiaTheme="minorEastAsia" w:cstheme="minorEastAsia"/>
          <w:b/>
          <w:bCs/>
          <w:color w:val="auto"/>
          <w:sz w:val="28"/>
          <w:szCs w:val="28"/>
          <w:lang w:eastAsia="zh-CN" w:bidi="ar-SA"/>
        </w:rPr>
      </w:pPr>
    </w:p>
    <w:p w14:paraId="5C6DC127">
      <w:pPr>
        <w:pBdr>
          <w:top w:val="none" w:color="auto" w:sz="0" w:space="0"/>
          <w:left w:val="none" w:color="auto" w:sz="0" w:space="0"/>
          <w:bottom w:val="none" w:color="auto" w:sz="0" w:space="0"/>
          <w:right w:val="none" w:color="auto" w:sz="0" w:space="0"/>
          <w:between w:val="none" w:color="auto" w:sz="0" w:space="0"/>
        </w:pBdr>
        <w:spacing w:line="440" w:lineRule="exact"/>
        <w:jc w:val="center"/>
        <w:outlineLvl w:val="2"/>
        <w:rPr>
          <w:rFonts w:hint="eastAsia" w:asciiTheme="minorEastAsia" w:hAnsiTheme="minorEastAsia" w:eastAsiaTheme="minorEastAsia" w:cstheme="minorEastAsia"/>
          <w:b/>
          <w:bCs/>
          <w:color w:val="auto"/>
          <w:sz w:val="28"/>
          <w:szCs w:val="28"/>
          <w:lang w:eastAsia="zh-CN" w:bidi="ar-SA"/>
        </w:rPr>
      </w:pPr>
      <w:r>
        <w:rPr>
          <w:rFonts w:hint="eastAsia" w:asciiTheme="minorEastAsia" w:hAnsiTheme="minorEastAsia" w:eastAsiaTheme="minorEastAsia" w:cstheme="minorEastAsia"/>
          <w:b/>
          <w:bCs/>
          <w:color w:val="auto"/>
          <w:sz w:val="28"/>
          <w:szCs w:val="28"/>
          <w:lang w:eastAsia="zh-CN" w:bidi="ar-SA"/>
        </w:rPr>
        <w:t>评分标准和细则（综合评分法评分标准）</w:t>
      </w:r>
    </w:p>
    <w:p w14:paraId="7997DD2A">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p>
    <w:tbl>
      <w:tblPr>
        <w:tblStyle w:val="25"/>
        <w:tblW w:w="91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37"/>
        <w:gridCol w:w="1226"/>
        <w:gridCol w:w="1005"/>
        <w:gridCol w:w="6222"/>
      </w:tblGrid>
      <w:tr w14:paraId="6CD77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37" w:type="dxa"/>
            <w:tcBorders>
              <w:tl2br w:val="nil"/>
              <w:tr2bl w:val="nil"/>
            </w:tcBorders>
            <w:vAlign w:val="center"/>
          </w:tcPr>
          <w:p w14:paraId="520C98F4">
            <w:pPr>
              <w:widowControl/>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Theme="minorEastAsia" w:hAnsiTheme="minorEastAsia" w:eastAsiaTheme="minorEastAsia" w:cstheme="minorEastAsia"/>
                <w:color w:val="auto"/>
                <w:szCs w:val="21"/>
                <w:lang w:val="zh-CN"/>
              </w:rPr>
            </w:pPr>
            <w:r>
              <w:rPr>
                <w:rFonts w:hint="eastAsia" w:asciiTheme="minorEastAsia" w:hAnsiTheme="minorEastAsia" w:eastAsiaTheme="minorEastAsia" w:cstheme="minorEastAsia"/>
                <w:color w:val="auto"/>
                <w:szCs w:val="21"/>
                <w:lang w:val="zh-CN"/>
              </w:rPr>
              <w:t>序号</w:t>
            </w:r>
          </w:p>
        </w:tc>
        <w:tc>
          <w:tcPr>
            <w:tcW w:w="1226" w:type="dxa"/>
            <w:tcBorders>
              <w:tl2br w:val="nil"/>
              <w:tr2bl w:val="nil"/>
            </w:tcBorders>
            <w:tcMar>
              <w:top w:w="0" w:type="dxa"/>
              <w:left w:w="28" w:type="dxa"/>
              <w:bottom w:w="0" w:type="dxa"/>
              <w:right w:w="28" w:type="dxa"/>
            </w:tcMar>
            <w:vAlign w:val="center"/>
          </w:tcPr>
          <w:p w14:paraId="4854BCDB">
            <w:pPr>
              <w:widowControl/>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Theme="minorEastAsia" w:hAnsiTheme="minorEastAsia" w:eastAsiaTheme="minorEastAsia" w:cstheme="minorEastAsia"/>
                <w:color w:val="auto"/>
                <w:szCs w:val="21"/>
                <w:lang w:val="zh-CN"/>
              </w:rPr>
            </w:pPr>
            <w:r>
              <w:rPr>
                <w:rFonts w:hint="eastAsia" w:asciiTheme="minorEastAsia" w:hAnsiTheme="minorEastAsia" w:eastAsiaTheme="minorEastAsia" w:cstheme="minorEastAsia"/>
                <w:color w:val="auto"/>
                <w:szCs w:val="21"/>
                <w:lang w:val="zh-CN"/>
              </w:rPr>
              <w:t>评分项目</w:t>
            </w:r>
          </w:p>
        </w:tc>
        <w:tc>
          <w:tcPr>
            <w:tcW w:w="1005" w:type="dxa"/>
            <w:tcBorders>
              <w:tl2br w:val="nil"/>
              <w:tr2bl w:val="nil"/>
            </w:tcBorders>
            <w:tcMar>
              <w:top w:w="0" w:type="dxa"/>
              <w:left w:w="28" w:type="dxa"/>
              <w:bottom w:w="0" w:type="dxa"/>
              <w:right w:w="28" w:type="dxa"/>
            </w:tcMar>
            <w:vAlign w:val="center"/>
          </w:tcPr>
          <w:p w14:paraId="75DDECD4">
            <w:pPr>
              <w:widowControl/>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Theme="minorEastAsia" w:hAnsiTheme="minorEastAsia" w:eastAsiaTheme="minorEastAsia" w:cstheme="minorEastAsia"/>
                <w:color w:val="auto"/>
                <w:szCs w:val="21"/>
                <w:lang w:val="zh-CN"/>
              </w:rPr>
            </w:pPr>
            <w:r>
              <w:rPr>
                <w:rFonts w:hint="eastAsia" w:asciiTheme="minorEastAsia" w:hAnsiTheme="minorEastAsia" w:eastAsiaTheme="minorEastAsia" w:cstheme="minorEastAsia"/>
                <w:color w:val="auto"/>
                <w:szCs w:val="21"/>
                <w:lang w:val="zh-CN"/>
              </w:rPr>
              <w:t>基准</w:t>
            </w:r>
          </w:p>
          <w:p w14:paraId="5DD387F6">
            <w:pPr>
              <w:widowControl/>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Theme="minorEastAsia" w:hAnsiTheme="minorEastAsia" w:eastAsiaTheme="minorEastAsia" w:cstheme="minorEastAsia"/>
                <w:color w:val="auto"/>
                <w:szCs w:val="21"/>
                <w:lang w:val="zh-CN"/>
              </w:rPr>
            </w:pPr>
            <w:r>
              <w:rPr>
                <w:rFonts w:hint="eastAsia" w:asciiTheme="minorEastAsia" w:hAnsiTheme="minorEastAsia" w:eastAsiaTheme="minorEastAsia" w:cstheme="minorEastAsia"/>
                <w:color w:val="auto"/>
                <w:szCs w:val="21"/>
                <w:lang w:val="zh-CN"/>
              </w:rPr>
              <w:t>分值</w:t>
            </w:r>
          </w:p>
        </w:tc>
        <w:tc>
          <w:tcPr>
            <w:tcW w:w="6222" w:type="dxa"/>
            <w:tcBorders>
              <w:tl2br w:val="nil"/>
              <w:tr2bl w:val="nil"/>
            </w:tcBorders>
            <w:tcMar>
              <w:top w:w="0" w:type="dxa"/>
              <w:left w:w="28" w:type="dxa"/>
              <w:bottom w:w="0" w:type="dxa"/>
              <w:right w:w="28" w:type="dxa"/>
            </w:tcMar>
            <w:vAlign w:val="center"/>
          </w:tcPr>
          <w:p w14:paraId="1713C774">
            <w:pPr>
              <w:widowControl/>
              <w:pBdr>
                <w:top w:val="none" w:color="auto" w:sz="0" w:space="0"/>
                <w:left w:val="none" w:color="auto" w:sz="0" w:space="0"/>
                <w:bottom w:val="none" w:color="auto" w:sz="0" w:space="0"/>
                <w:right w:val="none" w:color="auto" w:sz="0" w:space="0"/>
                <w:between w:val="none" w:color="auto" w:sz="0" w:space="0"/>
              </w:pBdr>
              <w:spacing w:line="360" w:lineRule="auto"/>
              <w:ind w:left="23" w:firstLine="95"/>
              <w:jc w:val="center"/>
              <w:rPr>
                <w:rFonts w:hint="eastAsia" w:asciiTheme="minorEastAsia" w:hAnsiTheme="minorEastAsia" w:eastAsiaTheme="minorEastAsia" w:cstheme="minorEastAsia"/>
                <w:color w:val="auto"/>
                <w:szCs w:val="21"/>
                <w:lang w:val="zh-CN"/>
              </w:rPr>
            </w:pPr>
            <w:r>
              <w:rPr>
                <w:rFonts w:hint="eastAsia" w:asciiTheme="minorEastAsia" w:hAnsiTheme="minorEastAsia" w:eastAsiaTheme="minorEastAsia" w:cstheme="minorEastAsia"/>
                <w:color w:val="auto"/>
                <w:szCs w:val="21"/>
                <w:lang w:val="zh-CN"/>
              </w:rPr>
              <w:t>评分标准</w:t>
            </w:r>
          </w:p>
        </w:tc>
      </w:tr>
      <w:tr w14:paraId="2DD65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9190" w:type="dxa"/>
            <w:gridSpan w:val="4"/>
            <w:tcBorders>
              <w:tl2br w:val="nil"/>
              <w:tr2bl w:val="nil"/>
            </w:tcBorders>
            <w:vAlign w:val="center"/>
          </w:tcPr>
          <w:p w14:paraId="20851DD6">
            <w:pPr>
              <w:widowControl/>
              <w:pBdr>
                <w:top w:val="none" w:color="auto" w:sz="0" w:space="0"/>
                <w:left w:val="none" w:color="auto" w:sz="0" w:space="0"/>
                <w:bottom w:val="none" w:color="auto" w:sz="0" w:space="0"/>
                <w:right w:val="none" w:color="auto" w:sz="0" w:space="0"/>
                <w:between w:val="none" w:color="auto" w:sz="0" w:space="0"/>
              </w:pBdr>
              <w:spacing w:line="360" w:lineRule="auto"/>
              <w:ind w:left="23" w:firstLine="95"/>
              <w:rPr>
                <w:rFonts w:hint="eastAsia" w:asciiTheme="minorEastAsia" w:hAnsiTheme="minorEastAsia" w:eastAsiaTheme="minorEastAsia" w:cstheme="minorEastAsia"/>
                <w:color w:val="auto"/>
                <w:szCs w:val="21"/>
                <w:lang w:val="zh-CN"/>
              </w:rPr>
            </w:pPr>
            <w:r>
              <w:rPr>
                <w:rFonts w:hint="eastAsia" w:asciiTheme="minorEastAsia" w:hAnsiTheme="minorEastAsia" w:eastAsiaTheme="minorEastAsia" w:cstheme="minorEastAsia"/>
                <w:color w:val="auto"/>
                <w:szCs w:val="21"/>
                <w:lang w:val="zh-CN"/>
              </w:rPr>
              <w:t>价格</w:t>
            </w:r>
            <w:r>
              <w:rPr>
                <w:rFonts w:hint="eastAsia" w:asciiTheme="minorEastAsia" w:hAnsiTheme="minorEastAsia" w:eastAsiaTheme="minorEastAsia" w:cstheme="minorEastAsia"/>
                <w:color w:val="auto"/>
                <w:szCs w:val="21"/>
                <w:lang w:eastAsia="zh-CN"/>
              </w:rPr>
              <w:t>得</w:t>
            </w:r>
            <w:r>
              <w:rPr>
                <w:rFonts w:hint="eastAsia" w:asciiTheme="minorEastAsia" w:hAnsiTheme="minorEastAsia" w:eastAsiaTheme="minorEastAsia" w:cstheme="minorEastAsia"/>
                <w:color w:val="auto"/>
                <w:szCs w:val="21"/>
                <w:lang w:val="zh-CN"/>
              </w:rPr>
              <w:t>分（</w:t>
            </w:r>
            <w:r>
              <w:rPr>
                <w:rFonts w:hint="eastAsia" w:asciiTheme="minorEastAsia" w:hAnsiTheme="minorEastAsia" w:eastAsiaTheme="minorEastAsia" w:cstheme="minorEastAsia"/>
                <w:color w:val="auto"/>
                <w:szCs w:val="21"/>
              </w:rPr>
              <w:t>3</w:t>
            </w:r>
            <w:r>
              <w:rPr>
                <w:rFonts w:hint="eastAsia" w:asciiTheme="minorEastAsia" w:hAnsiTheme="minorEastAsia" w:eastAsiaTheme="minorEastAsia" w:cstheme="minorEastAsia"/>
                <w:color w:val="auto"/>
                <w:szCs w:val="21"/>
                <w:lang w:val="zh-CN"/>
              </w:rPr>
              <w:t>0分）</w:t>
            </w:r>
          </w:p>
        </w:tc>
      </w:tr>
      <w:tr w14:paraId="35C35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737" w:type="dxa"/>
            <w:tcBorders>
              <w:tl2br w:val="nil"/>
              <w:tr2bl w:val="nil"/>
            </w:tcBorders>
            <w:vAlign w:val="center"/>
          </w:tcPr>
          <w:p w14:paraId="13B6F2AC">
            <w:pPr>
              <w:pBdr>
                <w:top w:val="none" w:color="auto" w:sz="0" w:space="0"/>
                <w:left w:val="none" w:color="auto" w:sz="0" w:space="0"/>
                <w:bottom w:val="none" w:color="auto" w:sz="0" w:space="0"/>
                <w:right w:val="none" w:color="auto" w:sz="0" w:space="0"/>
                <w:between w:val="none" w:color="auto" w:sz="0" w:space="0"/>
              </w:pBdr>
              <w:ind w:firstLine="84"/>
              <w:jc w:val="center"/>
              <w:rPr>
                <w:rFonts w:hint="eastAsia" w:asciiTheme="minorEastAsia" w:hAnsiTheme="minorEastAsia" w:eastAsiaTheme="minorEastAsia" w:cstheme="minorEastAsia"/>
                <w:color w:val="auto"/>
                <w:szCs w:val="21"/>
                <w:lang w:val="zh-CN"/>
              </w:rPr>
            </w:pPr>
            <w:r>
              <w:rPr>
                <w:rFonts w:hint="eastAsia" w:asciiTheme="minorEastAsia" w:hAnsiTheme="minorEastAsia" w:eastAsiaTheme="minorEastAsia" w:cstheme="minorEastAsia"/>
                <w:color w:val="auto"/>
                <w:szCs w:val="21"/>
                <w:lang w:val="zh-CN"/>
              </w:rPr>
              <w:t>1</w:t>
            </w:r>
          </w:p>
        </w:tc>
        <w:tc>
          <w:tcPr>
            <w:tcW w:w="1226" w:type="dxa"/>
            <w:tcBorders>
              <w:tl2br w:val="nil"/>
              <w:tr2bl w:val="nil"/>
            </w:tcBorders>
            <w:tcMar>
              <w:top w:w="0" w:type="dxa"/>
              <w:left w:w="28" w:type="dxa"/>
              <w:bottom w:w="0" w:type="dxa"/>
              <w:right w:w="28" w:type="dxa"/>
            </w:tcMar>
            <w:vAlign w:val="center"/>
          </w:tcPr>
          <w:p w14:paraId="6C886169">
            <w:pPr>
              <w:pBdr>
                <w:top w:val="none" w:color="auto" w:sz="0" w:space="0"/>
                <w:left w:val="none" w:color="auto" w:sz="0" w:space="0"/>
                <w:bottom w:val="none" w:color="auto" w:sz="0" w:space="0"/>
                <w:right w:val="none" w:color="auto" w:sz="0" w:space="0"/>
                <w:between w:val="none" w:color="auto" w:sz="0" w:space="0"/>
              </w:pBdr>
              <w:spacing w:after="84"/>
              <w:ind w:firstLine="16" w:firstLineChars="7"/>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lang w:val="zh-CN"/>
              </w:rPr>
              <w:t>价格得分</w:t>
            </w:r>
          </w:p>
        </w:tc>
        <w:tc>
          <w:tcPr>
            <w:tcW w:w="1005" w:type="dxa"/>
            <w:tcBorders>
              <w:tl2br w:val="nil"/>
              <w:tr2bl w:val="nil"/>
            </w:tcBorders>
            <w:tcMar>
              <w:top w:w="0" w:type="dxa"/>
              <w:left w:w="28" w:type="dxa"/>
              <w:bottom w:w="0" w:type="dxa"/>
              <w:right w:w="28" w:type="dxa"/>
            </w:tcMar>
            <w:vAlign w:val="center"/>
          </w:tcPr>
          <w:p w14:paraId="470DEA70">
            <w:pPr>
              <w:widowControl/>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szCs w:val="21"/>
                <w:lang w:val="zh-CN"/>
              </w:rPr>
            </w:pPr>
            <w:r>
              <w:rPr>
                <w:rFonts w:hint="eastAsia" w:asciiTheme="minorEastAsia" w:hAnsiTheme="minorEastAsia" w:eastAsiaTheme="minorEastAsia" w:cstheme="minorEastAsia"/>
                <w:color w:val="auto"/>
                <w:szCs w:val="21"/>
              </w:rPr>
              <w:t>30</w:t>
            </w:r>
            <w:r>
              <w:rPr>
                <w:rFonts w:hint="eastAsia" w:asciiTheme="minorEastAsia" w:hAnsiTheme="minorEastAsia" w:eastAsiaTheme="minorEastAsia" w:cstheme="minorEastAsia"/>
                <w:color w:val="auto"/>
                <w:szCs w:val="21"/>
                <w:lang w:val="zh-CN"/>
              </w:rPr>
              <w:t>分</w:t>
            </w:r>
          </w:p>
        </w:tc>
        <w:tc>
          <w:tcPr>
            <w:tcW w:w="6222" w:type="dxa"/>
            <w:tcBorders>
              <w:tl2br w:val="nil"/>
              <w:tr2bl w:val="nil"/>
            </w:tcBorders>
            <w:tcMar>
              <w:top w:w="0" w:type="dxa"/>
              <w:left w:w="28" w:type="dxa"/>
              <w:bottom w:w="0" w:type="dxa"/>
              <w:right w:w="28" w:type="dxa"/>
            </w:tcMar>
            <w:vAlign w:val="center"/>
          </w:tcPr>
          <w:p w14:paraId="7BE796BD">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bidi w:val="0"/>
              <w:adjustRightInd/>
              <w:snapToGrid/>
              <w:spacing w:after="84"/>
              <w:ind w:left="72" w:leftChars="30" w:right="72" w:rightChars="30" w:firstLine="16" w:firstLineChars="7"/>
              <w:textAlignment w:val="auto"/>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投标报价得分=(评标基准价/修正后投标报价)×30%×100</w:t>
            </w:r>
          </w:p>
          <w:p w14:paraId="7E8EB882">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bidi w:val="0"/>
              <w:adjustRightInd/>
              <w:snapToGrid/>
              <w:spacing w:after="84"/>
              <w:ind w:left="72" w:leftChars="30" w:right="72" w:rightChars="30" w:firstLine="16" w:firstLineChars="7"/>
              <w:textAlignment w:val="auto"/>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备注：1.投标价格评分采用低价优先法计算；</w:t>
            </w:r>
          </w:p>
          <w:p w14:paraId="44494A23">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bidi w:val="0"/>
              <w:adjustRightInd/>
              <w:snapToGrid/>
              <w:spacing w:after="84"/>
              <w:ind w:left="72" w:leftChars="30" w:right="72" w:rightChars="30" w:firstLine="16" w:firstLineChars="7"/>
              <w:textAlignment w:val="auto"/>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2.评标基准价：满足招标文件要求且经算术修正，依据政府采购政策进行价格扣除后的最低报价为评标基准价；</w:t>
            </w:r>
          </w:p>
          <w:p w14:paraId="4AAE04BE">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bidi w:val="0"/>
              <w:adjustRightInd/>
              <w:snapToGrid/>
              <w:spacing w:after="84"/>
              <w:ind w:left="72" w:leftChars="30" w:right="72" w:rightChars="30" w:firstLine="16" w:firstLineChars="7"/>
              <w:textAlignment w:val="auto"/>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3.修正后投标报价：评标委员会以开标一览表中投标报价为基础，对其进行算术修正，依据政府采购政策进行价格扣除后，作为投标报价计算的依据。</w:t>
            </w:r>
          </w:p>
          <w:p w14:paraId="10F8D9AC">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bidi w:val="0"/>
              <w:adjustRightInd/>
              <w:snapToGrid/>
              <w:spacing w:after="84"/>
              <w:ind w:left="72" w:leftChars="30" w:right="72" w:rightChars="30" w:firstLine="16" w:firstLineChars="7"/>
              <w:textAlignment w:val="auto"/>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4.计算值保留小数点后两位。</w:t>
            </w:r>
          </w:p>
        </w:tc>
      </w:tr>
      <w:tr w14:paraId="065F6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9190" w:type="dxa"/>
            <w:gridSpan w:val="4"/>
            <w:tcBorders>
              <w:tl2br w:val="nil"/>
              <w:tr2bl w:val="nil"/>
            </w:tcBorders>
            <w:vAlign w:val="center"/>
          </w:tcPr>
          <w:p w14:paraId="22E6ABF4">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bidi w:val="0"/>
              <w:adjustRightInd/>
              <w:snapToGrid/>
              <w:spacing w:after="84"/>
              <w:ind w:left="72" w:leftChars="30" w:right="72" w:rightChars="30" w:firstLine="16" w:firstLineChars="7"/>
              <w:textAlignment w:val="auto"/>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商务、技术得分（70分）</w:t>
            </w:r>
          </w:p>
        </w:tc>
      </w:tr>
      <w:tr w14:paraId="4B349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12" w:hRule="atLeast"/>
          <w:jc w:val="center"/>
        </w:trPr>
        <w:tc>
          <w:tcPr>
            <w:tcW w:w="737" w:type="dxa"/>
            <w:tcBorders>
              <w:tl2br w:val="nil"/>
              <w:tr2bl w:val="nil"/>
            </w:tcBorders>
            <w:vAlign w:val="center"/>
          </w:tcPr>
          <w:p w14:paraId="1544BDBF">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szCs w:val="21"/>
                <w:lang w:val="zh-CN" w:eastAsia="zh-CN"/>
              </w:rPr>
            </w:pPr>
            <w:r>
              <w:rPr>
                <w:rFonts w:hint="eastAsia" w:asciiTheme="minorEastAsia" w:hAnsiTheme="minorEastAsia" w:eastAsiaTheme="minorEastAsia" w:cstheme="minorEastAsia"/>
                <w:color w:val="auto"/>
                <w:szCs w:val="21"/>
                <w:lang w:eastAsia="zh-CN"/>
              </w:rPr>
              <w:t>1</w:t>
            </w:r>
          </w:p>
        </w:tc>
        <w:tc>
          <w:tcPr>
            <w:tcW w:w="1226" w:type="dxa"/>
            <w:tcBorders>
              <w:tl2br w:val="nil"/>
              <w:tr2bl w:val="nil"/>
            </w:tcBorders>
            <w:tcMar>
              <w:top w:w="0" w:type="dxa"/>
              <w:left w:w="28" w:type="dxa"/>
              <w:bottom w:w="0" w:type="dxa"/>
              <w:right w:w="28" w:type="dxa"/>
            </w:tcMar>
            <w:vAlign w:val="center"/>
          </w:tcPr>
          <w:p w14:paraId="092FF51F">
            <w:pPr>
              <w:pBdr>
                <w:top w:val="none" w:color="auto" w:sz="0" w:space="0"/>
                <w:left w:val="none" w:color="auto" w:sz="0" w:space="0"/>
                <w:bottom w:val="none" w:color="auto" w:sz="0" w:space="0"/>
                <w:right w:val="none" w:color="auto" w:sz="0" w:space="0"/>
                <w:between w:val="none" w:color="auto" w:sz="0" w:space="0"/>
              </w:pBdr>
              <w:spacing w:after="84"/>
              <w:ind w:firstLine="16" w:firstLineChars="7"/>
              <w:jc w:val="center"/>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olor w:val="000000"/>
                <w:sz w:val="24"/>
                <w:szCs w:val="24"/>
                <w:lang w:eastAsia="zh-CN"/>
              </w:rPr>
              <w:t>类似</w:t>
            </w:r>
            <w:r>
              <w:rPr>
                <w:rFonts w:hint="eastAsia" w:asciiTheme="minorEastAsia" w:hAnsiTheme="minorEastAsia" w:eastAsiaTheme="minorEastAsia"/>
                <w:color w:val="000000"/>
                <w:sz w:val="24"/>
                <w:szCs w:val="24"/>
              </w:rPr>
              <w:t>业绩</w:t>
            </w:r>
          </w:p>
        </w:tc>
        <w:tc>
          <w:tcPr>
            <w:tcW w:w="1005" w:type="dxa"/>
            <w:tcBorders>
              <w:tl2br w:val="nil"/>
              <w:tr2bl w:val="nil"/>
            </w:tcBorders>
            <w:tcMar>
              <w:top w:w="0" w:type="dxa"/>
              <w:left w:w="28" w:type="dxa"/>
              <w:bottom w:w="0" w:type="dxa"/>
              <w:right w:w="28" w:type="dxa"/>
            </w:tcMar>
            <w:vAlign w:val="center"/>
          </w:tcPr>
          <w:p w14:paraId="0FDB6A99">
            <w:pPr>
              <w:widowControl/>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0-</w:t>
            </w:r>
            <w:r>
              <w:rPr>
                <w:rFonts w:hint="eastAsia" w:asciiTheme="minorEastAsia" w:hAnsiTheme="minorEastAsia" w:eastAsiaTheme="minorEastAsia" w:cstheme="minorEastAsia"/>
                <w:color w:val="auto"/>
                <w:szCs w:val="21"/>
                <w:lang w:val="en-US" w:eastAsia="zh-CN"/>
              </w:rPr>
              <w:t>6</w:t>
            </w:r>
            <w:r>
              <w:rPr>
                <w:rFonts w:hint="eastAsia" w:asciiTheme="minorEastAsia" w:hAnsiTheme="minorEastAsia" w:eastAsiaTheme="minorEastAsia" w:cstheme="minorEastAsia"/>
                <w:color w:val="auto"/>
                <w:szCs w:val="21"/>
                <w:lang w:eastAsia="zh-CN"/>
              </w:rPr>
              <w:t>分</w:t>
            </w:r>
          </w:p>
        </w:tc>
        <w:tc>
          <w:tcPr>
            <w:tcW w:w="6222" w:type="dxa"/>
            <w:tcBorders>
              <w:tl2br w:val="nil"/>
              <w:tr2bl w:val="nil"/>
            </w:tcBorders>
            <w:tcMar>
              <w:top w:w="0" w:type="dxa"/>
              <w:left w:w="28" w:type="dxa"/>
              <w:bottom w:w="0" w:type="dxa"/>
              <w:right w:w="28" w:type="dxa"/>
            </w:tcMar>
            <w:vAlign w:val="center"/>
          </w:tcPr>
          <w:p w14:paraId="31AF10D1">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after="84"/>
              <w:ind w:left="72" w:leftChars="30" w:right="72" w:rightChars="30"/>
              <w:jc w:val="left"/>
              <w:textAlignment w:val="auto"/>
              <w:rPr>
                <w:rFonts w:hint="eastAsia"/>
                <w:lang w:eastAsia="zh-CN"/>
              </w:rPr>
            </w:pPr>
            <w:r>
              <w:rPr>
                <w:rFonts w:hint="eastAsia" w:ascii="宋体" w:hAnsi="宋体" w:eastAsia="宋体" w:cs="宋体"/>
                <w:color w:val="000000"/>
                <w:kern w:val="0"/>
                <w:sz w:val="24"/>
                <w:szCs w:val="24"/>
                <w:lang w:val="en-US" w:eastAsia="zh-CN" w:bidi="ar"/>
              </w:rPr>
              <w:t>提供近五年(2019年1月1日至今)类似业绩（卫星接收及收录系统，电视播出及总控系统、网络及网络安全建设等类似业绩），项目业绩证明材料(须提供合同、中标（成交）通知书、竣工或验收报告证明，提供复印件加盖公章)，每满足一项得2分，最高得 6分，不满足或未提供不得分。</w:t>
            </w:r>
          </w:p>
        </w:tc>
      </w:tr>
      <w:tr w14:paraId="54D09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07" w:hRule="atLeast"/>
          <w:jc w:val="center"/>
        </w:trPr>
        <w:tc>
          <w:tcPr>
            <w:tcW w:w="737" w:type="dxa"/>
            <w:tcBorders>
              <w:tl2br w:val="nil"/>
              <w:tr2bl w:val="nil"/>
            </w:tcBorders>
            <w:vAlign w:val="center"/>
          </w:tcPr>
          <w:p w14:paraId="342D891C">
            <w:pPr>
              <w:pBdr>
                <w:top w:val="none" w:color="auto" w:sz="0" w:space="0"/>
                <w:left w:val="none" w:color="auto" w:sz="0" w:space="0"/>
                <w:bottom w:val="none" w:color="auto" w:sz="0" w:space="0"/>
                <w:right w:val="none" w:color="auto" w:sz="0" w:space="0"/>
                <w:between w:val="none" w:color="auto" w:sz="0" w:space="0"/>
              </w:pBdr>
              <w:jc w:val="center"/>
              <w:rPr>
                <w:rFonts w:hint="default" w:asciiTheme="minorEastAsia" w:hAnsiTheme="minorEastAsia" w:eastAsiaTheme="minorEastAsia" w:cstheme="minorEastAsia"/>
                <w:color w:val="auto"/>
                <w:szCs w:val="21"/>
                <w:lang w:val="en-US" w:eastAsia="zh-CN"/>
              </w:rPr>
            </w:pPr>
            <w:r>
              <w:rPr>
                <w:rFonts w:hint="eastAsia" w:asciiTheme="minorEastAsia" w:hAnsiTheme="minorEastAsia" w:eastAsiaTheme="minorEastAsia" w:cstheme="minorEastAsia"/>
                <w:color w:val="auto"/>
                <w:szCs w:val="21"/>
                <w:lang w:val="en-US" w:eastAsia="zh-CN"/>
              </w:rPr>
              <w:t>2</w:t>
            </w:r>
          </w:p>
        </w:tc>
        <w:tc>
          <w:tcPr>
            <w:tcW w:w="1226" w:type="dxa"/>
            <w:tcBorders>
              <w:tl2br w:val="nil"/>
              <w:tr2bl w:val="nil"/>
            </w:tcBorders>
            <w:tcMar>
              <w:top w:w="0" w:type="dxa"/>
              <w:left w:w="28" w:type="dxa"/>
              <w:bottom w:w="0" w:type="dxa"/>
              <w:right w:w="28" w:type="dxa"/>
            </w:tcMar>
            <w:vAlign w:val="center"/>
          </w:tcPr>
          <w:p w14:paraId="30F361A7">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szCs w:val="21"/>
                <w:lang w:eastAsia="zh-CN"/>
              </w:rPr>
            </w:pPr>
            <w:r>
              <w:rPr>
                <w:rFonts w:hint="eastAsia" w:ascii="宋体" w:hAnsi="宋体" w:eastAsia="宋体" w:cs="宋体"/>
                <w:color w:val="000000"/>
                <w:kern w:val="0"/>
                <w:sz w:val="24"/>
                <w:szCs w:val="24"/>
                <w:lang w:val="en-US" w:eastAsia="zh-CN" w:bidi="ar"/>
              </w:rPr>
              <w:t>项目人员配备</w:t>
            </w:r>
          </w:p>
        </w:tc>
        <w:tc>
          <w:tcPr>
            <w:tcW w:w="1005" w:type="dxa"/>
            <w:tcBorders>
              <w:tl2br w:val="nil"/>
              <w:tr2bl w:val="nil"/>
            </w:tcBorders>
            <w:tcMar>
              <w:top w:w="0" w:type="dxa"/>
              <w:left w:w="28" w:type="dxa"/>
              <w:bottom w:w="0" w:type="dxa"/>
              <w:right w:w="28" w:type="dxa"/>
            </w:tcMar>
            <w:vAlign w:val="center"/>
          </w:tcPr>
          <w:p w14:paraId="2CA38963">
            <w:pPr>
              <w:pBdr>
                <w:top w:val="none" w:color="auto" w:sz="0" w:space="0"/>
                <w:left w:val="none" w:color="auto" w:sz="0" w:space="0"/>
                <w:bottom w:val="none" w:color="auto" w:sz="0" w:space="0"/>
                <w:right w:val="none" w:color="auto" w:sz="0" w:space="0"/>
                <w:between w:val="none" w:color="auto" w:sz="0" w:space="0"/>
              </w:pBdr>
              <w:jc w:val="center"/>
              <w:rPr>
                <w:rFonts w:hint="default" w:asciiTheme="minorEastAsia" w:hAnsiTheme="minorEastAsia" w:eastAsiaTheme="minorEastAsia" w:cstheme="minorEastAsia"/>
                <w:color w:val="auto"/>
                <w:szCs w:val="21"/>
                <w:lang w:val="en-US" w:eastAsia="zh-CN"/>
              </w:rPr>
            </w:pPr>
            <w:r>
              <w:rPr>
                <w:rFonts w:hint="eastAsia" w:asciiTheme="minorEastAsia" w:hAnsiTheme="minorEastAsia" w:eastAsiaTheme="minorEastAsia" w:cstheme="minorEastAsia"/>
                <w:color w:val="auto"/>
                <w:szCs w:val="21"/>
                <w:lang w:val="en-US" w:eastAsia="zh-CN"/>
              </w:rPr>
              <w:t>0-7分</w:t>
            </w:r>
          </w:p>
        </w:tc>
        <w:tc>
          <w:tcPr>
            <w:tcW w:w="6222" w:type="dxa"/>
            <w:tcBorders>
              <w:tl2br w:val="nil"/>
              <w:tr2bl w:val="nil"/>
            </w:tcBorders>
            <w:tcMar>
              <w:top w:w="0" w:type="dxa"/>
              <w:left w:w="28" w:type="dxa"/>
              <w:bottom w:w="0" w:type="dxa"/>
              <w:right w:w="28" w:type="dxa"/>
            </w:tcMar>
            <w:vAlign w:val="center"/>
          </w:tcPr>
          <w:p w14:paraId="15CC97F9">
            <w:pPr>
              <w:keepNext w:val="0"/>
              <w:keepLines w:val="0"/>
              <w:pageBreakBefore w:val="0"/>
              <w:widowControl/>
              <w:suppressLineNumbers w:val="0"/>
              <w:kinsoku/>
              <w:wordWrap/>
              <w:overflowPunct/>
              <w:topLinePunct w:val="0"/>
              <w:autoSpaceDE/>
              <w:autoSpaceDN/>
              <w:bidi w:val="0"/>
              <w:adjustRightInd/>
              <w:snapToGrid/>
              <w:ind w:left="72" w:leftChars="30" w:right="72" w:rightChars="30"/>
              <w:jc w:val="left"/>
              <w:textAlignment w:val="auto"/>
              <w:rPr>
                <w:rFonts w:hint="eastAsia" w:asciiTheme="minorEastAsia" w:hAnsiTheme="minorEastAsia" w:eastAsiaTheme="minorEastAsia" w:cstheme="minorEastAsia"/>
                <w:color w:val="auto"/>
                <w:szCs w:val="21"/>
                <w:lang w:val="en-US" w:eastAsia="zh-CN"/>
              </w:rPr>
            </w:pPr>
            <w:r>
              <w:rPr>
                <w:rFonts w:hint="eastAsia" w:ascii="宋体" w:hAnsi="宋体" w:eastAsia="宋体" w:cs="宋体"/>
                <w:color w:val="000000"/>
                <w:kern w:val="0"/>
                <w:sz w:val="24"/>
                <w:szCs w:val="24"/>
                <w:lang w:val="en-US" w:eastAsia="zh-CN" w:bidi="ar"/>
              </w:rPr>
              <w:t>1、项目团队人员中具备项目负责人及项目实施人员，项目人员配备应充足，分配合理，技术力量强，有实施经验，提供人员配备方案，内容完整、人员配备充足信息详细的，得 4 分；基本满足项目实际需求，方案内容完整的，得 3 分；人员配备方案不完整，分工不合理明确的，得 2 分；人员配备方案不合理，不能满足项目实际需求，得 1 分；</w:t>
            </w:r>
            <w:r>
              <w:rPr>
                <w:rFonts w:hint="eastAsia" w:asciiTheme="minorEastAsia" w:hAnsiTheme="minorEastAsia" w:eastAsiaTheme="minorEastAsia" w:cstheme="minorEastAsia"/>
                <w:color w:val="auto"/>
                <w:szCs w:val="21"/>
                <w:lang w:eastAsia="zh-CN"/>
              </w:rPr>
              <w:t>未提供方案不得分。</w:t>
            </w:r>
          </w:p>
          <w:p w14:paraId="0D1BAE10">
            <w:pPr>
              <w:keepNext w:val="0"/>
              <w:keepLines w:val="0"/>
              <w:pageBreakBefore w:val="0"/>
              <w:widowControl/>
              <w:suppressLineNumbers w:val="0"/>
              <w:kinsoku/>
              <w:wordWrap/>
              <w:overflowPunct/>
              <w:topLinePunct w:val="0"/>
              <w:autoSpaceDE/>
              <w:autoSpaceDN/>
              <w:bidi w:val="0"/>
              <w:adjustRightInd/>
              <w:snapToGrid/>
              <w:ind w:left="72" w:leftChars="30" w:right="72" w:rightChars="30"/>
              <w:jc w:val="left"/>
              <w:textAlignment w:val="auto"/>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val="en-US" w:eastAsia="zh-CN"/>
              </w:rPr>
              <w:t>2、</w:t>
            </w:r>
            <w:r>
              <w:rPr>
                <w:rFonts w:hint="eastAsia" w:asciiTheme="minorEastAsia" w:hAnsiTheme="minorEastAsia" w:eastAsiaTheme="minorEastAsia" w:cstheme="minorEastAsia"/>
                <w:color w:val="auto"/>
                <w:szCs w:val="21"/>
                <w:lang w:eastAsia="zh-CN"/>
              </w:rPr>
              <w:t>投标人针对本项目拟派出的项目负责人具有正高级或研究员级高级工程师</w:t>
            </w:r>
            <w:r>
              <w:rPr>
                <w:rFonts w:hint="eastAsia" w:asciiTheme="minorEastAsia" w:hAnsiTheme="minorEastAsia" w:eastAsiaTheme="minorEastAsia" w:cstheme="minorEastAsia"/>
                <w:color w:val="auto"/>
                <w:szCs w:val="21"/>
                <w:highlight w:val="none"/>
                <w:lang w:eastAsia="zh-CN"/>
              </w:rPr>
              <w:t>职称（广播电影电视工程专业或电子工程专业），得</w:t>
            </w:r>
            <w:r>
              <w:rPr>
                <w:rFonts w:hint="eastAsia" w:asciiTheme="minorEastAsia" w:hAnsiTheme="minorEastAsia" w:eastAsiaTheme="minorEastAsia" w:cstheme="minorEastAsia"/>
                <w:color w:val="auto"/>
                <w:szCs w:val="21"/>
                <w:highlight w:val="none"/>
                <w:lang w:val="en-US" w:eastAsia="zh-CN"/>
              </w:rPr>
              <w:t>2</w:t>
            </w:r>
            <w:r>
              <w:rPr>
                <w:rFonts w:hint="eastAsia" w:asciiTheme="minorEastAsia" w:hAnsiTheme="minorEastAsia" w:eastAsiaTheme="minorEastAsia" w:cstheme="minorEastAsia"/>
                <w:color w:val="auto"/>
                <w:szCs w:val="21"/>
                <w:highlight w:val="none"/>
                <w:lang w:eastAsia="zh-CN"/>
              </w:rPr>
              <w:t>分。（</w:t>
            </w:r>
            <w:r>
              <w:rPr>
                <w:rFonts w:hint="eastAsia" w:asciiTheme="minorEastAsia" w:hAnsiTheme="minorEastAsia" w:eastAsiaTheme="minorEastAsia" w:cstheme="minorEastAsia"/>
                <w:color w:val="auto"/>
                <w:szCs w:val="21"/>
                <w:lang w:eastAsia="zh-CN"/>
              </w:rPr>
              <w:t>须提供</w:t>
            </w:r>
            <w:r>
              <w:rPr>
                <w:rFonts w:hint="eastAsia" w:asciiTheme="minorEastAsia" w:hAnsiTheme="minorEastAsia" w:eastAsiaTheme="minorEastAsia" w:cstheme="minorEastAsia"/>
                <w:color w:val="auto"/>
                <w:szCs w:val="21"/>
                <w:lang w:val="en-US" w:eastAsia="zh-CN"/>
              </w:rPr>
              <w:t>相关证明</w:t>
            </w:r>
            <w:r>
              <w:rPr>
                <w:rFonts w:hint="eastAsia" w:asciiTheme="minorEastAsia" w:hAnsiTheme="minorEastAsia" w:eastAsiaTheme="minorEastAsia" w:cstheme="minorEastAsia"/>
                <w:color w:val="auto"/>
                <w:szCs w:val="21"/>
                <w:lang w:eastAsia="zh-CN"/>
              </w:rPr>
              <w:t>复印件加盖投标人公章）</w:t>
            </w:r>
          </w:p>
          <w:p w14:paraId="2426B29D">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bidi w:val="0"/>
              <w:adjustRightInd/>
              <w:snapToGrid/>
              <w:ind w:left="72" w:leftChars="30" w:right="72" w:rightChars="30"/>
              <w:jc w:val="left"/>
              <w:textAlignment w:val="auto"/>
              <w:rPr>
                <w:rFonts w:hint="default"/>
                <w:lang w:val="en-US" w:eastAsia="zh-CN"/>
              </w:rPr>
            </w:pPr>
            <w:r>
              <w:rPr>
                <w:rFonts w:hint="eastAsia"/>
                <w:lang w:val="en-US" w:eastAsia="zh-CN"/>
              </w:rPr>
              <w:t>3、投标人针对本项目拟派出的施工安装团队中具有高级职称人员（广播电影电视工程专业或电子工程专业），得1分。（须提供</w:t>
            </w:r>
            <w:r>
              <w:rPr>
                <w:rFonts w:hint="eastAsia" w:asciiTheme="minorEastAsia" w:hAnsiTheme="minorEastAsia" w:eastAsiaTheme="minorEastAsia" w:cstheme="minorEastAsia"/>
                <w:color w:val="auto"/>
                <w:szCs w:val="21"/>
                <w:lang w:val="en-US" w:eastAsia="zh-CN"/>
              </w:rPr>
              <w:t>相关证明</w:t>
            </w:r>
            <w:r>
              <w:rPr>
                <w:rFonts w:hint="eastAsia"/>
                <w:lang w:val="en-US" w:eastAsia="zh-CN"/>
              </w:rPr>
              <w:t>复印件加盖投标人公章）</w:t>
            </w:r>
          </w:p>
          <w:p w14:paraId="39AC7D5F">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bidi w:val="0"/>
              <w:adjustRightInd/>
              <w:snapToGrid/>
              <w:ind w:left="72" w:leftChars="30" w:right="72" w:rightChars="30"/>
              <w:jc w:val="left"/>
              <w:textAlignment w:val="auto"/>
              <w:rPr>
                <w:rFonts w:hint="eastAsia" w:asciiTheme="minorEastAsia" w:hAnsiTheme="minorEastAsia" w:eastAsiaTheme="minorEastAsia" w:cstheme="minorEastAsia"/>
                <w:color w:val="auto"/>
                <w:szCs w:val="21"/>
                <w:lang w:eastAsia="zh-CN"/>
              </w:rPr>
            </w:pPr>
            <w:r>
              <w:rPr>
                <w:rFonts w:hint="eastAsia"/>
                <w:lang w:eastAsia="zh-CN"/>
              </w:rPr>
              <w:t>注：上述人员必须为投标人自有职工，须提供投标人近3个月连续为其缴纳社保的证明材料并加盖公章。</w:t>
            </w:r>
          </w:p>
        </w:tc>
      </w:tr>
      <w:tr w14:paraId="07E2F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1" w:hRule="atLeast"/>
          <w:jc w:val="center"/>
        </w:trPr>
        <w:tc>
          <w:tcPr>
            <w:tcW w:w="737" w:type="dxa"/>
            <w:tcBorders>
              <w:tl2br w:val="nil"/>
              <w:tr2bl w:val="nil"/>
            </w:tcBorders>
            <w:vAlign w:val="center"/>
          </w:tcPr>
          <w:p w14:paraId="3C6B2210">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szCs w:val="21"/>
                <w:lang w:val="zh-CN" w:eastAsia="zh-CN"/>
              </w:rPr>
            </w:pPr>
            <w:r>
              <w:rPr>
                <w:rFonts w:hint="eastAsia" w:asciiTheme="minorEastAsia" w:hAnsiTheme="minorEastAsia" w:eastAsiaTheme="minorEastAsia" w:cstheme="minorEastAsia"/>
                <w:color w:val="auto"/>
                <w:szCs w:val="21"/>
                <w:lang w:val="en-US" w:eastAsia="zh-CN"/>
              </w:rPr>
              <w:t>3</w:t>
            </w:r>
          </w:p>
        </w:tc>
        <w:tc>
          <w:tcPr>
            <w:tcW w:w="1226" w:type="dxa"/>
            <w:tcBorders>
              <w:tl2br w:val="nil"/>
              <w:tr2bl w:val="nil"/>
            </w:tcBorders>
            <w:tcMar>
              <w:top w:w="0" w:type="dxa"/>
              <w:left w:w="28" w:type="dxa"/>
              <w:bottom w:w="0" w:type="dxa"/>
              <w:right w:w="28" w:type="dxa"/>
            </w:tcMar>
            <w:vAlign w:val="center"/>
          </w:tcPr>
          <w:p w14:paraId="602EDEEF">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技术指标</w:t>
            </w:r>
          </w:p>
        </w:tc>
        <w:tc>
          <w:tcPr>
            <w:tcW w:w="1005" w:type="dxa"/>
            <w:tcBorders>
              <w:tl2br w:val="nil"/>
              <w:tr2bl w:val="nil"/>
            </w:tcBorders>
            <w:tcMar>
              <w:top w:w="0" w:type="dxa"/>
              <w:left w:w="28" w:type="dxa"/>
              <w:bottom w:w="0" w:type="dxa"/>
              <w:right w:w="28" w:type="dxa"/>
            </w:tcMar>
            <w:vAlign w:val="center"/>
          </w:tcPr>
          <w:p w14:paraId="012B6739">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0-35分</w:t>
            </w:r>
          </w:p>
        </w:tc>
        <w:tc>
          <w:tcPr>
            <w:tcW w:w="6222" w:type="dxa"/>
            <w:tcBorders>
              <w:tl2br w:val="nil"/>
              <w:tr2bl w:val="nil"/>
            </w:tcBorders>
            <w:tcMar>
              <w:top w:w="0" w:type="dxa"/>
              <w:left w:w="28" w:type="dxa"/>
              <w:bottom w:w="0" w:type="dxa"/>
              <w:right w:w="28" w:type="dxa"/>
            </w:tcMar>
            <w:vAlign w:val="center"/>
          </w:tcPr>
          <w:p w14:paraId="51C9514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bidi w:val="0"/>
              <w:adjustRightInd/>
              <w:snapToGrid/>
              <w:ind w:left="72" w:leftChars="30" w:right="72" w:rightChars="30"/>
              <w:jc w:val="left"/>
              <w:textAlignment w:val="auto"/>
              <w:rPr>
                <w:rFonts w:hint="eastAsia" w:asciiTheme="minorEastAsia" w:hAnsiTheme="minorEastAsia" w:eastAsiaTheme="minorEastAsia" w:cstheme="minorEastAsia"/>
                <w:color w:val="auto"/>
                <w:szCs w:val="21"/>
                <w:highlight w:val="yellow"/>
                <w:lang w:eastAsia="zh-CN"/>
              </w:rPr>
            </w:pPr>
            <w:r>
              <w:rPr>
                <w:rFonts w:hint="eastAsia" w:asciiTheme="minorEastAsia" w:hAnsiTheme="minorEastAsia" w:eastAsiaTheme="minorEastAsia" w:cstheme="minorEastAsia"/>
                <w:color w:val="auto"/>
                <w:szCs w:val="21"/>
                <w:highlight w:val="none"/>
                <w:lang w:eastAsia="zh-CN"/>
              </w:rPr>
              <w:t>根据投标人对招标文件技术参数部分的响应情况。投标人所投标产品功能(性能)、参数指标、产品配置、操作完全满足或优于招标文件的，得35分；主要参数或功能（带“▲”项）每有一项参数出现负偏离或被视为负偏离或不做响应的扣</w:t>
            </w:r>
            <w:r>
              <w:rPr>
                <w:rFonts w:hint="eastAsia" w:asciiTheme="minorEastAsia" w:hAnsiTheme="minorEastAsia" w:eastAsiaTheme="minorEastAsia" w:cstheme="minorEastAsia"/>
                <w:color w:val="auto"/>
                <w:szCs w:val="21"/>
                <w:highlight w:val="none"/>
                <w:lang w:val="en-US" w:eastAsia="zh-CN"/>
              </w:rPr>
              <w:t>1</w:t>
            </w:r>
            <w:r>
              <w:rPr>
                <w:rFonts w:hint="eastAsia" w:asciiTheme="minorEastAsia" w:hAnsiTheme="minorEastAsia" w:eastAsiaTheme="minorEastAsia" w:cstheme="minorEastAsia"/>
                <w:color w:val="auto"/>
                <w:szCs w:val="21"/>
                <w:highlight w:val="none"/>
                <w:lang w:eastAsia="zh-CN"/>
              </w:rPr>
              <w:t>分；一般技术参数或功能（非“▲”项）每有一项参数出现负偏离或被视为负偏离或不做响应的，扣</w:t>
            </w:r>
            <w:r>
              <w:rPr>
                <w:rFonts w:hint="eastAsia" w:asciiTheme="minorEastAsia" w:hAnsiTheme="minorEastAsia" w:eastAsiaTheme="minorEastAsia" w:cstheme="minorEastAsia"/>
                <w:color w:val="auto"/>
                <w:szCs w:val="21"/>
                <w:highlight w:val="none"/>
                <w:lang w:val="en-US" w:eastAsia="zh-CN"/>
              </w:rPr>
              <w:t>0.5</w:t>
            </w:r>
            <w:r>
              <w:rPr>
                <w:rFonts w:hint="eastAsia" w:asciiTheme="minorEastAsia" w:hAnsiTheme="minorEastAsia" w:eastAsiaTheme="minorEastAsia" w:cstheme="minorEastAsia"/>
                <w:color w:val="auto"/>
                <w:szCs w:val="21"/>
                <w:highlight w:val="none"/>
                <w:lang w:eastAsia="zh-CN"/>
              </w:rPr>
              <w:t>分，</w:t>
            </w:r>
            <w:r>
              <w:rPr>
                <w:rFonts w:hint="eastAsia" w:asciiTheme="minorEastAsia" w:hAnsiTheme="minorEastAsia" w:eastAsiaTheme="minorEastAsia" w:cstheme="minorEastAsia"/>
                <w:color w:val="auto"/>
                <w:szCs w:val="21"/>
                <w:highlight w:val="none"/>
                <w:lang w:val="en-US" w:eastAsia="zh-CN"/>
              </w:rPr>
              <w:t>35分</w:t>
            </w:r>
            <w:r>
              <w:rPr>
                <w:rFonts w:hint="eastAsia" w:asciiTheme="minorEastAsia" w:hAnsiTheme="minorEastAsia" w:eastAsiaTheme="minorEastAsia" w:cstheme="minorEastAsia"/>
                <w:color w:val="auto"/>
                <w:szCs w:val="21"/>
                <w:highlight w:val="none"/>
                <w:lang w:eastAsia="zh-CN"/>
              </w:rPr>
              <w:t>扣完为止。</w:t>
            </w:r>
          </w:p>
        </w:tc>
      </w:tr>
      <w:tr w14:paraId="490C7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04" w:hRule="atLeast"/>
          <w:jc w:val="center"/>
        </w:trPr>
        <w:tc>
          <w:tcPr>
            <w:tcW w:w="737" w:type="dxa"/>
            <w:tcBorders>
              <w:tl2br w:val="nil"/>
              <w:tr2bl w:val="nil"/>
            </w:tcBorders>
            <w:tcMar>
              <w:top w:w="0" w:type="dxa"/>
              <w:left w:w="108" w:type="dxa"/>
              <w:bottom w:w="0" w:type="dxa"/>
              <w:right w:w="108" w:type="dxa"/>
            </w:tcMar>
            <w:vAlign w:val="center"/>
          </w:tcPr>
          <w:p w14:paraId="1EB66B92">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val="en-US" w:eastAsia="zh-CN"/>
              </w:rPr>
              <w:t>4</w:t>
            </w:r>
          </w:p>
        </w:tc>
        <w:tc>
          <w:tcPr>
            <w:tcW w:w="1226" w:type="dxa"/>
            <w:tcBorders>
              <w:tl2br w:val="nil"/>
              <w:tr2bl w:val="nil"/>
            </w:tcBorders>
            <w:tcMar>
              <w:top w:w="0" w:type="dxa"/>
              <w:left w:w="108" w:type="dxa"/>
              <w:bottom w:w="0" w:type="dxa"/>
              <w:right w:w="108" w:type="dxa"/>
            </w:tcMar>
            <w:vAlign w:val="center"/>
          </w:tcPr>
          <w:p w14:paraId="57499349">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设计</w:t>
            </w:r>
            <w:r>
              <w:rPr>
                <w:rFonts w:hint="eastAsia" w:asciiTheme="minorEastAsia" w:hAnsiTheme="minorEastAsia" w:eastAsiaTheme="minorEastAsia"/>
                <w:color w:val="000000"/>
                <w:sz w:val="24"/>
                <w:szCs w:val="24"/>
              </w:rPr>
              <w:t>方案与</w:t>
            </w:r>
            <w:r>
              <w:rPr>
                <w:rFonts w:hint="eastAsia" w:asciiTheme="minorEastAsia" w:hAnsiTheme="minorEastAsia" w:eastAsiaTheme="minorEastAsia" w:cstheme="minorEastAsia"/>
                <w:color w:val="auto"/>
                <w:szCs w:val="21"/>
                <w:lang w:val="en-US" w:eastAsia="zh-CN"/>
              </w:rPr>
              <w:t>实施方案</w:t>
            </w:r>
          </w:p>
        </w:tc>
        <w:tc>
          <w:tcPr>
            <w:tcW w:w="1005" w:type="dxa"/>
            <w:tcBorders>
              <w:tl2br w:val="nil"/>
              <w:tr2bl w:val="nil"/>
            </w:tcBorders>
            <w:tcMar>
              <w:top w:w="0" w:type="dxa"/>
              <w:left w:w="108" w:type="dxa"/>
              <w:bottom w:w="0" w:type="dxa"/>
              <w:right w:w="108" w:type="dxa"/>
            </w:tcMar>
            <w:vAlign w:val="center"/>
          </w:tcPr>
          <w:p w14:paraId="3CA429CB">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val="zh-CN" w:eastAsia="zh-CN"/>
              </w:rPr>
              <w:t>0-</w:t>
            </w:r>
            <w:r>
              <w:rPr>
                <w:rFonts w:hint="eastAsia" w:asciiTheme="minorEastAsia" w:hAnsiTheme="minorEastAsia" w:eastAsiaTheme="minorEastAsia" w:cstheme="minorEastAsia"/>
                <w:color w:val="auto"/>
                <w:szCs w:val="21"/>
                <w:lang w:val="en-US" w:eastAsia="zh-CN"/>
              </w:rPr>
              <w:t>8</w:t>
            </w:r>
            <w:r>
              <w:rPr>
                <w:rFonts w:hint="eastAsia" w:asciiTheme="minorEastAsia" w:hAnsiTheme="minorEastAsia" w:eastAsiaTheme="minorEastAsia" w:cstheme="minorEastAsia"/>
                <w:color w:val="auto"/>
                <w:szCs w:val="21"/>
                <w:lang w:val="zh-CN" w:eastAsia="zh-CN"/>
              </w:rPr>
              <w:t>分</w:t>
            </w:r>
          </w:p>
        </w:tc>
        <w:tc>
          <w:tcPr>
            <w:tcW w:w="6222" w:type="dxa"/>
            <w:tcBorders>
              <w:tl2br w:val="nil"/>
              <w:tr2bl w:val="nil"/>
            </w:tcBorders>
            <w:tcMar>
              <w:top w:w="0" w:type="dxa"/>
              <w:left w:w="108" w:type="dxa"/>
              <w:bottom w:w="0" w:type="dxa"/>
              <w:right w:w="108" w:type="dxa"/>
            </w:tcMar>
            <w:vAlign w:val="center"/>
          </w:tcPr>
          <w:p w14:paraId="0885D7A8">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ind w:left="48" w:leftChars="20" w:right="48" w:rightChars="20"/>
              <w:jc w:val="left"/>
              <w:textAlignment w:val="auto"/>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val="en-US" w:eastAsia="zh-CN"/>
              </w:rPr>
              <w:t>1、</w:t>
            </w:r>
            <w:r>
              <w:rPr>
                <w:rFonts w:hint="eastAsia" w:asciiTheme="minorEastAsia" w:hAnsiTheme="minorEastAsia" w:eastAsiaTheme="minorEastAsia" w:cstheme="minorEastAsia"/>
                <w:color w:val="auto"/>
                <w:szCs w:val="21"/>
                <w:lang w:eastAsia="zh-CN"/>
              </w:rPr>
              <w:t>投标人须对本项目进行深化设计，系统设计方案应具备先进性、可靠性、可行性，系统设计科学合理，详细可行：投标方案与项目需求的吻合程度高，科学合理，具有扩展性和前瞻性，有独到的优势，得</w:t>
            </w:r>
            <w:r>
              <w:rPr>
                <w:rFonts w:hint="eastAsia" w:asciiTheme="minorEastAsia" w:hAnsiTheme="minorEastAsia" w:eastAsiaTheme="minorEastAsia" w:cstheme="minorEastAsia"/>
                <w:color w:val="auto"/>
                <w:szCs w:val="21"/>
                <w:lang w:val="en-US" w:eastAsia="zh-CN"/>
              </w:rPr>
              <w:t xml:space="preserve">4 </w:t>
            </w:r>
            <w:r>
              <w:rPr>
                <w:rFonts w:hint="eastAsia" w:asciiTheme="minorEastAsia" w:hAnsiTheme="minorEastAsia" w:eastAsiaTheme="minorEastAsia" w:cstheme="minorEastAsia"/>
                <w:color w:val="auto"/>
                <w:szCs w:val="21"/>
                <w:lang w:eastAsia="zh-CN"/>
              </w:rPr>
              <w:t>分;</w:t>
            </w:r>
          </w:p>
          <w:p w14:paraId="713E5E6E">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ind w:left="48" w:leftChars="20" w:right="48" w:rightChars="20"/>
              <w:jc w:val="left"/>
              <w:textAlignment w:val="auto"/>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与项目需求的吻合程度一般，具有一定的扩展性和前瞻性，得</w:t>
            </w:r>
            <w:r>
              <w:rPr>
                <w:rFonts w:hint="eastAsia" w:asciiTheme="minorEastAsia" w:hAnsiTheme="minorEastAsia" w:eastAsiaTheme="minorEastAsia" w:cstheme="minorEastAsia"/>
                <w:color w:val="auto"/>
                <w:szCs w:val="21"/>
                <w:lang w:val="en-US" w:eastAsia="zh-CN"/>
              </w:rPr>
              <w:t>3</w:t>
            </w:r>
            <w:r>
              <w:rPr>
                <w:rFonts w:hint="eastAsia" w:asciiTheme="minorEastAsia" w:hAnsiTheme="minorEastAsia" w:eastAsiaTheme="minorEastAsia" w:cstheme="minorEastAsia"/>
                <w:color w:val="auto"/>
                <w:szCs w:val="21"/>
                <w:lang w:eastAsia="zh-CN"/>
              </w:rPr>
              <w:t>分;</w:t>
            </w:r>
          </w:p>
          <w:p w14:paraId="1E30CC9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ind w:left="48" w:leftChars="20" w:right="48" w:rightChars="20"/>
              <w:jc w:val="left"/>
              <w:textAlignment w:val="auto"/>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与项目需求的吻合程度一般，基本满足需求的，得</w:t>
            </w:r>
            <w:r>
              <w:rPr>
                <w:rFonts w:hint="eastAsia" w:asciiTheme="minorEastAsia" w:hAnsiTheme="minorEastAsia" w:eastAsiaTheme="minorEastAsia" w:cstheme="minorEastAsia"/>
                <w:color w:val="auto"/>
                <w:szCs w:val="21"/>
                <w:lang w:val="en-US" w:eastAsia="zh-CN"/>
              </w:rPr>
              <w:t>2分；</w:t>
            </w:r>
            <w:r>
              <w:rPr>
                <w:rFonts w:hint="eastAsia" w:asciiTheme="minorEastAsia" w:hAnsiTheme="minorEastAsia" w:eastAsiaTheme="minorEastAsia" w:cstheme="minorEastAsia"/>
                <w:color w:val="auto"/>
                <w:szCs w:val="21"/>
                <w:lang w:eastAsia="zh-CN"/>
              </w:rPr>
              <w:t>与项目需求的吻合程度差，无扩展性和前瞻性，无独到的优势，得1分；未提供方案不得分。</w:t>
            </w:r>
          </w:p>
          <w:p w14:paraId="29DBAA5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ind w:left="48" w:leftChars="20" w:right="48" w:rightChars="20"/>
              <w:jc w:val="left"/>
              <w:textAlignment w:val="auto"/>
              <w:rPr>
                <w:rFonts w:hint="eastAsia" w:asciiTheme="minorEastAsia" w:hAnsiTheme="minorEastAsia" w:eastAsiaTheme="minorEastAsia" w:cstheme="minorEastAsia"/>
                <w:color w:val="auto"/>
                <w:szCs w:val="21"/>
                <w:lang w:val="en-US" w:eastAsia="en-US"/>
              </w:rPr>
            </w:pPr>
            <w:r>
              <w:rPr>
                <w:rFonts w:hint="eastAsia" w:asciiTheme="minorEastAsia" w:hAnsiTheme="minorEastAsia" w:eastAsiaTheme="minorEastAsia" w:cstheme="minorEastAsia"/>
                <w:color w:val="auto"/>
                <w:szCs w:val="21"/>
                <w:lang w:val="en-US" w:eastAsia="en-US"/>
              </w:rPr>
              <w:t>2、根据投标人的项目</w:t>
            </w:r>
            <w:r>
              <w:rPr>
                <w:rFonts w:hint="eastAsia" w:asciiTheme="minorEastAsia" w:hAnsiTheme="minorEastAsia" w:eastAsiaTheme="minorEastAsia" w:cstheme="minorEastAsia"/>
                <w:color w:val="auto"/>
                <w:szCs w:val="21"/>
                <w:lang w:val="en-US" w:eastAsia="zh-CN"/>
              </w:rPr>
              <w:t>实施</w:t>
            </w:r>
            <w:r>
              <w:rPr>
                <w:rFonts w:hint="eastAsia" w:asciiTheme="minorEastAsia" w:hAnsiTheme="minorEastAsia" w:eastAsiaTheme="minorEastAsia" w:cstheme="minorEastAsia"/>
                <w:color w:val="auto"/>
                <w:szCs w:val="21"/>
                <w:lang w:val="en-US" w:eastAsia="en-US"/>
              </w:rPr>
              <w:t>方案、</w:t>
            </w:r>
            <w:r>
              <w:rPr>
                <w:rFonts w:hint="eastAsia" w:asciiTheme="minorEastAsia" w:hAnsiTheme="minorEastAsia" w:eastAsiaTheme="minorEastAsia" w:cstheme="minorEastAsia"/>
                <w:color w:val="auto"/>
                <w:szCs w:val="21"/>
                <w:lang w:val="en-US" w:eastAsia="zh-CN"/>
              </w:rPr>
              <w:t>施工安装、</w:t>
            </w:r>
            <w:r>
              <w:rPr>
                <w:rFonts w:hint="eastAsia" w:asciiTheme="minorEastAsia" w:hAnsiTheme="minorEastAsia" w:eastAsiaTheme="minorEastAsia" w:cstheme="minorEastAsia"/>
                <w:color w:val="auto"/>
                <w:szCs w:val="21"/>
                <w:lang w:val="en-US" w:eastAsia="en-US"/>
              </w:rPr>
              <w:t>时间进度安排、安全措施、质量控制及与其它项目</w:t>
            </w:r>
            <w:r>
              <w:rPr>
                <w:rFonts w:hint="eastAsia" w:asciiTheme="minorEastAsia" w:hAnsiTheme="minorEastAsia" w:eastAsiaTheme="minorEastAsia" w:cstheme="minorEastAsia"/>
                <w:color w:val="auto"/>
                <w:szCs w:val="21"/>
                <w:lang w:val="en-US" w:eastAsia="zh-CN"/>
              </w:rPr>
              <w:t>相关</w:t>
            </w:r>
            <w:r>
              <w:rPr>
                <w:rFonts w:hint="eastAsia" w:asciiTheme="minorEastAsia" w:hAnsiTheme="minorEastAsia" w:eastAsiaTheme="minorEastAsia" w:cstheme="minorEastAsia"/>
                <w:color w:val="auto"/>
                <w:szCs w:val="21"/>
                <w:lang w:val="en-US" w:eastAsia="en-US"/>
              </w:rPr>
              <w:t>单位的合作（配合）等方面（包含但不限于以上内容）：</w:t>
            </w:r>
          </w:p>
          <w:p w14:paraId="7024FC19">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ind w:left="48" w:leftChars="20" w:right="48" w:rightChars="20"/>
              <w:jc w:val="left"/>
              <w:textAlignment w:val="auto"/>
              <w:rPr>
                <w:rFonts w:hint="eastAsia" w:asciiTheme="minorEastAsia" w:hAnsiTheme="minorEastAsia" w:eastAsiaTheme="minorEastAsia" w:cstheme="minorEastAsia"/>
                <w:color w:val="auto"/>
                <w:szCs w:val="21"/>
                <w:lang w:val="en-US" w:eastAsia="en-US"/>
              </w:rPr>
            </w:pPr>
            <w:r>
              <w:rPr>
                <w:rFonts w:hint="eastAsia" w:asciiTheme="minorEastAsia" w:hAnsiTheme="minorEastAsia" w:eastAsiaTheme="minorEastAsia" w:cstheme="minorEastAsia"/>
                <w:color w:val="auto"/>
                <w:szCs w:val="21"/>
                <w:lang w:val="en-US" w:eastAsia="zh-CN"/>
              </w:rPr>
              <w:t>实施</w:t>
            </w:r>
            <w:r>
              <w:rPr>
                <w:rFonts w:hint="eastAsia" w:asciiTheme="minorEastAsia" w:hAnsiTheme="minorEastAsia" w:eastAsiaTheme="minorEastAsia" w:cstheme="minorEastAsia"/>
                <w:color w:val="auto"/>
                <w:szCs w:val="21"/>
                <w:lang w:val="en-US" w:eastAsia="en-US"/>
              </w:rPr>
              <w:t>方案科学合理，完全符合招标文件要求，得4分;</w:t>
            </w:r>
          </w:p>
          <w:p w14:paraId="18FCB884">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ind w:left="48" w:leftChars="20" w:right="48" w:rightChars="20"/>
              <w:jc w:val="left"/>
              <w:textAlignment w:val="auto"/>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val="en-US" w:eastAsia="zh-CN"/>
              </w:rPr>
              <w:t>实施</w:t>
            </w:r>
            <w:r>
              <w:rPr>
                <w:rFonts w:hint="eastAsia" w:asciiTheme="minorEastAsia" w:hAnsiTheme="minorEastAsia" w:eastAsiaTheme="minorEastAsia" w:cstheme="minorEastAsia"/>
                <w:color w:val="auto"/>
                <w:szCs w:val="21"/>
                <w:lang w:val="en-US" w:eastAsia="en-US"/>
              </w:rPr>
              <w:t>方案具备一定科学性，基本符合招标文件要求，得2分;</w:t>
            </w:r>
            <w:r>
              <w:rPr>
                <w:rFonts w:hint="eastAsia" w:asciiTheme="minorEastAsia" w:hAnsiTheme="minorEastAsia" w:eastAsiaTheme="minorEastAsia" w:cstheme="minorEastAsia"/>
                <w:color w:val="auto"/>
                <w:szCs w:val="21"/>
                <w:lang w:val="en-US" w:eastAsia="zh-CN"/>
              </w:rPr>
              <w:t>实施</w:t>
            </w:r>
            <w:r>
              <w:rPr>
                <w:rFonts w:hint="eastAsia" w:asciiTheme="minorEastAsia" w:hAnsiTheme="minorEastAsia" w:eastAsiaTheme="minorEastAsia" w:cstheme="minorEastAsia"/>
                <w:color w:val="auto"/>
                <w:szCs w:val="21"/>
                <w:lang w:val="en-US" w:eastAsia="en-US"/>
              </w:rPr>
              <w:t>方案一般，可行性较差，得1分。</w:t>
            </w:r>
            <w:r>
              <w:rPr>
                <w:rFonts w:hint="eastAsia" w:asciiTheme="minorEastAsia" w:hAnsiTheme="minorEastAsia" w:eastAsiaTheme="minorEastAsia" w:cstheme="minorEastAsia"/>
                <w:color w:val="auto"/>
                <w:szCs w:val="21"/>
                <w:lang w:eastAsia="zh-CN"/>
              </w:rPr>
              <w:t>未提供方案不得分。</w:t>
            </w:r>
          </w:p>
        </w:tc>
      </w:tr>
      <w:tr w14:paraId="6521A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17" w:hRule="atLeast"/>
          <w:jc w:val="center"/>
        </w:trPr>
        <w:tc>
          <w:tcPr>
            <w:tcW w:w="737" w:type="dxa"/>
            <w:tcBorders>
              <w:tl2br w:val="nil"/>
              <w:tr2bl w:val="nil"/>
            </w:tcBorders>
            <w:tcMar>
              <w:top w:w="0" w:type="dxa"/>
              <w:left w:w="108" w:type="dxa"/>
              <w:bottom w:w="0" w:type="dxa"/>
              <w:right w:w="108" w:type="dxa"/>
            </w:tcMar>
            <w:vAlign w:val="center"/>
          </w:tcPr>
          <w:p w14:paraId="37C936E6">
            <w:pPr>
              <w:pBdr>
                <w:top w:val="none" w:color="auto" w:sz="0" w:space="0"/>
                <w:left w:val="none" w:color="auto" w:sz="0" w:space="0"/>
                <w:bottom w:val="none" w:color="auto" w:sz="0" w:space="0"/>
                <w:right w:val="none" w:color="auto" w:sz="0" w:space="0"/>
                <w:between w:val="none" w:color="auto" w:sz="0" w:space="0"/>
              </w:pBdr>
              <w:jc w:val="center"/>
              <w:rPr>
                <w:rFonts w:hint="default" w:asciiTheme="minorEastAsia" w:hAnsiTheme="minorEastAsia" w:eastAsiaTheme="minorEastAsia" w:cstheme="minorEastAsia"/>
                <w:color w:val="auto"/>
                <w:szCs w:val="21"/>
                <w:lang w:val="en-US" w:eastAsia="zh-CN"/>
              </w:rPr>
            </w:pPr>
            <w:r>
              <w:rPr>
                <w:rFonts w:hint="eastAsia" w:asciiTheme="minorEastAsia" w:hAnsiTheme="minorEastAsia" w:eastAsiaTheme="minorEastAsia" w:cstheme="minorEastAsia"/>
                <w:color w:val="auto"/>
                <w:szCs w:val="21"/>
                <w:lang w:val="en-US" w:eastAsia="zh-CN"/>
              </w:rPr>
              <w:t>5</w:t>
            </w:r>
          </w:p>
        </w:tc>
        <w:tc>
          <w:tcPr>
            <w:tcW w:w="1226" w:type="dxa"/>
            <w:tcBorders>
              <w:tl2br w:val="nil"/>
              <w:tr2bl w:val="nil"/>
            </w:tcBorders>
            <w:tcMar>
              <w:top w:w="0" w:type="dxa"/>
              <w:left w:w="108" w:type="dxa"/>
              <w:bottom w:w="0" w:type="dxa"/>
              <w:right w:w="108" w:type="dxa"/>
            </w:tcMar>
            <w:vAlign w:val="center"/>
          </w:tcPr>
          <w:p w14:paraId="5D56DBB7">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售后及服务保障</w:t>
            </w:r>
          </w:p>
        </w:tc>
        <w:tc>
          <w:tcPr>
            <w:tcW w:w="1005" w:type="dxa"/>
            <w:tcBorders>
              <w:tl2br w:val="nil"/>
              <w:tr2bl w:val="nil"/>
            </w:tcBorders>
            <w:tcMar>
              <w:top w:w="0" w:type="dxa"/>
              <w:left w:w="108" w:type="dxa"/>
              <w:bottom w:w="0" w:type="dxa"/>
              <w:right w:w="108" w:type="dxa"/>
            </w:tcMar>
            <w:vAlign w:val="center"/>
          </w:tcPr>
          <w:p w14:paraId="0633D0A9">
            <w:pPr>
              <w:pBdr>
                <w:top w:val="none" w:color="auto" w:sz="0" w:space="0"/>
                <w:left w:val="none" w:color="auto" w:sz="0" w:space="0"/>
                <w:bottom w:val="none" w:color="auto" w:sz="0" w:space="0"/>
                <w:right w:val="none" w:color="auto" w:sz="0" w:space="0"/>
                <w:between w:val="none" w:color="auto" w:sz="0" w:space="0"/>
              </w:pBdr>
              <w:jc w:val="center"/>
              <w:rPr>
                <w:rFonts w:hint="default" w:asciiTheme="minorEastAsia" w:hAnsiTheme="minorEastAsia" w:eastAsiaTheme="minorEastAsia" w:cstheme="minorEastAsia"/>
                <w:color w:val="auto"/>
                <w:szCs w:val="21"/>
                <w:lang w:val="en-US" w:eastAsia="zh-CN"/>
              </w:rPr>
            </w:pPr>
            <w:r>
              <w:rPr>
                <w:rFonts w:hint="eastAsia" w:asciiTheme="minorEastAsia" w:hAnsiTheme="minorEastAsia" w:eastAsiaTheme="minorEastAsia" w:cstheme="minorEastAsia"/>
                <w:color w:val="auto"/>
                <w:szCs w:val="21"/>
                <w:lang w:val="en-US" w:eastAsia="zh-CN"/>
              </w:rPr>
              <w:t>0-11分</w:t>
            </w:r>
          </w:p>
        </w:tc>
        <w:tc>
          <w:tcPr>
            <w:tcW w:w="6222" w:type="dxa"/>
            <w:tcBorders>
              <w:tl2br w:val="nil"/>
              <w:tr2bl w:val="nil"/>
            </w:tcBorders>
            <w:shd w:val="clear" w:color="auto" w:fill="auto"/>
            <w:tcMar>
              <w:top w:w="0" w:type="dxa"/>
              <w:left w:w="108" w:type="dxa"/>
              <w:bottom w:w="0" w:type="dxa"/>
              <w:right w:w="108" w:type="dxa"/>
            </w:tcMar>
            <w:vAlign w:val="center"/>
          </w:tcPr>
          <w:p w14:paraId="1BD6BCAA">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ind w:left="48" w:leftChars="20" w:right="48" w:rightChars="20"/>
              <w:jc w:val="left"/>
              <w:textAlignment w:val="auto"/>
              <w:rPr>
                <w:rFonts w:hint="eastAsia" w:asciiTheme="minorEastAsia" w:hAnsiTheme="minorEastAsia" w:eastAsiaTheme="minorEastAsia" w:cstheme="minorEastAsia"/>
                <w:color w:val="auto"/>
                <w:szCs w:val="21"/>
                <w:highlight w:val="none"/>
                <w:lang w:eastAsia="zh-CN"/>
              </w:rPr>
            </w:pPr>
            <w:r>
              <w:rPr>
                <w:rFonts w:hint="eastAsia" w:asciiTheme="minorEastAsia" w:hAnsiTheme="minorEastAsia" w:eastAsiaTheme="minorEastAsia" w:cstheme="minorEastAsia"/>
                <w:color w:val="auto"/>
                <w:szCs w:val="21"/>
                <w:highlight w:val="none"/>
                <w:lang w:eastAsia="zh-CN"/>
              </w:rPr>
              <w:t>1、电视播出及总控系统、网络及网络安全系统原厂质保不少于7天×24小时原厂服务。投标人提供制造商针对本项目出具的证明文件或售后服务承诺证明文件，每一个得1分，最高</w:t>
            </w:r>
            <w:r>
              <w:rPr>
                <w:rFonts w:hint="eastAsia" w:asciiTheme="minorEastAsia" w:hAnsiTheme="minorEastAsia" w:eastAsiaTheme="minorEastAsia" w:cstheme="minorEastAsia"/>
                <w:color w:val="auto"/>
                <w:szCs w:val="21"/>
                <w:highlight w:val="none"/>
                <w:lang w:val="en-US" w:eastAsia="zh-CN"/>
              </w:rPr>
              <w:t>2</w:t>
            </w:r>
            <w:r>
              <w:rPr>
                <w:rFonts w:hint="eastAsia" w:asciiTheme="minorEastAsia" w:hAnsiTheme="minorEastAsia" w:eastAsiaTheme="minorEastAsia" w:cstheme="minorEastAsia"/>
                <w:color w:val="auto"/>
                <w:szCs w:val="21"/>
                <w:highlight w:val="none"/>
                <w:lang w:eastAsia="zh-CN"/>
              </w:rPr>
              <w:t>分。未提供或提供不满足需求的，不得分。</w:t>
            </w:r>
          </w:p>
          <w:p w14:paraId="54E6CDA9">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ind w:left="48" w:leftChars="20" w:right="48" w:rightChars="20"/>
              <w:jc w:val="left"/>
              <w:textAlignment w:val="auto"/>
              <w:rPr>
                <w:rFonts w:hint="eastAsia" w:asciiTheme="minorEastAsia" w:hAnsiTheme="minorEastAsia" w:eastAsiaTheme="minorEastAsia" w:cstheme="minorEastAsia"/>
                <w:color w:val="auto"/>
                <w:szCs w:val="21"/>
                <w:highlight w:val="none"/>
                <w:lang w:eastAsia="zh-CN"/>
              </w:rPr>
            </w:pPr>
            <w:r>
              <w:rPr>
                <w:rFonts w:hint="eastAsia" w:asciiTheme="minorEastAsia" w:hAnsiTheme="minorEastAsia" w:eastAsiaTheme="minorEastAsia" w:cstheme="minorEastAsia"/>
                <w:color w:val="auto"/>
                <w:szCs w:val="21"/>
                <w:highlight w:val="none"/>
                <w:lang w:eastAsia="zh-CN"/>
              </w:rPr>
              <w:t>2、投标人能完全按照采购文件要求提出具体详细的售后服务保障体系和保内保外售后服务内容及措施，包括免费服务年限、技术支持范围、保修、服务标准、人员配备、故障响应及修复时间、零配件供应的可靠性等。售后服务保障体系完善，措施合理、具体、切实可行，得</w:t>
            </w:r>
            <w:r>
              <w:rPr>
                <w:rFonts w:hint="eastAsia" w:asciiTheme="minorEastAsia" w:hAnsiTheme="minorEastAsia" w:eastAsiaTheme="minorEastAsia" w:cstheme="minorEastAsia"/>
                <w:color w:val="auto"/>
                <w:szCs w:val="21"/>
                <w:highlight w:val="none"/>
                <w:lang w:val="en-US" w:eastAsia="zh-CN"/>
              </w:rPr>
              <w:t>6</w:t>
            </w:r>
            <w:r>
              <w:rPr>
                <w:rFonts w:hint="eastAsia" w:asciiTheme="minorEastAsia" w:hAnsiTheme="minorEastAsia" w:eastAsiaTheme="minorEastAsia" w:cstheme="minorEastAsia"/>
                <w:color w:val="auto"/>
                <w:szCs w:val="21"/>
                <w:highlight w:val="none"/>
                <w:lang w:eastAsia="zh-CN"/>
              </w:rPr>
              <w:t>分;基本合理、具体、可行，得</w:t>
            </w:r>
            <w:r>
              <w:rPr>
                <w:rFonts w:hint="eastAsia" w:asciiTheme="minorEastAsia" w:hAnsiTheme="minorEastAsia" w:eastAsiaTheme="minorEastAsia" w:cstheme="minorEastAsia"/>
                <w:color w:val="auto"/>
                <w:szCs w:val="21"/>
                <w:highlight w:val="none"/>
                <w:lang w:val="en-US" w:eastAsia="zh-CN"/>
              </w:rPr>
              <w:t>4</w:t>
            </w:r>
            <w:r>
              <w:rPr>
                <w:rFonts w:hint="eastAsia" w:asciiTheme="minorEastAsia" w:hAnsiTheme="minorEastAsia" w:eastAsiaTheme="minorEastAsia" w:cstheme="minorEastAsia"/>
                <w:color w:val="auto"/>
                <w:szCs w:val="21"/>
                <w:highlight w:val="none"/>
                <w:lang w:eastAsia="zh-CN"/>
              </w:rPr>
              <w:t>分;较差、不完整的，得</w:t>
            </w:r>
            <w:r>
              <w:rPr>
                <w:rFonts w:hint="eastAsia" w:asciiTheme="minorEastAsia" w:hAnsiTheme="minorEastAsia" w:eastAsiaTheme="minorEastAsia" w:cstheme="minorEastAsia"/>
                <w:color w:val="auto"/>
                <w:szCs w:val="21"/>
                <w:highlight w:val="none"/>
                <w:lang w:val="en-US" w:eastAsia="zh-CN"/>
              </w:rPr>
              <w:t>2</w:t>
            </w:r>
            <w:r>
              <w:rPr>
                <w:rFonts w:hint="eastAsia" w:asciiTheme="minorEastAsia" w:hAnsiTheme="minorEastAsia" w:eastAsiaTheme="minorEastAsia" w:cstheme="minorEastAsia"/>
                <w:color w:val="auto"/>
                <w:szCs w:val="21"/>
                <w:highlight w:val="none"/>
                <w:lang w:eastAsia="zh-CN"/>
              </w:rPr>
              <w:t>分;未提供得0分。</w:t>
            </w:r>
          </w:p>
          <w:p w14:paraId="7EB1654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ind w:left="48" w:leftChars="20" w:right="48" w:rightChars="20"/>
              <w:jc w:val="left"/>
              <w:textAlignment w:val="auto"/>
              <w:rPr>
                <w:rFonts w:hint="eastAsia" w:asciiTheme="minorEastAsia" w:hAnsiTheme="minorEastAsia" w:eastAsiaTheme="minorEastAsia" w:cstheme="minorEastAsia"/>
                <w:color w:val="auto"/>
                <w:szCs w:val="21"/>
                <w:highlight w:val="none"/>
                <w:lang w:eastAsia="zh-CN"/>
              </w:rPr>
            </w:pPr>
            <w:r>
              <w:rPr>
                <w:rFonts w:hint="eastAsia" w:asciiTheme="minorEastAsia" w:hAnsiTheme="minorEastAsia" w:eastAsiaTheme="minorEastAsia" w:cstheme="minorEastAsia"/>
                <w:color w:val="auto"/>
                <w:szCs w:val="21"/>
                <w:highlight w:val="none"/>
                <w:lang w:eastAsia="zh-CN"/>
              </w:rPr>
              <w:t>注：投标人须提供所投核心产品制造商针对本项目的售后服务承诺函，加盖投标人公章，不提供此项不得分。</w:t>
            </w:r>
          </w:p>
          <w:p w14:paraId="6BBF945F">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ind w:left="48" w:leftChars="20" w:right="48" w:rightChars="20"/>
              <w:jc w:val="left"/>
              <w:textAlignment w:val="auto"/>
              <w:rPr>
                <w:rFonts w:hint="eastAsia" w:asciiTheme="minorEastAsia" w:hAnsiTheme="minorEastAsia" w:eastAsiaTheme="minorEastAsia" w:cstheme="minorEastAsia"/>
                <w:color w:val="auto"/>
                <w:szCs w:val="21"/>
                <w:highlight w:val="none"/>
                <w:lang w:eastAsia="zh-CN"/>
              </w:rPr>
            </w:pPr>
            <w:r>
              <w:rPr>
                <w:rFonts w:hint="eastAsia" w:asciiTheme="minorEastAsia" w:hAnsiTheme="minorEastAsia" w:eastAsiaTheme="minorEastAsia" w:cstheme="minorEastAsia"/>
                <w:color w:val="auto"/>
                <w:szCs w:val="21"/>
                <w:highlight w:val="none"/>
                <w:lang w:eastAsia="zh-CN"/>
              </w:rPr>
              <w:t>3、投标人需具有和本项目实施相关的仪器仪表，包括数字电视综合分析仪、网络分析仪、4K SDI波形监测分析仪的，每有一种仪器仪表得1分，最高得3分，没有不得分。</w:t>
            </w:r>
          </w:p>
          <w:p w14:paraId="252027B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ind w:left="48" w:leftChars="20" w:right="48" w:rightChars="20"/>
              <w:jc w:val="left"/>
              <w:textAlignment w:val="auto"/>
              <w:rPr>
                <w:rFonts w:hint="eastAsia" w:asciiTheme="minorEastAsia" w:hAnsiTheme="minorEastAsia" w:eastAsiaTheme="minorEastAsia" w:cstheme="minorEastAsia"/>
                <w:color w:val="auto"/>
                <w:szCs w:val="21"/>
                <w:highlight w:val="none"/>
                <w:lang w:val="en-US" w:eastAsia="en-US"/>
              </w:rPr>
            </w:pPr>
            <w:r>
              <w:rPr>
                <w:rFonts w:hint="eastAsia" w:asciiTheme="minorEastAsia" w:hAnsiTheme="minorEastAsia" w:eastAsiaTheme="minorEastAsia" w:cstheme="minorEastAsia"/>
                <w:color w:val="auto"/>
                <w:szCs w:val="21"/>
                <w:highlight w:val="none"/>
                <w:lang w:eastAsia="zh-CN"/>
              </w:rPr>
              <w:t>注：须提供测试仪器采购发票（发票抬头需与投标人名称一致）原件扫描件至响应文件，加盖投标人公章，不提供不得分。</w:t>
            </w:r>
          </w:p>
        </w:tc>
      </w:tr>
      <w:tr w14:paraId="3256B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9" w:hRule="atLeast"/>
          <w:jc w:val="center"/>
        </w:trPr>
        <w:tc>
          <w:tcPr>
            <w:tcW w:w="737" w:type="dxa"/>
            <w:tcBorders>
              <w:tl2br w:val="nil"/>
              <w:tr2bl w:val="nil"/>
            </w:tcBorders>
            <w:tcMar>
              <w:top w:w="0" w:type="dxa"/>
              <w:left w:w="108" w:type="dxa"/>
              <w:bottom w:w="0" w:type="dxa"/>
              <w:right w:w="108" w:type="dxa"/>
            </w:tcMar>
            <w:vAlign w:val="center"/>
          </w:tcPr>
          <w:p w14:paraId="7DAA6DEA">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szCs w:val="21"/>
                <w:lang w:val="zh-CN" w:eastAsia="zh-CN"/>
              </w:rPr>
            </w:pPr>
            <w:r>
              <w:rPr>
                <w:rFonts w:hint="eastAsia" w:asciiTheme="minorEastAsia" w:hAnsiTheme="minorEastAsia" w:eastAsiaTheme="minorEastAsia" w:cstheme="minorEastAsia"/>
                <w:color w:val="auto"/>
                <w:szCs w:val="21"/>
                <w:lang w:val="en-US" w:eastAsia="zh-CN"/>
              </w:rPr>
              <w:t>6</w:t>
            </w:r>
          </w:p>
        </w:tc>
        <w:tc>
          <w:tcPr>
            <w:tcW w:w="1226" w:type="dxa"/>
            <w:tcBorders>
              <w:tl2br w:val="nil"/>
              <w:tr2bl w:val="nil"/>
            </w:tcBorders>
            <w:tcMar>
              <w:top w:w="0" w:type="dxa"/>
              <w:left w:w="108" w:type="dxa"/>
              <w:bottom w:w="0" w:type="dxa"/>
              <w:right w:w="108" w:type="dxa"/>
            </w:tcMar>
            <w:vAlign w:val="center"/>
          </w:tcPr>
          <w:p w14:paraId="0E47B202">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设备培训方案</w:t>
            </w:r>
          </w:p>
        </w:tc>
        <w:tc>
          <w:tcPr>
            <w:tcW w:w="1005" w:type="dxa"/>
            <w:tcBorders>
              <w:tl2br w:val="nil"/>
              <w:tr2bl w:val="nil"/>
            </w:tcBorders>
            <w:tcMar>
              <w:top w:w="0" w:type="dxa"/>
              <w:left w:w="108" w:type="dxa"/>
              <w:bottom w:w="0" w:type="dxa"/>
              <w:right w:w="108" w:type="dxa"/>
            </w:tcMar>
            <w:vAlign w:val="center"/>
          </w:tcPr>
          <w:p w14:paraId="6F849DE9">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0-</w:t>
            </w:r>
            <w:r>
              <w:rPr>
                <w:rFonts w:hint="eastAsia" w:asciiTheme="minorEastAsia" w:hAnsiTheme="minorEastAsia" w:eastAsiaTheme="minorEastAsia" w:cstheme="minorEastAsia"/>
                <w:color w:val="auto"/>
                <w:szCs w:val="21"/>
                <w:lang w:val="en-US" w:eastAsia="zh-CN"/>
              </w:rPr>
              <w:t>3</w:t>
            </w:r>
            <w:r>
              <w:rPr>
                <w:rFonts w:hint="eastAsia" w:asciiTheme="minorEastAsia" w:hAnsiTheme="minorEastAsia" w:eastAsiaTheme="minorEastAsia" w:cstheme="minorEastAsia"/>
                <w:color w:val="auto"/>
                <w:szCs w:val="21"/>
                <w:lang w:eastAsia="zh-CN"/>
              </w:rPr>
              <w:t>分</w:t>
            </w:r>
          </w:p>
        </w:tc>
        <w:tc>
          <w:tcPr>
            <w:tcW w:w="6222" w:type="dxa"/>
            <w:tcBorders>
              <w:tl2br w:val="nil"/>
              <w:tr2bl w:val="nil"/>
            </w:tcBorders>
            <w:tcMar>
              <w:top w:w="0" w:type="dxa"/>
              <w:left w:w="108" w:type="dxa"/>
              <w:bottom w:w="0" w:type="dxa"/>
              <w:right w:w="108" w:type="dxa"/>
            </w:tcMar>
            <w:vAlign w:val="center"/>
          </w:tcPr>
          <w:p w14:paraId="4DAAF3C5">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ind w:left="48" w:leftChars="20" w:right="48" w:rightChars="20"/>
              <w:jc w:val="left"/>
              <w:textAlignment w:val="auto"/>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投标人做到保证用户单位完全掌握设备的操作使用和基础维护，提供完整的设备操作培训方案和培训计划。培训方案系统性完整性好，培训计划详实，得3分;方案一般得1分;未提供不得分。</w:t>
            </w:r>
          </w:p>
        </w:tc>
      </w:tr>
      <w:tr w14:paraId="6A210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9190" w:type="dxa"/>
            <w:gridSpan w:val="4"/>
            <w:tcBorders>
              <w:tl2br w:val="nil"/>
              <w:tr2bl w:val="nil"/>
            </w:tcBorders>
            <w:vAlign w:val="center"/>
          </w:tcPr>
          <w:p w14:paraId="44BB8D1A">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ind w:left="72" w:leftChars="30" w:right="72" w:rightChars="30"/>
              <w:textAlignment w:val="auto"/>
              <w:rPr>
                <w:rFonts w:hint="eastAsia" w:asciiTheme="minorEastAsia" w:hAnsiTheme="minorEastAsia" w:eastAsiaTheme="minorEastAsia" w:cstheme="minorEastAsia"/>
                <w:b/>
                <w:color w:val="auto"/>
                <w:szCs w:val="21"/>
                <w:lang w:eastAsia="zh-CN"/>
              </w:rPr>
            </w:pPr>
            <w:r>
              <w:rPr>
                <w:rFonts w:hint="eastAsia" w:asciiTheme="minorEastAsia" w:hAnsiTheme="minorEastAsia" w:eastAsiaTheme="minorEastAsia" w:cstheme="minorEastAsia"/>
                <w:b/>
                <w:color w:val="auto"/>
                <w:szCs w:val="21"/>
                <w:lang w:eastAsia="zh-CN"/>
              </w:rPr>
              <w:t>属于中小企业评审优惠内容及价格扣除幅度</w:t>
            </w:r>
          </w:p>
          <w:p w14:paraId="5CADCB6F">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ind w:left="72" w:leftChars="30" w:right="72" w:rightChars="30"/>
              <w:textAlignment w:val="auto"/>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（一）根据财政部、工业和信息化部制定的《关于印发《政府采购促进中小企业发展管理办法》的通知》（财库〔2020〕46号）、《关于落实好政府采购支持中小企业发展的通知》（新财购 〔2022〕22号）规定执行，属于中小企业评审优惠内容及幅度如下：</w:t>
            </w:r>
          </w:p>
          <w:p w14:paraId="3338570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ind w:left="72" w:leftChars="30" w:right="72" w:rightChars="30"/>
              <w:textAlignment w:val="auto"/>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①符合中小企业划分标准（按《关于印发中小企业划型标准规定的通知》（工信部联企业〔2011〕300号）执行）；</w:t>
            </w:r>
          </w:p>
          <w:p w14:paraId="1E68F189">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ind w:left="72" w:leftChars="30" w:right="72" w:rightChars="30"/>
              <w:textAlignment w:val="auto"/>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②依据财政部司法部《关于政府采购支持监狱企业发展有关问题的通知》（财库[2014]68号）的规定，监狱企业视同小型、微型企业，享受预留份额、评审中价格扣除等促进中小企业发展的政府采购政策。监狱企业应当提供由省级以上监狱管理局、戒毒管理局(含新疆生产建设兵团)出具的属于监狱企业的证明文件。</w:t>
            </w:r>
          </w:p>
          <w:p w14:paraId="1A42C2FD">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ind w:left="72" w:leftChars="30" w:right="72" w:rightChars="30"/>
              <w:textAlignment w:val="auto"/>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③依据财政部民政部中国残疾人联合会《关于促进残疾人就业政府采购政策的通知》（财库[2017]141号）的规定，残疾人福利性单位视同小型、微型企业，享受预留份额、评审中价格扣除等促进中小企业发展的政府采购政策。</w:t>
            </w:r>
          </w:p>
          <w:p w14:paraId="0C5B0BAB">
            <w:pPr>
              <w:numPr>
                <w:ilvl w:val="0"/>
                <w:numId w:val="0"/>
              </w:num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 w:val="24"/>
                <w:szCs w:val="21"/>
                <w:lang w:val="en-US" w:eastAsia="zh-CN" w:bidi="en-US"/>
              </w:rPr>
              <w:t>（二）</w:t>
            </w:r>
            <w:r>
              <w:rPr>
                <w:rFonts w:hint="eastAsia" w:asciiTheme="minorEastAsia" w:hAnsiTheme="minorEastAsia" w:eastAsiaTheme="minorEastAsia" w:cstheme="minorEastAsia"/>
                <w:color w:val="auto"/>
                <w:szCs w:val="21"/>
                <w:lang w:eastAsia="zh-CN"/>
              </w:rPr>
              <w:t>价格扣除办法：专门面向中小企业采购的项目或者采购包，不再执行价格评审优惠的扶持政策。</w:t>
            </w:r>
          </w:p>
          <w:p w14:paraId="5EB6EF7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ind w:left="72" w:leftChars="30" w:right="72" w:rightChars="30"/>
              <w:textAlignment w:val="auto"/>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（三）小型和微型企业适用价格扣除办法时应提供的相关资料：中小企业声明函、残疾人福利性单位声明函、监狱企业声明函进口产品不享受中小企业评审优惠。</w:t>
            </w:r>
          </w:p>
          <w:p w14:paraId="06BD3868">
            <w:pPr>
              <w:pStyle w:val="14"/>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val="0"/>
              <w:ind w:left="72" w:leftChars="30" w:right="72" w:rightChars="3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注：</w:t>
            </w:r>
          </w:p>
          <w:p w14:paraId="6C052CF2">
            <w:pPr>
              <w:pStyle w:val="14"/>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val="0"/>
              <w:ind w:left="72" w:leftChars="30" w:right="72" w:rightChars="30"/>
              <w:textAlignment w:val="auto"/>
              <w:rPr>
                <w:rFonts w:hint="eastAsia" w:asciiTheme="minorEastAsia" w:hAnsiTheme="minorEastAsia" w:eastAsiaTheme="minorEastAsia" w:cstheme="minorEastAsia"/>
                <w:color w:val="auto"/>
                <w:sz w:val="24"/>
                <w:szCs w:val="21"/>
                <w:lang w:val="en-US" w:eastAsia="zh-CN" w:bidi="en-US"/>
              </w:rPr>
            </w:pPr>
            <w:r>
              <w:rPr>
                <w:rFonts w:hint="eastAsia" w:asciiTheme="minorEastAsia" w:hAnsiTheme="minorEastAsia" w:eastAsiaTheme="minorEastAsia" w:cstheme="minorEastAsia"/>
                <w:color w:val="auto"/>
                <w:sz w:val="24"/>
                <w:szCs w:val="21"/>
                <w:lang w:val="en-US" w:eastAsia="zh-CN" w:bidi="en-US"/>
              </w:rPr>
              <w:t>1、计算过程中，算术平均值保留2位小数（百分比亦取2位小数），第三位小数四舍五入。</w:t>
            </w:r>
          </w:p>
          <w:p w14:paraId="0CD36909">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ind w:left="72" w:leftChars="30" w:right="72" w:rightChars="30"/>
              <w:textAlignment w:val="auto"/>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 w:val="24"/>
                <w:szCs w:val="21"/>
                <w:lang w:val="en-US" w:eastAsia="zh-CN" w:bidi="en-US"/>
              </w:rPr>
              <w:t>2、供应商的最终得分为：所有评委对其评分的算术平均值。</w:t>
            </w:r>
          </w:p>
        </w:tc>
      </w:tr>
    </w:tbl>
    <w:p w14:paraId="517C4987">
      <w:pPr>
        <w:pBdr>
          <w:top w:val="none" w:color="auto" w:sz="0" w:space="0"/>
          <w:left w:val="none" w:color="auto" w:sz="0" w:space="0"/>
          <w:bottom w:val="none" w:color="auto" w:sz="0" w:space="0"/>
          <w:right w:val="none" w:color="auto" w:sz="0" w:space="0"/>
          <w:between w:val="none" w:color="auto" w:sz="0" w:space="0"/>
        </w:pBdr>
        <w:spacing w:line="440" w:lineRule="exact"/>
        <w:ind w:firstLine="480" w:firstLineChars="200"/>
        <w:rPr>
          <w:rFonts w:hint="eastAsia" w:asciiTheme="minorEastAsia" w:hAnsiTheme="minorEastAsia" w:eastAsiaTheme="minorEastAsia" w:cstheme="minorEastAsia"/>
          <w:color w:val="auto"/>
          <w:szCs w:val="21"/>
          <w:lang w:eastAsia="zh-CN" w:bidi="ar-SA"/>
        </w:rPr>
      </w:pPr>
      <w:r>
        <w:rPr>
          <w:rFonts w:hint="eastAsia" w:asciiTheme="minorEastAsia" w:hAnsiTheme="minorEastAsia" w:eastAsiaTheme="minorEastAsia" w:cstheme="minorEastAsia"/>
          <w:color w:val="auto"/>
          <w:szCs w:val="21"/>
          <w:lang w:eastAsia="zh-CN" w:bidi="ar-SA"/>
        </w:rPr>
        <w:t>如评标专家在检验电子标书过程中，如果由于投标人自身原因导致评标专家无法查看并检验电子标书中以上相关资料的，否决其投标。即使投标单位将原件携带至现场的，同样按无效投标处理。</w:t>
      </w:r>
    </w:p>
    <w:p w14:paraId="281D92B1">
      <w:pPr>
        <w:pStyle w:val="46"/>
        <w:pBdr>
          <w:top w:val="none" w:color="auto" w:sz="0" w:space="0"/>
          <w:left w:val="none" w:color="auto" w:sz="0" w:space="0"/>
          <w:bottom w:val="none" w:color="auto" w:sz="0" w:space="0"/>
          <w:right w:val="none" w:color="auto" w:sz="0" w:space="0"/>
          <w:between w:val="none" w:color="auto" w:sz="0" w:space="0"/>
        </w:pBdr>
        <w:tabs>
          <w:tab w:val="left" w:pos="1701"/>
        </w:tabs>
        <w:spacing w:line="440" w:lineRule="exact"/>
        <w:ind w:left="0" w:firstLine="235" w:firstLineChars="98"/>
        <w:rPr>
          <w:rFonts w:hint="eastAsia" w:asciiTheme="minorEastAsia" w:hAnsiTheme="minorEastAsia" w:eastAsiaTheme="minorEastAsia" w:cstheme="minorEastAsia"/>
          <w:color w:val="auto"/>
          <w:szCs w:val="21"/>
          <w:lang w:eastAsia="zh-CN" w:bidi="ar-SA"/>
        </w:rPr>
      </w:pPr>
      <w:r>
        <w:rPr>
          <w:rFonts w:hint="eastAsia" w:asciiTheme="minorEastAsia" w:hAnsiTheme="minorEastAsia" w:eastAsiaTheme="minorEastAsia" w:cstheme="minorEastAsia"/>
          <w:color w:val="auto"/>
          <w:szCs w:val="21"/>
          <w:lang w:eastAsia="zh-CN" w:bidi="ar-SA"/>
        </w:rPr>
        <w:t>9.2.2价格评分方法</w:t>
      </w:r>
    </w:p>
    <w:p w14:paraId="11915131">
      <w:pPr>
        <w:pBdr>
          <w:top w:val="none" w:color="auto" w:sz="0" w:space="0"/>
          <w:left w:val="none" w:color="auto" w:sz="0" w:space="0"/>
          <w:bottom w:val="none" w:color="auto" w:sz="0" w:space="0"/>
          <w:right w:val="none" w:color="auto" w:sz="0" w:space="0"/>
          <w:between w:val="none" w:color="auto" w:sz="0" w:space="0"/>
        </w:pBdr>
        <w:spacing w:line="440" w:lineRule="exact"/>
        <w:ind w:firstLine="616" w:firstLineChars="257"/>
        <w:rPr>
          <w:rFonts w:hint="eastAsia" w:asciiTheme="minorEastAsia" w:hAnsiTheme="minorEastAsia" w:eastAsiaTheme="minorEastAsia" w:cstheme="minorEastAsia"/>
          <w:color w:val="auto"/>
          <w:szCs w:val="21"/>
          <w:lang w:eastAsia="zh-CN" w:bidi="ar-SA"/>
        </w:rPr>
      </w:pPr>
      <w:r>
        <w:rPr>
          <w:rFonts w:hint="eastAsia" w:asciiTheme="minorEastAsia" w:hAnsiTheme="minorEastAsia" w:eastAsiaTheme="minorEastAsia" w:cstheme="minorEastAsia"/>
          <w:color w:val="auto"/>
          <w:szCs w:val="21"/>
          <w:lang w:eastAsia="zh-CN" w:bidi="ar-SA"/>
        </w:rPr>
        <w:t>满足招标文件技术要求且投标价格最低的投标报价为评标基准价，其价格分为满分。其他投标人的价格分别按照下列公式计算： 投标报价得分=（评标基准价/投标报价）×价格权重。</w:t>
      </w:r>
    </w:p>
    <w:p w14:paraId="0EE483D2">
      <w:pPr>
        <w:pBdr>
          <w:top w:val="none" w:color="auto" w:sz="0" w:space="0"/>
          <w:left w:val="none" w:color="auto" w:sz="0" w:space="0"/>
          <w:bottom w:val="none" w:color="auto" w:sz="0" w:space="0"/>
          <w:right w:val="none" w:color="auto" w:sz="0" w:space="0"/>
          <w:between w:val="none" w:color="auto" w:sz="0" w:space="0"/>
        </w:pBdr>
        <w:spacing w:before="156" w:beforeLines="50" w:line="400" w:lineRule="exact"/>
        <w:jc w:val="center"/>
        <w:outlineLvl w:val="9"/>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b/>
          <w:color w:val="auto"/>
          <w:lang w:eastAsia="zh-CN"/>
        </w:rPr>
        <w:t>五  推荐中标候选人</w:t>
      </w:r>
      <w:bookmarkEnd w:id="87"/>
      <w:bookmarkEnd w:id="88"/>
    </w:p>
    <w:p w14:paraId="6FA1B98C">
      <w:pPr>
        <w:pBdr>
          <w:top w:val="none" w:color="auto" w:sz="0" w:space="0"/>
          <w:left w:val="none" w:color="auto" w:sz="0" w:space="0"/>
          <w:bottom w:val="none" w:color="auto" w:sz="0" w:space="0"/>
          <w:right w:val="none" w:color="auto" w:sz="0" w:space="0"/>
          <w:between w:val="none" w:color="auto" w:sz="0" w:space="0"/>
        </w:pBdr>
        <w:snapToGrid w:val="0"/>
        <w:spacing w:line="400" w:lineRule="exact"/>
        <w:ind w:firstLine="235" w:firstLineChars="9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10.1评标委员会推荐3名中标候选人，并标明排序。</w:t>
      </w:r>
    </w:p>
    <w:p w14:paraId="2A581AC9">
      <w:pPr>
        <w:pBdr>
          <w:top w:val="none" w:color="auto" w:sz="0" w:space="0"/>
          <w:left w:val="none" w:color="auto" w:sz="0" w:space="0"/>
          <w:bottom w:val="none" w:color="auto" w:sz="0" w:space="0"/>
          <w:right w:val="none" w:color="auto" w:sz="0" w:space="0"/>
          <w:between w:val="none" w:color="auto" w:sz="0" w:space="0"/>
        </w:pBdr>
        <w:spacing w:line="400" w:lineRule="exact"/>
        <w:ind w:firstLine="235" w:firstLineChars="9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10.2如出现报价相同情况，则由采购人现场抽签确定中标候选人排名顺序。</w:t>
      </w:r>
    </w:p>
    <w:bookmarkEnd w:id="82"/>
    <w:p w14:paraId="11084C4A">
      <w:pPr>
        <w:pBdr>
          <w:top w:val="none" w:color="auto" w:sz="0" w:space="0"/>
          <w:left w:val="none" w:color="auto" w:sz="0" w:space="0"/>
          <w:bottom w:val="none" w:color="auto" w:sz="0" w:space="0"/>
          <w:right w:val="none" w:color="auto" w:sz="0" w:space="0"/>
          <w:between w:val="none" w:color="auto" w:sz="0" w:space="0"/>
        </w:pBdr>
        <w:snapToGrid w:val="0"/>
        <w:spacing w:line="400" w:lineRule="exact"/>
        <w:ind w:firstLine="236" w:firstLineChars="98"/>
        <w:rPr>
          <w:rFonts w:hint="eastAsia" w:asciiTheme="minorEastAsia" w:hAnsiTheme="minorEastAsia" w:eastAsiaTheme="minorEastAsia" w:cstheme="minorEastAsia"/>
          <w:b/>
          <w:color w:val="auto"/>
          <w:szCs w:val="21"/>
          <w:lang w:eastAsia="zh-CN"/>
        </w:rPr>
      </w:pPr>
      <w:r>
        <w:rPr>
          <w:rFonts w:hint="eastAsia" w:asciiTheme="minorEastAsia" w:hAnsiTheme="minorEastAsia" w:eastAsiaTheme="minorEastAsia" w:cstheme="minorEastAsia"/>
          <w:b/>
          <w:color w:val="auto"/>
          <w:szCs w:val="21"/>
          <w:lang w:eastAsia="zh-CN"/>
        </w:rPr>
        <w:t>11.无效投标条款</w:t>
      </w:r>
    </w:p>
    <w:p w14:paraId="0663805D">
      <w:pPr>
        <w:pBdr>
          <w:top w:val="none" w:color="auto" w:sz="0" w:space="0"/>
          <w:left w:val="none" w:color="auto" w:sz="0" w:space="0"/>
          <w:bottom w:val="none" w:color="auto" w:sz="0" w:space="0"/>
          <w:right w:val="none" w:color="auto" w:sz="0" w:space="0"/>
          <w:between w:val="none" w:color="auto" w:sz="0" w:space="0"/>
        </w:pBdr>
        <w:snapToGrid w:val="0"/>
        <w:spacing w:line="400" w:lineRule="exact"/>
        <w:ind w:firstLine="235" w:firstLineChars="9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11.1投标文件有下列情形之一的,其投标文件拒收:</w:t>
      </w:r>
    </w:p>
    <w:p w14:paraId="32401C38">
      <w:pPr>
        <w:pBdr>
          <w:top w:val="none" w:color="auto" w:sz="0" w:space="0"/>
          <w:left w:val="none" w:color="auto" w:sz="0" w:space="0"/>
          <w:bottom w:val="none" w:color="auto" w:sz="0" w:space="0"/>
          <w:right w:val="none" w:color="auto" w:sz="0" w:space="0"/>
          <w:between w:val="none" w:color="auto" w:sz="0" w:space="0"/>
        </w:pBdr>
        <w:snapToGrid w:val="0"/>
        <w:spacing w:line="400" w:lineRule="exact"/>
        <w:ind w:firstLine="236" w:firstLineChars="98"/>
        <w:rPr>
          <w:rFonts w:hint="eastAsia" w:asciiTheme="minorEastAsia" w:hAnsiTheme="minorEastAsia" w:eastAsiaTheme="minorEastAsia" w:cstheme="minorEastAsia"/>
          <w:b/>
          <w:bCs/>
          <w:color w:val="auto"/>
          <w:szCs w:val="21"/>
          <w:lang w:eastAsia="zh-CN"/>
        </w:rPr>
      </w:pPr>
      <w:r>
        <w:rPr>
          <w:rFonts w:hint="eastAsia" w:asciiTheme="minorEastAsia" w:hAnsiTheme="minorEastAsia" w:eastAsiaTheme="minorEastAsia" w:cstheme="minorEastAsia"/>
          <w:b/>
          <w:bCs/>
          <w:color w:val="auto"/>
          <w:szCs w:val="21"/>
          <w:lang w:eastAsia="zh-CN"/>
        </w:rPr>
        <w:t>（1）未在开标截止时间前通过网上招标投标系统递交有效电子投标文件的，开标系统不予接收。</w:t>
      </w:r>
    </w:p>
    <w:p w14:paraId="60875F2B">
      <w:pPr>
        <w:pBdr>
          <w:top w:val="none" w:color="auto" w:sz="0" w:space="0"/>
          <w:left w:val="none" w:color="auto" w:sz="0" w:space="0"/>
          <w:bottom w:val="none" w:color="auto" w:sz="0" w:space="0"/>
          <w:right w:val="none" w:color="auto" w:sz="0" w:space="0"/>
          <w:between w:val="none" w:color="auto" w:sz="0" w:space="0"/>
        </w:pBdr>
        <w:snapToGrid w:val="0"/>
        <w:spacing w:line="400" w:lineRule="exact"/>
        <w:ind w:firstLine="236" w:firstLineChars="98"/>
        <w:rPr>
          <w:rFonts w:hint="eastAsia" w:asciiTheme="minorEastAsia" w:hAnsiTheme="minorEastAsia" w:eastAsiaTheme="minorEastAsia" w:cstheme="minorEastAsia"/>
          <w:b/>
          <w:bCs/>
          <w:color w:val="auto"/>
          <w:szCs w:val="21"/>
          <w:lang w:eastAsia="zh-CN"/>
        </w:rPr>
      </w:pPr>
      <w:r>
        <w:rPr>
          <w:rFonts w:hint="eastAsia" w:asciiTheme="minorEastAsia" w:hAnsiTheme="minorEastAsia" w:eastAsiaTheme="minorEastAsia" w:cstheme="minorEastAsia"/>
          <w:b/>
          <w:bCs/>
          <w:color w:val="auto"/>
          <w:szCs w:val="21"/>
          <w:lang w:eastAsia="zh-CN"/>
        </w:rPr>
        <w:t>（2）</w:t>
      </w:r>
      <w:r>
        <w:rPr>
          <w:rFonts w:hint="eastAsia" w:asciiTheme="minorEastAsia" w:hAnsiTheme="minorEastAsia" w:eastAsiaTheme="minorEastAsia" w:cstheme="minorEastAsia"/>
          <w:b/>
          <w:color w:val="auto"/>
          <w:szCs w:val="21"/>
          <w:lang w:eastAsia="zh-CN"/>
        </w:rPr>
        <w:t>所有投标人应在 规定时间里完成投标文件的解密工作</w:t>
      </w:r>
      <w:r>
        <w:rPr>
          <w:rFonts w:hint="eastAsia" w:asciiTheme="minorEastAsia" w:hAnsiTheme="minorEastAsia" w:eastAsiaTheme="minorEastAsia" w:cstheme="minorEastAsia"/>
          <w:b/>
          <w:bCs/>
          <w:color w:val="auto"/>
          <w:szCs w:val="21"/>
          <w:lang w:eastAsia="zh-CN"/>
        </w:rPr>
        <w:t>【投标人使用其有效加密锁（CA锁）进行解密（因投标人原因未能提供有效CA锁对其投标文件进行解密的，其投标文件按无效标处理），以网上招投标系统解密倒计时为准】</w:t>
      </w:r>
      <w:r>
        <w:rPr>
          <w:rFonts w:hint="eastAsia" w:asciiTheme="minorEastAsia" w:hAnsiTheme="minorEastAsia" w:eastAsiaTheme="minorEastAsia" w:cstheme="minorEastAsia"/>
          <w:b/>
          <w:color w:val="auto"/>
          <w:szCs w:val="21"/>
          <w:lang w:eastAsia="zh-CN"/>
        </w:rPr>
        <w:t>，因系统原因未能成功解密的投标文件，可导入备份投标文件。备份投标文件也无法导入的，则投标文件被否决。</w:t>
      </w:r>
    </w:p>
    <w:p w14:paraId="445AD1C2">
      <w:pPr>
        <w:pBdr>
          <w:top w:val="none" w:color="auto" w:sz="0" w:space="0"/>
          <w:left w:val="none" w:color="auto" w:sz="0" w:space="0"/>
          <w:bottom w:val="none" w:color="auto" w:sz="0" w:space="0"/>
          <w:right w:val="none" w:color="auto" w:sz="0" w:space="0"/>
          <w:between w:val="none" w:color="auto" w:sz="0" w:space="0"/>
        </w:pBdr>
        <w:snapToGrid w:val="0"/>
        <w:spacing w:line="400" w:lineRule="exact"/>
        <w:ind w:firstLine="235" w:firstLineChars="9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11.2投标人有下列情形之一的,资格审查后其投标作无效投标处理：</w:t>
      </w:r>
    </w:p>
    <w:p w14:paraId="6B2DD0D9">
      <w:pPr>
        <w:pBdr>
          <w:top w:val="none" w:color="auto" w:sz="0" w:space="0"/>
          <w:left w:val="none" w:color="auto" w:sz="0" w:space="0"/>
          <w:bottom w:val="none" w:color="auto" w:sz="0" w:space="0"/>
          <w:right w:val="none" w:color="auto" w:sz="0" w:space="0"/>
          <w:between w:val="none" w:color="auto" w:sz="0" w:space="0"/>
        </w:pBdr>
        <w:snapToGrid w:val="0"/>
        <w:spacing w:line="400" w:lineRule="exact"/>
        <w:ind w:firstLine="480" w:firstLineChars="2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(1)法定代表人参加开标会议未携带有效的法定代表人身份证明原件和本人身份证的；委托代理人参加开标会议未携带有效的法定代表人授权书和本人身份证；</w:t>
      </w:r>
    </w:p>
    <w:p w14:paraId="57B1F8B6">
      <w:pPr>
        <w:pBdr>
          <w:top w:val="none" w:color="auto" w:sz="0" w:space="0"/>
          <w:left w:val="none" w:color="auto" w:sz="0" w:space="0"/>
          <w:bottom w:val="none" w:color="auto" w:sz="0" w:space="0"/>
          <w:right w:val="none" w:color="auto" w:sz="0" w:space="0"/>
          <w:between w:val="none" w:color="auto" w:sz="0" w:space="0"/>
        </w:pBdr>
        <w:snapToGrid w:val="0"/>
        <w:spacing w:line="400" w:lineRule="exact"/>
        <w:ind w:firstLine="480" w:firstLineChars="2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(2)投标人为本项目提供招标代理服务的；</w:t>
      </w:r>
    </w:p>
    <w:p w14:paraId="619F3CE6">
      <w:pPr>
        <w:pBdr>
          <w:top w:val="none" w:color="auto" w:sz="0" w:space="0"/>
          <w:left w:val="none" w:color="auto" w:sz="0" w:space="0"/>
          <w:bottom w:val="none" w:color="auto" w:sz="0" w:space="0"/>
          <w:right w:val="none" w:color="auto" w:sz="0" w:space="0"/>
          <w:between w:val="none" w:color="auto" w:sz="0" w:space="0"/>
        </w:pBdr>
        <w:snapToGrid w:val="0"/>
        <w:spacing w:line="400" w:lineRule="exact"/>
        <w:ind w:firstLine="480" w:firstLineChars="2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(3)投标人与在本项目代理机构存在相互任职或工作的；</w:t>
      </w:r>
    </w:p>
    <w:p w14:paraId="34F03B24">
      <w:pPr>
        <w:pBdr>
          <w:top w:val="none" w:color="auto" w:sz="0" w:space="0"/>
          <w:left w:val="none" w:color="auto" w:sz="0" w:space="0"/>
          <w:bottom w:val="none" w:color="auto" w:sz="0" w:space="0"/>
          <w:right w:val="none" w:color="auto" w:sz="0" w:space="0"/>
          <w:between w:val="none" w:color="auto" w:sz="0" w:space="0"/>
        </w:pBdr>
        <w:snapToGrid w:val="0"/>
        <w:spacing w:line="400" w:lineRule="exact"/>
        <w:ind w:firstLine="480" w:firstLineChars="2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(4)投标保证金未按规定要求缴纳的；</w:t>
      </w:r>
    </w:p>
    <w:p w14:paraId="7F19AA04">
      <w:pPr>
        <w:pBdr>
          <w:top w:val="none" w:color="auto" w:sz="0" w:space="0"/>
          <w:left w:val="none" w:color="auto" w:sz="0" w:space="0"/>
          <w:bottom w:val="none" w:color="auto" w:sz="0" w:space="0"/>
          <w:right w:val="none" w:color="auto" w:sz="0" w:space="0"/>
          <w:between w:val="none" w:color="auto" w:sz="0" w:space="0"/>
        </w:pBdr>
        <w:snapToGrid w:val="0"/>
        <w:spacing w:line="400" w:lineRule="exact"/>
        <w:ind w:firstLine="480" w:firstLineChars="2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(5)</w:t>
      </w:r>
      <w:r>
        <w:rPr>
          <w:rFonts w:hint="eastAsia" w:asciiTheme="minorEastAsia" w:hAnsiTheme="minorEastAsia" w:eastAsiaTheme="minorEastAsia" w:cstheme="minorEastAsia"/>
          <w:b w:val="0"/>
          <w:bCs w:val="0"/>
          <w:color w:val="auto"/>
          <w:szCs w:val="21"/>
          <w:lang w:eastAsia="zh-CN"/>
        </w:rPr>
        <w:t>评标专家无法查看并检验电子标书中相关资料的；</w:t>
      </w:r>
    </w:p>
    <w:p w14:paraId="169C68C5">
      <w:pPr>
        <w:pBdr>
          <w:top w:val="none" w:color="auto" w:sz="0" w:space="0"/>
          <w:left w:val="none" w:color="auto" w:sz="0" w:space="0"/>
          <w:bottom w:val="none" w:color="auto" w:sz="0" w:space="0"/>
          <w:right w:val="none" w:color="auto" w:sz="0" w:space="0"/>
          <w:between w:val="none" w:color="auto" w:sz="0" w:space="0"/>
        </w:pBdr>
        <w:snapToGrid w:val="0"/>
        <w:spacing w:line="400" w:lineRule="exact"/>
        <w:ind w:firstLine="480" w:firstLineChars="2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(6)投标人超出营业范围投标的；</w:t>
      </w:r>
    </w:p>
    <w:p w14:paraId="096C1739">
      <w:pPr>
        <w:pBdr>
          <w:top w:val="none" w:color="auto" w:sz="0" w:space="0"/>
          <w:left w:val="none" w:color="auto" w:sz="0" w:space="0"/>
          <w:bottom w:val="none" w:color="auto" w:sz="0" w:space="0"/>
          <w:right w:val="none" w:color="auto" w:sz="0" w:space="0"/>
          <w:between w:val="none" w:color="auto" w:sz="0" w:space="0"/>
        </w:pBdr>
        <w:snapToGrid w:val="0"/>
        <w:spacing w:line="400" w:lineRule="exact"/>
        <w:ind w:firstLine="480" w:firstLineChars="2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(7)联合体投标未提交联合体协议的；</w:t>
      </w:r>
    </w:p>
    <w:p w14:paraId="12C3AE64">
      <w:pPr>
        <w:pBdr>
          <w:top w:val="none" w:color="auto" w:sz="0" w:space="0"/>
          <w:left w:val="none" w:color="auto" w:sz="0" w:space="0"/>
          <w:bottom w:val="none" w:color="auto" w:sz="0" w:space="0"/>
          <w:right w:val="none" w:color="auto" w:sz="0" w:space="0"/>
          <w:between w:val="none" w:color="auto" w:sz="0" w:space="0"/>
        </w:pBdr>
        <w:snapToGrid w:val="0"/>
        <w:spacing w:line="400" w:lineRule="exact"/>
        <w:ind w:firstLine="480" w:firstLineChars="2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(8)被暂停营业的；</w:t>
      </w:r>
    </w:p>
    <w:p w14:paraId="7805ED25">
      <w:pPr>
        <w:pBdr>
          <w:top w:val="none" w:color="auto" w:sz="0" w:space="0"/>
          <w:left w:val="none" w:color="auto" w:sz="0" w:space="0"/>
          <w:bottom w:val="none" w:color="auto" w:sz="0" w:space="0"/>
          <w:right w:val="none" w:color="auto" w:sz="0" w:space="0"/>
          <w:between w:val="none" w:color="auto" w:sz="0" w:space="0"/>
        </w:pBdr>
        <w:snapToGrid w:val="0"/>
        <w:spacing w:line="400" w:lineRule="exact"/>
        <w:ind w:firstLine="480" w:firstLineChars="2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(9)被暂停或取消投标资格的；</w:t>
      </w:r>
    </w:p>
    <w:p w14:paraId="166794D6">
      <w:pPr>
        <w:pBdr>
          <w:top w:val="none" w:color="auto" w:sz="0" w:space="0"/>
          <w:left w:val="none" w:color="auto" w:sz="0" w:space="0"/>
          <w:bottom w:val="none" w:color="auto" w:sz="0" w:space="0"/>
          <w:right w:val="none" w:color="auto" w:sz="0" w:space="0"/>
          <w:between w:val="none" w:color="auto" w:sz="0" w:space="0"/>
        </w:pBdr>
        <w:snapToGrid w:val="0"/>
        <w:spacing w:line="400" w:lineRule="exact"/>
        <w:ind w:firstLine="480" w:firstLineChars="2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(10)财产被接管或冻结的；</w:t>
      </w:r>
    </w:p>
    <w:p w14:paraId="1EC59AE7">
      <w:pPr>
        <w:pBdr>
          <w:top w:val="none" w:color="auto" w:sz="0" w:space="0"/>
          <w:left w:val="none" w:color="auto" w:sz="0" w:space="0"/>
          <w:bottom w:val="none" w:color="auto" w:sz="0" w:space="0"/>
          <w:right w:val="none" w:color="auto" w:sz="0" w:space="0"/>
          <w:between w:val="none" w:color="auto" w:sz="0" w:space="0"/>
        </w:pBdr>
        <w:snapToGrid w:val="0"/>
        <w:spacing w:line="400" w:lineRule="exact"/>
        <w:ind w:firstLine="480" w:firstLineChars="2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(11)投标人单位负责人为同一人或者存在控股、管理关系的不同单位的；</w:t>
      </w:r>
    </w:p>
    <w:p w14:paraId="1DD45C7F">
      <w:pPr>
        <w:pBdr>
          <w:top w:val="none" w:color="auto" w:sz="0" w:space="0"/>
          <w:left w:val="none" w:color="auto" w:sz="0" w:space="0"/>
          <w:bottom w:val="none" w:color="auto" w:sz="0" w:space="0"/>
          <w:right w:val="none" w:color="auto" w:sz="0" w:space="0"/>
          <w:between w:val="none" w:color="auto" w:sz="0" w:space="0"/>
        </w:pBdr>
        <w:snapToGrid w:val="0"/>
        <w:spacing w:line="400" w:lineRule="exact"/>
        <w:ind w:left="473" w:leftChars="197"/>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(12)投标人基本资格条件和特定资格条件中有一项及以上不符合要求的；</w:t>
      </w:r>
    </w:p>
    <w:p w14:paraId="76ED4009">
      <w:pPr>
        <w:pBdr>
          <w:top w:val="none" w:color="auto" w:sz="0" w:space="0"/>
          <w:left w:val="none" w:color="auto" w:sz="0" w:space="0"/>
          <w:bottom w:val="none" w:color="auto" w:sz="0" w:space="0"/>
          <w:right w:val="none" w:color="auto" w:sz="0" w:space="0"/>
          <w:between w:val="none" w:color="auto" w:sz="0" w:space="0"/>
        </w:pBdr>
        <w:snapToGrid w:val="0"/>
        <w:spacing w:line="400" w:lineRule="exact"/>
        <w:ind w:left="473" w:leftChars="197"/>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(13)投标人使用相同的MAC地址进行报名的；</w:t>
      </w:r>
    </w:p>
    <w:p w14:paraId="06BE998D">
      <w:pPr>
        <w:pBdr>
          <w:top w:val="none" w:color="auto" w:sz="0" w:space="0"/>
          <w:left w:val="none" w:color="auto" w:sz="0" w:space="0"/>
          <w:bottom w:val="none" w:color="auto" w:sz="0" w:space="0"/>
          <w:right w:val="none" w:color="auto" w:sz="0" w:space="0"/>
          <w:between w:val="none" w:color="auto" w:sz="0" w:space="0"/>
        </w:pBdr>
        <w:snapToGrid w:val="0"/>
        <w:spacing w:line="400" w:lineRule="exact"/>
        <w:ind w:left="480" w:leftChars="200" w:firstLine="4" w:firstLineChars="2"/>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(14)其它情形，经评标委员会委提出按无效投标处理，并经公共资源交易监督部门核准的；</w:t>
      </w:r>
    </w:p>
    <w:p w14:paraId="59156880">
      <w:pPr>
        <w:pBdr>
          <w:top w:val="none" w:color="auto" w:sz="0" w:space="0"/>
          <w:left w:val="none" w:color="auto" w:sz="0" w:space="0"/>
          <w:bottom w:val="none" w:color="auto" w:sz="0" w:space="0"/>
          <w:right w:val="none" w:color="auto" w:sz="0" w:space="0"/>
          <w:between w:val="none" w:color="auto" w:sz="0" w:space="0"/>
        </w:pBdr>
        <w:snapToGrid w:val="0"/>
        <w:spacing w:line="400" w:lineRule="exact"/>
        <w:ind w:left="473" w:leftChars="197"/>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(15)投标人使用相同IP地址报名的，一经发现，监管部门将进一步核实，查实后按串通投标处理；</w:t>
      </w:r>
    </w:p>
    <w:p w14:paraId="2556CBC5">
      <w:pPr>
        <w:pBdr>
          <w:top w:val="none" w:color="auto" w:sz="0" w:space="0"/>
          <w:left w:val="none" w:color="auto" w:sz="0" w:space="0"/>
          <w:bottom w:val="none" w:color="auto" w:sz="0" w:space="0"/>
          <w:right w:val="none" w:color="auto" w:sz="0" w:space="0"/>
          <w:between w:val="none" w:color="auto" w:sz="0" w:space="0"/>
        </w:pBdr>
        <w:snapToGrid w:val="0"/>
        <w:spacing w:line="400" w:lineRule="exact"/>
        <w:ind w:left="480" w:leftChars="200" w:firstLine="4" w:firstLineChars="2"/>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(16)采购文件规定的其它无效投标情形。</w:t>
      </w:r>
    </w:p>
    <w:p w14:paraId="0DD4132B">
      <w:pPr>
        <w:pBdr>
          <w:top w:val="none" w:color="auto" w:sz="0" w:space="0"/>
          <w:left w:val="none" w:color="auto" w:sz="0" w:space="0"/>
          <w:bottom w:val="none" w:color="auto" w:sz="0" w:space="0"/>
          <w:right w:val="none" w:color="auto" w:sz="0" w:space="0"/>
          <w:between w:val="none" w:color="auto" w:sz="0" w:space="0"/>
        </w:pBdr>
        <w:snapToGrid w:val="0"/>
        <w:spacing w:line="400" w:lineRule="exact"/>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 xml:space="preserve">  11.3 投标人有下列情形之一的,符合性审查后其投标按无效投标处理：</w:t>
      </w:r>
    </w:p>
    <w:p w14:paraId="1BF020DB">
      <w:pPr>
        <w:pBdr>
          <w:top w:val="none" w:color="auto" w:sz="0" w:space="0"/>
          <w:left w:val="none" w:color="auto" w:sz="0" w:space="0"/>
          <w:bottom w:val="none" w:color="auto" w:sz="0" w:space="0"/>
          <w:right w:val="none" w:color="auto" w:sz="0" w:space="0"/>
          <w:between w:val="none" w:color="auto" w:sz="0" w:space="0"/>
        </w:pBdr>
        <w:snapToGrid w:val="0"/>
        <w:spacing w:line="400" w:lineRule="exact"/>
        <w:ind w:firstLine="480" w:firstLineChars="2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(1)投标文件签章、盖章不全，经评标委员会一致认定对开评标内容有实质性影响并经监督部门核准的；</w:t>
      </w:r>
    </w:p>
    <w:p w14:paraId="662928EE">
      <w:pPr>
        <w:pBdr>
          <w:top w:val="none" w:color="auto" w:sz="0" w:space="0"/>
          <w:left w:val="none" w:color="auto" w:sz="0" w:space="0"/>
          <w:bottom w:val="none" w:color="auto" w:sz="0" w:space="0"/>
          <w:right w:val="none" w:color="auto" w:sz="0" w:space="0"/>
          <w:between w:val="none" w:color="auto" w:sz="0" w:space="0"/>
        </w:pBdr>
        <w:snapToGrid w:val="0"/>
        <w:spacing w:line="400" w:lineRule="exact"/>
        <w:ind w:firstLine="480" w:firstLineChars="2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(2)未按规定的格式填写，实质性内容不全或关键字迹模糊、无法辨认; 经监督部门核准的；</w:t>
      </w:r>
    </w:p>
    <w:p w14:paraId="54141537">
      <w:pPr>
        <w:pBdr>
          <w:top w:val="none" w:color="auto" w:sz="0" w:space="0"/>
          <w:left w:val="none" w:color="auto" w:sz="0" w:space="0"/>
          <w:bottom w:val="none" w:color="auto" w:sz="0" w:space="0"/>
          <w:right w:val="none" w:color="auto" w:sz="0" w:space="0"/>
          <w:between w:val="none" w:color="auto" w:sz="0" w:space="0"/>
        </w:pBdr>
        <w:snapToGrid w:val="0"/>
        <w:spacing w:line="400" w:lineRule="exact"/>
        <w:ind w:firstLine="480" w:firstLineChars="2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(3)同一投标人提交两个以上不同的投标文件或者投标报价，但采购文件规定提交备选方案的除外；</w:t>
      </w:r>
    </w:p>
    <w:p w14:paraId="217EC842">
      <w:pPr>
        <w:pBdr>
          <w:top w:val="none" w:color="auto" w:sz="0" w:space="0"/>
          <w:left w:val="none" w:color="auto" w:sz="0" w:space="0"/>
          <w:bottom w:val="none" w:color="auto" w:sz="0" w:space="0"/>
          <w:right w:val="none" w:color="auto" w:sz="0" w:space="0"/>
          <w:between w:val="none" w:color="auto" w:sz="0" w:space="0"/>
        </w:pBdr>
        <w:snapToGrid w:val="0"/>
        <w:spacing w:line="400" w:lineRule="exact"/>
        <w:ind w:firstLine="480" w:firstLineChars="2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(4)投标文件没有对采购文件的实质性要求和条件作出响应;</w:t>
      </w:r>
    </w:p>
    <w:p w14:paraId="17D54753">
      <w:pPr>
        <w:pBdr>
          <w:top w:val="none" w:color="auto" w:sz="0" w:space="0"/>
          <w:left w:val="none" w:color="auto" w:sz="0" w:space="0"/>
          <w:bottom w:val="none" w:color="auto" w:sz="0" w:space="0"/>
          <w:right w:val="none" w:color="auto" w:sz="0" w:space="0"/>
          <w:between w:val="none" w:color="auto" w:sz="0" w:space="0"/>
        </w:pBdr>
        <w:snapToGrid w:val="0"/>
        <w:spacing w:line="400" w:lineRule="exact"/>
        <w:ind w:firstLine="480" w:firstLineChars="2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(5)投标报价超出规定的投标限价或公布的采购预算的；注：投标人的投标报价各项单价均不得高于招标文件给定的单价最高限价，否则，其投标文件将按无效投标处理。</w:t>
      </w:r>
    </w:p>
    <w:p w14:paraId="6C1DE93B">
      <w:pPr>
        <w:pBdr>
          <w:top w:val="none" w:color="auto" w:sz="0" w:space="0"/>
          <w:left w:val="none" w:color="auto" w:sz="0" w:space="0"/>
          <w:bottom w:val="none" w:color="auto" w:sz="0" w:space="0"/>
          <w:right w:val="none" w:color="auto" w:sz="0" w:space="0"/>
          <w:between w:val="none" w:color="auto" w:sz="0" w:space="0"/>
        </w:pBdr>
        <w:snapToGrid w:val="0"/>
        <w:spacing w:line="400" w:lineRule="exact"/>
        <w:ind w:firstLine="480" w:firstLineChars="2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(6)不按评标委员会要求澄清、说明或补正的，或者评标委员会根据采购文件的规定对采购文件的计算错误进行修正后，投标人不接受修正的投标报价的。</w:t>
      </w:r>
    </w:p>
    <w:p w14:paraId="52897179">
      <w:pPr>
        <w:pBdr>
          <w:top w:val="none" w:color="auto" w:sz="0" w:space="0"/>
          <w:left w:val="none" w:color="auto" w:sz="0" w:space="0"/>
          <w:bottom w:val="none" w:color="auto" w:sz="0" w:space="0"/>
          <w:right w:val="none" w:color="auto" w:sz="0" w:space="0"/>
          <w:between w:val="none" w:color="auto" w:sz="0" w:space="0"/>
        </w:pBdr>
        <w:snapToGrid w:val="0"/>
        <w:spacing w:line="400" w:lineRule="exact"/>
        <w:ind w:firstLine="480" w:firstLineChars="2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(7)其它情形，经评标委员会委提出按无效投标处理，并经公共资源交易监督部门核准的；</w:t>
      </w:r>
    </w:p>
    <w:p w14:paraId="7DD2FE4D">
      <w:pPr>
        <w:widowControl/>
        <w:pBdr>
          <w:top w:val="none" w:color="auto" w:sz="0" w:space="0"/>
          <w:left w:val="none" w:color="auto" w:sz="0" w:space="0"/>
          <w:bottom w:val="none" w:color="auto" w:sz="0" w:space="0"/>
          <w:right w:val="none" w:color="auto" w:sz="0" w:space="0"/>
          <w:between w:val="none" w:color="auto" w:sz="0" w:space="0"/>
        </w:pBdr>
        <w:spacing w:line="500" w:lineRule="exact"/>
        <w:ind w:firstLine="480" w:firstLineChars="2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(8)</w:t>
      </w:r>
      <w:r>
        <w:rPr>
          <w:rFonts w:hint="eastAsia" w:asciiTheme="minorEastAsia" w:hAnsiTheme="minorEastAsia" w:eastAsiaTheme="minorEastAsia" w:cstheme="minorEastAsia"/>
          <w:color w:val="auto"/>
          <w:szCs w:val="21"/>
          <w:shd w:val="clear" w:color="auto" w:fill="FFFFFF"/>
          <w:lang w:eastAsia="zh-CN" w:bidi="ar"/>
        </w:rPr>
        <w:t>未按照招标文件的规定提交投标保证金的；</w:t>
      </w:r>
    </w:p>
    <w:p w14:paraId="2272DDE4">
      <w:pPr>
        <w:widowControl/>
        <w:pBdr>
          <w:top w:val="none" w:color="auto" w:sz="0" w:space="0"/>
          <w:left w:val="none" w:color="auto" w:sz="0" w:space="0"/>
          <w:bottom w:val="none" w:color="auto" w:sz="0" w:space="0"/>
          <w:right w:val="none" w:color="auto" w:sz="0" w:space="0"/>
          <w:between w:val="none" w:color="auto" w:sz="0" w:space="0"/>
        </w:pBdr>
        <w:spacing w:line="500" w:lineRule="exact"/>
        <w:ind w:firstLine="480" w:firstLineChars="2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(9)</w:t>
      </w:r>
      <w:r>
        <w:rPr>
          <w:rFonts w:hint="eastAsia" w:asciiTheme="minorEastAsia" w:hAnsiTheme="minorEastAsia" w:eastAsiaTheme="minorEastAsia" w:cstheme="minorEastAsia"/>
          <w:color w:val="auto"/>
          <w:szCs w:val="21"/>
          <w:shd w:val="clear" w:color="auto" w:fill="FFFFFF"/>
          <w:lang w:eastAsia="zh-CN" w:bidi="ar"/>
        </w:rPr>
        <w:t>投标文件含有采购人不能接受的附加条件的;</w:t>
      </w:r>
    </w:p>
    <w:p w14:paraId="2BB72881">
      <w:pPr>
        <w:pBdr>
          <w:top w:val="none" w:color="auto" w:sz="0" w:space="0"/>
          <w:left w:val="none" w:color="auto" w:sz="0" w:space="0"/>
          <w:bottom w:val="none" w:color="auto" w:sz="0" w:space="0"/>
          <w:right w:val="none" w:color="auto" w:sz="0" w:space="0"/>
          <w:between w:val="none" w:color="auto" w:sz="0" w:space="0"/>
        </w:pBdr>
        <w:tabs>
          <w:tab w:val="left" w:pos="1123"/>
        </w:tabs>
        <w:snapToGrid w:val="0"/>
        <w:spacing w:line="500" w:lineRule="exact"/>
        <w:ind w:firstLine="480" w:firstLineChars="2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(10)采购文件规定的其它无效投标情形。</w:t>
      </w:r>
    </w:p>
    <w:p w14:paraId="2C99AAF1">
      <w:pPr>
        <w:pBdr>
          <w:top w:val="none" w:color="auto" w:sz="0" w:space="0"/>
          <w:left w:val="none" w:color="auto" w:sz="0" w:space="0"/>
          <w:bottom w:val="none" w:color="auto" w:sz="0" w:space="0"/>
          <w:right w:val="none" w:color="auto" w:sz="0" w:space="0"/>
          <w:between w:val="none" w:color="auto" w:sz="0" w:space="0"/>
        </w:pBdr>
        <w:snapToGrid w:val="0"/>
        <w:spacing w:line="400" w:lineRule="exact"/>
        <w:ind w:firstLine="235" w:firstLineChars="9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11.4 投标人有下列情形之一的, 详细评审后其投标按无效投标处理：</w:t>
      </w:r>
    </w:p>
    <w:p w14:paraId="1E3F9D5E">
      <w:pPr>
        <w:pBdr>
          <w:top w:val="none" w:color="auto" w:sz="0" w:space="0"/>
          <w:left w:val="none" w:color="auto" w:sz="0" w:space="0"/>
          <w:bottom w:val="none" w:color="auto" w:sz="0" w:space="0"/>
          <w:right w:val="none" w:color="auto" w:sz="0" w:space="0"/>
          <w:between w:val="none" w:color="auto" w:sz="0" w:space="0"/>
        </w:pBdr>
        <w:snapToGrid w:val="0"/>
        <w:spacing w:line="400" w:lineRule="exact"/>
        <w:ind w:firstLine="480" w:firstLineChars="2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(1)投标产品不符合必须强制执行的国家标准的；</w:t>
      </w:r>
    </w:p>
    <w:p w14:paraId="0984F35F">
      <w:pPr>
        <w:pBdr>
          <w:top w:val="none" w:color="auto" w:sz="0" w:space="0"/>
          <w:left w:val="none" w:color="auto" w:sz="0" w:space="0"/>
          <w:bottom w:val="none" w:color="auto" w:sz="0" w:space="0"/>
          <w:right w:val="none" w:color="auto" w:sz="0" w:space="0"/>
          <w:between w:val="none" w:color="auto" w:sz="0" w:space="0"/>
        </w:pBdr>
        <w:snapToGrid w:val="0"/>
        <w:spacing w:line="400" w:lineRule="exact"/>
        <w:ind w:firstLine="480" w:firstLineChars="2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(2)投标人有串通投标、弄虚作假、行贿等违法行为；</w:t>
      </w:r>
    </w:p>
    <w:p w14:paraId="4C793D48">
      <w:pPr>
        <w:pBdr>
          <w:top w:val="none" w:color="auto" w:sz="0" w:space="0"/>
          <w:left w:val="none" w:color="auto" w:sz="0" w:space="0"/>
          <w:bottom w:val="none" w:color="auto" w:sz="0" w:space="0"/>
          <w:right w:val="none" w:color="auto" w:sz="0" w:space="0"/>
          <w:between w:val="none" w:color="auto" w:sz="0" w:space="0"/>
        </w:pBdr>
        <w:snapToGrid w:val="0"/>
        <w:spacing w:line="400" w:lineRule="exact"/>
        <w:ind w:firstLine="480" w:firstLineChars="2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(3)投标文件含有违反国家法律、法规的内容，或附有采购人不能接受的条件的；</w:t>
      </w:r>
    </w:p>
    <w:p w14:paraId="6230CEB8">
      <w:pPr>
        <w:pBdr>
          <w:top w:val="none" w:color="auto" w:sz="0" w:space="0"/>
          <w:left w:val="none" w:color="auto" w:sz="0" w:space="0"/>
          <w:bottom w:val="none" w:color="auto" w:sz="0" w:space="0"/>
          <w:right w:val="none" w:color="auto" w:sz="0" w:space="0"/>
          <w:between w:val="none" w:color="auto" w:sz="0" w:space="0"/>
        </w:pBdr>
        <w:spacing w:line="360" w:lineRule="auto"/>
        <w:ind w:firstLine="472" w:firstLineChars="197"/>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(4)在同一项目（或同一标段）中有多个投标人有效投标报价接近最高限价，且评标委员会认为报价出现异常的，可以宣布其投标无效；</w:t>
      </w:r>
    </w:p>
    <w:p w14:paraId="05774157">
      <w:pPr>
        <w:pBdr>
          <w:top w:val="none" w:color="auto" w:sz="0" w:space="0"/>
          <w:left w:val="none" w:color="auto" w:sz="0" w:space="0"/>
          <w:bottom w:val="none" w:color="auto" w:sz="0" w:space="0"/>
          <w:right w:val="none" w:color="auto" w:sz="0" w:space="0"/>
          <w:between w:val="none" w:color="auto" w:sz="0" w:space="0"/>
        </w:pBdr>
        <w:spacing w:line="360" w:lineRule="auto"/>
        <w:ind w:firstLine="472" w:firstLineChars="197"/>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(5)报价明显低于其他投标人，且不能证明报价合理性的投标无效；</w:t>
      </w:r>
    </w:p>
    <w:p w14:paraId="4B124793">
      <w:pPr>
        <w:pBdr>
          <w:top w:val="none" w:color="auto" w:sz="0" w:space="0"/>
          <w:left w:val="none" w:color="auto" w:sz="0" w:space="0"/>
          <w:bottom w:val="none" w:color="auto" w:sz="0" w:space="0"/>
          <w:right w:val="none" w:color="auto" w:sz="0" w:space="0"/>
          <w:between w:val="none" w:color="auto" w:sz="0" w:space="0"/>
        </w:pBdr>
        <w:spacing w:line="360" w:lineRule="auto"/>
        <w:ind w:firstLine="472" w:firstLineChars="197"/>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(6)拒不确认评标委员会评审修正的投标无效；</w:t>
      </w:r>
    </w:p>
    <w:p w14:paraId="1750A93F">
      <w:pPr>
        <w:pBdr>
          <w:top w:val="none" w:color="auto" w:sz="0" w:space="0"/>
          <w:left w:val="none" w:color="auto" w:sz="0" w:space="0"/>
          <w:bottom w:val="none" w:color="auto" w:sz="0" w:space="0"/>
          <w:right w:val="none" w:color="auto" w:sz="0" w:space="0"/>
          <w:between w:val="none" w:color="auto" w:sz="0" w:space="0"/>
        </w:pBdr>
        <w:snapToGrid w:val="0"/>
        <w:spacing w:line="400" w:lineRule="exact"/>
        <w:ind w:firstLine="472" w:firstLineChars="197"/>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(7)其它情形，经评标委员会委提出按无效投标处理，并经公共资源交易监督部门核准的；</w:t>
      </w:r>
    </w:p>
    <w:p w14:paraId="0C799D5F">
      <w:pPr>
        <w:pBdr>
          <w:top w:val="none" w:color="auto" w:sz="0" w:space="0"/>
          <w:left w:val="none" w:color="auto" w:sz="0" w:space="0"/>
          <w:bottom w:val="none" w:color="auto" w:sz="0" w:space="0"/>
          <w:right w:val="none" w:color="auto" w:sz="0" w:space="0"/>
          <w:between w:val="none" w:color="auto" w:sz="0" w:space="0"/>
        </w:pBdr>
        <w:snapToGrid w:val="0"/>
        <w:spacing w:line="400" w:lineRule="exact"/>
        <w:ind w:firstLine="480" w:firstLineChars="2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(8)采购文件规定的其它无效投标情形。</w:t>
      </w:r>
    </w:p>
    <w:p w14:paraId="309703EE">
      <w:pPr>
        <w:pStyle w:val="23"/>
        <w:numPr>
          <w:ilvl w:val="0"/>
          <w:numId w:val="0"/>
        </w:numPr>
        <w:pBdr>
          <w:top w:val="none" w:color="auto" w:sz="0" w:space="0"/>
          <w:left w:val="none" w:color="auto" w:sz="0" w:space="0"/>
          <w:bottom w:val="none" w:color="auto" w:sz="0" w:space="0"/>
          <w:right w:val="none" w:color="auto" w:sz="0" w:space="0"/>
          <w:between w:val="none" w:color="auto" w:sz="0" w:space="0"/>
        </w:pBdr>
        <w:tabs>
          <w:tab w:val="clear" w:pos="780"/>
        </w:tabs>
        <w:rPr>
          <w:rFonts w:hint="eastAsia" w:asciiTheme="minorEastAsia" w:hAnsiTheme="minorEastAsia" w:eastAsiaTheme="minorEastAsia" w:cstheme="minorEastAsia"/>
          <w:color w:val="auto"/>
          <w:szCs w:val="21"/>
          <w:lang w:eastAsia="zh-CN"/>
        </w:rPr>
      </w:pPr>
    </w:p>
    <w:p w14:paraId="2C7E80B4">
      <w:pPr>
        <w:pStyle w:val="23"/>
        <w:numPr>
          <w:ilvl w:val="0"/>
          <w:numId w:val="0"/>
        </w:numPr>
        <w:pBdr>
          <w:top w:val="none" w:color="auto" w:sz="0" w:space="0"/>
          <w:left w:val="none" w:color="auto" w:sz="0" w:space="0"/>
          <w:bottom w:val="none" w:color="auto" w:sz="0" w:space="0"/>
          <w:right w:val="none" w:color="auto" w:sz="0" w:space="0"/>
          <w:between w:val="none" w:color="auto" w:sz="0" w:space="0"/>
        </w:pBdr>
        <w:tabs>
          <w:tab w:val="clear" w:pos="780"/>
        </w:tabs>
        <w:rPr>
          <w:rFonts w:hint="eastAsia" w:asciiTheme="minorEastAsia" w:hAnsiTheme="minorEastAsia" w:eastAsiaTheme="minorEastAsia" w:cstheme="minorEastAsia"/>
          <w:color w:val="auto"/>
          <w:szCs w:val="21"/>
          <w:lang w:eastAsia="zh-CN"/>
        </w:rPr>
      </w:pPr>
    </w:p>
    <w:p w14:paraId="0C1C388F">
      <w:pPr>
        <w:pStyle w:val="23"/>
        <w:numPr>
          <w:ilvl w:val="0"/>
          <w:numId w:val="0"/>
        </w:numPr>
        <w:pBdr>
          <w:top w:val="none" w:color="auto" w:sz="0" w:space="0"/>
          <w:left w:val="none" w:color="auto" w:sz="0" w:space="0"/>
          <w:bottom w:val="none" w:color="auto" w:sz="0" w:space="0"/>
          <w:right w:val="none" w:color="auto" w:sz="0" w:space="0"/>
          <w:between w:val="none" w:color="auto" w:sz="0" w:space="0"/>
        </w:pBdr>
        <w:tabs>
          <w:tab w:val="clear" w:pos="780"/>
        </w:tabs>
        <w:rPr>
          <w:rFonts w:hint="eastAsia" w:asciiTheme="minorEastAsia" w:hAnsiTheme="minorEastAsia" w:eastAsiaTheme="minorEastAsia" w:cstheme="minorEastAsia"/>
          <w:color w:val="auto"/>
          <w:szCs w:val="21"/>
          <w:lang w:eastAsia="zh-CN"/>
        </w:rPr>
      </w:pPr>
    </w:p>
    <w:p w14:paraId="31B27E26">
      <w:pPr>
        <w:pStyle w:val="23"/>
        <w:numPr>
          <w:ilvl w:val="0"/>
          <w:numId w:val="0"/>
        </w:numPr>
        <w:pBdr>
          <w:top w:val="none" w:color="auto" w:sz="0" w:space="0"/>
          <w:left w:val="none" w:color="auto" w:sz="0" w:space="0"/>
          <w:bottom w:val="none" w:color="auto" w:sz="0" w:space="0"/>
          <w:right w:val="none" w:color="auto" w:sz="0" w:space="0"/>
          <w:between w:val="none" w:color="auto" w:sz="0" w:space="0"/>
        </w:pBdr>
        <w:tabs>
          <w:tab w:val="clear" w:pos="780"/>
        </w:tabs>
        <w:rPr>
          <w:rFonts w:hint="eastAsia" w:asciiTheme="minorEastAsia" w:hAnsiTheme="minorEastAsia" w:eastAsiaTheme="minorEastAsia" w:cstheme="minorEastAsia"/>
          <w:color w:val="auto"/>
          <w:szCs w:val="21"/>
          <w:lang w:eastAsia="zh-CN"/>
        </w:rPr>
      </w:pPr>
    </w:p>
    <w:p w14:paraId="279E3420">
      <w:pPr>
        <w:pStyle w:val="23"/>
        <w:numPr>
          <w:ilvl w:val="0"/>
          <w:numId w:val="0"/>
        </w:numPr>
        <w:pBdr>
          <w:top w:val="none" w:color="auto" w:sz="0" w:space="0"/>
          <w:left w:val="none" w:color="auto" w:sz="0" w:space="0"/>
          <w:bottom w:val="none" w:color="auto" w:sz="0" w:space="0"/>
          <w:right w:val="none" w:color="auto" w:sz="0" w:space="0"/>
          <w:between w:val="none" w:color="auto" w:sz="0" w:space="0"/>
        </w:pBdr>
        <w:tabs>
          <w:tab w:val="clear" w:pos="780"/>
        </w:tabs>
        <w:rPr>
          <w:rFonts w:hint="eastAsia" w:asciiTheme="minorEastAsia" w:hAnsiTheme="minorEastAsia" w:eastAsiaTheme="minorEastAsia" w:cstheme="minorEastAsia"/>
          <w:color w:val="auto"/>
          <w:szCs w:val="21"/>
          <w:lang w:eastAsia="zh-CN"/>
        </w:rPr>
      </w:pPr>
    </w:p>
    <w:p w14:paraId="7B426B90">
      <w:pPr>
        <w:pStyle w:val="23"/>
        <w:numPr>
          <w:ilvl w:val="0"/>
          <w:numId w:val="0"/>
        </w:numPr>
        <w:pBdr>
          <w:top w:val="none" w:color="auto" w:sz="0" w:space="0"/>
          <w:left w:val="none" w:color="auto" w:sz="0" w:space="0"/>
          <w:bottom w:val="none" w:color="auto" w:sz="0" w:space="0"/>
          <w:right w:val="none" w:color="auto" w:sz="0" w:space="0"/>
          <w:between w:val="none" w:color="auto" w:sz="0" w:space="0"/>
        </w:pBdr>
        <w:tabs>
          <w:tab w:val="clear" w:pos="780"/>
        </w:tabs>
        <w:rPr>
          <w:rFonts w:hint="eastAsia" w:asciiTheme="minorEastAsia" w:hAnsiTheme="minorEastAsia" w:eastAsiaTheme="minorEastAsia" w:cstheme="minorEastAsia"/>
          <w:color w:val="auto"/>
          <w:szCs w:val="21"/>
          <w:lang w:eastAsia="zh-CN"/>
        </w:rPr>
      </w:pPr>
    </w:p>
    <w:p w14:paraId="3E257F81">
      <w:pPr>
        <w:pStyle w:val="23"/>
        <w:numPr>
          <w:ilvl w:val="0"/>
          <w:numId w:val="0"/>
        </w:numPr>
        <w:pBdr>
          <w:top w:val="none" w:color="auto" w:sz="0" w:space="0"/>
          <w:left w:val="none" w:color="auto" w:sz="0" w:space="0"/>
          <w:bottom w:val="none" w:color="auto" w:sz="0" w:space="0"/>
          <w:right w:val="none" w:color="auto" w:sz="0" w:space="0"/>
          <w:between w:val="none" w:color="auto" w:sz="0" w:space="0"/>
        </w:pBdr>
        <w:tabs>
          <w:tab w:val="clear" w:pos="780"/>
        </w:tabs>
        <w:rPr>
          <w:rFonts w:hint="eastAsia" w:asciiTheme="minorEastAsia" w:hAnsiTheme="minorEastAsia" w:eastAsiaTheme="minorEastAsia" w:cstheme="minorEastAsia"/>
          <w:color w:val="auto"/>
          <w:szCs w:val="21"/>
          <w:lang w:eastAsia="zh-CN"/>
        </w:rPr>
      </w:pPr>
    </w:p>
    <w:p w14:paraId="3F994C02">
      <w:pPr>
        <w:pStyle w:val="23"/>
        <w:numPr>
          <w:ilvl w:val="0"/>
          <w:numId w:val="0"/>
        </w:numPr>
        <w:pBdr>
          <w:top w:val="none" w:color="auto" w:sz="0" w:space="0"/>
          <w:left w:val="none" w:color="auto" w:sz="0" w:space="0"/>
          <w:bottom w:val="none" w:color="auto" w:sz="0" w:space="0"/>
          <w:right w:val="none" w:color="auto" w:sz="0" w:space="0"/>
          <w:between w:val="none" w:color="auto" w:sz="0" w:space="0"/>
        </w:pBdr>
        <w:tabs>
          <w:tab w:val="clear" w:pos="780"/>
        </w:tabs>
        <w:rPr>
          <w:rFonts w:hint="eastAsia" w:asciiTheme="minorEastAsia" w:hAnsiTheme="minorEastAsia" w:eastAsiaTheme="minorEastAsia" w:cstheme="minorEastAsia"/>
          <w:color w:val="auto"/>
          <w:szCs w:val="21"/>
          <w:lang w:eastAsia="zh-CN"/>
        </w:rPr>
      </w:pPr>
    </w:p>
    <w:p w14:paraId="7705C1E3">
      <w:pPr>
        <w:pStyle w:val="23"/>
        <w:numPr>
          <w:ilvl w:val="0"/>
          <w:numId w:val="0"/>
        </w:numPr>
        <w:pBdr>
          <w:top w:val="none" w:color="auto" w:sz="0" w:space="0"/>
          <w:left w:val="none" w:color="auto" w:sz="0" w:space="0"/>
          <w:bottom w:val="none" w:color="auto" w:sz="0" w:space="0"/>
          <w:right w:val="none" w:color="auto" w:sz="0" w:space="0"/>
          <w:between w:val="none" w:color="auto" w:sz="0" w:space="0"/>
        </w:pBdr>
        <w:tabs>
          <w:tab w:val="clear" w:pos="780"/>
        </w:tabs>
        <w:rPr>
          <w:rFonts w:hint="eastAsia" w:asciiTheme="minorEastAsia" w:hAnsiTheme="minorEastAsia" w:eastAsiaTheme="minorEastAsia" w:cstheme="minorEastAsia"/>
          <w:color w:val="auto"/>
          <w:szCs w:val="21"/>
          <w:lang w:eastAsia="zh-CN"/>
        </w:rPr>
      </w:pPr>
    </w:p>
    <w:p w14:paraId="32EC2783">
      <w:pPr>
        <w:pStyle w:val="23"/>
        <w:numPr>
          <w:ilvl w:val="0"/>
          <w:numId w:val="0"/>
        </w:numPr>
        <w:pBdr>
          <w:top w:val="none" w:color="auto" w:sz="0" w:space="0"/>
          <w:left w:val="none" w:color="auto" w:sz="0" w:space="0"/>
          <w:bottom w:val="none" w:color="auto" w:sz="0" w:space="0"/>
          <w:right w:val="none" w:color="auto" w:sz="0" w:space="0"/>
          <w:between w:val="none" w:color="auto" w:sz="0" w:space="0"/>
        </w:pBdr>
        <w:tabs>
          <w:tab w:val="clear" w:pos="780"/>
        </w:tabs>
        <w:rPr>
          <w:rFonts w:hint="eastAsia" w:asciiTheme="minorEastAsia" w:hAnsiTheme="minorEastAsia" w:eastAsiaTheme="minorEastAsia" w:cstheme="minorEastAsia"/>
          <w:color w:val="auto"/>
          <w:szCs w:val="21"/>
          <w:lang w:eastAsia="zh-CN"/>
        </w:rPr>
      </w:pPr>
    </w:p>
    <w:p w14:paraId="5A555565">
      <w:pPr>
        <w:pStyle w:val="23"/>
        <w:numPr>
          <w:ilvl w:val="0"/>
          <w:numId w:val="0"/>
        </w:numPr>
        <w:pBdr>
          <w:top w:val="none" w:color="auto" w:sz="0" w:space="0"/>
          <w:left w:val="none" w:color="auto" w:sz="0" w:space="0"/>
          <w:bottom w:val="none" w:color="auto" w:sz="0" w:space="0"/>
          <w:right w:val="none" w:color="auto" w:sz="0" w:space="0"/>
          <w:between w:val="none" w:color="auto" w:sz="0" w:space="0"/>
        </w:pBdr>
        <w:tabs>
          <w:tab w:val="clear" w:pos="780"/>
        </w:tabs>
        <w:rPr>
          <w:rFonts w:hint="eastAsia" w:asciiTheme="minorEastAsia" w:hAnsiTheme="minorEastAsia" w:eastAsiaTheme="minorEastAsia" w:cstheme="minorEastAsia"/>
          <w:color w:val="auto"/>
          <w:szCs w:val="21"/>
          <w:lang w:eastAsia="zh-CN"/>
        </w:rPr>
        <w:sectPr>
          <w:footerReference r:id="rId5" w:type="default"/>
          <w:pgSz w:w="11906" w:h="16838"/>
          <w:pgMar w:top="1440" w:right="1800" w:bottom="1383"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bookmarkEnd w:id="83"/>
    <w:p w14:paraId="35225E7B">
      <w:pPr>
        <w:pStyle w:val="2"/>
        <w:numPr>
          <w:ilvl w:val="0"/>
          <w:numId w:val="7"/>
        </w:num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sz w:val="32"/>
          <w:szCs w:val="32"/>
          <w:lang w:eastAsia="zh-CN"/>
        </w:rPr>
      </w:pPr>
      <w:bookmarkStart w:id="89" w:name="_Toc25381"/>
      <w:bookmarkStart w:id="90" w:name="_Toc5842"/>
      <w:r>
        <w:rPr>
          <w:rFonts w:hint="eastAsia" w:asciiTheme="minorEastAsia" w:hAnsiTheme="minorEastAsia" w:eastAsiaTheme="minorEastAsia" w:cstheme="minorEastAsia"/>
          <w:color w:val="auto"/>
          <w:sz w:val="32"/>
          <w:szCs w:val="32"/>
          <w:lang w:eastAsia="zh-CN"/>
        </w:rPr>
        <w:t>采购内容及技术要求</w:t>
      </w:r>
      <w:bookmarkEnd w:id="89"/>
      <w:bookmarkEnd w:id="90"/>
    </w:p>
    <w:p w14:paraId="036EB746">
      <w:pPr>
        <w:pBdr>
          <w:top w:val="none" w:color="auto" w:sz="0" w:space="0"/>
          <w:left w:val="none" w:color="auto" w:sz="0" w:space="0"/>
          <w:bottom w:val="none" w:color="auto" w:sz="0" w:space="0"/>
          <w:right w:val="none" w:color="auto" w:sz="0" w:space="0"/>
          <w:between w:val="none" w:color="auto" w:sz="0" w:space="0"/>
        </w:pBdr>
        <w:jc w:val="center"/>
        <w:outlineLvl w:val="1"/>
        <w:rPr>
          <w:rFonts w:hint="eastAsia" w:asciiTheme="minorEastAsia" w:hAnsiTheme="minorEastAsia" w:eastAsiaTheme="minorEastAsia" w:cstheme="minorEastAsia"/>
        </w:rPr>
      </w:pPr>
      <w:r>
        <w:rPr>
          <w:rFonts w:hint="eastAsia" w:asciiTheme="minorEastAsia" w:hAnsiTheme="minorEastAsia" w:eastAsiaTheme="minorEastAsia" w:cstheme="minorEastAsia"/>
          <w:b/>
          <w:color w:val="auto"/>
          <w:sz w:val="30"/>
          <w:szCs w:val="30"/>
          <w:lang w:eastAsia="zh-CN"/>
        </w:rPr>
        <w:t>一、技术规格、数量及质量要求</w:t>
      </w:r>
    </w:p>
    <w:tbl>
      <w:tblPr>
        <w:tblStyle w:val="25"/>
        <w:tblW w:w="0" w:type="auto"/>
        <w:tblInd w:w="0" w:type="dxa"/>
        <w:tblLayout w:type="autofit"/>
        <w:tblCellMar>
          <w:top w:w="0" w:type="dxa"/>
          <w:left w:w="108" w:type="dxa"/>
          <w:bottom w:w="0" w:type="dxa"/>
          <w:right w:w="108" w:type="dxa"/>
        </w:tblCellMar>
      </w:tblPr>
      <w:tblGrid>
        <w:gridCol w:w="1091"/>
        <w:gridCol w:w="1961"/>
        <w:gridCol w:w="4996"/>
        <w:gridCol w:w="872"/>
        <w:gridCol w:w="856"/>
        <w:gridCol w:w="1641"/>
        <w:gridCol w:w="1756"/>
        <w:gridCol w:w="1001"/>
      </w:tblGrid>
      <w:tr w14:paraId="0CFDB6F6">
        <w:tblPrEx>
          <w:tblCellMar>
            <w:top w:w="0" w:type="dxa"/>
            <w:left w:w="108" w:type="dxa"/>
            <w:bottom w:w="0" w:type="dxa"/>
            <w:right w:w="108" w:type="dxa"/>
          </w:tblCellMar>
        </w:tblPrEx>
        <w:trPr>
          <w:trHeight w:val="567" w:hRule="atLeast"/>
        </w:trPr>
        <w:tc>
          <w:tcPr>
            <w:tcW w:w="0" w:type="auto"/>
            <w:gridSpan w:val="8"/>
            <w:tcBorders>
              <w:top w:val="single" w:color="auto" w:sz="4" w:space="0"/>
              <w:left w:val="single" w:color="auto" w:sz="4" w:space="0"/>
              <w:bottom w:val="single" w:color="auto" w:sz="4" w:space="0"/>
              <w:right w:val="single" w:color="auto" w:sz="4" w:space="0"/>
            </w:tcBorders>
            <w:shd w:val="clear" w:color="000000" w:fill="FFFFFF"/>
            <w:noWrap/>
            <w:vAlign w:val="center"/>
          </w:tcPr>
          <w:p w14:paraId="10FAFE04">
            <w:pPr>
              <w:widowControl/>
              <w:jc w:val="center"/>
              <w:rPr>
                <w:rFonts w:hint="eastAsia" w:ascii="宋体" w:hAnsi="宋体" w:eastAsia="宋体" w:cs="宋体"/>
                <w:b/>
                <w:bCs/>
                <w:kern w:val="0"/>
                <w:sz w:val="24"/>
                <w:szCs w:val="24"/>
                <w14:ligatures w14:val="none"/>
              </w:rPr>
            </w:pPr>
            <w:r>
              <w:rPr>
                <w:rFonts w:hint="eastAsia" w:ascii="宋体" w:hAnsi="宋体" w:eastAsia="宋体" w:cs="宋体"/>
                <w:b/>
                <w:bCs/>
                <w:kern w:val="0"/>
                <w:sz w:val="24"/>
                <w:szCs w:val="24"/>
                <w14:ligatures w14:val="none"/>
              </w:rPr>
              <w:t>融媒体电视播出及网络系统</w:t>
            </w:r>
          </w:p>
        </w:tc>
      </w:tr>
      <w:tr w14:paraId="47CE0F69">
        <w:tblPrEx>
          <w:tblCellMar>
            <w:top w:w="0" w:type="dxa"/>
            <w:left w:w="108" w:type="dxa"/>
            <w:bottom w:w="0" w:type="dxa"/>
            <w:right w:w="108" w:type="dxa"/>
          </w:tblCellMar>
        </w:tblPrEx>
        <w:trPr>
          <w:trHeight w:val="567" w:hRule="atLeast"/>
        </w:trPr>
        <w:tc>
          <w:tcPr>
            <w:tcW w:w="1091" w:type="dxa"/>
            <w:tcBorders>
              <w:top w:val="nil"/>
              <w:left w:val="single" w:color="auto" w:sz="4" w:space="0"/>
              <w:bottom w:val="nil"/>
              <w:right w:val="single" w:color="auto" w:sz="4" w:space="0"/>
            </w:tcBorders>
            <w:shd w:val="clear" w:color="000000" w:fill="FFFFFF"/>
            <w:noWrap/>
            <w:vAlign w:val="center"/>
          </w:tcPr>
          <w:p w14:paraId="2F6EEB60">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序号</w:t>
            </w:r>
          </w:p>
        </w:tc>
        <w:tc>
          <w:tcPr>
            <w:tcW w:w="1961" w:type="dxa"/>
            <w:tcBorders>
              <w:top w:val="nil"/>
              <w:left w:val="nil"/>
              <w:bottom w:val="single" w:color="auto" w:sz="4" w:space="0"/>
              <w:right w:val="single" w:color="auto" w:sz="4" w:space="0"/>
            </w:tcBorders>
            <w:shd w:val="clear" w:color="000000" w:fill="FFFFFF"/>
            <w:vAlign w:val="center"/>
          </w:tcPr>
          <w:p w14:paraId="2F88DFE0">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设备名称</w:t>
            </w:r>
          </w:p>
        </w:tc>
        <w:tc>
          <w:tcPr>
            <w:tcW w:w="4996" w:type="dxa"/>
            <w:tcBorders>
              <w:top w:val="nil"/>
              <w:left w:val="nil"/>
              <w:bottom w:val="single" w:color="auto" w:sz="4" w:space="0"/>
              <w:right w:val="single" w:color="auto" w:sz="4" w:space="0"/>
            </w:tcBorders>
            <w:shd w:val="clear" w:color="000000" w:fill="FFFFFF"/>
            <w:vAlign w:val="center"/>
          </w:tcPr>
          <w:p w14:paraId="408EADB2">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设备参数</w:t>
            </w:r>
          </w:p>
        </w:tc>
        <w:tc>
          <w:tcPr>
            <w:tcW w:w="872" w:type="dxa"/>
            <w:tcBorders>
              <w:top w:val="nil"/>
              <w:left w:val="nil"/>
              <w:bottom w:val="single" w:color="auto" w:sz="4" w:space="0"/>
              <w:right w:val="single" w:color="auto" w:sz="4" w:space="0"/>
            </w:tcBorders>
            <w:shd w:val="clear" w:color="000000" w:fill="FFFFFF"/>
            <w:vAlign w:val="center"/>
          </w:tcPr>
          <w:p w14:paraId="0C6B08DA">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单位</w:t>
            </w:r>
          </w:p>
        </w:tc>
        <w:tc>
          <w:tcPr>
            <w:tcW w:w="856" w:type="dxa"/>
            <w:tcBorders>
              <w:top w:val="nil"/>
              <w:left w:val="nil"/>
              <w:bottom w:val="single" w:color="auto" w:sz="4" w:space="0"/>
              <w:right w:val="single" w:color="auto" w:sz="4" w:space="0"/>
            </w:tcBorders>
            <w:shd w:val="clear" w:color="000000" w:fill="FFFFFF"/>
            <w:vAlign w:val="center"/>
          </w:tcPr>
          <w:p w14:paraId="2862C2FE">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数量</w:t>
            </w:r>
          </w:p>
        </w:tc>
        <w:tc>
          <w:tcPr>
            <w:tcW w:w="1641" w:type="dxa"/>
            <w:tcBorders>
              <w:top w:val="nil"/>
              <w:left w:val="nil"/>
              <w:bottom w:val="single" w:color="auto" w:sz="4" w:space="0"/>
              <w:right w:val="single" w:color="auto" w:sz="4" w:space="0"/>
            </w:tcBorders>
            <w:shd w:val="clear" w:color="000000" w:fill="FFFFFF"/>
            <w:vAlign w:val="center"/>
          </w:tcPr>
          <w:p w14:paraId="0E6CE783">
            <w:pPr>
              <w:jc w:val="center"/>
              <w:rPr>
                <w:rFonts w:hint="eastAsia" w:ascii="宋体" w:hAnsi="宋体" w:eastAsia="宋体"/>
                <w:sz w:val="24"/>
                <w:szCs w:val="24"/>
              </w:rPr>
            </w:pPr>
            <w:r>
              <w:rPr>
                <w:rFonts w:hint="eastAsia" w:ascii="宋体" w:hAnsi="宋体" w:eastAsia="宋体"/>
                <w:sz w:val="24"/>
                <w:szCs w:val="24"/>
              </w:rPr>
              <w:t>单价（元）</w:t>
            </w:r>
          </w:p>
        </w:tc>
        <w:tc>
          <w:tcPr>
            <w:tcW w:w="0" w:type="auto"/>
            <w:tcBorders>
              <w:top w:val="nil"/>
              <w:left w:val="nil"/>
              <w:bottom w:val="single" w:color="auto" w:sz="4" w:space="0"/>
              <w:right w:val="single" w:color="auto" w:sz="4" w:space="0"/>
            </w:tcBorders>
            <w:shd w:val="clear" w:color="000000" w:fill="FFFFFF"/>
            <w:vAlign w:val="center"/>
          </w:tcPr>
          <w:p w14:paraId="12D90B2D">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金额（元）</w:t>
            </w:r>
          </w:p>
        </w:tc>
        <w:tc>
          <w:tcPr>
            <w:tcW w:w="0" w:type="auto"/>
            <w:tcBorders>
              <w:top w:val="nil"/>
              <w:left w:val="nil"/>
              <w:bottom w:val="single" w:color="auto" w:sz="4" w:space="0"/>
              <w:right w:val="single" w:color="auto" w:sz="4" w:space="0"/>
            </w:tcBorders>
            <w:shd w:val="clear" w:color="000000" w:fill="FFFFFF"/>
            <w:vAlign w:val="center"/>
          </w:tcPr>
          <w:p w14:paraId="4A27B715">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备注</w:t>
            </w:r>
          </w:p>
        </w:tc>
      </w:tr>
      <w:tr w14:paraId="2E759B4B">
        <w:tblPrEx>
          <w:tblCellMar>
            <w:top w:w="0" w:type="dxa"/>
            <w:left w:w="108" w:type="dxa"/>
            <w:bottom w:w="0" w:type="dxa"/>
            <w:right w:w="108" w:type="dxa"/>
          </w:tblCellMar>
        </w:tblPrEx>
        <w:trPr>
          <w:trHeight w:val="567" w:hRule="atLeast"/>
        </w:trPr>
        <w:tc>
          <w:tcPr>
            <w:tcW w:w="1091" w:type="dxa"/>
            <w:tcBorders>
              <w:top w:val="single" w:color="auto" w:sz="4" w:space="0"/>
              <w:left w:val="single" w:color="auto" w:sz="4" w:space="0"/>
              <w:bottom w:val="nil"/>
              <w:right w:val="single" w:color="auto" w:sz="4" w:space="0"/>
            </w:tcBorders>
            <w:shd w:val="clear" w:color="000000" w:fill="FFFFFF"/>
            <w:noWrap/>
            <w:vAlign w:val="center"/>
          </w:tcPr>
          <w:p w14:paraId="307963CC">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一</w:t>
            </w:r>
          </w:p>
        </w:tc>
        <w:tc>
          <w:tcPr>
            <w:tcW w:w="6957" w:type="dxa"/>
            <w:gridSpan w:val="2"/>
            <w:tcBorders>
              <w:top w:val="nil"/>
              <w:left w:val="nil"/>
              <w:bottom w:val="nil"/>
              <w:right w:val="single" w:color="auto" w:sz="4" w:space="0"/>
            </w:tcBorders>
            <w:shd w:val="clear" w:color="000000" w:fill="FFFFFF"/>
            <w:vAlign w:val="center"/>
          </w:tcPr>
          <w:p w14:paraId="37765773">
            <w:pPr>
              <w:widowControl/>
              <w:jc w:val="left"/>
              <w:rPr>
                <w:rFonts w:hint="eastAsia" w:ascii="宋体" w:hAnsi="宋体" w:eastAsia="宋体" w:cs="宋体"/>
                <w:kern w:val="0"/>
                <w:sz w:val="24"/>
                <w:szCs w:val="24"/>
                <w14:ligatures w14:val="none"/>
              </w:rPr>
            </w:pPr>
            <w:r>
              <w:rPr>
                <w:rFonts w:hint="eastAsia" w:ascii="宋体" w:hAnsi="宋体" w:eastAsia="宋体" w:cs="宋体"/>
                <w:b/>
                <w:bCs/>
                <w:kern w:val="0"/>
                <w:sz w:val="24"/>
                <w:szCs w:val="24"/>
                <w14:ligatures w14:val="none"/>
              </w:rPr>
              <w:t>融媒体卫星接收及收录系统</w:t>
            </w:r>
          </w:p>
        </w:tc>
        <w:tc>
          <w:tcPr>
            <w:tcW w:w="872" w:type="dxa"/>
            <w:tcBorders>
              <w:top w:val="nil"/>
              <w:left w:val="nil"/>
              <w:bottom w:val="nil"/>
              <w:right w:val="single" w:color="auto" w:sz="4" w:space="0"/>
            </w:tcBorders>
            <w:shd w:val="clear" w:color="000000" w:fill="FFFFFF"/>
            <w:vAlign w:val="center"/>
          </w:tcPr>
          <w:p w14:paraId="0A78A4DB">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　</w:t>
            </w:r>
          </w:p>
        </w:tc>
        <w:tc>
          <w:tcPr>
            <w:tcW w:w="856" w:type="dxa"/>
            <w:tcBorders>
              <w:top w:val="nil"/>
              <w:left w:val="nil"/>
              <w:bottom w:val="nil"/>
              <w:right w:val="single" w:color="auto" w:sz="4" w:space="0"/>
            </w:tcBorders>
            <w:shd w:val="clear" w:color="000000" w:fill="FFFFFF"/>
            <w:vAlign w:val="center"/>
          </w:tcPr>
          <w:p w14:paraId="1EF674A3">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　</w:t>
            </w:r>
          </w:p>
        </w:tc>
        <w:tc>
          <w:tcPr>
            <w:tcW w:w="1641" w:type="dxa"/>
            <w:tcBorders>
              <w:top w:val="nil"/>
              <w:left w:val="nil"/>
              <w:bottom w:val="nil"/>
              <w:right w:val="single" w:color="auto" w:sz="4" w:space="0"/>
            </w:tcBorders>
            <w:shd w:val="clear" w:color="000000" w:fill="FFFFFF"/>
            <w:vAlign w:val="center"/>
          </w:tcPr>
          <w:p w14:paraId="40CD2867">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　</w:t>
            </w:r>
          </w:p>
        </w:tc>
        <w:tc>
          <w:tcPr>
            <w:tcW w:w="0" w:type="auto"/>
            <w:tcBorders>
              <w:top w:val="nil"/>
              <w:left w:val="nil"/>
              <w:bottom w:val="nil"/>
              <w:right w:val="single" w:color="auto" w:sz="4" w:space="0"/>
            </w:tcBorders>
            <w:shd w:val="clear" w:color="000000" w:fill="FFFFFF"/>
            <w:vAlign w:val="center"/>
          </w:tcPr>
          <w:p w14:paraId="264A6D72">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　</w:t>
            </w:r>
          </w:p>
        </w:tc>
        <w:tc>
          <w:tcPr>
            <w:tcW w:w="0" w:type="auto"/>
            <w:tcBorders>
              <w:top w:val="nil"/>
              <w:left w:val="nil"/>
              <w:bottom w:val="nil"/>
              <w:right w:val="single" w:color="auto" w:sz="4" w:space="0"/>
            </w:tcBorders>
            <w:shd w:val="clear" w:color="000000" w:fill="FFFFFF"/>
            <w:vAlign w:val="center"/>
          </w:tcPr>
          <w:p w14:paraId="3F186F11">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　</w:t>
            </w:r>
          </w:p>
        </w:tc>
      </w:tr>
      <w:tr w14:paraId="699655FE">
        <w:tblPrEx>
          <w:tblCellMar>
            <w:top w:w="0" w:type="dxa"/>
            <w:left w:w="108" w:type="dxa"/>
            <w:bottom w:w="0" w:type="dxa"/>
            <w:right w:w="108" w:type="dxa"/>
          </w:tblCellMar>
        </w:tblPrEx>
        <w:trPr>
          <w:trHeight w:val="567" w:hRule="atLeast"/>
        </w:trPr>
        <w:tc>
          <w:tcPr>
            <w:tcW w:w="1091" w:type="dxa"/>
            <w:tcBorders>
              <w:top w:val="single" w:color="auto" w:sz="4" w:space="0"/>
              <w:left w:val="single" w:color="auto" w:sz="4" w:space="0"/>
              <w:bottom w:val="nil"/>
              <w:right w:val="single" w:color="auto" w:sz="4" w:space="0"/>
            </w:tcBorders>
            <w:shd w:val="clear" w:color="000000" w:fill="FFFFFF"/>
            <w:noWrap/>
            <w:vAlign w:val="center"/>
          </w:tcPr>
          <w:p w14:paraId="400E88E1">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（一）</w:t>
            </w:r>
          </w:p>
        </w:tc>
        <w:tc>
          <w:tcPr>
            <w:tcW w:w="1961" w:type="dxa"/>
            <w:tcBorders>
              <w:top w:val="single" w:color="auto" w:sz="4" w:space="0"/>
              <w:left w:val="nil"/>
              <w:bottom w:val="nil"/>
              <w:right w:val="single" w:color="auto" w:sz="4" w:space="0"/>
            </w:tcBorders>
            <w:shd w:val="clear" w:color="000000" w:fill="FFFFFF"/>
            <w:noWrap/>
            <w:vAlign w:val="center"/>
          </w:tcPr>
          <w:p w14:paraId="2E9BE576">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卫星天线系统</w:t>
            </w:r>
          </w:p>
        </w:tc>
        <w:tc>
          <w:tcPr>
            <w:tcW w:w="4996" w:type="dxa"/>
            <w:tcBorders>
              <w:top w:val="single" w:color="auto" w:sz="4" w:space="0"/>
              <w:left w:val="nil"/>
              <w:bottom w:val="nil"/>
              <w:right w:val="single" w:color="auto" w:sz="4" w:space="0"/>
            </w:tcBorders>
            <w:shd w:val="clear" w:color="000000" w:fill="FFFFFF"/>
            <w:vAlign w:val="center"/>
          </w:tcPr>
          <w:p w14:paraId="23D334FE">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　</w:t>
            </w:r>
          </w:p>
        </w:tc>
        <w:tc>
          <w:tcPr>
            <w:tcW w:w="872" w:type="dxa"/>
            <w:tcBorders>
              <w:top w:val="single" w:color="auto" w:sz="4" w:space="0"/>
              <w:left w:val="nil"/>
              <w:bottom w:val="nil"/>
              <w:right w:val="single" w:color="auto" w:sz="4" w:space="0"/>
            </w:tcBorders>
            <w:shd w:val="clear" w:color="000000" w:fill="FFFFFF"/>
            <w:noWrap/>
            <w:vAlign w:val="center"/>
          </w:tcPr>
          <w:p w14:paraId="6A116BE0">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　</w:t>
            </w:r>
          </w:p>
        </w:tc>
        <w:tc>
          <w:tcPr>
            <w:tcW w:w="856" w:type="dxa"/>
            <w:tcBorders>
              <w:top w:val="single" w:color="auto" w:sz="4" w:space="0"/>
              <w:left w:val="nil"/>
              <w:bottom w:val="nil"/>
              <w:right w:val="single" w:color="auto" w:sz="4" w:space="0"/>
            </w:tcBorders>
            <w:shd w:val="clear" w:color="000000" w:fill="FFFFFF"/>
            <w:noWrap/>
            <w:vAlign w:val="center"/>
          </w:tcPr>
          <w:p w14:paraId="11B09BC4">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　</w:t>
            </w:r>
          </w:p>
        </w:tc>
        <w:tc>
          <w:tcPr>
            <w:tcW w:w="1641" w:type="dxa"/>
            <w:tcBorders>
              <w:top w:val="single" w:color="auto" w:sz="4" w:space="0"/>
              <w:left w:val="nil"/>
              <w:bottom w:val="nil"/>
              <w:right w:val="single" w:color="auto" w:sz="4" w:space="0"/>
            </w:tcBorders>
            <w:shd w:val="clear" w:color="000000" w:fill="FFFFFF"/>
            <w:noWrap/>
            <w:vAlign w:val="center"/>
          </w:tcPr>
          <w:p w14:paraId="6AFC53B9">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　</w:t>
            </w:r>
          </w:p>
        </w:tc>
        <w:tc>
          <w:tcPr>
            <w:tcW w:w="0" w:type="auto"/>
            <w:tcBorders>
              <w:top w:val="single" w:color="auto" w:sz="4" w:space="0"/>
              <w:left w:val="nil"/>
              <w:bottom w:val="nil"/>
              <w:right w:val="single" w:color="auto" w:sz="4" w:space="0"/>
            </w:tcBorders>
            <w:shd w:val="clear" w:color="000000" w:fill="FFFFFF"/>
            <w:noWrap/>
            <w:vAlign w:val="center"/>
          </w:tcPr>
          <w:p w14:paraId="585688E8">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　</w:t>
            </w:r>
          </w:p>
        </w:tc>
        <w:tc>
          <w:tcPr>
            <w:tcW w:w="0" w:type="auto"/>
            <w:tcBorders>
              <w:top w:val="single" w:color="auto" w:sz="4" w:space="0"/>
              <w:left w:val="nil"/>
              <w:bottom w:val="nil"/>
              <w:right w:val="single" w:color="auto" w:sz="4" w:space="0"/>
            </w:tcBorders>
            <w:shd w:val="clear" w:color="000000" w:fill="FFFFFF"/>
            <w:vAlign w:val="center"/>
          </w:tcPr>
          <w:p w14:paraId="2AD2947F">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　</w:t>
            </w:r>
          </w:p>
        </w:tc>
      </w:tr>
      <w:tr w14:paraId="40FE20CE">
        <w:tblPrEx>
          <w:tblCellMar>
            <w:top w:w="0" w:type="dxa"/>
            <w:left w:w="108" w:type="dxa"/>
            <w:bottom w:w="0" w:type="dxa"/>
            <w:right w:w="108" w:type="dxa"/>
          </w:tblCellMar>
        </w:tblPrEx>
        <w:trPr>
          <w:trHeight w:val="567" w:hRule="atLeast"/>
        </w:trPr>
        <w:tc>
          <w:tcPr>
            <w:tcW w:w="1091"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6F0E8CE5">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1.1</w:t>
            </w:r>
          </w:p>
        </w:tc>
        <w:tc>
          <w:tcPr>
            <w:tcW w:w="1961" w:type="dxa"/>
            <w:tcBorders>
              <w:top w:val="single" w:color="auto" w:sz="4" w:space="0"/>
              <w:left w:val="nil"/>
              <w:bottom w:val="single" w:color="auto" w:sz="4" w:space="0"/>
              <w:right w:val="single" w:color="auto" w:sz="4" w:space="0"/>
            </w:tcBorders>
            <w:shd w:val="clear" w:color="000000" w:fill="FFFFFF"/>
            <w:noWrap/>
            <w:vAlign w:val="center"/>
          </w:tcPr>
          <w:p w14:paraId="7C892229">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C波卫星天线</w:t>
            </w:r>
          </w:p>
        </w:tc>
        <w:tc>
          <w:tcPr>
            <w:tcW w:w="4996" w:type="dxa"/>
            <w:tcBorders>
              <w:top w:val="single" w:color="auto" w:sz="4" w:space="0"/>
              <w:left w:val="nil"/>
              <w:bottom w:val="single" w:color="auto" w:sz="4" w:space="0"/>
              <w:right w:val="single" w:color="auto" w:sz="4" w:space="0"/>
            </w:tcBorders>
            <w:shd w:val="clear" w:color="000000" w:fill="FFFFFF"/>
            <w:vAlign w:val="center"/>
          </w:tcPr>
          <w:p w14:paraId="11E6D1A1">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3.0米C波段防腐卫星接收天线</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表面采用喷锌工艺处理，防锈、防水性能高</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面板精度:≤0.5mm（R.M.S）；面板厚度:≥2mm；</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前馈3.0米C波段卫星接收天线；</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立柱式座架及天线支撑；</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工作频段:3.4GHz--4.2GHz；</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天线增益:≥39dBi；</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电压驻波比:≤1.3:1；</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噪声温度（20°仰角）:≤32K；</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交叉极化隔离度:≥30dB(onaxis)；</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第一副瓣电平:≤-14dB；</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馈源接口:CPR-229G；</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馈源插损:≤0.2dB；</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方位旋转范围0º－360º，俯仰旋转范围:5º－90º；</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抗风能力:8级风正常工作，10级风保持精度工作，12级风天线朝向锁紧不破坏；</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工作温度:-40°Cto+60°C；相对湿度:0%～100%；</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冰雪载荷:13mm裹冰正常工作，25mm裹冰不破坏；</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含双极化馈源、避雷器</w:t>
            </w:r>
          </w:p>
        </w:tc>
        <w:tc>
          <w:tcPr>
            <w:tcW w:w="872" w:type="dxa"/>
            <w:tcBorders>
              <w:top w:val="single" w:color="auto" w:sz="4" w:space="0"/>
              <w:left w:val="nil"/>
              <w:bottom w:val="single" w:color="auto" w:sz="4" w:space="0"/>
              <w:right w:val="single" w:color="auto" w:sz="4" w:space="0"/>
            </w:tcBorders>
            <w:shd w:val="clear" w:color="000000" w:fill="FFFFFF"/>
            <w:noWrap/>
            <w:vAlign w:val="center"/>
          </w:tcPr>
          <w:p w14:paraId="3C1E646A">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套</w:t>
            </w:r>
          </w:p>
        </w:tc>
        <w:tc>
          <w:tcPr>
            <w:tcW w:w="856" w:type="dxa"/>
            <w:tcBorders>
              <w:top w:val="single" w:color="auto" w:sz="4" w:space="0"/>
              <w:left w:val="nil"/>
              <w:bottom w:val="single" w:color="auto" w:sz="4" w:space="0"/>
              <w:right w:val="single" w:color="auto" w:sz="4" w:space="0"/>
            </w:tcBorders>
            <w:shd w:val="clear" w:color="000000" w:fill="FFFFFF"/>
            <w:noWrap/>
            <w:vAlign w:val="center"/>
          </w:tcPr>
          <w:p w14:paraId="2CB0C75F">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4</w:t>
            </w:r>
          </w:p>
        </w:tc>
        <w:tc>
          <w:tcPr>
            <w:tcW w:w="1641" w:type="dxa"/>
            <w:tcBorders>
              <w:top w:val="single" w:color="auto" w:sz="4" w:space="0"/>
              <w:left w:val="nil"/>
              <w:bottom w:val="single" w:color="auto" w:sz="4" w:space="0"/>
              <w:right w:val="single" w:color="auto" w:sz="4" w:space="0"/>
            </w:tcBorders>
            <w:shd w:val="clear" w:color="000000" w:fill="FFFFFF"/>
            <w:noWrap/>
            <w:vAlign w:val="center"/>
          </w:tcPr>
          <w:p w14:paraId="060552BA">
            <w:pPr>
              <w:widowControl/>
              <w:jc w:val="right"/>
              <w:rPr>
                <w:rFonts w:hint="eastAsia" w:ascii="宋体" w:hAnsi="宋体" w:eastAsia="宋体" w:cs="宋体"/>
                <w:color w:val="000000"/>
                <w:kern w:val="0"/>
                <w:sz w:val="24"/>
                <w:szCs w:val="24"/>
                <w14:ligatures w14:val="none"/>
              </w:rPr>
            </w:pPr>
          </w:p>
        </w:tc>
        <w:tc>
          <w:tcPr>
            <w:tcW w:w="0" w:type="auto"/>
            <w:tcBorders>
              <w:top w:val="single" w:color="auto" w:sz="4" w:space="0"/>
              <w:left w:val="nil"/>
              <w:bottom w:val="single" w:color="auto" w:sz="4" w:space="0"/>
              <w:right w:val="single" w:color="auto" w:sz="4" w:space="0"/>
            </w:tcBorders>
            <w:shd w:val="clear" w:color="000000" w:fill="FFFFFF"/>
            <w:noWrap/>
            <w:vAlign w:val="center"/>
          </w:tcPr>
          <w:p w14:paraId="19F5A7F6">
            <w:pPr>
              <w:widowControl/>
              <w:jc w:val="right"/>
              <w:rPr>
                <w:rFonts w:hint="eastAsia" w:ascii="宋体" w:hAnsi="宋体" w:eastAsia="宋体" w:cs="宋体"/>
                <w:color w:val="000000"/>
                <w:kern w:val="0"/>
                <w:sz w:val="24"/>
                <w:szCs w:val="24"/>
                <w14:ligatures w14:val="none"/>
              </w:rPr>
            </w:pPr>
          </w:p>
        </w:tc>
        <w:tc>
          <w:tcPr>
            <w:tcW w:w="0" w:type="auto"/>
            <w:tcBorders>
              <w:top w:val="single" w:color="auto" w:sz="4" w:space="0"/>
              <w:left w:val="nil"/>
              <w:bottom w:val="single" w:color="auto" w:sz="4" w:space="0"/>
              <w:right w:val="single" w:color="auto" w:sz="4" w:space="0"/>
            </w:tcBorders>
            <w:shd w:val="clear" w:color="000000" w:fill="FFFFFF"/>
            <w:noWrap/>
            <w:vAlign w:val="center"/>
          </w:tcPr>
          <w:p w14:paraId="65CDA70B">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　</w:t>
            </w:r>
          </w:p>
        </w:tc>
      </w:tr>
      <w:tr w14:paraId="5464303D">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027BBC6D">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1.2</w:t>
            </w:r>
          </w:p>
        </w:tc>
        <w:tc>
          <w:tcPr>
            <w:tcW w:w="1961" w:type="dxa"/>
            <w:tcBorders>
              <w:top w:val="nil"/>
              <w:left w:val="nil"/>
              <w:bottom w:val="single" w:color="auto" w:sz="4" w:space="0"/>
              <w:right w:val="single" w:color="auto" w:sz="4" w:space="0"/>
            </w:tcBorders>
            <w:shd w:val="clear" w:color="000000" w:fill="FFFFFF"/>
            <w:noWrap/>
            <w:vAlign w:val="center"/>
          </w:tcPr>
          <w:p w14:paraId="0264C67B">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KU波段卫星天线</w:t>
            </w:r>
          </w:p>
        </w:tc>
        <w:tc>
          <w:tcPr>
            <w:tcW w:w="4996" w:type="dxa"/>
            <w:tcBorders>
              <w:top w:val="nil"/>
              <w:left w:val="nil"/>
              <w:bottom w:val="single" w:color="auto" w:sz="4" w:space="0"/>
              <w:right w:val="single" w:color="auto" w:sz="4" w:space="0"/>
            </w:tcBorders>
            <w:shd w:val="clear" w:color="000000" w:fill="FFFFFF"/>
            <w:vAlign w:val="center"/>
          </w:tcPr>
          <w:p w14:paraId="545ED925">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1.8米KU波段防腐卫星接收天线</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表面采用喷锌工艺处理，防锈、防水性能高；</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面板精度:≤0.5mm（R.M.S）；面板厚度:≥2mm；</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偏馈1.8米Ku波段卫星接收天线；</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立柱式座架及天线支撑；</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工作频段: 10.95GHz-12.75GHz；</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天线增益:≥48dBi；</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电压驻波比:≤1.25:1；</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噪声温度（20° 仰角）:≤43K；</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交叉极化隔离度:≥30dB(on axis)；</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第一副瓣电平:≤-14dB；</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馈源接口:WR-75；</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馈源插损:≤0.25dB；</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方位旋转范围0º－360º，俯仰旋转范围:5º－90º；</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抗风能力:8级风正常工作，10级风保持精度工作，12级风天线朝向锁紧不破坏；</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工作温度:-40°C to +60°C；相对湿度:0%～100%；</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冰雪载荷:13mm 裹冰正常工作，25mm 裹冰不破坏。</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含高频头*2,双馈源、避雷器。</w:t>
            </w:r>
          </w:p>
        </w:tc>
        <w:tc>
          <w:tcPr>
            <w:tcW w:w="872" w:type="dxa"/>
            <w:tcBorders>
              <w:top w:val="nil"/>
              <w:left w:val="nil"/>
              <w:bottom w:val="single" w:color="auto" w:sz="4" w:space="0"/>
              <w:right w:val="single" w:color="auto" w:sz="4" w:space="0"/>
            </w:tcBorders>
            <w:shd w:val="clear" w:color="000000" w:fill="FFFFFF"/>
            <w:noWrap/>
            <w:vAlign w:val="center"/>
          </w:tcPr>
          <w:p w14:paraId="2E7CBB84">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套</w:t>
            </w:r>
          </w:p>
        </w:tc>
        <w:tc>
          <w:tcPr>
            <w:tcW w:w="856" w:type="dxa"/>
            <w:tcBorders>
              <w:top w:val="nil"/>
              <w:left w:val="nil"/>
              <w:bottom w:val="single" w:color="auto" w:sz="4" w:space="0"/>
              <w:right w:val="single" w:color="auto" w:sz="4" w:space="0"/>
            </w:tcBorders>
            <w:shd w:val="clear" w:color="000000" w:fill="FFFFFF"/>
            <w:noWrap/>
            <w:vAlign w:val="center"/>
          </w:tcPr>
          <w:p w14:paraId="0C2F273E">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2</w:t>
            </w:r>
          </w:p>
        </w:tc>
        <w:tc>
          <w:tcPr>
            <w:tcW w:w="1641" w:type="dxa"/>
            <w:tcBorders>
              <w:top w:val="nil"/>
              <w:left w:val="nil"/>
              <w:bottom w:val="single" w:color="auto" w:sz="4" w:space="0"/>
              <w:right w:val="single" w:color="auto" w:sz="4" w:space="0"/>
            </w:tcBorders>
            <w:shd w:val="clear" w:color="000000" w:fill="FFFFFF"/>
            <w:noWrap/>
            <w:vAlign w:val="center"/>
          </w:tcPr>
          <w:p w14:paraId="0F6B93F2">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151C8A15">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39F4B7A1">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　</w:t>
            </w:r>
          </w:p>
        </w:tc>
      </w:tr>
      <w:tr w14:paraId="14954EB3">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7DB01900">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1.3</w:t>
            </w:r>
          </w:p>
        </w:tc>
        <w:tc>
          <w:tcPr>
            <w:tcW w:w="1961" w:type="dxa"/>
            <w:tcBorders>
              <w:top w:val="nil"/>
              <w:left w:val="nil"/>
              <w:bottom w:val="single" w:color="auto" w:sz="4" w:space="0"/>
              <w:right w:val="single" w:color="auto" w:sz="4" w:space="0"/>
            </w:tcBorders>
            <w:shd w:val="clear" w:color="000000" w:fill="FFFFFF"/>
            <w:noWrap/>
            <w:vAlign w:val="center"/>
          </w:tcPr>
          <w:p w14:paraId="385BF93C">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C波段抗5G单高频头</w:t>
            </w:r>
          </w:p>
        </w:tc>
        <w:tc>
          <w:tcPr>
            <w:tcW w:w="4996" w:type="dxa"/>
            <w:tcBorders>
              <w:top w:val="nil"/>
              <w:left w:val="nil"/>
              <w:bottom w:val="single" w:color="auto" w:sz="4" w:space="0"/>
              <w:right w:val="single" w:color="auto" w:sz="4" w:space="0"/>
            </w:tcBorders>
            <w:shd w:val="clear" w:color="000000" w:fill="FFFFFF"/>
            <w:vAlign w:val="center"/>
          </w:tcPr>
          <w:p w14:paraId="6FA66CBA">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抗5G单高频头本振频率5.15GHZ，输入频率3.7-4.2GHZ，输出频率950-1750MHZ，输入电压直流12-24V，增益65db</w:t>
            </w:r>
          </w:p>
        </w:tc>
        <w:tc>
          <w:tcPr>
            <w:tcW w:w="872" w:type="dxa"/>
            <w:tcBorders>
              <w:top w:val="nil"/>
              <w:left w:val="nil"/>
              <w:bottom w:val="single" w:color="auto" w:sz="4" w:space="0"/>
              <w:right w:val="single" w:color="auto" w:sz="4" w:space="0"/>
            </w:tcBorders>
            <w:shd w:val="clear" w:color="000000" w:fill="FFFFFF"/>
            <w:noWrap/>
            <w:vAlign w:val="center"/>
          </w:tcPr>
          <w:p w14:paraId="03C9836F">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只</w:t>
            </w:r>
          </w:p>
        </w:tc>
        <w:tc>
          <w:tcPr>
            <w:tcW w:w="856" w:type="dxa"/>
            <w:tcBorders>
              <w:top w:val="nil"/>
              <w:left w:val="nil"/>
              <w:bottom w:val="single" w:color="auto" w:sz="4" w:space="0"/>
              <w:right w:val="single" w:color="auto" w:sz="4" w:space="0"/>
            </w:tcBorders>
            <w:shd w:val="clear" w:color="000000" w:fill="FFFFFF"/>
            <w:noWrap/>
            <w:vAlign w:val="center"/>
          </w:tcPr>
          <w:p w14:paraId="7717BCBC">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8</w:t>
            </w:r>
          </w:p>
        </w:tc>
        <w:tc>
          <w:tcPr>
            <w:tcW w:w="1641" w:type="dxa"/>
            <w:tcBorders>
              <w:top w:val="nil"/>
              <w:left w:val="nil"/>
              <w:bottom w:val="single" w:color="auto" w:sz="4" w:space="0"/>
              <w:right w:val="single" w:color="auto" w:sz="4" w:space="0"/>
            </w:tcBorders>
            <w:shd w:val="clear" w:color="000000" w:fill="FFFFFF"/>
            <w:noWrap/>
            <w:vAlign w:val="center"/>
          </w:tcPr>
          <w:p w14:paraId="49DA64EA">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61C2628D">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1B7584D7">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　</w:t>
            </w:r>
          </w:p>
        </w:tc>
      </w:tr>
      <w:tr w14:paraId="4520E284">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69B8CB33">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1.4</w:t>
            </w:r>
          </w:p>
        </w:tc>
        <w:tc>
          <w:tcPr>
            <w:tcW w:w="1961" w:type="dxa"/>
            <w:tcBorders>
              <w:top w:val="nil"/>
              <w:left w:val="nil"/>
              <w:bottom w:val="single" w:color="auto" w:sz="4" w:space="0"/>
              <w:right w:val="single" w:color="auto" w:sz="4" w:space="0"/>
            </w:tcBorders>
            <w:shd w:val="clear" w:color="000000" w:fill="FFFFFF"/>
            <w:noWrap/>
            <w:vAlign w:val="center"/>
          </w:tcPr>
          <w:p w14:paraId="583C8365">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C波段抗5G滤波器</w:t>
            </w:r>
          </w:p>
        </w:tc>
        <w:tc>
          <w:tcPr>
            <w:tcW w:w="4996" w:type="dxa"/>
            <w:tcBorders>
              <w:top w:val="nil"/>
              <w:left w:val="nil"/>
              <w:bottom w:val="single" w:color="auto" w:sz="4" w:space="0"/>
              <w:right w:val="single" w:color="auto" w:sz="4" w:space="0"/>
            </w:tcBorders>
            <w:shd w:val="clear" w:color="000000" w:fill="FFFFFF"/>
            <w:vAlign w:val="center"/>
          </w:tcPr>
          <w:p w14:paraId="46E076BA">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抗5G滤波器通带频率3.7-4.2GHZ，带内插损小于等于0.35DB，驻波比小于等于1.2，反射损耗大于等于21DB，抑制度大于等于60DB</w:t>
            </w:r>
          </w:p>
        </w:tc>
        <w:tc>
          <w:tcPr>
            <w:tcW w:w="872" w:type="dxa"/>
            <w:tcBorders>
              <w:top w:val="nil"/>
              <w:left w:val="nil"/>
              <w:bottom w:val="single" w:color="auto" w:sz="4" w:space="0"/>
              <w:right w:val="single" w:color="auto" w:sz="4" w:space="0"/>
            </w:tcBorders>
            <w:shd w:val="clear" w:color="000000" w:fill="FFFFFF"/>
            <w:noWrap/>
            <w:vAlign w:val="center"/>
          </w:tcPr>
          <w:p w14:paraId="3C3C643B">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只</w:t>
            </w:r>
          </w:p>
        </w:tc>
        <w:tc>
          <w:tcPr>
            <w:tcW w:w="856" w:type="dxa"/>
            <w:tcBorders>
              <w:top w:val="nil"/>
              <w:left w:val="nil"/>
              <w:bottom w:val="single" w:color="auto" w:sz="4" w:space="0"/>
              <w:right w:val="single" w:color="auto" w:sz="4" w:space="0"/>
            </w:tcBorders>
            <w:shd w:val="clear" w:color="000000" w:fill="FFFFFF"/>
            <w:noWrap/>
            <w:vAlign w:val="center"/>
          </w:tcPr>
          <w:p w14:paraId="644705E1">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8</w:t>
            </w:r>
          </w:p>
        </w:tc>
        <w:tc>
          <w:tcPr>
            <w:tcW w:w="1641" w:type="dxa"/>
            <w:tcBorders>
              <w:top w:val="nil"/>
              <w:left w:val="nil"/>
              <w:bottom w:val="single" w:color="auto" w:sz="4" w:space="0"/>
              <w:right w:val="single" w:color="auto" w:sz="4" w:space="0"/>
            </w:tcBorders>
            <w:shd w:val="clear" w:color="000000" w:fill="FFFFFF"/>
            <w:noWrap/>
            <w:vAlign w:val="center"/>
          </w:tcPr>
          <w:p w14:paraId="38361738">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39051B2F">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2C570F5B">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　</w:t>
            </w:r>
          </w:p>
        </w:tc>
      </w:tr>
      <w:tr w14:paraId="5CD5189D">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1747AE61">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1.6</w:t>
            </w:r>
          </w:p>
        </w:tc>
        <w:tc>
          <w:tcPr>
            <w:tcW w:w="1961" w:type="dxa"/>
            <w:tcBorders>
              <w:top w:val="nil"/>
              <w:left w:val="nil"/>
              <w:bottom w:val="single" w:color="auto" w:sz="4" w:space="0"/>
              <w:right w:val="single" w:color="auto" w:sz="4" w:space="0"/>
            </w:tcBorders>
            <w:shd w:val="clear" w:color="000000" w:fill="FFFFFF"/>
            <w:noWrap/>
            <w:vAlign w:val="center"/>
          </w:tcPr>
          <w:p w14:paraId="6CEE3CEB">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有源功分器</w:t>
            </w:r>
          </w:p>
        </w:tc>
        <w:tc>
          <w:tcPr>
            <w:tcW w:w="4996" w:type="dxa"/>
            <w:tcBorders>
              <w:top w:val="nil"/>
              <w:left w:val="nil"/>
              <w:bottom w:val="single" w:color="auto" w:sz="4" w:space="0"/>
              <w:right w:val="single" w:color="auto" w:sz="4" w:space="0"/>
            </w:tcBorders>
            <w:shd w:val="clear" w:color="000000" w:fill="FFFFFF"/>
            <w:vAlign w:val="center"/>
          </w:tcPr>
          <w:p w14:paraId="69FFA960">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有源L-Band功分器</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整U结构，要求适合19英寸标准机架安装。</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工作电压范围为100-240V，支持双路供电，冗余备份电源；</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接口为F型连接器，输入输出阻抗为75Ω，说明具体类型；</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工作频率范围950MHz-2150MHz；</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插入损耗≤2dB；</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平坦度±2dB；</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隔离度≥18dB；</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输入反射损耗≥12dB；</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输出反射损耗≥16dB；</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为便于维护，要求型号统一，全部采用16路分配。</w:t>
            </w:r>
          </w:p>
        </w:tc>
        <w:tc>
          <w:tcPr>
            <w:tcW w:w="872" w:type="dxa"/>
            <w:tcBorders>
              <w:top w:val="nil"/>
              <w:left w:val="nil"/>
              <w:bottom w:val="single" w:color="auto" w:sz="4" w:space="0"/>
              <w:right w:val="single" w:color="auto" w:sz="4" w:space="0"/>
            </w:tcBorders>
            <w:shd w:val="clear" w:color="000000" w:fill="FFFFFF"/>
            <w:noWrap/>
            <w:vAlign w:val="center"/>
          </w:tcPr>
          <w:p w14:paraId="3308B016">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noWrap/>
            <w:vAlign w:val="center"/>
          </w:tcPr>
          <w:p w14:paraId="6C664DC4">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9</w:t>
            </w:r>
          </w:p>
        </w:tc>
        <w:tc>
          <w:tcPr>
            <w:tcW w:w="1641" w:type="dxa"/>
            <w:tcBorders>
              <w:top w:val="nil"/>
              <w:left w:val="nil"/>
              <w:bottom w:val="single" w:color="auto" w:sz="4" w:space="0"/>
              <w:right w:val="single" w:color="auto" w:sz="4" w:space="0"/>
            </w:tcBorders>
            <w:shd w:val="clear" w:color="000000" w:fill="FFFFFF"/>
            <w:noWrap/>
            <w:vAlign w:val="center"/>
          </w:tcPr>
          <w:p w14:paraId="7A2BF3E6">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09638C56">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1C4D4940">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　</w:t>
            </w:r>
          </w:p>
        </w:tc>
      </w:tr>
      <w:tr w14:paraId="1FC0415B">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63CDD6C5">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1.7</w:t>
            </w:r>
          </w:p>
        </w:tc>
        <w:tc>
          <w:tcPr>
            <w:tcW w:w="1961" w:type="dxa"/>
            <w:tcBorders>
              <w:top w:val="nil"/>
              <w:left w:val="nil"/>
              <w:bottom w:val="single" w:color="auto" w:sz="4" w:space="0"/>
              <w:right w:val="single" w:color="auto" w:sz="4" w:space="0"/>
            </w:tcBorders>
            <w:shd w:val="clear" w:color="000000" w:fill="FFFFFF"/>
            <w:noWrap/>
            <w:vAlign w:val="center"/>
          </w:tcPr>
          <w:p w14:paraId="237C8C68">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射频分配器</w:t>
            </w:r>
          </w:p>
        </w:tc>
        <w:tc>
          <w:tcPr>
            <w:tcW w:w="4996" w:type="dxa"/>
            <w:tcBorders>
              <w:top w:val="nil"/>
              <w:left w:val="nil"/>
              <w:bottom w:val="single" w:color="auto" w:sz="4" w:space="0"/>
              <w:right w:val="single" w:color="auto" w:sz="4" w:space="0"/>
            </w:tcBorders>
            <w:shd w:val="clear" w:color="000000" w:fill="FFFFFF"/>
            <w:vAlign w:val="center"/>
          </w:tcPr>
          <w:p w14:paraId="16D5E15D">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射频分配器，含机框。</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射频输入输出接口F型连接器，阻抗为75</w:t>
            </w:r>
            <w:r>
              <w:rPr>
                <w:rFonts w:ascii="宋体" w:hAnsi="宋体" w:eastAsia="宋体" w:cs="Calibri"/>
                <w:color w:val="000000"/>
                <w:kern w:val="0"/>
                <w:sz w:val="24"/>
                <w:szCs w:val="24"/>
                <w14:ligatures w14:val="none"/>
              </w:rPr>
              <w:t>Ω</w:t>
            </w:r>
            <w:r>
              <w:rPr>
                <w:rFonts w:hint="eastAsia" w:ascii="宋体" w:hAnsi="宋体" w:eastAsia="宋体" w:cs="宋体"/>
                <w:color w:val="000000"/>
                <w:kern w:val="0"/>
                <w:sz w:val="24"/>
                <w:szCs w:val="24"/>
                <w14:ligatures w14:val="none"/>
              </w:rPr>
              <w:t>。</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8路分配或8路混合插入损耗为5～860MHz≤12.1dB、860～1000MHz≤12.1dB。</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监测口监测电平插损（监测口与监测点电平）：5～860MHz：-20.0±0.8、860～1000MHz：-20.0±0.8。</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输入输出反射损耗：5～65MHz≥20dB；65～1000MHz≥20dB。</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隔离度：5～65MHz≥30dB；65～1000MHz≥30dB。</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屏蔽损耗≥100dB。</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带内平坦度：5～860MHz≤±0.5dB、860～1000MHz≤±0.5dB。</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空余端口须配置空负载。</w:t>
            </w:r>
          </w:p>
        </w:tc>
        <w:tc>
          <w:tcPr>
            <w:tcW w:w="872" w:type="dxa"/>
            <w:tcBorders>
              <w:top w:val="nil"/>
              <w:left w:val="nil"/>
              <w:bottom w:val="single" w:color="auto" w:sz="4" w:space="0"/>
              <w:right w:val="single" w:color="auto" w:sz="4" w:space="0"/>
            </w:tcBorders>
            <w:shd w:val="clear" w:color="000000" w:fill="FFFFFF"/>
            <w:noWrap/>
            <w:vAlign w:val="center"/>
          </w:tcPr>
          <w:p w14:paraId="02FD12ED">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套</w:t>
            </w:r>
          </w:p>
        </w:tc>
        <w:tc>
          <w:tcPr>
            <w:tcW w:w="856" w:type="dxa"/>
            <w:tcBorders>
              <w:top w:val="nil"/>
              <w:left w:val="nil"/>
              <w:bottom w:val="single" w:color="auto" w:sz="4" w:space="0"/>
              <w:right w:val="single" w:color="auto" w:sz="4" w:space="0"/>
            </w:tcBorders>
            <w:shd w:val="clear" w:color="000000" w:fill="FFFFFF"/>
            <w:noWrap/>
            <w:vAlign w:val="center"/>
          </w:tcPr>
          <w:p w14:paraId="6C2A63D7">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1</w:t>
            </w:r>
          </w:p>
        </w:tc>
        <w:tc>
          <w:tcPr>
            <w:tcW w:w="1641" w:type="dxa"/>
            <w:tcBorders>
              <w:top w:val="nil"/>
              <w:left w:val="nil"/>
              <w:bottom w:val="single" w:color="auto" w:sz="4" w:space="0"/>
              <w:right w:val="single" w:color="auto" w:sz="4" w:space="0"/>
            </w:tcBorders>
            <w:shd w:val="clear" w:color="000000" w:fill="FFFFFF"/>
            <w:noWrap/>
            <w:vAlign w:val="center"/>
          </w:tcPr>
          <w:p w14:paraId="479F442D">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611164CC">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24F09F32">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　</w:t>
            </w:r>
          </w:p>
        </w:tc>
      </w:tr>
      <w:tr w14:paraId="4BE00193">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7F735213">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1.8</w:t>
            </w:r>
          </w:p>
        </w:tc>
        <w:tc>
          <w:tcPr>
            <w:tcW w:w="1961" w:type="dxa"/>
            <w:tcBorders>
              <w:top w:val="nil"/>
              <w:left w:val="nil"/>
              <w:bottom w:val="single" w:color="auto" w:sz="4" w:space="0"/>
              <w:right w:val="single" w:color="auto" w:sz="4" w:space="0"/>
            </w:tcBorders>
            <w:shd w:val="clear" w:color="000000" w:fill="FFFFFF"/>
            <w:noWrap/>
            <w:vAlign w:val="center"/>
          </w:tcPr>
          <w:p w14:paraId="3F2D52EF">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C波段解扰卡</w:t>
            </w:r>
          </w:p>
        </w:tc>
        <w:tc>
          <w:tcPr>
            <w:tcW w:w="4996" w:type="dxa"/>
            <w:tcBorders>
              <w:top w:val="nil"/>
              <w:left w:val="nil"/>
              <w:bottom w:val="single" w:color="auto" w:sz="4" w:space="0"/>
              <w:right w:val="single" w:color="auto" w:sz="4" w:space="0"/>
            </w:tcBorders>
            <w:shd w:val="clear" w:color="000000" w:fill="FFFFFF"/>
            <w:vAlign w:val="center"/>
          </w:tcPr>
          <w:p w14:paraId="34936F1E">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大小卡，一解一。</w:t>
            </w:r>
          </w:p>
        </w:tc>
        <w:tc>
          <w:tcPr>
            <w:tcW w:w="872" w:type="dxa"/>
            <w:tcBorders>
              <w:top w:val="nil"/>
              <w:left w:val="nil"/>
              <w:bottom w:val="single" w:color="auto" w:sz="4" w:space="0"/>
              <w:right w:val="single" w:color="auto" w:sz="4" w:space="0"/>
            </w:tcBorders>
            <w:shd w:val="clear" w:color="000000" w:fill="FFFFFF"/>
            <w:noWrap/>
            <w:vAlign w:val="center"/>
          </w:tcPr>
          <w:p w14:paraId="751C6321">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noWrap/>
            <w:vAlign w:val="center"/>
          </w:tcPr>
          <w:p w14:paraId="318FC5D8">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11</w:t>
            </w:r>
          </w:p>
        </w:tc>
        <w:tc>
          <w:tcPr>
            <w:tcW w:w="1641" w:type="dxa"/>
            <w:tcBorders>
              <w:top w:val="nil"/>
              <w:left w:val="nil"/>
              <w:bottom w:val="single" w:color="auto" w:sz="4" w:space="0"/>
              <w:right w:val="single" w:color="auto" w:sz="4" w:space="0"/>
            </w:tcBorders>
            <w:shd w:val="clear" w:color="000000" w:fill="FFFFFF"/>
            <w:noWrap/>
            <w:vAlign w:val="center"/>
          </w:tcPr>
          <w:p w14:paraId="3AE7251F">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59E059FF">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71C7F576">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　</w:t>
            </w:r>
          </w:p>
        </w:tc>
      </w:tr>
      <w:tr w14:paraId="1B29F2B6">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0A961ACA">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1.9</w:t>
            </w:r>
          </w:p>
        </w:tc>
        <w:tc>
          <w:tcPr>
            <w:tcW w:w="1961" w:type="dxa"/>
            <w:tcBorders>
              <w:top w:val="nil"/>
              <w:left w:val="nil"/>
              <w:bottom w:val="single" w:color="auto" w:sz="4" w:space="0"/>
              <w:right w:val="single" w:color="auto" w:sz="4" w:space="0"/>
            </w:tcBorders>
            <w:shd w:val="clear" w:color="000000" w:fill="FFFFFF"/>
            <w:noWrap/>
            <w:vAlign w:val="center"/>
          </w:tcPr>
          <w:p w14:paraId="750CE156">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KU波段解扰卡</w:t>
            </w:r>
          </w:p>
        </w:tc>
        <w:tc>
          <w:tcPr>
            <w:tcW w:w="4996" w:type="dxa"/>
            <w:tcBorders>
              <w:top w:val="nil"/>
              <w:left w:val="nil"/>
              <w:bottom w:val="single" w:color="auto" w:sz="4" w:space="0"/>
              <w:right w:val="single" w:color="auto" w:sz="4" w:space="0"/>
            </w:tcBorders>
            <w:shd w:val="clear" w:color="000000" w:fill="FFFFFF"/>
            <w:vAlign w:val="center"/>
          </w:tcPr>
          <w:p w14:paraId="02B322B7">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大小卡，一解一。</w:t>
            </w:r>
          </w:p>
        </w:tc>
        <w:tc>
          <w:tcPr>
            <w:tcW w:w="872" w:type="dxa"/>
            <w:tcBorders>
              <w:top w:val="nil"/>
              <w:left w:val="nil"/>
              <w:bottom w:val="single" w:color="auto" w:sz="4" w:space="0"/>
              <w:right w:val="single" w:color="auto" w:sz="4" w:space="0"/>
            </w:tcBorders>
            <w:shd w:val="clear" w:color="000000" w:fill="FFFFFF"/>
            <w:noWrap/>
            <w:vAlign w:val="center"/>
          </w:tcPr>
          <w:p w14:paraId="1194F35F">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套</w:t>
            </w:r>
          </w:p>
        </w:tc>
        <w:tc>
          <w:tcPr>
            <w:tcW w:w="856" w:type="dxa"/>
            <w:tcBorders>
              <w:top w:val="nil"/>
              <w:left w:val="nil"/>
              <w:bottom w:val="single" w:color="auto" w:sz="4" w:space="0"/>
              <w:right w:val="single" w:color="auto" w:sz="4" w:space="0"/>
            </w:tcBorders>
            <w:shd w:val="clear" w:color="000000" w:fill="FFFFFF"/>
            <w:noWrap/>
            <w:vAlign w:val="center"/>
          </w:tcPr>
          <w:p w14:paraId="5D86ADC5">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6</w:t>
            </w:r>
          </w:p>
        </w:tc>
        <w:tc>
          <w:tcPr>
            <w:tcW w:w="1641" w:type="dxa"/>
            <w:tcBorders>
              <w:top w:val="nil"/>
              <w:left w:val="nil"/>
              <w:bottom w:val="single" w:color="auto" w:sz="4" w:space="0"/>
              <w:right w:val="single" w:color="auto" w:sz="4" w:space="0"/>
            </w:tcBorders>
            <w:shd w:val="clear" w:color="000000" w:fill="FFFFFF"/>
            <w:noWrap/>
            <w:vAlign w:val="center"/>
          </w:tcPr>
          <w:p w14:paraId="65921E36">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57E9383C">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26CD18D6">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　</w:t>
            </w:r>
          </w:p>
        </w:tc>
      </w:tr>
      <w:tr w14:paraId="63F3D81A">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7C587CA6">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1.10</w:t>
            </w:r>
          </w:p>
        </w:tc>
        <w:tc>
          <w:tcPr>
            <w:tcW w:w="1961" w:type="dxa"/>
            <w:tcBorders>
              <w:top w:val="nil"/>
              <w:left w:val="nil"/>
              <w:bottom w:val="single" w:color="auto" w:sz="4" w:space="0"/>
              <w:right w:val="single" w:color="auto" w:sz="4" w:space="0"/>
            </w:tcBorders>
            <w:shd w:val="clear" w:color="000000" w:fill="FFFFFF"/>
            <w:noWrap/>
            <w:vAlign w:val="center"/>
          </w:tcPr>
          <w:p w14:paraId="490FA2C8">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卫星底座及配套设施</w:t>
            </w:r>
          </w:p>
        </w:tc>
        <w:tc>
          <w:tcPr>
            <w:tcW w:w="4996" w:type="dxa"/>
            <w:tcBorders>
              <w:top w:val="nil"/>
              <w:left w:val="nil"/>
              <w:bottom w:val="single" w:color="auto" w:sz="4" w:space="0"/>
              <w:right w:val="single" w:color="auto" w:sz="4" w:space="0"/>
            </w:tcBorders>
            <w:shd w:val="clear" w:color="000000" w:fill="FFFFFF"/>
            <w:vAlign w:val="center"/>
          </w:tcPr>
          <w:p w14:paraId="4E7D3ED3">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根据现场需求提供足量的馈线、-9线、辅材；底座制作及配套材料、人工、运输、搬运等定制服务。</w:t>
            </w:r>
          </w:p>
        </w:tc>
        <w:tc>
          <w:tcPr>
            <w:tcW w:w="872" w:type="dxa"/>
            <w:tcBorders>
              <w:top w:val="nil"/>
              <w:left w:val="nil"/>
              <w:bottom w:val="single" w:color="auto" w:sz="4" w:space="0"/>
              <w:right w:val="single" w:color="auto" w:sz="4" w:space="0"/>
            </w:tcBorders>
            <w:shd w:val="clear" w:color="000000" w:fill="FFFFFF"/>
            <w:noWrap/>
            <w:vAlign w:val="center"/>
          </w:tcPr>
          <w:p w14:paraId="5A89EF43">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项</w:t>
            </w:r>
          </w:p>
        </w:tc>
        <w:tc>
          <w:tcPr>
            <w:tcW w:w="856" w:type="dxa"/>
            <w:tcBorders>
              <w:top w:val="nil"/>
              <w:left w:val="nil"/>
              <w:bottom w:val="single" w:color="auto" w:sz="4" w:space="0"/>
              <w:right w:val="single" w:color="auto" w:sz="4" w:space="0"/>
            </w:tcBorders>
            <w:shd w:val="clear" w:color="000000" w:fill="FFFFFF"/>
            <w:noWrap/>
            <w:vAlign w:val="center"/>
          </w:tcPr>
          <w:p w14:paraId="5F795E2D">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6</w:t>
            </w:r>
          </w:p>
        </w:tc>
        <w:tc>
          <w:tcPr>
            <w:tcW w:w="1641" w:type="dxa"/>
            <w:tcBorders>
              <w:top w:val="nil"/>
              <w:left w:val="nil"/>
              <w:bottom w:val="single" w:color="auto" w:sz="4" w:space="0"/>
              <w:right w:val="single" w:color="auto" w:sz="4" w:space="0"/>
            </w:tcBorders>
            <w:shd w:val="clear" w:color="000000" w:fill="FFFFFF"/>
            <w:noWrap/>
            <w:vAlign w:val="center"/>
          </w:tcPr>
          <w:p w14:paraId="744F7444">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1AFEB0AE">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42BB0FBC">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　</w:t>
            </w:r>
          </w:p>
        </w:tc>
      </w:tr>
      <w:tr w14:paraId="2728FA7B">
        <w:tblPrEx>
          <w:tblCellMar>
            <w:top w:w="0" w:type="dxa"/>
            <w:left w:w="108" w:type="dxa"/>
            <w:bottom w:w="0" w:type="dxa"/>
            <w:right w:w="108" w:type="dxa"/>
          </w:tblCellMar>
        </w:tblPrEx>
        <w:trPr>
          <w:trHeight w:val="567" w:hRule="atLeast"/>
        </w:trPr>
        <w:tc>
          <w:tcPr>
            <w:tcW w:w="1091" w:type="dxa"/>
            <w:tcBorders>
              <w:top w:val="nil"/>
              <w:left w:val="single" w:color="auto" w:sz="4" w:space="0"/>
              <w:bottom w:val="nil"/>
              <w:right w:val="single" w:color="auto" w:sz="4" w:space="0"/>
            </w:tcBorders>
            <w:shd w:val="clear" w:color="000000" w:fill="FFFFFF"/>
            <w:noWrap/>
            <w:vAlign w:val="center"/>
          </w:tcPr>
          <w:p w14:paraId="7F720614">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（二）</w:t>
            </w:r>
          </w:p>
        </w:tc>
        <w:tc>
          <w:tcPr>
            <w:tcW w:w="1961" w:type="dxa"/>
            <w:tcBorders>
              <w:top w:val="nil"/>
              <w:left w:val="nil"/>
              <w:bottom w:val="nil"/>
              <w:right w:val="single" w:color="auto" w:sz="4" w:space="0"/>
            </w:tcBorders>
            <w:shd w:val="clear" w:color="000000" w:fill="FFFFFF"/>
            <w:noWrap/>
            <w:vAlign w:val="center"/>
          </w:tcPr>
          <w:p w14:paraId="1BDAFB78">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收录和监测系统</w:t>
            </w:r>
          </w:p>
        </w:tc>
        <w:tc>
          <w:tcPr>
            <w:tcW w:w="4996" w:type="dxa"/>
            <w:tcBorders>
              <w:top w:val="nil"/>
              <w:left w:val="nil"/>
              <w:bottom w:val="nil"/>
              <w:right w:val="single" w:color="auto" w:sz="4" w:space="0"/>
            </w:tcBorders>
            <w:shd w:val="clear" w:color="000000" w:fill="FFFFFF"/>
            <w:vAlign w:val="center"/>
          </w:tcPr>
          <w:p w14:paraId="7AD513E2">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　</w:t>
            </w:r>
          </w:p>
        </w:tc>
        <w:tc>
          <w:tcPr>
            <w:tcW w:w="872" w:type="dxa"/>
            <w:tcBorders>
              <w:top w:val="nil"/>
              <w:left w:val="nil"/>
              <w:bottom w:val="single" w:color="auto" w:sz="4" w:space="0"/>
              <w:right w:val="single" w:color="auto" w:sz="4" w:space="0"/>
            </w:tcBorders>
            <w:shd w:val="clear" w:color="000000" w:fill="FFFFFF"/>
            <w:noWrap/>
            <w:vAlign w:val="center"/>
          </w:tcPr>
          <w:p w14:paraId="478D617F">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c>
          <w:tcPr>
            <w:tcW w:w="856" w:type="dxa"/>
            <w:tcBorders>
              <w:top w:val="nil"/>
              <w:left w:val="nil"/>
              <w:bottom w:val="single" w:color="auto" w:sz="4" w:space="0"/>
              <w:right w:val="single" w:color="auto" w:sz="4" w:space="0"/>
            </w:tcBorders>
            <w:shd w:val="clear" w:color="000000" w:fill="FFFFFF"/>
            <w:noWrap/>
            <w:vAlign w:val="center"/>
          </w:tcPr>
          <w:p w14:paraId="3BA109D4">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c>
          <w:tcPr>
            <w:tcW w:w="1641" w:type="dxa"/>
            <w:tcBorders>
              <w:top w:val="nil"/>
              <w:left w:val="nil"/>
              <w:bottom w:val="single" w:color="auto" w:sz="4" w:space="0"/>
              <w:right w:val="single" w:color="auto" w:sz="4" w:space="0"/>
            </w:tcBorders>
            <w:shd w:val="clear" w:color="000000" w:fill="FFFFFF"/>
            <w:noWrap/>
            <w:vAlign w:val="center"/>
          </w:tcPr>
          <w:p w14:paraId="5FB7E24D">
            <w:pPr>
              <w:widowControl/>
              <w:jc w:val="left"/>
              <w:rPr>
                <w:rFonts w:hint="eastAsia" w:ascii="宋体" w:hAnsi="宋体" w:eastAsia="宋体" w:cs="宋体"/>
                <w:color w:val="000000"/>
                <w:kern w:val="0"/>
                <w:sz w:val="24"/>
                <w:szCs w:val="24"/>
                <w14:ligatures w14:val="none"/>
              </w:rPr>
            </w:pPr>
          </w:p>
        </w:tc>
        <w:tc>
          <w:tcPr>
            <w:tcW w:w="0" w:type="auto"/>
            <w:tcBorders>
              <w:top w:val="nil"/>
              <w:left w:val="nil"/>
              <w:bottom w:val="nil"/>
              <w:right w:val="single" w:color="auto" w:sz="4" w:space="0"/>
            </w:tcBorders>
            <w:shd w:val="clear" w:color="000000" w:fill="FFFFFF"/>
            <w:noWrap/>
            <w:vAlign w:val="center"/>
          </w:tcPr>
          <w:p w14:paraId="7B13EA78">
            <w:pPr>
              <w:widowControl/>
              <w:jc w:val="left"/>
              <w:rPr>
                <w:rFonts w:hint="eastAsia" w:ascii="宋体" w:hAnsi="宋体" w:eastAsia="宋体" w:cs="宋体"/>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vAlign w:val="center"/>
          </w:tcPr>
          <w:p w14:paraId="476B42CF">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2D481250">
        <w:tblPrEx>
          <w:tblCellMar>
            <w:top w:w="0" w:type="dxa"/>
            <w:left w:w="108" w:type="dxa"/>
            <w:bottom w:w="0" w:type="dxa"/>
            <w:right w:w="108" w:type="dxa"/>
          </w:tblCellMar>
        </w:tblPrEx>
        <w:trPr>
          <w:trHeight w:val="567" w:hRule="atLeast"/>
        </w:trPr>
        <w:tc>
          <w:tcPr>
            <w:tcW w:w="1091"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6A61A81B">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2.1</w:t>
            </w:r>
          </w:p>
        </w:tc>
        <w:tc>
          <w:tcPr>
            <w:tcW w:w="1961" w:type="dxa"/>
            <w:tcBorders>
              <w:top w:val="single" w:color="auto" w:sz="4" w:space="0"/>
              <w:left w:val="nil"/>
              <w:bottom w:val="single" w:color="auto" w:sz="4" w:space="0"/>
              <w:right w:val="single" w:color="auto" w:sz="4" w:space="0"/>
            </w:tcBorders>
            <w:shd w:val="clear" w:color="000000" w:fill="FFFFFF"/>
            <w:noWrap/>
            <w:vAlign w:val="center"/>
          </w:tcPr>
          <w:p w14:paraId="1A9D6854">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 xml:space="preserve"> 解码器</w:t>
            </w:r>
          </w:p>
        </w:tc>
        <w:tc>
          <w:tcPr>
            <w:tcW w:w="4996" w:type="dxa"/>
            <w:tcBorders>
              <w:top w:val="single" w:color="auto" w:sz="4" w:space="0"/>
              <w:left w:val="nil"/>
              <w:bottom w:val="single" w:color="auto" w:sz="4" w:space="0"/>
              <w:right w:val="single" w:color="auto" w:sz="4" w:space="0"/>
            </w:tcBorders>
            <w:shd w:val="clear" w:color="000000" w:fill="FFFFFF"/>
            <w:vAlign w:val="center"/>
          </w:tcPr>
          <w:p w14:paraId="7100A79A">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支持MPEG-2（MP@ ML&amp; MP@HL）、MPEG4 AVC/H.264、H.265、AVS+视频格式解码。</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支持DVB-S2/T2/C/T/DTMB/ABS-S/ATSC等Tuner，支持TS/IP、ASI输入，支持多个数字、模拟输出接口：HDMI、CVBS。</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支持AAC、AC3、DRA支持UDP/RTP，单播/组播，全双工千兆网接口，可实现单节目和多节目流传输。</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支持双路输入，并带有复用功能，双CI卡槽解扰，并支持BISS-1和BISS-E多节目解扰。</w:t>
            </w:r>
          </w:p>
        </w:tc>
        <w:tc>
          <w:tcPr>
            <w:tcW w:w="872" w:type="dxa"/>
            <w:tcBorders>
              <w:top w:val="nil"/>
              <w:left w:val="nil"/>
              <w:bottom w:val="single" w:color="auto" w:sz="4" w:space="0"/>
              <w:right w:val="single" w:color="auto" w:sz="4" w:space="0"/>
            </w:tcBorders>
            <w:shd w:val="clear" w:color="000000" w:fill="FFFFFF"/>
            <w:noWrap/>
            <w:vAlign w:val="center"/>
          </w:tcPr>
          <w:p w14:paraId="26DA9A49">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noWrap/>
            <w:vAlign w:val="center"/>
          </w:tcPr>
          <w:p w14:paraId="1F329DF3">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8</w:t>
            </w:r>
          </w:p>
        </w:tc>
        <w:tc>
          <w:tcPr>
            <w:tcW w:w="1641" w:type="dxa"/>
            <w:tcBorders>
              <w:top w:val="nil"/>
              <w:left w:val="nil"/>
              <w:bottom w:val="single" w:color="auto" w:sz="4" w:space="0"/>
              <w:right w:val="single" w:color="auto" w:sz="4" w:space="0"/>
            </w:tcBorders>
            <w:shd w:val="clear" w:color="000000" w:fill="FFFFFF"/>
            <w:noWrap/>
            <w:vAlign w:val="center"/>
          </w:tcPr>
          <w:p w14:paraId="113BCAC6">
            <w:pPr>
              <w:widowControl/>
              <w:jc w:val="right"/>
              <w:rPr>
                <w:rFonts w:hint="eastAsia" w:ascii="宋体" w:hAnsi="宋体" w:eastAsia="宋体" w:cs="宋体"/>
                <w:color w:val="000000"/>
                <w:kern w:val="0"/>
                <w:sz w:val="24"/>
                <w:szCs w:val="24"/>
                <w14:ligatures w14:val="none"/>
              </w:rPr>
            </w:pPr>
          </w:p>
        </w:tc>
        <w:tc>
          <w:tcPr>
            <w:tcW w:w="0" w:type="auto"/>
            <w:tcBorders>
              <w:top w:val="single" w:color="auto" w:sz="4" w:space="0"/>
              <w:left w:val="nil"/>
              <w:bottom w:val="single" w:color="auto" w:sz="4" w:space="0"/>
              <w:right w:val="single" w:color="auto" w:sz="4" w:space="0"/>
            </w:tcBorders>
            <w:shd w:val="clear" w:color="000000" w:fill="FFFFFF"/>
            <w:noWrap/>
            <w:vAlign w:val="center"/>
          </w:tcPr>
          <w:p w14:paraId="3F3ADE42">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vAlign w:val="center"/>
          </w:tcPr>
          <w:p w14:paraId="67FBBC7F">
            <w:pPr>
              <w:widowControl/>
              <w:jc w:val="left"/>
              <w:rPr>
                <w:rFonts w:hint="eastAsia" w:ascii="宋体" w:hAnsi="宋体" w:eastAsia="宋体" w:cs="宋体"/>
                <w:color w:val="FF0000"/>
                <w:kern w:val="0"/>
                <w:sz w:val="24"/>
                <w:szCs w:val="24"/>
                <w14:ligatures w14:val="none"/>
              </w:rPr>
            </w:pPr>
            <w:r>
              <w:rPr>
                <w:rFonts w:hint="eastAsia" w:ascii="宋体" w:hAnsi="宋体" w:eastAsia="宋体" w:cs="宋体"/>
                <w:color w:val="FF0000"/>
                <w:kern w:val="0"/>
                <w:sz w:val="24"/>
                <w:szCs w:val="24"/>
                <w14:ligatures w14:val="none"/>
              </w:rPr>
              <w:t>　</w:t>
            </w:r>
          </w:p>
        </w:tc>
      </w:tr>
      <w:tr w14:paraId="46A67D53">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4B27F589">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2.2</w:t>
            </w:r>
          </w:p>
        </w:tc>
        <w:tc>
          <w:tcPr>
            <w:tcW w:w="1961" w:type="dxa"/>
            <w:tcBorders>
              <w:top w:val="nil"/>
              <w:left w:val="nil"/>
              <w:bottom w:val="single" w:color="auto" w:sz="4" w:space="0"/>
              <w:right w:val="single" w:color="auto" w:sz="4" w:space="0"/>
            </w:tcBorders>
            <w:shd w:val="clear" w:color="000000" w:fill="FFFFFF"/>
            <w:noWrap/>
            <w:vAlign w:val="center"/>
          </w:tcPr>
          <w:p w14:paraId="59AF99C4">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TS流收录系统</w:t>
            </w:r>
          </w:p>
        </w:tc>
        <w:tc>
          <w:tcPr>
            <w:tcW w:w="4996" w:type="dxa"/>
            <w:tcBorders>
              <w:top w:val="nil"/>
              <w:left w:val="nil"/>
              <w:bottom w:val="single" w:color="auto" w:sz="4" w:space="0"/>
              <w:right w:val="single" w:color="auto" w:sz="4" w:space="0"/>
            </w:tcBorders>
            <w:shd w:val="clear" w:color="000000" w:fill="FFFFFF"/>
            <w:vAlign w:val="center"/>
          </w:tcPr>
          <w:p w14:paraId="54AA5583">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1、性能不低于以下配置：英特尔i7主流处理器、32G内存、4T素材盘+512G固态硬盘、24寸液晶显示器、1000M 网卡、键盘、鼠标、8G千兆显卡*1；</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软件配置：</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2、正版操作系统</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3、▲对前端系统输出的信号实现实时监测和监看，在主界面的主视图区域可以多画面方式显示系统当前所监测节目的视频画面和音量柱，支持多画面进行全屏显示；(提供广电机构主管部门出具带CMA、CNAS标志的检测报告佐证)。</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4、▲节目信息分析：当前TS流包含的各路节目的节目号、PMT_PID、PCR_PID、各节目业务的提供者名称、业务名称、加扰状态、运行状态、各节目的组件描述、各节目视音频实时码率的显示、各节目视音频流的参数信息；(提供广电机构主管部门出具带CMA、CNAS标志的检测报告佐证)。</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5、 内置流媒体服务功能，支持码流推送功能，支持高低码率同步编码，支持RTSP、RTMP等主流流媒体格式；</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6、支持多层图文功能，可对输入输出信号实时叠加OSD状态及报警信息，支持挂角、名称、游字、时钟等多种图元；</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7、支持声光报警，可实现语音、声效、灯光、屏闪等多种预警方式；</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 xml:space="preserve">8、▲具备PSI/SI信息的分析显示和及时刷新功能。具备PCR精度、间隔统计分析功能；PSI/SI表格分析，对PSI/SI数据进行实时采集解析，完成PAT、PMT、CAT、BAT、NIT、SDT、EIT的分析；可显示最小码率、最大码率、有效码率、当前码率、节目数量、PID数量、包长度等信息；可显示PSI/SI码率、空包码率、音频码率、视频码率 (提供广电机构主管部门出具带CMA、CNAS标志的检测报告佐证)。  </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9、支持信号比对功能，可实时检测、预警输入信号的同步播出状态，支持帧级别的差异精度统计；</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10、▲静帧、黑场、视音频丢失、声音过高/过低，当码流中视音频异态（例如视频黑场、视频信号丢失、音频静音、视频静帧）时，监测端的系统日志窗口可现实相应的日志信息，包括时间、异态类型、出现异态的信号源/节目等，同时主控端进行报警 ；(提供广电机构主管部门出具带CMA、CNAS标志的检测报告佐证)。</w:t>
            </w:r>
          </w:p>
        </w:tc>
        <w:tc>
          <w:tcPr>
            <w:tcW w:w="872" w:type="dxa"/>
            <w:tcBorders>
              <w:top w:val="nil"/>
              <w:left w:val="nil"/>
              <w:bottom w:val="single" w:color="auto" w:sz="4" w:space="0"/>
              <w:right w:val="single" w:color="auto" w:sz="4" w:space="0"/>
            </w:tcBorders>
            <w:shd w:val="clear" w:color="000000" w:fill="FFFFFF"/>
            <w:noWrap/>
            <w:vAlign w:val="center"/>
          </w:tcPr>
          <w:p w14:paraId="62E6CE60">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套</w:t>
            </w:r>
          </w:p>
        </w:tc>
        <w:tc>
          <w:tcPr>
            <w:tcW w:w="856" w:type="dxa"/>
            <w:tcBorders>
              <w:top w:val="nil"/>
              <w:left w:val="nil"/>
              <w:bottom w:val="single" w:color="auto" w:sz="4" w:space="0"/>
              <w:right w:val="single" w:color="auto" w:sz="4" w:space="0"/>
            </w:tcBorders>
            <w:shd w:val="clear" w:color="000000" w:fill="FFFFFF"/>
            <w:noWrap/>
            <w:vAlign w:val="center"/>
          </w:tcPr>
          <w:p w14:paraId="67262CB1">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3</w:t>
            </w:r>
          </w:p>
        </w:tc>
        <w:tc>
          <w:tcPr>
            <w:tcW w:w="1641" w:type="dxa"/>
            <w:tcBorders>
              <w:top w:val="nil"/>
              <w:left w:val="nil"/>
              <w:bottom w:val="single" w:color="auto" w:sz="4" w:space="0"/>
              <w:right w:val="single" w:color="auto" w:sz="4" w:space="0"/>
            </w:tcBorders>
            <w:shd w:val="clear" w:color="000000" w:fill="FFFFFF"/>
            <w:noWrap/>
            <w:vAlign w:val="center"/>
          </w:tcPr>
          <w:p w14:paraId="1A616262">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51E70B0C">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vAlign w:val="center"/>
          </w:tcPr>
          <w:p w14:paraId="3D5C28BE">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6E4238AD">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7C33F227">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2.3</w:t>
            </w:r>
          </w:p>
        </w:tc>
        <w:tc>
          <w:tcPr>
            <w:tcW w:w="1961" w:type="dxa"/>
            <w:tcBorders>
              <w:top w:val="nil"/>
              <w:left w:val="nil"/>
              <w:bottom w:val="single" w:color="auto" w:sz="4" w:space="0"/>
              <w:right w:val="single" w:color="auto" w:sz="4" w:space="0"/>
            </w:tcBorders>
            <w:shd w:val="clear" w:color="000000" w:fill="FFFFFF"/>
            <w:noWrap/>
            <w:vAlign w:val="center"/>
          </w:tcPr>
          <w:p w14:paraId="53A5D36E">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数字前端监测报警系统</w:t>
            </w:r>
          </w:p>
        </w:tc>
        <w:tc>
          <w:tcPr>
            <w:tcW w:w="4996" w:type="dxa"/>
            <w:tcBorders>
              <w:top w:val="nil"/>
              <w:left w:val="nil"/>
              <w:bottom w:val="single" w:color="auto" w:sz="4" w:space="0"/>
              <w:right w:val="single" w:color="auto" w:sz="4" w:space="0"/>
            </w:tcBorders>
            <w:shd w:val="clear" w:color="000000" w:fill="FFFFFF"/>
            <w:vAlign w:val="center"/>
          </w:tcPr>
          <w:p w14:paraId="6B4DF150">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性能不低于以下配置：英特尔i7主流处理器、32G内存、4T素材盘+512G固态硬盘、24寸液晶显示器、1000M 网卡、键盘、鼠标</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软件配置：正版操作系统，数字前端监测报警系统软件模块：(以下带▲功能需提供广电机构主管部门出具的带CMA、CNAS标志的检测报告佐证)</w:t>
            </w:r>
          </w:p>
          <w:p w14:paraId="3B0CF581">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1.接口齐全，支持RF、IP、ASI、模拟等多种信号源输入；对故障点前后5秒自动录制，供日后分析故障；也可自定义时间对各频道进行录制；</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2.▲对前端系统输出的信号实现实时监测和监看，在主界面的主视图区域可以多画面方式显示系统当前所监测节目的视频画面和音量柱，支持多画面进行全屏显示；</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3.▲节目信息分析：当前TS流包含的各路节目的节目号、PMT_PID、PCR_PID、各节目业务的提供者名称、业务名称、加扰状态、运行状态、各节目的组件描述、各节目视音频实时码率的显示、各节目视音频流的参数信息；</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4.可对图像静帧、黑场、彩条、彩场、音频丢失、音量过高过低等现象进行监测报警；</w:t>
            </w:r>
          </w:p>
          <w:p w14:paraId="517C7032">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5.码流监测由硬件板卡完成，每个码流采用独立CPU进行监测；支持MPEG2/H264高标清节目；符合TR101 290三级监测标准；图形化显示PCR精度、PCR抖动、PCR频率偏置、PCR漂移；</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6.▲具备PSI/SI信息的分析显示和及时刷新功能。具备PCR精度、间隔统计分析功能；PSI/SI表格分析，对PSI/SI数据进行实时采集解析，完成PAT、PMT、CAT、BAT、NIT、SDT、EIT的分析；可显示最小码率、最大码率、有效码率、当前码率、节目数量、PID数量、包长度等信息；可显示PSI/SI码率、空包码率、音频码率、视频码率；</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7.高清画面1920*1080实时回放多路视音频信号内容，每个画面大小、位置的任意设置，并可叠加背景图，模拟时钟、数字时钟等；</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8.支持节目显示画面大小、比例的任意调整和多画面组合方式的任意排列；</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9.高清、标清数字电视节目节目可以组合显示，每个画面窗口显示对应的节目名称；任何一个电视频道画面可以放大到全屏；具备左右音柱、图像、节目名称显示功能；具备电视、广播的同屏显示功能；</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 xml:space="preserve">10.▲静帧、黑场、视音频丢失、声音过高/过低，当码流中视音频异态（例如视频黑场、视频信号丢失、音频静音、视频静帧）时，监测端的系统日志窗口可现实相应的日志信息，包括时间、异态类型、出现异态的信号源/节目等，同时主控端进行报警；                                        </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11.发生故障时自动记录故障时TS数据，并声光报警。同时短信通知维修人员。故障数据可集中控制，用户可以通过B/S方式直接查询故障信息；支持OSD字符叠加，在画面上显示监测和故障报警信息；</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12.符合ETSI TR101 290码流层指标监测标准，可以对TR101 290码流实时监测，并且对报警条件以及报警的时间间隔进行设置；</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13.通过以太网实现设备参数的统一设置；</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14.提供一站式管理系统，对设备、配置、报警等进行统一管理。报警支持语音、声光、文字、日志、标识等多种报警方式。可对不同监测指标独立设置报警门限；报警信息及时反馈，可以统一或单独调整设备报警；</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15.对MER、BER、EVM、载波电平、频率漂移、符号率漂移等数据实时刷新；</w:t>
            </w:r>
          </w:p>
        </w:tc>
        <w:tc>
          <w:tcPr>
            <w:tcW w:w="872" w:type="dxa"/>
            <w:tcBorders>
              <w:top w:val="nil"/>
              <w:left w:val="nil"/>
              <w:bottom w:val="single" w:color="auto" w:sz="4" w:space="0"/>
              <w:right w:val="single" w:color="auto" w:sz="4" w:space="0"/>
            </w:tcBorders>
            <w:shd w:val="clear" w:color="000000" w:fill="FFFFFF"/>
            <w:noWrap/>
            <w:vAlign w:val="center"/>
          </w:tcPr>
          <w:p w14:paraId="2CD4BF6E">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noWrap/>
            <w:vAlign w:val="center"/>
          </w:tcPr>
          <w:p w14:paraId="001E02E3">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2</w:t>
            </w:r>
          </w:p>
        </w:tc>
        <w:tc>
          <w:tcPr>
            <w:tcW w:w="1641" w:type="dxa"/>
            <w:tcBorders>
              <w:top w:val="nil"/>
              <w:left w:val="nil"/>
              <w:bottom w:val="single" w:color="auto" w:sz="4" w:space="0"/>
              <w:right w:val="single" w:color="auto" w:sz="4" w:space="0"/>
            </w:tcBorders>
            <w:shd w:val="clear" w:color="000000" w:fill="FFFFFF"/>
            <w:noWrap/>
            <w:vAlign w:val="center"/>
          </w:tcPr>
          <w:p w14:paraId="0DEBAC80">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6205CBC8">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vAlign w:val="center"/>
          </w:tcPr>
          <w:p w14:paraId="67B549A4">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4F60E0A3">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6E7C417B">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2.4</w:t>
            </w:r>
          </w:p>
        </w:tc>
        <w:tc>
          <w:tcPr>
            <w:tcW w:w="1961" w:type="dxa"/>
            <w:tcBorders>
              <w:top w:val="nil"/>
              <w:left w:val="nil"/>
              <w:bottom w:val="single" w:color="auto" w:sz="4" w:space="0"/>
              <w:right w:val="single" w:color="auto" w:sz="4" w:space="0"/>
            </w:tcBorders>
            <w:shd w:val="clear" w:color="000000" w:fill="FFFFFF"/>
            <w:noWrap/>
            <w:vAlign w:val="center"/>
          </w:tcPr>
          <w:p w14:paraId="30EF8A3A">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收录编单总控系统</w:t>
            </w:r>
          </w:p>
        </w:tc>
        <w:tc>
          <w:tcPr>
            <w:tcW w:w="4996" w:type="dxa"/>
            <w:tcBorders>
              <w:top w:val="nil"/>
              <w:left w:val="nil"/>
              <w:bottom w:val="single" w:color="auto" w:sz="4" w:space="0"/>
              <w:right w:val="single" w:color="auto" w:sz="4" w:space="0"/>
            </w:tcBorders>
            <w:shd w:val="clear" w:color="000000" w:fill="FFFFFF"/>
          </w:tcPr>
          <w:p w14:paraId="727041AF">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1、性能不低于以下配置：英特尔i7主流处理器、32G内存、512G固态硬盘、1000M 网卡、键盘、鼠标</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软件配置：</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2、正版操作系统；</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3、收录编单系统总控系统软件</w:t>
            </w:r>
          </w:p>
          <w:p w14:paraId="182D6E5D">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4、可设置收录时间及按频道设置选择收录</w:t>
            </w:r>
          </w:p>
          <w:p w14:paraId="2A48962D">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5、▲编辑片段，可以将单一或多个素材串联，构成一个播出子元素(提供广电机构主管部门出具的检测报告佐证)                                                                                               6、▲串联单素材传送：传送系统可以根据今后几天的串联单自动从二级存储往播出服务器上传送需要的素材（天数可以在初始化中设置）(提供广电机构主管部门出具的检测报告佐证)</w:t>
            </w:r>
          </w:p>
        </w:tc>
        <w:tc>
          <w:tcPr>
            <w:tcW w:w="872" w:type="dxa"/>
            <w:tcBorders>
              <w:top w:val="nil"/>
              <w:left w:val="nil"/>
              <w:bottom w:val="single" w:color="auto" w:sz="4" w:space="0"/>
              <w:right w:val="single" w:color="auto" w:sz="4" w:space="0"/>
            </w:tcBorders>
            <w:shd w:val="clear" w:color="000000" w:fill="FFFFFF"/>
            <w:noWrap/>
            <w:vAlign w:val="center"/>
          </w:tcPr>
          <w:p w14:paraId="14305959">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noWrap/>
            <w:vAlign w:val="center"/>
          </w:tcPr>
          <w:p w14:paraId="1B3A1068">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1</w:t>
            </w:r>
          </w:p>
        </w:tc>
        <w:tc>
          <w:tcPr>
            <w:tcW w:w="1641" w:type="dxa"/>
            <w:tcBorders>
              <w:top w:val="nil"/>
              <w:left w:val="nil"/>
              <w:bottom w:val="single" w:color="auto" w:sz="4" w:space="0"/>
              <w:right w:val="single" w:color="auto" w:sz="4" w:space="0"/>
            </w:tcBorders>
            <w:shd w:val="clear" w:color="000000" w:fill="FFFFFF"/>
            <w:noWrap/>
            <w:vAlign w:val="center"/>
          </w:tcPr>
          <w:p w14:paraId="3A3FAD91">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05DFB1E6">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vAlign w:val="center"/>
          </w:tcPr>
          <w:p w14:paraId="6968F4A9">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3AECDF07">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7BB96258">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2.5</w:t>
            </w:r>
          </w:p>
        </w:tc>
        <w:tc>
          <w:tcPr>
            <w:tcW w:w="1961" w:type="dxa"/>
            <w:tcBorders>
              <w:top w:val="nil"/>
              <w:left w:val="nil"/>
              <w:bottom w:val="single" w:color="auto" w:sz="4" w:space="0"/>
              <w:right w:val="single" w:color="auto" w:sz="4" w:space="0"/>
            </w:tcBorders>
            <w:shd w:val="clear" w:color="000000" w:fill="FFFFFF"/>
            <w:noWrap/>
            <w:vAlign w:val="center"/>
          </w:tcPr>
          <w:p w14:paraId="01E30CED">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收录系统存储</w:t>
            </w:r>
          </w:p>
        </w:tc>
        <w:tc>
          <w:tcPr>
            <w:tcW w:w="4996" w:type="dxa"/>
            <w:tcBorders>
              <w:top w:val="nil"/>
              <w:left w:val="nil"/>
              <w:bottom w:val="single" w:color="auto" w:sz="4" w:space="0"/>
              <w:right w:val="single" w:color="auto" w:sz="4" w:space="0"/>
            </w:tcBorders>
            <w:shd w:val="clear" w:color="000000" w:fill="FFFFFF"/>
            <w:vAlign w:val="center"/>
          </w:tcPr>
          <w:p w14:paraId="62D69FC0">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视频专用存储系统，Intel 高性能处理器，双系统盘，32G 高速缓存；</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24*8TB企业级可热插拔硬盘；</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自适应1+1冗余电源；</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不低于2个1GbE以太网接口，2个10GbE以太网接口，2根10米光纤跳线、2个万兆多模模块，支持网络接口聚合</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支持RAID级别：RAID 0、1、1E、5、5EE、6、10、50、60、JBOD</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提供NAS/IP-SAN功能；</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支持CIFS、NFS、FTP、HTTP、WebDav、ISCSI协议。</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需备份2块以上同型号硬盘作为备品。</w:t>
            </w:r>
          </w:p>
        </w:tc>
        <w:tc>
          <w:tcPr>
            <w:tcW w:w="872" w:type="dxa"/>
            <w:tcBorders>
              <w:top w:val="nil"/>
              <w:left w:val="nil"/>
              <w:bottom w:val="single" w:color="auto" w:sz="4" w:space="0"/>
              <w:right w:val="single" w:color="auto" w:sz="4" w:space="0"/>
            </w:tcBorders>
            <w:shd w:val="clear" w:color="000000" w:fill="FFFFFF"/>
            <w:noWrap/>
            <w:vAlign w:val="center"/>
          </w:tcPr>
          <w:p w14:paraId="1047615F">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noWrap/>
            <w:vAlign w:val="center"/>
          </w:tcPr>
          <w:p w14:paraId="2B8CEEB1">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1</w:t>
            </w:r>
          </w:p>
        </w:tc>
        <w:tc>
          <w:tcPr>
            <w:tcW w:w="1641" w:type="dxa"/>
            <w:tcBorders>
              <w:top w:val="nil"/>
              <w:left w:val="nil"/>
              <w:bottom w:val="single" w:color="auto" w:sz="4" w:space="0"/>
              <w:right w:val="single" w:color="auto" w:sz="4" w:space="0"/>
            </w:tcBorders>
            <w:shd w:val="clear" w:color="000000" w:fill="FFFFFF"/>
            <w:noWrap/>
            <w:vAlign w:val="center"/>
          </w:tcPr>
          <w:p w14:paraId="47E35854">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5455022B">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vAlign w:val="center"/>
          </w:tcPr>
          <w:p w14:paraId="63045DC3">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4E99E795">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00BBFF47">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2.6</w:t>
            </w:r>
          </w:p>
        </w:tc>
        <w:tc>
          <w:tcPr>
            <w:tcW w:w="1961" w:type="dxa"/>
            <w:tcBorders>
              <w:top w:val="nil"/>
              <w:left w:val="nil"/>
              <w:bottom w:val="single" w:color="auto" w:sz="4" w:space="0"/>
              <w:right w:val="single" w:color="auto" w:sz="4" w:space="0"/>
            </w:tcBorders>
            <w:shd w:val="clear" w:color="000000" w:fill="FFFFFF"/>
            <w:noWrap/>
            <w:vAlign w:val="center"/>
          </w:tcPr>
          <w:p w14:paraId="504466F4">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机柜</w:t>
            </w:r>
          </w:p>
        </w:tc>
        <w:tc>
          <w:tcPr>
            <w:tcW w:w="4996" w:type="dxa"/>
            <w:tcBorders>
              <w:top w:val="nil"/>
              <w:left w:val="nil"/>
              <w:bottom w:val="single" w:color="auto" w:sz="4" w:space="0"/>
              <w:right w:val="single" w:color="auto" w:sz="4" w:space="0"/>
            </w:tcBorders>
            <w:shd w:val="clear" w:color="000000" w:fill="FFFFFF"/>
            <w:vAlign w:val="center"/>
          </w:tcPr>
          <w:p w14:paraId="5BE664B1">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定制42U机柜,深度1000mm，含双PDU，开孔盲板。</w:t>
            </w:r>
          </w:p>
        </w:tc>
        <w:tc>
          <w:tcPr>
            <w:tcW w:w="872" w:type="dxa"/>
            <w:tcBorders>
              <w:top w:val="nil"/>
              <w:left w:val="nil"/>
              <w:bottom w:val="single" w:color="auto" w:sz="4" w:space="0"/>
              <w:right w:val="single" w:color="auto" w:sz="4" w:space="0"/>
            </w:tcBorders>
            <w:shd w:val="clear" w:color="000000" w:fill="FFFFFF"/>
            <w:noWrap/>
            <w:vAlign w:val="center"/>
          </w:tcPr>
          <w:p w14:paraId="2DC6C7D7">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noWrap/>
            <w:vAlign w:val="center"/>
          </w:tcPr>
          <w:p w14:paraId="23DE9710">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2</w:t>
            </w:r>
          </w:p>
        </w:tc>
        <w:tc>
          <w:tcPr>
            <w:tcW w:w="1641" w:type="dxa"/>
            <w:tcBorders>
              <w:top w:val="nil"/>
              <w:left w:val="nil"/>
              <w:bottom w:val="single" w:color="auto" w:sz="4" w:space="0"/>
              <w:right w:val="single" w:color="auto" w:sz="4" w:space="0"/>
            </w:tcBorders>
            <w:shd w:val="clear" w:color="000000" w:fill="FFFFFF"/>
            <w:noWrap/>
            <w:vAlign w:val="center"/>
          </w:tcPr>
          <w:p w14:paraId="4B47CDF8">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3DF2C76E">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vAlign w:val="center"/>
          </w:tcPr>
          <w:p w14:paraId="6BCD7192">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79051D74">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6372480E">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2.7</w:t>
            </w:r>
          </w:p>
        </w:tc>
        <w:tc>
          <w:tcPr>
            <w:tcW w:w="1961" w:type="dxa"/>
            <w:tcBorders>
              <w:top w:val="nil"/>
              <w:left w:val="nil"/>
              <w:bottom w:val="single" w:color="auto" w:sz="4" w:space="0"/>
              <w:right w:val="single" w:color="auto" w:sz="4" w:space="0"/>
            </w:tcBorders>
            <w:shd w:val="clear" w:color="000000" w:fill="FFFFFF"/>
            <w:noWrap/>
            <w:vAlign w:val="center"/>
          </w:tcPr>
          <w:p w14:paraId="61BF41E8">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字幕剪辑工作站</w:t>
            </w:r>
          </w:p>
        </w:tc>
        <w:tc>
          <w:tcPr>
            <w:tcW w:w="4996" w:type="dxa"/>
            <w:tcBorders>
              <w:top w:val="nil"/>
              <w:left w:val="nil"/>
              <w:bottom w:val="single" w:color="auto" w:sz="4" w:space="0"/>
              <w:right w:val="single" w:color="auto" w:sz="4" w:space="0"/>
            </w:tcBorders>
            <w:shd w:val="clear" w:color="000000" w:fill="FFFFFF"/>
            <w:vAlign w:val="center"/>
          </w:tcPr>
          <w:p w14:paraId="35B8C41E">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性能不低于以下配置：I7-12700/16GB/512G SSD+2T SATA/千兆以太网卡/23.8寸液晶显示器/键鼠/3年保修 ；</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含剪辑软件，支持完成维吾尔，哈语及汉语三种语言素材剪辑；</w:t>
            </w:r>
          </w:p>
        </w:tc>
        <w:tc>
          <w:tcPr>
            <w:tcW w:w="872" w:type="dxa"/>
            <w:tcBorders>
              <w:top w:val="nil"/>
              <w:left w:val="nil"/>
              <w:bottom w:val="single" w:color="auto" w:sz="4" w:space="0"/>
              <w:right w:val="single" w:color="auto" w:sz="4" w:space="0"/>
            </w:tcBorders>
            <w:shd w:val="clear" w:color="000000" w:fill="FFFFFF"/>
            <w:noWrap/>
            <w:vAlign w:val="center"/>
          </w:tcPr>
          <w:p w14:paraId="03ADA6B6">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noWrap/>
            <w:vAlign w:val="center"/>
          </w:tcPr>
          <w:p w14:paraId="2051DEE1">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4</w:t>
            </w:r>
          </w:p>
        </w:tc>
        <w:tc>
          <w:tcPr>
            <w:tcW w:w="1641" w:type="dxa"/>
            <w:tcBorders>
              <w:top w:val="nil"/>
              <w:left w:val="nil"/>
              <w:bottom w:val="single" w:color="auto" w:sz="4" w:space="0"/>
              <w:right w:val="single" w:color="auto" w:sz="4" w:space="0"/>
            </w:tcBorders>
            <w:shd w:val="clear" w:color="000000" w:fill="FFFFFF"/>
            <w:noWrap/>
            <w:vAlign w:val="center"/>
          </w:tcPr>
          <w:p w14:paraId="3E170508">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48EFD77F">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vAlign w:val="center"/>
          </w:tcPr>
          <w:p w14:paraId="18E8752B">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6E141C72">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4D07B7F7">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2.8</w:t>
            </w:r>
          </w:p>
        </w:tc>
        <w:tc>
          <w:tcPr>
            <w:tcW w:w="1961" w:type="dxa"/>
            <w:tcBorders>
              <w:top w:val="nil"/>
              <w:left w:val="nil"/>
              <w:bottom w:val="single" w:color="auto" w:sz="4" w:space="0"/>
              <w:right w:val="single" w:color="auto" w:sz="4" w:space="0"/>
            </w:tcBorders>
            <w:shd w:val="clear" w:color="000000" w:fill="FFFFFF"/>
            <w:noWrap/>
            <w:vAlign w:val="center"/>
          </w:tcPr>
          <w:p w14:paraId="03EB3962">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日历子钟</w:t>
            </w:r>
          </w:p>
        </w:tc>
        <w:tc>
          <w:tcPr>
            <w:tcW w:w="4996" w:type="dxa"/>
            <w:tcBorders>
              <w:top w:val="nil"/>
              <w:left w:val="nil"/>
              <w:bottom w:val="single" w:color="auto" w:sz="4" w:space="0"/>
              <w:right w:val="single" w:color="auto" w:sz="4" w:space="0"/>
            </w:tcBorders>
            <w:shd w:val="clear" w:color="000000" w:fill="FFFFFF"/>
            <w:vAlign w:val="center"/>
          </w:tcPr>
          <w:p w14:paraId="5A646FD4">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日历子钟,可与外信号同步，无信号时靠内晶体维持自运行</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数显式子钟采用全静态显示、无闪烁。具有高性能复位电路，抗死机。钟面为抗老化防眩光板</w:t>
            </w:r>
          </w:p>
        </w:tc>
        <w:tc>
          <w:tcPr>
            <w:tcW w:w="872" w:type="dxa"/>
            <w:tcBorders>
              <w:top w:val="nil"/>
              <w:left w:val="nil"/>
              <w:bottom w:val="single" w:color="auto" w:sz="4" w:space="0"/>
              <w:right w:val="single" w:color="auto" w:sz="4" w:space="0"/>
            </w:tcBorders>
            <w:shd w:val="clear" w:color="000000" w:fill="FFFFFF"/>
            <w:noWrap/>
            <w:vAlign w:val="center"/>
          </w:tcPr>
          <w:p w14:paraId="648FFD5A">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noWrap/>
            <w:vAlign w:val="center"/>
          </w:tcPr>
          <w:p w14:paraId="61996F55">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1</w:t>
            </w:r>
          </w:p>
        </w:tc>
        <w:tc>
          <w:tcPr>
            <w:tcW w:w="1641" w:type="dxa"/>
            <w:tcBorders>
              <w:top w:val="nil"/>
              <w:left w:val="nil"/>
              <w:bottom w:val="single" w:color="auto" w:sz="4" w:space="0"/>
              <w:right w:val="single" w:color="auto" w:sz="4" w:space="0"/>
            </w:tcBorders>
            <w:shd w:val="clear" w:color="000000" w:fill="FFFFFF"/>
            <w:noWrap/>
            <w:vAlign w:val="center"/>
          </w:tcPr>
          <w:p w14:paraId="79A706E3">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463D8E36">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vAlign w:val="center"/>
          </w:tcPr>
          <w:p w14:paraId="300F8DC1">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0F40BB4C">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3FD83B94">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2.9</w:t>
            </w:r>
          </w:p>
        </w:tc>
        <w:tc>
          <w:tcPr>
            <w:tcW w:w="1961" w:type="dxa"/>
            <w:tcBorders>
              <w:top w:val="nil"/>
              <w:left w:val="nil"/>
              <w:bottom w:val="single" w:color="auto" w:sz="4" w:space="0"/>
              <w:right w:val="single" w:color="auto" w:sz="4" w:space="0"/>
            </w:tcBorders>
            <w:shd w:val="clear" w:color="000000" w:fill="FFFFFF"/>
            <w:noWrap/>
            <w:vAlign w:val="center"/>
          </w:tcPr>
          <w:p w14:paraId="595B4D8C">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电视墙</w:t>
            </w:r>
          </w:p>
        </w:tc>
        <w:tc>
          <w:tcPr>
            <w:tcW w:w="4996" w:type="dxa"/>
            <w:tcBorders>
              <w:top w:val="nil"/>
              <w:left w:val="nil"/>
              <w:bottom w:val="single" w:color="auto" w:sz="4" w:space="0"/>
              <w:right w:val="single" w:color="auto" w:sz="4" w:space="0"/>
            </w:tcBorders>
            <w:shd w:val="clear" w:color="000000" w:fill="FFFFFF"/>
            <w:noWrap/>
            <w:vAlign w:val="center"/>
          </w:tcPr>
          <w:p w14:paraId="5557642F">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电视墙安装2*2台55"电视机，考虑按照日历子钟开孔；</w:t>
            </w:r>
          </w:p>
        </w:tc>
        <w:tc>
          <w:tcPr>
            <w:tcW w:w="872" w:type="dxa"/>
            <w:tcBorders>
              <w:top w:val="nil"/>
              <w:left w:val="nil"/>
              <w:bottom w:val="single" w:color="auto" w:sz="4" w:space="0"/>
              <w:right w:val="single" w:color="auto" w:sz="4" w:space="0"/>
            </w:tcBorders>
            <w:shd w:val="clear" w:color="000000" w:fill="FFFFFF"/>
            <w:noWrap/>
            <w:vAlign w:val="center"/>
          </w:tcPr>
          <w:p w14:paraId="4C20316D">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套</w:t>
            </w:r>
          </w:p>
        </w:tc>
        <w:tc>
          <w:tcPr>
            <w:tcW w:w="856" w:type="dxa"/>
            <w:tcBorders>
              <w:top w:val="nil"/>
              <w:left w:val="nil"/>
              <w:bottom w:val="single" w:color="auto" w:sz="4" w:space="0"/>
              <w:right w:val="single" w:color="auto" w:sz="4" w:space="0"/>
            </w:tcBorders>
            <w:shd w:val="clear" w:color="000000" w:fill="FFFFFF"/>
            <w:noWrap/>
            <w:vAlign w:val="center"/>
          </w:tcPr>
          <w:p w14:paraId="1AF96B17">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1</w:t>
            </w:r>
          </w:p>
        </w:tc>
        <w:tc>
          <w:tcPr>
            <w:tcW w:w="1641" w:type="dxa"/>
            <w:tcBorders>
              <w:top w:val="nil"/>
              <w:left w:val="nil"/>
              <w:bottom w:val="single" w:color="auto" w:sz="4" w:space="0"/>
              <w:right w:val="single" w:color="auto" w:sz="4" w:space="0"/>
            </w:tcBorders>
            <w:shd w:val="clear" w:color="000000" w:fill="FFFFFF"/>
            <w:noWrap/>
            <w:vAlign w:val="center"/>
          </w:tcPr>
          <w:p w14:paraId="1A54DE46">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1153EC89">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vAlign w:val="center"/>
          </w:tcPr>
          <w:p w14:paraId="191512C7">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45DB46FC">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60F89861">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2.10</w:t>
            </w:r>
          </w:p>
        </w:tc>
        <w:tc>
          <w:tcPr>
            <w:tcW w:w="1961" w:type="dxa"/>
            <w:tcBorders>
              <w:top w:val="nil"/>
              <w:left w:val="nil"/>
              <w:bottom w:val="single" w:color="auto" w:sz="4" w:space="0"/>
              <w:right w:val="single" w:color="auto" w:sz="4" w:space="0"/>
            </w:tcBorders>
            <w:shd w:val="clear" w:color="000000" w:fill="FFFFFF"/>
            <w:noWrap/>
            <w:vAlign w:val="center"/>
          </w:tcPr>
          <w:p w14:paraId="327BD867">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55英寸电视机</w:t>
            </w:r>
          </w:p>
        </w:tc>
        <w:tc>
          <w:tcPr>
            <w:tcW w:w="4996" w:type="dxa"/>
            <w:tcBorders>
              <w:top w:val="nil"/>
              <w:left w:val="nil"/>
              <w:bottom w:val="single" w:color="auto" w:sz="4" w:space="0"/>
              <w:right w:val="single" w:color="auto" w:sz="4" w:space="0"/>
            </w:tcBorders>
            <w:shd w:val="clear" w:color="000000" w:fill="FFFFFF"/>
            <w:vAlign w:val="center"/>
          </w:tcPr>
          <w:p w14:paraId="35DC07E6">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屏幕尺寸 55英寸</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屏幕比例 16:9</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支持4K</w:t>
            </w:r>
          </w:p>
        </w:tc>
        <w:tc>
          <w:tcPr>
            <w:tcW w:w="872" w:type="dxa"/>
            <w:tcBorders>
              <w:top w:val="nil"/>
              <w:left w:val="nil"/>
              <w:bottom w:val="single" w:color="auto" w:sz="4" w:space="0"/>
              <w:right w:val="single" w:color="auto" w:sz="4" w:space="0"/>
            </w:tcBorders>
            <w:shd w:val="clear" w:color="000000" w:fill="FFFFFF"/>
            <w:noWrap/>
            <w:vAlign w:val="center"/>
          </w:tcPr>
          <w:p w14:paraId="0A0AED3F">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noWrap/>
            <w:vAlign w:val="center"/>
          </w:tcPr>
          <w:p w14:paraId="7A73DB2D">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4</w:t>
            </w:r>
          </w:p>
        </w:tc>
        <w:tc>
          <w:tcPr>
            <w:tcW w:w="1641" w:type="dxa"/>
            <w:tcBorders>
              <w:top w:val="nil"/>
              <w:left w:val="nil"/>
              <w:bottom w:val="single" w:color="auto" w:sz="4" w:space="0"/>
              <w:right w:val="single" w:color="auto" w:sz="4" w:space="0"/>
            </w:tcBorders>
            <w:shd w:val="clear" w:color="000000" w:fill="FFFFFF"/>
            <w:noWrap/>
            <w:vAlign w:val="center"/>
          </w:tcPr>
          <w:p w14:paraId="07744436">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640DA4E3">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vAlign w:val="center"/>
          </w:tcPr>
          <w:p w14:paraId="4B7ED8AD">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0882BE3C">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0D50A52D">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2.11</w:t>
            </w:r>
          </w:p>
        </w:tc>
        <w:tc>
          <w:tcPr>
            <w:tcW w:w="1961" w:type="dxa"/>
            <w:tcBorders>
              <w:top w:val="nil"/>
              <w:left w:val="nil"/>
              <w:bottom w:val="single" w:color="auto" w:sz="4" w:space="0"/>
              <w:right w:val="single" w:color="auto" w:sz="4" w:space="0"/>
            </w:tcBorders>
            <w:shd w:val="clear" w:color="000000" w:fill="FFFFFF"/>
            <w:vAlign w:val="center"/>
          </w:tcPr>
          <w:p w14:paraId="5A2D8952">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操作台（含工位椅）</w:t>
            </w:r>
          </w:p>
        </w:tc>
        <w:tc>
          <w:tcPr>
            <w:tcW w:w="4996" w:type="dxa"/>
            <w:tcBorders>
              <w:top w:val="nil"/>
              <w:left w:val="nil"/>
              <w:bottom w:val="single" w:color="auto" w:sz="4" w:space="0"/>
              <w:right w:val="single" w:color="auto" w:sz="4" w:space="0"/>
            </w:tcBorders>
            <w:shd w:val="clear" w:color="000000" w:fill="FFFFFF"/>
            <w:noWrap/>
            <w:vAlign w:val="center"/>
          </w:tcPr>
          <w:p w14:paraId="5B2E0D94">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简易办公操控台及配套座椅。</w:t>
            </w:r>
          </w:p>
        </w:tc>
        <w:tc>
          <w:tcPr>
            <w:tcW w:w="872" w:type="dxa"/>
            <w:tcBorders>
              <w:top w:val="nil"/>
              <w:left w:val="nil"/>
              <w:bottom w:val="single" w:color="auto" w:sz="4" w:space="0"/>
              <w:right w:val="single" w:color="auto" w:sz="4" w:space="0"/>
            </w:tcBorders>
            <w:shd w:val="clear" w:color="000000" w:fill="FFFFFF"/>
            <w:noWrap/>
            <w:vAlign w:val="center"/>
          </w:tcPr>
          <w:p w14:paraId="0F353EA1">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套</w:t>
            </w:r>
          </w:p>
        </w:tc>
        <w:tc>
          <w:tcPr>
            <w:tcW w:w="856" w:type="dxa"/>
            <w:tcBorders>
              <w:top w:val="nil"/>
              <w:left w:val="nil"/>
              <w:bottom w:val="single" w:color="auto" w:sz="4" w:space="0"/>
              <w:right w:val="single" w:color="auto" w:sz="4" w:space="0"/>
            </w:tcBorders>
            <w:shd w:val="clear" w:color="000000" w:fill="FFFFFF"/>
            <w:noWrap/>
            <w:vAlign w:val="center"/>
          </w:tcPr>
          <w:p w14:paraId="6758B839">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1</w:t>
            </w:r>
          </w:p>
        </w:tc>
        <w:tc>
          <w:tcPr>
            <w:tcW w:w="1641" w:type="dxa"/>
            <w:tcBorders>
              <w:top w:val="nil"/>
              <w:left w:val="nil"/>
              <w:bottom w:val="single" w:color="auto" w:sz="4" w:space="0"/>
              <w:right w:val="single" w:color="auto" w:sz="4" w:space="0"/>
            </w:tcBorders>
            <w:shd w:val="clear" w:color="000000" w:fill="FFFFFF"/>
            <w:noWrap/>
            <w:vAlign w:val="center"/>
          </w:tcPr>
          <w:p w14:paraId="185E2EBC">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01560CA4">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vAlign w:val="center"/>
          </w:tcPr>
          <w:p w14:paraId="154C9A04">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25AAB484">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734823C0">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2.12</w:t>
            </w:r>
          </w:p>
        </w:tc>
        <w:tc>
          <w:tcPr>
            <w:tcW w:w="1961" w:type="dxa"/>
            <w:tcBorders>
              <w:top w:val="nil"/>
              <w:left w:val="nil"/>
              <w:bottom w:val="single" w:color="auto" w:sz="4" w:space="0"/>
              <w:right w:val="single" w:color="auto" w:sz="4" w:space="0"/>
            </w:tcBorders>
            <w:shd w:val="clear" w:color="000000" w:fill="FFFFFF"/>
            <w:noWrap/>
            <w:vAlign w:val="center"/>
          </w:tcPr>
          <w:p w14:paraId="015EC563">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24千兆+4口万兆交换机</w:t>
            </w:r>
          </w:p>
        </w:tc>
        <w:tc>
          <w:tcPr>
            <w:tcW w:w="4996" w:type="dxa"/>
            <w:tcBorders>
              <w:top w:val="nil"/>
              <w:left w:val="nil"/>
              <w:bottom w:val="single" w:color="auto" w:sz="4" w:space="0"/>
              <w:right w:val="single" w:color="auto" w:sz="4" w:space="0"/>
            </w:tcBorders>
            <w:shd w:val="clear" w:color="000000" w:fill="FFFFFF"/>
            <w:vAlign w:val="center"/>
          </w:tcPr>
          <w:p w14:paraId="297C292F">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24个10/100/1000Base-T以太网端口、4个SFP+口。三层可网管交换机，支持双电源、可堆叠。</w:t>
            </w:r>
          </w:p>
        </w:tc>
        <w:tc>
          <w:tcPr>
            <w:tcW w:w="872" w:type="dxa"/>
            <w:tcBorders>
              <w:top w:val="nil"/>
              <w:left w:val="nil"/>
              <w:bottom w:val="single" w:color="auto" w:sz="4" w:space="0"/>
              <w:right w:val="single" w:color="auto" w:sz="4" w:space="0"/>
            </w:tcBorders>
            <w:shd w:val="clear" w:color="000000" w:fill="FFFFFF"/>
            <w:noWrap/>
            <w:vAlign w:val="center"/>
          </w:tcPr>
          <w:p w14:paraId="23965ABF">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noWrap/>
            <w:vAlign w:val="center"/>
          </w:tcPr>
          <w:p w14:paraId="1E519BC4">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2</w:t>
            </w:r>
          </w:p>
        </w:tc>
        <w:tc>
          <w:tcPr>
            <w:tcW w:w="1641" w:type="dxa"/>
            <w:tcBorders>
              <w:top w:val="nil"/>
              <w:left w:val="nil"/>
              <w:bottom w:val="single" w:color="auto" w:sz="4" w:space="0"/>
              <w:right w:val="single" w:color="auto" w:sz="4" w:space="0"/>
            </w:tcBorders>
            <w:shd w:val="clear" w:color="000000" w:fill="FFFFFF"/>
            <w:noWrap/>
            <w:vAlign w:val="center"/>
          </w:tcPr>
          <w:p w14:paraId="3D806F38">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241AC6BC">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vAlign w:val="center"/>
          </w:tcPr>
          <w:p w14:paraId="55628D97">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22E1DDAE">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7E4ED91A">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2.13</w:t>
            </w:r>
          </w:p>
        </w:tc>
        <w:tc>
          <w:tcPr>
            <w:tcW w:w="1961" w:type="dxa"/>
            <w:tcBorders>
              <w:top w:val="nil"/>
              <w:left w:val="nil"/>
              <w:bottom w:val="single" w:color="auto" w:sz="4" w:space="0"/>
              <w:right w:val="single" w:color="auto" w:sz="4" w:space="0"/>
            </w:tcBorders>
            <w:shd w:val="clear" w:color="000000" w:fill="FFFFFF"/>
            <w:noWrap/>
            <w:vAlign w:val="center"/>
          </w:tcPr>
          <w:p w14:paraId="2C89E251">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KVM</w:t>
            </w:r>
          </w:p>
        </w:tc>
        <w:tc>
          <w:tcPr>
            <w:tcW w:w="4996" w:type="dxa"/>
            <w:tcBorders>
              <w:top w:val="nil"/>
              <w:left w:val="nil"/>
              <w:bottom w:val="single" w:color="auto" w:sz="4" w:space="0"/>
              <w:right w:val="single" w:color="auto" w:sz="4" w:space="0"/>
            </w:tcBorders>
            <w:shd w:val="clear" w:color="000000" w:fill="FFFFFF"/>
            <w:vAlign w:val="center"/>
          </w:tcPr>
          <w:p w14:paraId="0A1E6D24">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USB&amp;PS/2控制台，可操作8台电脑，机架带LCD,0SD菜单选择</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(17")</w:t>
            </w:r>
          </w:p>
        </w:tc>
        <w:tc>
          <w:tcPr>
            <w:tcW w:w="872" w:type="dxa"/>
            <w:tcBorders>
              <w:top w:val="nil"/>
              <w:left w:val="nil"/>
              <w:bottom w:val="single" w:color="auto" w:sz="4" w:space="0"/>
              <w:right w:val="single" w:color="auto" w:sz="4" w:space="0"/>
            </w:tcBorders>
            <w:shd w:val="clear" w:color="000000" w:fill="FFFFFF"/>
            <w:noWrap/>
            <w:vAlign w:val="center"/>
          </w:tcPr>
          <w:p w14:paraId="7D1A9F80">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noWrap/>
            <w:vAlign w:val="center"/>
          </w:tcPr>
          <w:p w14:paraId="473D2081">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1</w:t>
            </w:r>
          </w:p>
        </w:tc>
        <w:tc>
          <w:tcPr>
            <w:tcW w:w="1641" w:type="dxa"/>
            <w:tcBorders>
              <w:top w:val="nil"/>
              <w:left w:val="nil"/>
              <w:bottom w:val="single" w:color="auto" w:sz="4" w:space="0"/>
              <w:right w:val="single" w:color="auto" w:sz="4" w:space="0"/>
            </w:tcBorders>
            <w:shd w:val="clear" w:color="000000" w:fill="FFFFFF"/>
            <w:noWrap/>
            <w:vAlign w:val="center"/>
          </w:tcPr>
          <w:p w14:paraId="4F5D10C4">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1090837E">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vAlign w:val="center"/>
          </w:tcPr>
          <w:p w14:paraId="1372DCEF">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6DDBC0BA">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4B10FBD9">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2.14</w:t>
            </w:r>
          </w:p>
        </w:tc>
        <w:tc>
          <w:tcPr>
            <w:tcW w:w="1961" w:type="dxa"/>
            <w:tcBorders>
              <w:top w:val="nil"/>
              <w:left w:val="nil"/>
              <w:bottom w:val="single" w:color="auto" w:sz="4" w:space="0"/>
              <w:right w:val="single" w:color="auto" w:sz="4" w:space="0"/>
            </w:tcBorders>
            <w:shd w:val="clear" w:color="000000" w:fill="FFFFFF"/>
            <w:noWrap/>
            <w:vAlign w:val="center"/>
          </w:tcPr>
          <w:p w14:paraId="1CCB4D5F">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线缆辅材</w:t>
            </w:r>
            <w:r>
              <w:rPr>
                <w:rFonts w:hint="eastAsia" w:ascii="宋体" w:hAnsi="宋体" w:eastAsia="宋体" w:cs="宋体"/>
                <w:kern w:val="0"/>
                <w:sz w:val="24"/>
                <w:szCs w:val="24"/>
                <w14:ligatures w14:val="none"/>
              </w:rPr>
              <w:br w:type="textWrapping"/>
            </w:r>
            <w:r>
              <w:rPr>
                <w:rFonts w:hint="eastAsia" w:ascii="宋体" w:hAnsi="宋体" w:eastAsia="宋体" w:cs="宋体"/>
                <w:kern w:val="0"/>
                <w:sz w:val="24"/>
                <w:szCs w:val="24"/>
                <w14:ligatures w14:val="none"/>
              </w:rPr>
              <w:t>安装调试</w:t>
            </w:r>
          </w:p>
        </w:tc>
        <w:tc>
          <w:tcPr>
            <w:tcW w:w="4996" w:type="dxa"/>
            <w:tcBorders>
              <w:top w:val="nil"/>
              <w:left w:val="nil"/>
              <w:bottom w:val="single" w:color="auto" w:sz="4" w:space="0"/>
              <w:right w:val="single" w:color="auto" w:sz="4" w:space="0"/>
            </w:tcBorders>
            <w:shd w:val="clear" w:color="000000" w:fill="FFFFFF"/>
            <w:vAlign w:val="center"/>
          </w:tcPr>
          <w:p w14:paraId="17EF75B6">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线缆满足使用，设备安装调试，系统测试等服务。</w:t>
            </w:r>
          </w:p>
        </w:tc>
        <w:tc>
          <w:tcPr>
            <w:tcW w:w="872" w:type="dxa"/>
            <w:tcBorders>
              <w:top w:val="nil"/>
              <w:left w:val="nil"/>
              <w:bottom w:val="single" w:color="auto" w:sz="4" w:space="0"/>
              <w:right w:val="single" w:color="auto" w:sz="4" w:space="0"/>
            </w:tcBorders>
            <w:shd w:val="clear" w:color="000000" w:fill="FFFFFF"/>
            <w:noWrap/>
            <w:vAlign w:val="center"/>
          </w:tcPr>
          <w:p w14:paraId="477F9EE6">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项</w:t>
            </w:r>
          </w:p>
        </w:tc>
        <w:tc>
          <w:tcPr>
            <w:tcW w:w="856" w:type="dxa"/>
            <w:tcBorders>
              <w:top w:val="nil"/>
              <w:left w:val="nil"/>
              <w:bottom w:val="single" w:color="auto" w:sz="4" w:space="0"/>
              <w:right w:val="single" w:color="auto" w:sz="4" w:space="0"/>
            </w:tcBorders>
            <w:shd w:val="clear" w:color="000000" w:fill="FFFFFF"/>
            <w:noWrap/>
            <w:vAlign w:val="center"/>
          </w:tcPr>
          <w:p w14:paraId="73ED4BF8">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1</w:t>
            </w:r>
          </w:p>
        </w:tc>
        <w:tc>
          <w:tcPr>
            <w:tcW w:w="1641" w:type="dxa"/>
            <w:tcBorders>
              <w:top w:val="nil"/>
              <w:left w:val="nil"/>
              <w:bottom w:val="single" w:color="auto" w:sz="4" w:space="0"/>
              <w:right w:val="single" w:color="auto" w:sz="4" w:space="0"/>
            </w:tcBorders>
            <w:shd w:val="clear" w:color="000000" w:fill="FFFFFF"/>
            <w:noWrap/>
            <w:vAlign w:val="center"/>
          </w:tcPr>
          <w:p w14:paraId="58CA391F">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51E7C563">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vAlign w:val="center"/>
          </w:tcPr>
          <w:p w14:paraId="785A1E1F">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3F0819C4">
        <w:tblPrEx>
          <w:tblCellMar>
            <w:top w:w="0" w:type="dxa"/>
            <w:left w:w="108" w:type="dxa"/>
            <w:bottom w:w="0" w:type="dxa"/>
            <w:right w:w="108" w:type="dxa"/>
          </w:tblCellMar>
        </w:tblPrEx>
        <w:trPr>
          <w:trHeight w:val="567" w:hRule="atLeast"/>
        </w:trPr>
        <w:tc>
          <w:tcPr>
            <w:tcW w:w="1091" w:type="dxa"/>
            <w:tcBorders>
              <w:top w:val="nil"/>
              <w:left w:val="single" w:color="auto" w:sz="4" w:space="0"/>
              <w:bottom w:val="nil"/>
              <w:right w:val="single" w:color="auto" w:sz="4" w:space="0"/>
            </w:tcBorders>
            <w:shd w:val="clear" w:color="000000" w:fill="FFFFFF"/>
            <w:noWrap/>
            <w:vAlign w:val="center"/>
          </w:tcPr>
          <w:p w14:paraId="437435B3">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二</w:t>
            </w:r>
          </w:p>
        </w:tc>
        <w:tc>
          <w:tcPr>
            <w:tcW w:w="1961" w:type="dxa"/>
            <w:tcBorders>
              <w:top w:val="nil"/>
              <w:left w:val="nil"/>
              <w:bottom w:val="nil"/>
              <w:right w:val="single" w:color="auto" w:sz="4" w:space="0"/>
            </w:tcBorders>
            <w:shd w:val="clear" w:color="000000" w:fill="FFFFFF"/>
            <w:vAlign w:val="center"/>
          </w:tcPr>
          <w:p w14:paraId="277F6C2F">
            <w:pPr>
              <w:widowControl/>
              <w:jc w:val="center"/>
              <w:rPr>
                <w:rFonts w:hint="eastAsia" w:ascii="宋体" w:hAnsi="宋体" w:eastAsia="宋体" w:cs="宋体"/>
                <w:b/>
                <w:bCs/>
                <w:kern w:val="0"/>
                <w:sz w:val="24"/>
                <w:szCs w:val="24"/>
                <w14:ligatures w14:val="none"/>
              </w:rPr>
            </w:pPr>
            <w:r>
              <w:rPr>
                <w:rFonts w:hint="eastAsia" w:ascii="宋体" w:hAnsi="宋体" w:eastAsia="宋体" w:cs="宋体"/>
                <w:b/>
                <w:bCs/>
                <w:kern w:val="0"/>
                <w:sz w:val="24"/>
                <w:szCs w:val="24"/>
                <w14:ligatures w14:val="none"/>
              </w:rPr>
              <w:t>融媒体电视播出及总控</w:t>
            </w:r>
          </w:p>
        </w:tc>
        <w:tc>
          <w:tcPr>
            <w:tcW w:w="4996" w:type="dxa"/>
            <w:tcBorders>
              <w:top w:val="nil"/>
              <w:left w:val="nil"/>
              <w:bottom w:val="nil"/>
              <w:right w:val="single" w:color="auto" w:sz="4" w:space="0"/>
            </w:tcBorders>
            <w:shd w:val="clear" w:color="000000" w:fill="FFFFFF"/>
            <w:vAlign w:val="center"/>
          </w:tcPr>
          <w:p w14:paraId="2522D00C">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　</w:t>
            </w:r>
          </w:p>
        </w:tc>
        <w:tc>
          <w:tcPr>
            <w:tcW w:w="872" w:type="dxa"/>
            <w:tcBorders>
              <w:top w:val="nil"/>
              <w:left w:val="nil"/>
              <w:bottom w:val="nil"/>
              <w:right w:val="single" w:color="auto" w:sz="4" w:space="0"/>
            </w:tcBorders>
            <w:shd w:val="clear" w:color="000000" w:fill="FFFFFF"/>
            <w:vAlign w:val="center"/>
          </w:tcPr>
          <w:p w14:paraId="3619AEC7">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　</w:t>
            </w:r>
          </w:p>
        </w:tc>
        <w:tc>
          <w:tcPr>
            <w:tcW w:w="856" w:type="dxa"/>
            <w:tcBorders>
              <w:top w:val="nil"/>
              <w:left w:val="nil"/>
              <w:bottom w:val="nil"/>
              <w:right w:val="single" w:color="auto" w:sz="4" w:space="0"/>
            </w:tcBorders>
            <w:shd w:val="clear" w:color="000000" w:fill="FFFFFF"/>
            <w:vAlign w:val="center"/>
          </w:tcPr>
          <w:p w14:paraId="71F3D6B1">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　</w:t>
            </w:r>
          </w:p>
        </w:tc>
        <w:tc>
          <w:tcPr>
            <w:tcW w:w="1641" w:type="dxa"/>
            <w:tcBorders>
              <w:top w:val="nil"/>
              <w:left w:val="nil"/>
              <w:bottom w:val="nil"/>
              <w:right w:val="single" w:color="auto" w:sz="4" w:space="0"/>
            </w:tcBorders>
            <w:shd w:val="clear" w:color="000000" w:fill="FFFFFF"/>
            <w:vAlign w:val="center"/>
          </w:tcPr>
          <w:p w14:paraId="5C34F13E">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　</w:t>
            </w:r>
          </w:p>
        </w:tc>
        <w:tc>
          <w:tcPr>
            <w:tcW w:w="0" w:type="auto"/>
            <w:tcBorders>
              <w:top w:val="nil"/>
              <w:left w:val="nil"/>
              <w:bottom w:val="nil"/>
              <w:right w:val="single" w:color="auto" w:sz="4" w:space="0"/>
            </w:tcBorders>
            <w:shd w:val="clear" w:color="000000" w:fill="FFFFFF"/>
            <w:vAlign w:val="center"/>
          </w:tcPr>
          <w:p w14:paraId="675ECB8F">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　</w:t>
            </w:r>
          </w:p>
        </w:tc>
        <w:tc>
          <w:tcPr>
            <w:tcW w:w="0" w:type="auto"/>
            <w:tcBorders>
              <w:top w:val="nil"/>
              <w:left w:val="nil"/>
              <w:bottom w:val="nil"/>
              <w:right w:val="single" w:color="auto" w:sz="4" w:space="0"/>
            </w:tcBorders>
            <w:shd w:val="clear" w:color="000000" w:fill="FFFFFF"/>
            <w:vAlign w:val="center"/>
          </w:tcPr>
          <w:p w14:paraId="279AE7A0">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　</w:t>
            </w:r>
          </w:p>
        </w:tc>
      </w:tr>
      <w:tr w14:paraId="01734DAE">
        <w:tblPrEx>
          <w:tblCellMar>
            <w:top w:w="0" w:type="dxa"/>
            <w:left w:w="108" w:type="dxa"/>
            <w:bottom w:w="0" w:type="dxa"/>
            <w:right w:w="108" w:type="dxa"/>
          </w:tblCellMar>
        </w:tblPrEx>
        <w:trPr>
          <w:trHeight w:val="567" w:hRule="atLeast"/>
        </w:trPr>
        <w:tc>
          <w:tcPr>
            <w:tcW w:w="1091" w:type="dxa"/>
            <w:tcBorders>
              <w:top w:val="single" w:color="auto" w:sz="4" w:space="0"/>
              <w:left w:val="single" w:color="auto" w:sz="4" w:space="0"/>
              <w:bottom w:val="nil"/>
              <w:right w:val="single" w:color="auto" w:sz="4" w:space="0"/>
            </w:tcBorders>
            <w:shd w:val="clear" w:color="000000" w:fill="FFFFFF"/>
            <w:noWrap/>
            <w:vAlign w:val="center"/>
          </w:tcPr>
          <w:p w14:paraId="32916317">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（一）</w:t>
            </w:r>
          </w:p>
        </w:tc>
        <w:tc>
          <w:tcPr>
            <w:tcW w:w="1961" w:type="dxa"/>
            <w:tcBorders>
              <w:top w:val="single" w:color="auto" w:sz="4" w:space="0"/>
              <w:left w:val="nil"/>
              <w:bottom w:val="nil"/>
              <w:right w:val="single" w:color="auto" w:sz="4" w:space="0"/>
            </w:tcBorders>
            <w:shd w:val="clear" w:color="000000" w:fill="FFFFFF"/>
            <w:noWrap/>
            <w:vAlign w:val="center"/>
          </w:tcPr>
          <w:p w14:paraId="3C386264">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服务器、工作站</w:t>
            </w:r>
          </w:p>
        </w:tc>
        <w:tc>
          <w:tcPr>
            <w:tcW w:w="4996" w:type="dxa"/>
            <w:tcBorders>
              <w:top w:val="single" w:color="auto" w:sz="4" w:space="0"/>
              <w:left w:val="nil"/>
              <w:bottom w:val="nil"/>
              <w:right w:val="single" w:color="auto" w:sz="4" w:space="0"/>
            </w:tcBorders>
            <w:shd w:val="clear" w:color="000000" w:fill="FFFFFF"/>
            <w:noWrap/>
            <w:vAlign w:val="center"/>
          </w:tcPr>
          <w:p w14:paraId="0BF3CE71">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c>
          <w:tcPr>
            <w:tcW w:w="872" w:type="dxa"/>
            <w:tcBorders>
              <w:top w:val="single" w:color="auto" w:sz="4" w:space="0"/>
              <w:left w:val="nil"/>
              <w:bottom w:val="nil"/>
              <w:right w:val="single" w:color="auto" w:sz="4" w:space="0"/>
            </w:tcBorders>
            <w:shd w:val="clear" w:color="000000" w:fill="FFFFFF"/>
            <w:noWrap/>
            <w:vAlign w:val="center"/>
          </w:tcPr>
          <w:p w14:paraId="344C134B">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c>
          <w:tcPr>
            <w:tcW w:w="856" w:type="dxa"/>
            <w:tcBorders>
              <w:top w:val="single" w:color="auto" w:sz="4" w:space="0"/>
              <w:left w:val="nil"/>
              <w:bottom w:val="nil"/>
              <w:right w:val="single" w:color="auto" w:sz="4" w:space="0"/>
            </w:tcBorders>
            <w:shd w:val="clear" w:color="000000" w:fill="FFFFFF"/>
            <w:noWrap/>
            <w:vAlign w:val="center"/>
          </w:tcPr>
          <w:p w14:paraId="5EFEC46C">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c>
          <w:tcPr>
            <w:tcW w:w="1641" w:type="dxa"/>
            <w:tcBorders>
              <w:top w:val="single" w:color="auto" w:sz="4" w:space="0"/>
              <w:left w:val="nil"/>
              <w:bottom w:val="nil"/>
              <w:right w:val="single" w:color="auto" w:sz="4" w:space="0"/>
            </w:tcBorders>
            <w:shd w:val="clear" w:color="000000" w:fill="FFFFFF"/>
            <w:noWrap/>
            <w:vAlign w:val="center"/>
          </w:tcPr>
          <w:p w14:paraId="2CB9A428">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c>
          <w:tcPr>
            <w:tcW w:w="0" w:type="auto"/>
            <w:tcBorders>
              <w:top w:val="single" w:color="auto" w:sz="4" w:space="0"/>
              <w:left w:val="nil"/>
              <w:bottom w:val="nil"/>
              <w:right w:val="single" w:color="auto" w:sz="4" w:space="0"/>
            </w:tcBorders>
            <w:shd w:val="clear" w:color="000000" w:fill="FFFFFF"/>
            <w:noWrap/>
            <w:vAlign w:val="center"/>
          </w:tcPr>
          <w:p w14:paraId="70F70F91">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c>
          <w:tcPr>
            <w:tcW w:w="0" w:type="auto"/>
            <w:tcBorders>
              <w:top w:val="single" w:color="auto" w:sz="4" w:space="0"/>
              <w:left w:val="nil"/>
              <w:bottom w:val="nil"/>
              <w:right w:val="single" w:color="auto" w:sz="4" w:space="0"/>
            </w:tcBorders>
            <w:shd w:val="clear" w:color="000000" w:fill="FFFFFF"/>
            <w:noWrap/>
            <w:vAlign w:val="center"/>
          </w:tcPr>
          <w:p w14:paraId="611135EC">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65F40CE5">
        <w:tblPrEx>
          <w:tblCellMar>
            <w:top w:w="0" w:type="dxa"/>
            <w:left w:w="108" w:type="dxa"/>
            <w:bottom w:w="0" w:type="dxa"/>
            <w:right w:w="108" w:type="dxa"/>
          </w:tblCellMar>
        </w:tblPrEx>
        <w:trPr>
          <w:trHeight w:val="567" w:hRule="atLeast"/>
        </w:trPr>
        <w:tc>
          <w:tcPr>
            <w:tcW w:w="1091"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15ABA6EB">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1.1</w:t>
            </w:r>
          </w:p>
        </w:tc>
        <w:tc>
          <w:tcPr>
            <w:tcW w:w="1961" w:type="dxa"/>
            <w:tcBorders>
              <w:top w:val="single" w:color="auto" w:sz="4" w:space="0"/>
              <w:left w:val="nil"/>
              <w:bottom w:val="single" w:color="auto" w:sz="4" w:space="0"/>
              <w:right w:val="single" w:color="auto" w:sz="4" w:space="0"/>
            </w:tcBorders>
            <w:shd w:val="clear" w:color="000000" w:fill="FFFFFF"/>
            <w:vAlign w:val="center"/>
          </w:tcPr>
          <w:p w14:paraId="4296B3EE">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视频服务器</w:t>
            </w:r>
          </w:p>
        </w:tc>
        <w:tc>
          <w:tcPr>
            <w:tcW w:w="4996" w:type="dxa"/>
            <w:tcBorders>
              <w:top w:val="single" w:color="auto" w:sz="4" w:space="0"/>
              <w:left w:val="nil"/>
              <w:bottom w:val="single" w:color="auto" w:sz="4" w:space="0"/>
              <w:right w:val="single" w:color="auto" w:sz="4" w:space="0"/>
            </w:tcBorders>
            <w:shd w:val="clear" w:color="000000" w:fill="FFFFFF"/>
            <w:vAlign w:val="center"/>
          </w:tcPr>
          <w:p w14:paraId="01E921FF">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多通道视频服务器机箱 热插拔双冗余电源</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性能不低于以下配置：</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CPU：银牌10核4210R</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内存：32G</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系统硬盘：1.2TB SAS*2</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存储控制器：P460-M2-2G</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支持RAID5、RAID10技术，确保数据安全；</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千兆以太网卡/550W冗电</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与主流的制作编辑网高度整合，丰富的输入、输出接口</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可选支持串口控制及网络控制，多串口控制扩展板卡；</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电视播出系统服务端软件</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6块8TB SATAII 企业级硬盘，数据冗余保护</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两通道广播级高标清解码板卡（1入2出）                                                ▲视频服务器整机数字高清HD-SDI接口特性抖动值，10HZ高通滤波≤0.1UI；数字标清SD-SDI接口特性抖动值，1KHZ高通滤波、10HZ高通滤波≤0.05UI(提供广电机构主管部门出具带CMA、CNAS标志的检测报告佐证)。</w:t>
            </w:r>
          </w:p>
        </w:tc>
        <w:tc>
          <w:tcPr>
            <w:tcW w:w="872" w:type="dxa"/>
            <w:tcBorders>
              <w:top w:val="single" w:color="auto" w:sz="4" w:space="0"/>
              <w:left w:val="nil"/>
              <w:bottom w:val="single" w:color="auto" w:sz="4" w:space="0"/>
              <w:right w:val="single" w:color="auto" w:sz="4" w:space="0"/>
            </w:tcBorders>
            <w:shd w:val="clear" w:color="000000" w:fill="FFFFFF"/>
            <w:vAlign w:val="center"/>
          </w:tcPr>
          <w:p w14:paraId="4E9E319B">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single" w:color="auto" w:sz="4" w:space="0"/>
              <w:left w:val="nil"/>
              <w:bottom w:val="single" w:color="auto" w:sz="4" w:space="0"/>
              <w:right w:val="single" w:color="auto" w:sz="4" w:space="0"/>
            </w:tcBorders>
            <w:shd w:val="clear" w:color="000000" w:fill="FFFFFF"/>
            <w:vAlign w:val="center"/>
          </w:tcPr>
          <w:p w14:paraId="65EC2805">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4</w:t>
            </w:r>
          </w:p>
        </w:tc>
        <w:tc>
          <w:tcPr>
            <w:tcW w:w="1641" w:type="dxa"/>
            <w:tcBorders>
              <w:top w:val="single" w:color="auto" w:sz="4" w:space="0"/>
              <w:left w:val="nil"/>
              <w:bottom w:val="single" w:color="auto" w:sz="4" w:space="0"/>
              <w:right w:val="single" w:color="auto" w:sz="4" w:space="0"/>
            </w:tcBorders>
            <w:shd w:val="clear" w:color="000000" w:fill="FFFFFF"/>
            <w:noWrap/>
            <w:vAlign w:val="center"/>
          </w:tcPr>
          <w:p w14:paraId="6748B4C7">
            <w:pPr>
              <w:widowControl/>
              <w:jc w:val="right"/>
              <w:rPr>
                <w:rFonts w:hint="eastAsia" w:ascii="宋体" w:hAnsi="宋体" w:eastAsia="宋体" w:cs="宋体"/>
                <w:color w:val="000000"/>
                <w:kern w:val="0"/>
                <w:sz w:val="24"/>
                <w:szCs w:val="24"/>
                <w14:ligatures w14:val="none"/>
              </w:rPr>
            </w:pPr>
          </w:p>
        </w:tc>
        <w:tc>
          <w:tcPr>
            <w:tcW w:w="0" w:type="auto"/>
            <w:tcBorders>
              <w:top w:val="single" w:color="auto" w:sz="4" w:space="0"/>
              <w:left w:val="nil"/>
              <w:bottom w:val="single" w:color="auto" w:sz="4" w:space="0"/>
              <w:right w:val="single" w:color="auto" w:sz="4" w:space="0"/>
            </w:tcBorders>
            <w:shd w:val="clear" w:color="000000" w:fill="FFFFFF"/>
            <w:noWrap/>
            <w:vAlign w:val="center"/>
          </w:tcPr>
          <w:p w14:paraId="7BC9201B">
            <w:pPr>
              <w:widowControl/>
              <w:jc w:val="right"/>
              <w:rPr>
                <w:rFonts w:hint="eastAsia" w:ascii="宋体" w:hAnsi="宋体" w:eastAsia="宋体" w:cs="宋体"/>
                <w:color w:val="000000"/>
                <w:kern w:val="0"/>
                <w:sz w:val="24"/>
                <w:szCs w:val="24"/>
                <w14:ligatures w14:val="none"/>
              </w:rPr>
            </w:pPr>
          </w:p>
        </w:tc>
        <w:tc>
          <w:tcPr>
            <w:tcW w:w="0" w:type="auto"/>
            <w:tcBorders>
              <w:top w:val="single" w:color="auto" w:sz="4" w:space="0"/>
              <w:left w:val="nil"/>
              <w:bottom w:val="single" w:color="auto" w:sz="4" w:space="0"/>
              <w:right w:val="single" w:color="auto" w:sz="4" w:space="0"/>
            </w:tcBorders>
            <w:shd w:val="clear" w:color="000000" w:fill="FFFFFF"/>
            <w:noWrap/>
            <w:vAlign w:val="center"/>
          </w:tcPr>
          <w:p w14:paraId="530B711F">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45571B71">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6884B03B">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1.2</w:t>
            </w:r>
          </w:p>
        </w:tc>
        <w:tc>
          <w:tcPr>
            <w:tcW w:w="1961" w:type="dxa"/>
            <w:tcBorders>
              <w:top w:val="nil"/>
              <w:left w:val="nil"/>
              <w:bottom w:val="single" w:color="auto" w:sz="4" w:space="0"/>
              <w:right w:val="single" w:color="auto" w:sz="4" w:space="0"/>
            </w:tcBorders>
            <w:shd w:val="clear" w:color="000000" w:fill="FFFFFF"/>
            <w:vAlign w:val="center"/>
          </w:tcPr>
          <w:p w14:paraId="6F8263D1">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第三备视频服务器</w:t>
            </w:r>
          </w:p>
        </w:tc>
        <w:tc>
          <w:tcPr>
            <w:tcW w:w="4996" w:type="dxa"/>
            <w:tcBorders>
              <w:top w:val="nil"/>
              <w:left w:val="nil"/>
              <w:bottom w:val="single" w:color="auto" w:sz="4" w:space="0"/>
              <w:right w:val="single" w:color="auto" w:sz="4" w:space="0"/>
            </w:tcBorders>
            <w:shd w:val="clear" w:color="000000" w:fill="FFFFFF"/>
            <w:vAlign w:val="center"/>
          </w:tcPr>
          <w:p w14:paraId="03C68A2A">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多通道视频服务器机箱 热插拔双冗余电源</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性能不低于以下配置：</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CPU：银牌10核4210R</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内存：32G</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系统硬盘：1.2TB SAS*2</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存储控制器：P460-M2-2G</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支持RAID5、RAID10技术，确保数据安全；</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千兆以太网卡/550W冗电</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与主流的制作编辑网高度整合，丰富的输入、输出接口</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可选支持串口控制及网络控制，多串口控制扩展板卡；</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电视播出系统服务端软件</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6块8TB SATAII 企业级硬盘，数据冗余保护</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四通道广播级高标清解码板卡（1入2出）</w:t>
            </w:r>
          </w:p>
          <w:p w14:paraId="396612EB">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▲视频服务器整机数字高清HD-SDI接口特性抖动值，10HZ高通滤波≤0.1UI；数字标清SD-SDI接口特性抖动值，1KHZ高通滤波、10HZ高通滤波≤0.05UI(提供广电机构主管部门出具带CMA、CNAS标志的检测报告佐证)。</w:t>
            </w:r>
          </w:p>
        </w:tc>
        <w:tc>
          <w:tcPr>
            <w:tcW w:w="872" w:type="dxa"/>
            <w:tcBorders>
              <w:top w:val="nil"/>
              <w:left w:val="nil"/>
              <w:bottom w:val="single" w:color="auto" w:sz="4" w:space="0"/>
              <w:right w:val="single" w:color="auto" w:sz="4" w:space="0"/>
            </w:tcBorders>
            <w:shd w:val="clear" w:color="000000" w:fill="FFFFFF"/>
            <w:vAlign w:val="center"/>
          </w:tcPr>
          <w:p w14:paraId="0F2259ED">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0AD02405">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w:t>
            </w:r>
          </w:p>
        </w:tc>
        <w:tc>
          <w:tcPr>
            <w:tcW w:w="1641" w:type="dxa"/>
            <w:tcBorders>
              <w:top w:val="nil"/>
              <w:left w:val="nil"/>
              <w:bottom w:val="single" w:color="auto" w:sz="4" w:space="0"/>
              <w:right w:val="single" w:color="auto" w:sz="4" w:space="0"/>
            </w:tcBorders>
            <w:shd w:val="clear" w:color="000000" w:fill="FFFFFF"/>
            <w:noWrap/>
            <w:vAlign w:val="center"/>
          </w:tcPr>
          <w:p w14:paraId="3E9ED1EE">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6D0E9203">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3CECE046">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502CE7C0">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30D355AD">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1.3</w:t>
            </w:r>
          </w:p>
        </w:tc>
        <w:tc>
          <w:tcPr>
            <w:tcW w:w="1961" w:type="dxa"/>
            <w:tcBorders>
              <w:top w:val="nil"/>
              <w:left w:val="nil"/>
              <w:bottom w:val="single" w:color="auto" w:sz="4" w:space="0"/>
              <w:right w:val="single" w:color="auto" w:sz="4" w:space="0"/>
            </w:tcBorders>
            <w:shd w:val="clear" w:color="000000" w:fill="FFFFFF"/>
            <w:vAlign w:val="center"/>
          </w:tcPr>
          <w:p w14:paraId="56822189">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数据库服务器</w:t>
            </w:r>
          </w:p>
        </w:tc>
        <w:tc>
          <w:tcPr>
            <w:tcW w:w="4996" w:type="dxa"/>
            <w:tcBorders>
              <w:top w:val="nil"/>
              <w:left w:val="nil"/>
              <w:bottom w:val="single" w:color="auto" w:sz="4" w:space="0"/>
              <w:right w:val="single" w:color="auto" w:sz="4" w:space="0"/>
            </w:tcBorders>
            <w:shd w:val="clear" w:color="000000" w:fill="FFFFFF"/>
            <w:vAlign w:val="center"/>
          </w:tcPr>
          <w:p w14:paraId="370529CD">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19"1U 机架式服务器</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性能不低于以下配置：</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CPU:六核1.9GHz处理器；</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内存：32GB；</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硬盘：2块1.2TB系统盘；</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电源:冗余电源；</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Microsoft Windows Server；</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SQL Server数据库系统</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硬盘播出数据库管理软件</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客户端校时软件</w:t>
            </w:r>
          </w:p>
        </w:tc>
        <w:tc>
          <w:tcPr>
            <w:tcW w:w="872" w:type="dxa"/>
            <w:tcBorders>
              <w:top w:val="nil"/>
              <w:left w:val="nil"/>
              <w:bottom w:val="single" w:color="auto" w:sz="4" w:space="0"/>
              <w:right w:val="single" w:color="auto" w:sz="4" w:space="0"/>
            </w:tcBorders>
            <w:shd w:val="clear" w:color="000000" w:fill="FFFFFF"/>
            <w:vAlign w:val="center"/>
          </w:tcPr>
          <w:p w14:paraId="6C3B529C">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6CD6457E">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2</w:t>
            </w:r>
          </w:p>
        </w:tc>
        <w:tc>
          <w:tcPr>
            <w:tcW w:w="1641" w:type="dxa"/>
            <w:tcBorders>
              <w:top w:val="nil"/>
              <w:left w:val="nil"/>
              <w:bottom w:val="single" w:color="auto" w:sz="4" w:space="0"/>
              <w:right w:val="single" w:color="auto" w:sz="4" w:space="0"/>
            </w:tcBorders>
            <w:shd w:val="clear" w:color="000000" w:fill="FFFFFF"/>
            <w:noWrap/>
            <w:vAlign w:val="center"/>
          </w:tcPr>
          <w:p w14:paraId="111ABB93">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65EB1889">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4F9A8249">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30810F28">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6F8CAB2F">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1.4</w:t>
            </w:r>
          </w:p>
        </w:tc>
        <w:tc>
          <w:tcPr>
            <w:tcW w:w="1961" w:type="dxa"/>
            <w:tcBorders>
              <w:top w:val="nil"/>
              <w:left w:val="nil"/>
              <w:bottom w:val="single" w:color="auto" w:sz="4" w:space="0"/>
              <w:right w:val="single" w:color="auto" w:sz="4" w:space="0"/>
            </w:tcBorders>
            <w:shd w:val="clear" w:color="000000" w:fill="FFFFFF"/>
            <w:vAlign w:val="center"/>
          </w:tcPr>
          <w:p w14:paraId="3BA7DF3C">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迁移技审服务器</w:t>
            </w:r>
          </w:p>
        </w:tc>
        <w:tc>
          <w:tcPr>
            <w:tcW w:w="4996" w:type="dxa"/>
            <w:tcBorders>
              <w:top w:val="nil"/>
              <w:left w:val="nil"/>
              <w:bottom w:val="single" w:color="auto" w:sz="4" w:space="0"/>
              <w:right w:val="single" w:color="auto" w:sz="4" w:space="0"/>
            </w:tcBorders>
            <w:shd w:val="clear" w:color="000000" w:fill="FFFFFF"/>
            <w:vAlign w:val="center"/>
          </w:tcPr>
          <w:p w14:paraId="4BCFCD69">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19"1U 机架式服务器</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性能不低于以下配置：</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CPU:六核1.9GHz处理器；</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内存：32GB；</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硬盘：2块1.2TB系统盘；</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电源:冗余电源；</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Microsoft Windows Server；</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SQL Server数据库系统</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素材迁移软件，支持素材自动迁移至主备播出服务器                              ▲、正播表自动同步功能，若播出服务器上存在正播表中的缺失素材，则自动同步该素材，自动实现素材从二级存储到播出服务器、主播出服务器到备播出服务器、备播出服务器到主播出服务器的同步(提供广电机构主管部门出具带CMA、CNAS标志的检测报告佐证)；</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▲、节目单素材迁移功能，可接收播控系统、播出系统、上载系统和消息中心的节目单素材迁移指令，自动产生相关迁移任务，并派发给迁移服务器(提供广电机构主管部门出具带CMA、CNAS标志的检测报告佐证)；</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迁移任务管理，可在迁移失败任务窗口中查看当前失败的迁移任务列表信息（包括文件名称、源存储区、异常类型、优先级和所属迁移服务器等），支持当前迁移失败任务进行处理，如执行重新开始、删除、修改任务属性等操作(提供广电机构主管部门出具带CMA、CNAS标志的检测报告佐证)；                                              ▲、图形化信息统计，在信息统计界面中可按时间、任务类型等条件查询迁移系统的所有迁移任务，并支持按列表、饼状图和柱状图方式显示(提供广电机构主管部门出具带CMA、CNAS标志的检测报告佐证)。</w:t>
            </w:r>
          </w:p>
        </w:tc>
        <w:tc>
          <w:tcPr>
            <w:tcW w:w="872" w:type="dxa"/>
            <w:tcBorders>
              <w:top w:val="nil"/>
              <w:left w:val="nil"/>
              <w:bottom w:val="single" w:color="auto" w:sz="4" w:space="0"/>
              <w:right w:val="single" w:color="auto" w:sz="4" w:space="0"/>
            </w:tcBorders>
            <w:shd w:val="clear" w:color="000000" w:fill="FFFFFF"/>
            <w:vAlign w:val="center"/>
          </w:tcPr>
          <w:p w14:paraId="290D779D">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3AF5A0C0">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2</w:t>
            </w:r>
          </w:p>
        </w:tc>
        <w:tc>
          <w:tcPr>
            <w:tcW w:w="1641" w:type="dxa"/>
            <w:tcBorders>
              <w:top w:val="nil"/>
              <w:left w:val="nil"/>
              <w:bottom w:val="single" w:color="auto" w:sz="4" w:space="0"/>
              <w:right w:val="single" w:color="auto" w:sz="4" w:space="0"/>
            </w:tcBorders>
            <w:shd w:val="clear" w:color="000000" w:fill="FFFFFF"/>
            <w:noWrap/>
            <w:vAlign w:val="center"/>
          </w:tcPr>
          <w:p w14:paraId="415521A2">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3A123523">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024338E6">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71E9C186">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396357E5">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1.5</w:t>
            </w:r>
          </w:p>
        </w:tc>
        <w:tc>
          <w:tcPr>
            <w:tcW w:w="1961" w:type="dxa"/>
            <w:tcBorders>
              <w:top w:val="nil"/>
              <w:left w:val="nil"/>
              <w:bottom w:val="single" w:color="auto" w:sz="4" w:space="0"/>
              <w:right w:val="single" w:color="auto" w:sz="4" w:space="0"/>
            </w:tcBorders>
            <w:shd w:val="clear" w:color="000000" w:fill="FFFFFF"/>
            <w:vAlign w:val="center"/>
          </w:tcPr>
          <w:p w14:paraId="662B2F71">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二级存储</w:t>
            </w:r>
          </w:p>
        </w:tc>
        <w:tc>
          <w:tcPr>
            <w:tcW w:w="4996" w:type="dxa"/>
            <w:tcBorders>
              <w:top w:val="nil"/>
              <w:left w:val="nil"/>
              <w:bottom w:val="single" w:color="auto" w:sz="4" w:space="0"/>
              <w:right w:val="single" w:color="auto" w:sz="4" w:space="0"/>
            </w:tcBorders>
            <w:shd w:val="clear" w:color="000000" w:fill="FFFFFF"/>
            <w:vAlign w:val="center"/>
          </w:tcPr>
          <w:p w14:paraId="64A43476">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视频专用存储系统，Intel 高性能处理器，双系统盘，32G 高速缓存</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标准19寸 4U机架式，24*8TB企业级可热插拔硬盘，</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自适应1+1冗余电源，多冗余热交换PWM 风扇</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2个1GbE以太网接口，2个10GbE以太网接口，2根10米光纤跳线、2个万兆多模模块，支持网络接口聚合</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支持RAID级别：RAID 0、1、1E、5、5EE、6、10、50、60、JBOD</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提供NAS/IP-SAN功能，支持CIFS、NFS、FTP、HTTP、WebDav、ISCSI协议</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需备份2块以上同型号硬盘作为备品。</w:t>
            </w:r>
          </w:p>
        </w:tc>
        <w:tc>
          <w:tcPr>
            <w:tcW w:w="872" w:type="dxa"/>
            <w:tcBorders>
              <w:top w:val="nil"/>
              <w:left w:val="nil"/>
              <w:bottom w:val="single" w:color="auto" w:sz="4" w:space="0"/>
              <w:right w:val="single" w:color="auto" w:sz="4" w:space="0"/>
            </w:tcBorders>
            <w:shd w:val="clear" w:color="000000" w:fill="FFFFFF"/>
            <w:vAlign w:val="center"/>
          </w:tcPr>
          <w:p w14:paraId="543272B9">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4473642D">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2</w:t>
            </w:r>
          </w:p>
        </w:tc>
        <w:tc>
          <w:tcPr>
            <w:tcW w:w="1641" w:type="dxa"/>
            <w:tcBorders>
              <w:top w:val="nil"/>
              <w:left w:val="nil"/>
              <w:bottom w:val="single" w:color="auto" w:sz="4" w:space="0"/>
              <w:right w:val="single" w:color="auto" w:sz="4" w:space="0"/>
            </w:tcBorders>
            <w:shd w:val="clear" w:color="000000" w:fill="FFFFFF"/>
            <w:noWrap/>
            <w:vAlign w:val="center"/>
          </w:tcPr>
          <w:p w14:paraId="7FB8268A">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184E1852">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5B7CCEB0">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4667D608">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7B358971">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1.6</w:t>
            </w:r>
          </w:p>
        </w:tc>
        <w:tc>
          <w:tcPr>
            <w:tcW w:w="1961" w:type="dxa"/>
            <w:tcBorders>
              <w:top w:val="nil"/>
              <w:left w:val="nil"/>
              <w:bottom w:val="single" w:color="auto" w:sz="4" w:space="0"/>
              <w:right w:val="single" w:color="auto" w:sz="4" w:space="0"/>
            </w:tcBorders>
            <w:shd w:val="clear" w:color="000000" w:fill="FFFFFF"/>
            <w:vAlign w:val="center"/>
          </w:tcPr>
          <w:p w14:paraId="50F0AE63">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播控工作站</w:t>
            </w:r>
          </w:p>
        </w:tc>
        <w:tc>
          <w:tcPr>
            <w:tcW w:w="4996" w:type="dxa"/>
            <w:tcBorders>
              <w:top w:val="nil"/>
              <w:left w:val="nil"/>
              <w:bottom w:val="single" w:color="auto" w:sz="4" w:space="0"/>
              <w:right w:val="single" w:color="auto" w:sz="4" w:space="0"/>
            </w:tcBorders>
            <w:shd w:val="clear" w:color="000000" w:fill="FFFFFF"/>
            <w:vAlign w:val="center"/>
          </w:tcPr>
          <w:p w14:paraId="4F1A7982">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性能不低于以下配置：英特尔i7处理器、32G内存、512G固态硬盘、24寸液晶显示器、键盘、鼠标，多串口控制扩展板卡；</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软件配置：</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正版操作系统；</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离线编单软件；</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客户端校时软件；</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播出控制系统软件；</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▲播出控制软件具备以下功能：(提供广电机构主管部门出具带CMA、CNAS标志的检测报告佐证)。</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1.支持脱机播出功能，可控制播出服务器进行脱机播出；</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2.支持字幕元素播出，控制播出信号的字幕元素的叠加和停止叠加；</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3.当设备状态异常时，系统将进行报警。</w:t>
            </w:r>
          </w:p>
        </w:tc>
        <w:tc>
          <w:tcPr>
            <w:tcW w:w="872" w:type="dxa"/>
            <w:tcBorders>
              <w:top w:val="nil"/>
              <w:left w:val="nil"/>
              <w:bottom w:val="single" w:color="auto" w:sz="4" w:space="0"/>
              <w:right w:val="single" w:color="auto" w:sz="4" w:space="0"/>
            </w:tcBorders>
            <w:shd w:val="clear" w:color="000000" w:fill="FFFFFF"/>
            <w:vAlign w:val="center"/>
          </w:tcPr>
          <w:p w14:paraId="54FAA597">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7B87214D">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6</w:t>
            </w:r>
          </w:p>
        </w:tc>
        <w:tc>
          <w:tcPr>
            <w:tcW w:w="1641" w:type="dxa"/>
            <w:tcBorders>
              <w:top w:val="nil"/>
              <w:left w:val="nil"/>
              <w:bottom w:val="single" w:color="auto" w:sz="4" w:space="0"/>
              <w:right w:val="single" w:color="auto" w:sz="4" w:space="0"/>
            </w:tcBorders>
            <w:shd w:val="clear" w:color="000000" w:fill="FFFFFF"/>
            <w:noWrap/>
            <w:vAlign w:val="center"/>
          </w:tcPr>
          <w:p w14:paraId="1E4DE74A">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3AE5D723">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7A372859">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2ACE9352">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1C3DBB09">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1.7</w:t>
            </w:r>
          </w:p>
        </w:tc>
        <w:tc>
          <w:tcPr>
            <w:tcW w:w="1961" w:type="dxa"/>
            <w:tcBorders>
              <w:top w:val="nil"/>
              <w:left w:val="nil"/>
              <w:bottom w:val="single" w:color="auto" w:sz="4" w:space="0"/>
              <w:right w:val="single" w:color="auto" w:sz="4" w:space="0"/>
            </w:tcBorders>
            <w:shd w:val="clear" w:color="000000" w:fill="FFFFFF"/>
            <w:vAlign w:val="center"/>
          </w:tcPr>
          <w:p w14:paraId="0B050205">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上载工作站</w:t>
            </w:r>
          </w:p>
        </w:tc>
        <w:tc>
          <w:tcPr>
            <w:tcW w:w="4996" w:type="dxa"/>
            <w:tcBorders>
              <w:top w:val="nil"/>
              <w:left w:val="nil"/>
              <w:bottom w:val="single" w:color="auto" w:sz="4" w:space="0"/>
              <w:right w:val="single" w:color="auto" w:sz="4" w:space="0"/>
            </w:tcBorders>
            <w:shd w:val="clear" w:color="000000" w:fill="FFFFFF"/>
            <w:vAlign w:val="center"/>
          </w:tcPr>
          <w:p w14:paraId="78C83C4D">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性能不低于以下配置：英特尔i7主流处理器、32G内存、512G固态硬盘+4T素材盘、2G独显、24寸液晶显示器、键盘、鼠标、上载监听音箱；</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2路SDI输入卡*1。</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软件配置：</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正版操作系统；</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客户端校时软件；</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上载软件；</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▲上载软件具备以下功能：(提供广电机构主管部门出具带CMA、CNAS标志的检测报告佐证)。</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1.可关联本地文件夹，查看关联文件夹中的素材信息；</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2.可配置采集素材的限播次数、有效期等；</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3.支持采集模板配置，对视音频参数及文件打包格式进行修改编辑。</w:t>
            </w:r>
          </w:p>
        </w:tc>
        <w:tc>
          <w:tcPr>
            <w:tcW w:w="872" w:type="dxa"/>
            <w:tcBorders>
              <w:top w:val="nil"/>
              <w:left w:val="nil"/>
              <w:bottom w:val="single" w:color="auto" w:sz="4" w:space="0"/>
              <w:right w:val="single" w:color="auto" w:sz="4" w:space="0"/>
            </w:tcBorders>
            <w:shd w:val="clear" w:color="000000" w:fill="FFFFFF"/>
            <w:vAlign w:val="center"/>
          </w:tcPr>
          <w:p w14:paraId="5CAEEA72">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11A0CA63">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4</w:t>
            </w:r>
          </w:p>
        </w:tc>
        <w:tc>
          <w:tcPr>
            <w:tcW w:w="1641" w:type="dxa"/>
            <w:tcBorders>
              <w:top w:val="nil"/>
              <w:left w:val="nil"/>
              <w:bottom w:val="single" w:color="auto" w:sz="4" w:space="0"/>
              <w:right w:val="single" w:color="auto" w:sz="4" w:space="0"/>
            </w:tcBorders>
            <w:shd w:val="clear" w:color="000000" w:fill="FFFFFF"/>
            <w:noWrap/>
            <w:vAlign w:val="center"/>
          </w:tcPr>
          <w:p w14:paraId="07116969">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0901AC8E">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15194D33">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0492FEBF">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52E3EFDF">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1.8</w:t>
            </w:r>
          </w:p>
        </w:tc>
        <w:tc>
          <w:tcPr>
            <w:tcW w:w="1961" w:type="dxa"/>
            <w:tcBorders>
              <w:top w:val="nil"/>
              <w:left w:val="nil"/>
              <w:bottom w:val="single" w:color="auto" w:sz="4" w:space="0"/>
              <w:right w:val="single" w:color="auto" w:sz="4" w:space="0"/>
            </w:tcBorders>
            <w:shd w:val="clear" w:color="000000" w:fill="FFFFFF"/>
            <w:vAlign w:val="center"/>
          </w:tcPr>
          <w:p w14:paraId="689332DD">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编单审片工作站</w:t>
            </w:r>
          </w:p>
        </w:tc>
        <w:tc>
          <w:tcPr>
            <w:tcW w:w="4996" w:type="dxa"/>
            <w:tcBorders>
              <w:top w:val="nil"/>
              <w:left w:val="nil"/>
              <w:bottom w:val="single" w:color="auto" w:sz="4" w:space="0"/>
              <w:right w:val="single" w:color="auto" w:sz="4" w:space="0"/>
            </w:tcBorders>
            <w:shd w:val="clear" w:color="000000" w:fill="FFFFFF"/>
            <w:vAlign w:val="center"/>
          </w:tcPr>
          <w:p w14:paraId="6F89F960">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性能不低于以下配置：英特尔i7主流处理器、32G内存、512G固态硬盘、24寸液晶显示器、1000M 网口、键盘、鼠标；</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软件配置：</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正版操作系统；</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客户端校时软件</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审片软件</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需与非编厂商进行对接，支持在编单审片工作站上安装非编软件（非编软件由甲方协调提供）。</w:t>
            </w:r>
          </w:p>
        </w:tc>
        <w:tc>
          <w:tcPr>
            <w:tcW w:w="872" w:type="dxa"/>
            <w:tcBorders>
              <w:top w:val="nil"/>
              <w:left w:val="nil"/>
              <w:bottom w:val="single" w:color="auto" w:sz="4" w:space="0"/>
              <w:right w:val="single" w:color="auto" w:sz="4" w:space="0"/>
            </w:tcBorders>
            <w:shd w:val="clear" w:color="000000" w:fill="FFFFFF"/>
            <w:vAlign w:val="center"/>
          </w:tcPr>
          <w:p w14:paraId="5F3B3C02">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09CD2570">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14</w:t>
            </w:r>
          </w:p>
        </w:tc>
        <w:tc>
          <w:tcPr>
            <w:tcW w:w="1641" w:type="dxa"/>
            <w:tcBorders>
              <w:top w:val="nil"/>
              <w:left w:val="nil"/>
              <w:bottom w:val="single" w:color="auto" w:sz="4" w:space="0"/>
              <w:right w:val="single" w:color="auto" w:sz="4" w:space="0"/>
            </w:tcBorders>
            <w:shd w:val="clear" w:color="000000" w:fill="FFFFFF"/>
            <w:noWrap/>
            <w:vAlign w:val="center"/>
          </w:tcPr>
          <w:p w14:paraId="5259316B">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69EE8848">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7692990B">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2FEB24C3">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41FDF351">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1.9</w:t>
            </w:r>
          </w:p>
        </w:tc>
        <w:tc>
          <w:tcPr>
            <w:tcW w:w="1961" w:type="dxa"/>
            <w:tcBorders>
              <w:top w:val="nil"/>
              <w:left w:val="nil"/>
              <w:bottom w:val="single" w:color="auto" w:sz="4" w:space="0"/>
              <w:right w:val="single" w:color="auto" w:sz="4" w:space="0"/>
            </w:tcBorders>
            <w:shd w:val="clear" w:color="000000" w:fill="FFFFFF"/>
            <w:vAlign w:val="center"/>
          </w:tcPr>
          <w:p w14:paraId="5E337357">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高清字幕机</w:t>
            </w:r>
          </w:p>
        </w:tc>
        <w:tc>
          <w:tcPr>
            <w:tcW w:w="4996" w:type="dxa"/>
            <w:tcBorders>
              <w:top w:val="nil"/>
              <w:left w:val="nil"/>
              <w:bottom w:val="single" w:color="auto" w:sz="4" w:space="0"/>
              <w:right w:val="single" w:color="auto" w:sz="4" w:space="0"/>
            </w:tcBorders>
            <w:shd w:val="clear" w:color="000000" w:fill="FFFFFF"/>
            <w:vAlign w:val="center"/>
          </w:tcPr>
          <w:p w14:paraId="0428371E">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性能不低于以下配置：英特尔i7主流处理器、32G内存、512G固态硬盘+4T素材盘、24寸液晶显示器、键盘、鼠标；</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广播级高标清字幕卡。</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软件配置：</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正本操作系统</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客户端校时软件、广告标识中心软件</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1、支持台标、广告倒计时、支持多层字幕、动静态角标、时标、游字等信息同时播出；</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2、网络化字幕制作、编单和管理；</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3、采用与节目播出联动的播出型字幕机，可实现播出字幕机无人值守；</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 xml:space="preserve">4、支持哈文、维文等各民族文字；                                                          </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5、提供哈族字幕库不低于5年的服务买断;</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6、▲支持信创操作系统，可以在统信UOS或麒麟操作系统上进行安装部署；（提供第三方检测报告佐证）</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7、▲支持游字编队双向游走，可以对游字进行编队播出，编队中的游字项可以反向游走，游走期间必须确保不同语言文字游走时间的同步；（提供第三方检测报告佐证）</w:t>
            </w:r>
          </w:p>
        </w:tc>
        <w:tc>
          <w:tcPr>
            <w:tcW w:w="872" w:type="dxa"/>
            <w:tcBorders>
              <w:top w:val="nil"/>
              <w:left w:val="nil"/>
              <w:bottom w:val="single" w:color="auto" w:sz="4" w:space="0"/>
              <w:right w:val="single" w:color="auto" w:sz="4" w:space="0"/>
            </w:tcBorders>
            <w:shd w:val="clear" w:color="000000" w:fill="FFFFFF"/>
            <w:vAlign w:val="center"/>
          </w:tcPr>
          <w:p w14:paraId="5B1D103E">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54B6F025">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3</w:t>
            </w:r>
          </w:p>
        </w:tc>
        <w:tc>
          <w:tcPr>
            <w:tcW w:w="1641" w:type="dxa"/>
            <w:tcBorders>
              <w:top w:val="nil"/>
              <w:left w:val="nil"/>
              <w:bottom w:val="single" w:color="auto" w:sz="4" w:space="0"/>
              <w:right w:val="single" w:color="auto" w:sz="4" w:space="0"/>
            </w:tcBorders>
            <w:shd w:val="clear" w:color="000000" w:fill="FFFFFF"/>
            <w:noWrap/>
            <w:vAlign w:val="center"/>
          </w:tcPr>
          <w:p w14:paraId="26CE4148">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1776E0E9">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1BF06EC7">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7F1179C6">
        <w:tblPrEx>
          <w:tblCellMar>
            <w:top w:w="0" w:type="dxa"/>
            <w:left w:w="108" w:type="dxa"/>
            <w:bottom w:w="0" w:type="dxa"/>
            <w:right w:w="108" w:type="dxa"/>
          </w:tblCellMar>
        </w:tblPrEx>
        <w:trPr>
          <w:trHeight w:val="567" w:hRule="atLeast"/>
        </w:trPr>
        <w:tc>
          <w:tcPr>
            <w:tcW w:w="1091" w:type="dxa"/>
            <w:tcBorders>
              <w:top w:val="nil"/>
              <w:left w:val="single" w:color="auto" w:sz="4" w:space="0"/>
              <w:bottom w:val="nil"/>
              <w:right w:val="single" w:color="auto" w:sz="4" w:space="0"/>
            </w:tcBorders>
            <w:shd w:val="clear" w:color="000000" w:fill="FFFFFF"/>
            <w:noWrap/>
            <w:vAlign w:val="center"/>
          </w:tcPr>
          <w:p w14:paraId="6CEA1483">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（二）</w:t>
            </w:r>
          </w:p>
        </w:tc>
        <w:tc>
          <w:tcPr>
            <w:tcW w:w="1961" w:type="dxa"/>
            <w:tcBorders>
              <w:top w:val="nil"/>
              <w:left w:val="nil"/>
              <w:bottom w:val="nil"/>
              <w:right w:val="single" w:color="auto" w:sz="4" w:space="0"/>
            </w:tcBorders>
            <w:shd w:val="clear" w:color="000000" w:fill="FFFFFF"/>
            <w:noWrap/>
            <w:vAlign w:val="center"/>
          </w:tcPr>
          <w:p w14:paraId="5E51A25F">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总控系统</w:t>
            </w:r>
          </w:p>
        </w:tc>
        <w:tc>
          <w:tcPr>
            <w:tcW w:w="4996" w:type="dxa"/>
            <w:tcBorders>
              <w:top w:val="nil"/>
              <w:left w:val="nil"/>
              <w:bottom w:val="nil"/>
              <w:right w:val="single" w:color="auto" w:sz="4" w:space="0"/>
            </w:tcBorders>
            <w:shd w:val="clear" w:color="000000" w:fill="FFFFFF"/>
            <w:noWrap/>
            <w:vAlign w:val="center"/>
          </w:tcPr>
          <w:p w14:paraId="4E645E54">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c>
          <w:tcPr>
            <w:tcW w:w="872" w:type="dxa"/>
            <w:tcBorders>
              <w:top w:val="nil"/>
              <w:left w:val="nil"/>
              <w:bottom w:val="single" w:color="auto" w:sz="4" w:space="0"/>
              <w:right w:val="single" w:color="auto" w:sz="4" w:space="0"/>
            </w:tcBorders>
            <w:shd w:val="clear" w:color="000000" w:fill="FFFFFF"/>
            <w:noWrap/>
            <w:vAlign w:val="center"/>
          </w:tcPr>
          <w:p w14:paraId="570A8255">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c>
          <w:tcPr>
            <w:tcW w:w="856" w:type="dxa"/>
            <w:tcBorders>
              <w:top w:val="nil"/>
              <w:left w:val="nil"/>
              <w:bottom w:val="single" w:color="auto" w:sz="4" w:space="0"/>
              <w:right w:val="single" w:color="auto" w:sz="4" w:space="0"/>
            </w:tcBorders>
            <w:shd w:val="clear" w:color="000000" w:fill="FFFFFF"/>
            <w:noWrap/>
            <w:vAlign w:val="center"/>
          </w:tcPr>
          <w:p w14:paraId="2F9495D5">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c>
          <w:tcPr>
            <w:tcW w:w="1641" w:type="dxa"/>
            <w:tcBorders>
              <w:top w:val="nil"/>
              <w:left w:val="nil"/>
              <w:bottom w:val="single" w:color="auto" w:sz="4" w:space="0"/>
              <w:right w:val="single" w:color="auto" w:sz="4" w:space="0"/>
            </w:tcBorders>
            <w:shd w:val="clear" w:color="000000" w:fill="FFFFFF"/>
            <w:noWrap/>
            <w:vAlign w:val="center"/>
          </w:tcPr>
          <w:p w14:paraId="1ABC86E0">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c>
          <w:tcPr>
            <w:tcW w:w="0" w:type="auto"/>
            <w:tcBorders>
              <w:top w:val="nil"/>
              <w:left w:val="nil"/>
              <w:bottom w:val="nil"/>
              <w:right w:val="single" w:color="auto" w:sz="4" w:space="0"/>
            </w:tcBorders>
            <w:shd w:val="clear" w:color="000000" w:fill="FFFFFF"/>
            <w:noWrap/>
            <w:vAlign w:val="center"/>
          </w:tcPr>
          <w:p w14:paraId="662A30F0">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c>
          <w:tcPr>
            <w:tcW w:w="0" w:type="auto"/>
            <w:tcBorders>
              <w:top w:val="nil"/>
              <w:left w:val="nil"/>
              <w:bottom w:val="nil"/>
              <w:right w:val="single" w:color="auto" w:sz="4" w:space="0"/>
            </w:tcBorders>
            <w:shd w:val="clear" w:color="000000" w:fill="FFFFFF"/>
            <w:noWrap/>
            <w:vAlign w:val="center"/>
          </w:tcPr>
          <w:p w14:paraId="4CDBB5BB">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2EA6B1AB">
        <w:tblPrEx>
          <w:tblCellMar>
            <w:top w:w="0" w:type="dxa"/>
            <w:left w:w="108" w:type="dxa"/>
            <w:bottom w:w="0" w:type="dxa"/>
            <w:right w:w="108" w:type="dxa"/>
          </w:tblCellMar>
        </w:tblPrEx>
        <w:trPr>
          <w:trHeight w:val="567" w:hRule="atLeast"/>
        </w:trPr>
        <w:tc>
          <w:tcPr>
            <w:tcW w:w="1091"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2E128DC3">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2.1</w:t>
            </w:r>
          </w:p>
        </w:tc>
        <w:tc>
          <w:tcPr>
            <w:tcW w:w="1961" w:type="dxa"/>
            <w:tcBorders>
              <w:top w:val="single" w:color="auto" w:sz="4" w:space="0"/>
              <w:left w:val="nil"/>
              <w:bottom w:val="single" w:color="auto" w:sz="4" w:space="0"/>
              <w:right w:val="single" w:color="auto" w:sz="4" w:space="0"/>
            </w:tcBorders>
            <w:shd w:val="clear" w:color="000000" w:fill="FFFFFF"/>
            <w:vAlign w:val="center"/>
          </w:tcPr>
          <w:p w14:paraId="12B8E894">
            <w:pPr>
              <w:widowControl/>
              <w:jc w:val="center"/>
              <w:rPr>
                <w:rFonts w:hint="eastAsia" w:ascii="宋体" w:hAnsi="宋体" w:eastAsia="宋体" w:cs="宋体"/>
                <w:b/>
                <w:bCs/>
                <w:color w:val="000000"/>
                <w:kern w:val="0"/>
                <w:sz w:val="24"/>
                <w:szCs w:val="24"/>
                <w14:ligatures w14:val="none"/>
              </w:rPr>
            </w:pPr>
            <w:r>
              <w:rPr>
                <w:rFonts w:hint="eastAsia" w:ascii="宋体" w:hAnsi="宋体" w:eastAsia="宋体" w:cs="宋体"/>
                <w:b/>
                <w:bCs/>
                <w:color w:val="000000"/>
                <w:kern w:val="0"/>
                <w:sz w:val="24"/>
                <w:szCs w:val="24"/>
                <w14:ligatures w14:val="none"/>
              </w:rPr>
              <w:t>高清数字总控矩阵（含控制面板）</w:t>
            </w:r>
          </w:p>
          <w:p w14:paraId="27974B83">
            <w:pPr>
              <w:widowControl/>
              <w:jc w:val="center"/>
              <w:rPr>
                <w:rFonts w:hint="eastAsia" w:ascii="宋体" w:hAnsi="宋体" w:eastAsia="宋体" w:cs="宋体"/>
                <w:b/>
                <w:bCs/>
                <w:color w:val="000000"/>
                <w:kern w:val="0"/>
                <w:sz w:val="24"/>
                <w:szCs w:val="24"/>
                <w14:ligatures w14:val="none"/>
              </w:rPr>
            </w:pPr>
            <w:r>
              <w:rPr>
                <w:rFonts w:hint="eastAsia" w:ascii="宋体" w:hAnsi="宋体" w:eastAsia="宋体" w:cs="宋体"/>
                <w:b/>
                <w:bCs/>
                <w:color w:val="000000"/>
                <w:kern w:val="0"/>
                <w:sz w:val="24"/>
                <w:szCs w:val="24"/>
                <w14:ligatures w14:val="none"/>
              </w:rPr>
              <w:t>（</w:t>
            </w:r>
            <w:r>
              <w:rPr>
                <w:rFonts w:ascii="仿宋_GB2312" w:hAnsi="宋体" w:eastAsia="仿宋_GB2312" w:cs="仿宋_GB2312"/>
                <w:b/>
                <w:bCs/>
                <w:color w:val="000000"/>
                <w:kern w:val="0"/>
                <w:sz w:val="18"/>
                <w:szCs w:val="18"/>
                <w:lang w:val="en-US" w:eastAsia="zh-CN" w:bidi="ar"/>
              </w:rPr>
              <w:t>★</w:t>
            </w:r>
            <w:r>
              <w:rPr>
                <w:rFonts w:hint="eastAsia" w:ascii="宋体" w:hAnsi="宋体" w:eastAsia="宋体" w:cs="宋体"/>
                <w:b/>
                <w:bCs/>
                <w:color w:val="000000"/>
                <w:kern w:val="0"/>
                <w:sz w:val="24"/>
                <w:szCs w:val="24"/>
                <w14:ligatures w14:val="none"/>
              </w:rPr>
              <w:t>核心产品）</w:t>
            </w:r>
          </w:p>
        </w:tc>
        <w:tc>
          <w:tcPr>
            <w:tcW w:w="4996" w:type="dxa"/>
            <w:tcBorders>
              <w:top w:val="single" w:color="auto" w:sz="4" w:space="0"/>
              <w:left w:val="nil"/>
              <w:bottom w:val="single" w:color="auto" w:sz="4" w:space="0"/>
              <w:right w:val="single" w:color="auto" w:sz="4" w:space="0"/>
            </w:tcBorders>
            <w:shd w:val="clear" w:color="000000" w:fill="FFFFFF"/>
            <w:vAlign w:val="center"/>
          </w:tcPr>
          <w:p w14:paraId="5CDC75C8">
            <w:pPr>
              <w:widowControl/>
              <w:jc w:val="left"/>
              <w:rPr>
                <w:rFonts w:hint="eastAsia" w:ascii="宋体" w:hAnsi="宋体" w:eastAsia="宋体" w:cs="宋体"/>
                <w:b/>
                <w:bCs/>
                <w:color w:val="000000"/>
                <w:kern w:val="0"/>
                <w:sz w:val="24"/>
                <w:szCs w:val="24"/>
                <w14:ligatures w14:val="none"/>
              </w:rPr>
            </w:pPr>
            <w:r>
              <w:rPr>
                <w:rFonts w:hint="eastAsia" w:ascii="宋体" w:hAnsi="宋体" w:eastAsia="宋体" w:cs="宋体"/>
                <w:b/>
                <w:bCs/>
                <w:color w:val="000000"/>
                <w:kern w:val="0"/>
                <w:sz w:val="24"/>
                <w:szCs w:val="24"/>
                <w14:ligatures w14:val="none"/>
              </w:rPr>
              <w:t>1)矩阵机箱最大规模不小于48x48，有效容量不低于32x32；</w:t>
            </w:r>
            <w:r>
              <w:rPr>
                <w:rFonts w:hint="eastAsia" w:ascii="宋体" w:hAnsi="宋体" w:eastAsia="宋体" w:cs="宋体"/>
                <w:b/>
                <w:bCs/>
                <w:color w:val="000000"/>
                <w:kern w:val="0"/>
                <w:sz w:val="24"/>
                <w:szCs w:val="24"/>
                <w14:ligatures w14:val="none"/>
              </w:rPr>
              <w:br w:type="textWrapping"/>
            </w:r>
            <w:r>
              <w:rPr>
                <w:rFonts w:hint="eastAsia" w:ascii="宋体" w:hAnsi="宋体" w:eastAsia="宋体" w:cs="宋体"/>
                <w:b/>
                <w:bCs/>
                <w:color w:val="000000"/>
                <w:kern w:val="0"/>
                <w:sz w:val="24"/>
                <w:szCs w:val="24"/>
                <w14:ligatures w14:val="none"/>
              </w:rPr>
              <w:t>2)配置主备冗余电源；</w:t>
            </w:r>
            <w:r>
              <w:rPr>
                <w:rFonts w:hint="eastAsia" w:ascii="宋体" w:hAnsi="宋体" w:eastAsia="宋体" w:cs="宋体"/>
                <w:b/>
                <w:bCs/>
                <w:color w:val="000000"/>
                <w:kern w:val="0"/>
                <w:sz w:val="24"/>
                <w:szCs w:val="24"/>
                <w14:ligatures w14:val="none"/>
              </w:rPr>
              <w:br w:type="textWrapping"/>
            </w:r>
            <w:r>
              <w:rPr>
                <w:rFonts w:hint="eastAsia" w:ascii="宋体" w:hAnsi="宋体" w:eastAsia="宋体" w:cs="宋体"/>
                <w:b/>
                <w:bCs/>
                <w:color w:val="000000"/>
                <w:kern w:val="0"/>
                <w:sz w:val="24"/>
                <w:szCs w:val="24"/>
                <w14:ligatures w14:val="none"/>
              </w:rPr>
              <w:t>3)矩阵具有交叉点断电状态数据保存功能；</w:t>
            </w:r>
            <w:r>
              <w:rPr>
                <w:rFonts w:hint="eastAsia" w:ascii="宋体" w:hAnsi="宋体" w:eastAsia="宋体" w:cs="宋体"/>
                <w:b/>
                <w:bCs/>
                <w:color w:val="000000"/>
                <w:kern w:val="0"/>
                <w:sz w:val="24"/>
                <w:szCs w:val="24"/>
                <w14:ligatures w14:val="none"/>
              </w:rPr>
              <w:br w:type="textWrapping"/>
            </w:r>
            <w:r>
              <w:rPr>
                <w:rFonts w:hint="eastAsia" w:ascii="宋体" w:hAnsi="宋体" w:eastAsia="宋体" w:cs="宋体"/>
                <w:b/>
                <w:bCs/>
                <w:color w:val="000000"/>
                <w:kern w:val="0"/>
                <w:sz w:val="24"/>
                <w:szCs w:val="24"/>
                <w14:ligatures w14:val="none"/>
              </w:rPr>
              <w:t>4)输入/输出板卡高标清信号自适应，支持3G-SDI (SMPTE 424M)/HD-SDI (SMPTE 292M)/SD-SDI (SMPTE 259M)/DVB-ASI；</w:t>
            </w:r>
            <w:r>
              <w:rPr>
                <w:rFonts w:hint="eastAsia" w:ascii="宋体" w:hAnsi="宋体" w:eastAsia="宋体" w:cs="宋体"/>
                <w:b/>
                <w:bCs/>
                <w:color w:val="000000"/>
                <w:kern w:val="0"/>
                <w:sz w:val="24"/>
                <w:szCs w:val="24"/>
                <w14:ligatures w14:val="none"/>
              </w:rPr>
              <w:br w:type="textWrapping"/>
            </w:r>
            <w:r>
              <w:rPr>
                <w:rFonts w:hint="eastAsia" w:ascii="宋体" w:hAnsi="宋体" w:eastAsia="宋体" w:cs="宋体"/>
                <w:b/>
                <w:bCs/>
                <w:color w:val="000000"/>
                <w:kern w:val="0"/>
                <w:sz w:val="24"/>
                <w:szCs w:val="24"/>
                <w14:ligatures w14:val="none"/>
              </w:rPr>
              <w:t>5)支持输入电缆均衡，输出支持Re-Clock功能；</w:t>
            </w:r>
            <w:r>
              <w:rPr>
                <w:rFonts w:hint="eastAsia" w:ascii="宋体" w:hAnsi="宋体" w:eastAsia="宋体" w:cs="宋体"/>
                <w:b/>
                <w:bCs/>
                <w:color w:val="000000"/>
                <w:kern w:val="0"/>
                <w:sz w:val="24"/>
                <w:szCs w:val="24"/>
                <w14:ligatures w14:val="none"/>
              </w:rPr>
              <w:br w:type="textWrapping"/>
            </w:r>
            <w:r>
              <w:rPr>
                <w:rFonts w:hint="eastAsia" w:ascii="宋体" w:hAnsi="宋体" w:eastAsia="宋体" w:cs="宋体"/>
                <w:b/>
                <w:bCs/>
                <w:color w:val="000000"/>
                <w:kern w:val="0"/>
                <w:sz w:val="24"/>
                <w:szCs w:val="24"/>
                <w14:ligatures w14:val="none"/>
              </w:rPr>
              <w:t>6)支持外部BB同步；</w:t>
            </w:r>
            <w:r>
              <w:rPr>
                <w:rFonts w:hint="eastAsia" w:ascii="宋体" w:hAnsi="宋体" w:eastAsia="宋体" w:cs="宋体"/>
                <w:b/>
                <w:bCs/>
                <w:color w:val="000000"/>
                <w:kern w:val="0"/>
                <w:sz w:val="24"/>
                <w:szCs w:val="24"/>
                <w14:ligatures w14:val="none"/>
              </w:rPr>
              <w:br w:type="textWrapping"/>
            </w:r>
            <w:r>
              <w:rPr>
                <w:rFonts w:hint="eastAsia" w:ascii="宋体" w:hAnsi="宋体" w:eastAsia="宋体" w:cs="宋体"/>
                <w:b/>
                <w:bCs/>
                <w:color w:val="000000"/>
                <w:kern w:val="0"/>
                <w:sz w:val="24"/>
                <w:szCs w:val="24"/>
                <w14:ligatures w14:val="none"/>
              </w:rPr>
              <w:t>7)支持配置光输入输出模块，便于信号远程传输；</w:t>
            </w:r>
            <w:r>
              <w:rPr>
                <w:rFonts w:hint="eastAsia" w:ascii="宋体" w:hAnsi="宋体" w:eastAsia="宋体" w:cs="宋体"/>
                <w:b/>
                <w:bCs/>
                <w:color w:val="000000"/>
                <w:kern w:val="0"/>
                <w:sz w:val="24"/>
                <w:szCs w:val="24"/>
                <w14:ligatures w14:val="none"/>
              </w:rPr>
              <w:br w:type="textWrapping"/>
            </w:r>
            <w:r>
              <w:rPr>
                <w:rFonts w:hint="eastAsia" w:ascii="宋体" w:hAnsi="宋体" w:eastAsia="宋体" w:cs="宋体"/>
                <w:b/>
                <w:bCs/>
                <w:color w:val="000000"/>
                <w:kern w:val="0"/>
                <w:sz w:val="24"/>
                <w:szCs w:val="24"/>
                <w14:ligatures w14:val="none"/>
              </w:rPr>
              <w:t>8)支持配置HDMI输出模块，便于信号监看；</w:t>
            </w:r>
            <w:r>
              <w:rPr>
                <w:rFonts w:hint="eastAsia" w:ascii="宋体" w:hAnsi="宋体" w:eastAsia="宋体" w:cs="宋体"/>
                <w:b/>
                <w:bCs/>
                <w:color w:val="000000"/>
                <w:kern w:val="0"/>
                <w:sz w:val="24"/>
                <w:szCs w:val="24"/>
                <w14:ligatures w14:val="none"/>
              </w:rPr>
              <w:br w:type="textWrapping"/>
            </w:r>
            <w:r>
              <w:rPr>
                <w:rFonts w:hint="eastAsia" w:ascii="宋体" w:hAnsi="宋体" w:eastAsia="宋体" w:cs="宋体"/>
                <w:b/>
                <w:bCs/>
                <w:color w:val="000000"/>
                <w:kern w:val="0"/>
                <w:sz w:val="24"/>
                <w:szCs w:val="24"/>
                <w14:ligatures w14:val="none"/>
              </w:rPr>
              <w:t>9)支持日志记录功能；</w:t>
            </w:r>
            <w:r>
              <w:rPr>
                <w:rFonts w:hint="eastAsia" w:ascii="宋体" w:hAnsi="宋体" w:eastAsia="宋体" w:cs="宋体"/>
                <w:b/>
                <w:bCs/>
                <w:color w:val="000000"/>
                <w:kern w:val="0"/>
                <w:sz w:val="24"/>
                <w:szCs w:val="24"/>
                <w14:ligatures w14:val="none"/>
              </w:rPr>
              <w:br w:type="textWrapping"/>
            </w:r>
            <w:r>
              <w:rPr>
                <w:rFonts w:hint="eastAsia" w:ascii="宋体" w:hAnsi="宋体" w:eastAsia="宋体" w:cs="宋体"/>
                <w:b/>
                <w:bCs/>
                <w:color w:val="000000"/>
                <w:kern w:val="0"/>
                <w:sz w:val="24"/>
                <w:szCs w:val="24"/>
                <w14:ligatures w14:val="none"/>
              </w:rPr>
              <w:t>10) 支持CCS控制监看协议，便于集控软件集中管理</w:t>
            </w:r>
            <w:r>
              <w:rPr>
                <w:rFonts w:hint="eastAsia" w:ascii="宋体" w:hAnsi="宋体" w:eastAsia="宋体" w:cs="宋体"/>
                <w:b/>
                <w:bCs/>
                <w:color w:val="000000"/>
                <w:kern w:val="0"/>
                <w:sz w:val="24"/>
                <w:szCs w:val="24"/>
                <w14:ligatures w14:val="none"/>
              </w:rPr>
              <w:br w:type="textWrapping"/>
            </w:r>
            <w:r>
              <w:rPr>
                <w:rFonts w:hint="eastAsia" w:ascii="宋体" w:hAnsi="宋体" w:eastAsia="宋体" w:cs="宋体"/>
                <w:b/>
                <w:bCs/>
                <w:color w:val="000000"/>
                <w:kern w:val="0"/>
                <w:sz w:val="24"/>
                <w:szCs w:val="24"/>
                <w14:ligatures w14:val="none"/>
              </w:rPr>
              <w:t xml:space="preserve">11)提供Web管理界面，可直观的监看到机箱电源、风扇等元器件状态，便于维护；                           </w:t>
            </w:r>
            <w:r>
              <w:rPr>
                <w:rFonts w:hint="eastAsia" w:ascii="宋体" w:hAnsi="宋体" w:eastAsia="宋体" w:cs="宋体"/>
                <w:b/>
                <w:bCs/>
                <w:color w:val="000000"/>
                <w:kern w:val="0"/>
                <w:sz w:val="24"/>
                <w:szCs w:val="24"/>
                <w14:ligatures w14:val="none"/>
              </w:rPr>
              <w:br w:type="textWrapping"/>
            </w:r>
            <w:r>
              <w:rPr>
                <w:rFonts w:hint="eastAsia" w:ascii="宋体" w:hAnsi="宋体" w:eastAsia="宋体" w:cs="宋体"/>
                <w:b/>
                <w:bCs/>
                <w:color w:val="000000"/>
                <w:kern w:val="0"/>
                <w:sz w:val="24"/>
                <w:szCs w:val="24"/>
                <w14:ligatures w14:val="none"/>
              </w:rPr>
              <w:t>12）RCP控制面板，含48个自定义信号调度按键和8个多功能按键。XY全母线控制</w:t>
            </w:r>
          </w:p>
        </w:tc>
        <w:tc>
          <w:tcPr>
            <w:tcW w:w="872" w:type="dxa"/>
            <w:tcBorders>
              <w:top w:val="nil"/>
              <w:left w:val="nil"/>
              <w:bottom w:val="single" w:color="auto" w:sz="4" w:space="0"/>
              <w:right w:val="single" w:color="auto" w:sz="4" w:space="0"/>
            </w:tcBorders>
            <w:shd w:val="clear" w:color="000000" w:fill="FFFFFF"/>
            <w:vAlign w:val="center"/>
          </w:tcPr>
          <w:p w14:paraId="3BA56D0B">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套</w:t>
            </w:r>
          </w:p>
        </w:tc>
        <w:tc>
          <w:tcPr>
            <w:tcW w:w="856" w:type="dxa"/>
            <w:tcBorders>
              <w:top w:val="nil"/>
              <w:left w:val="nil"/>
              <w:bottom w:val="single" w:color="auto" w:sz="4" w:space="0"/>
              <w:right w:val="single" w:color="auto" w:sz="4" w:space="0"/>
            </w:tcBorders>
            <w:shd w:val="clear" w:color="000000" w:fill="FFFFFF"/>
            <w:vAlign w:val="center"/>
          </w:tcPr>
          <w:p w14:paraId="2656E118">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w:t>
            </w:r>
          </w:p>
        </w:tc>
        <w:tc>
          <w:tcPr>
            <w:tcW w:w="1641" w:type="dxa"/>
            <w:tcBorders>
              <w:top w:val="nil"/>
              <w:left w:val="nil"/>
              <w:bottom w:val="single" w:color="auto" w:sz="4" w:space="0"/>
              <w:right w:val="single" w:color="auto" w:sz="4" w:space="0"/>
            </w:tcBorders>
            <w:shd w:val="clear" w:color="000000" w:fill="FFFFFF"/>
            <w:noWrap/>
            <w:vAlign w:val="center"/>
          </w:tcPr>
          <w:p w14:paraId="6AD38F52">
            <w:pPr>
              <w:widowControl/>
              <w:jc w:val="right"/>
              <w:rPr>
                <w:rFonts w:hint="eastAsia" w:ascii="宋体" w:hAnsi="宋体" w:eastAsia="宋体" w:cs="宋体"/>
                <w:color w:val="000000"/>
                <w:kern w:val="0"/>
                <w:sz w:val="24"/>
                <w:szCs w:val="24"/>
                <w14:ligatures w14:val="none"/>
              </w:rPr>
            </w:pPr>
          </w:p>
        </w:tc>
        <w:tc>
          <w:tcPr>
            <w:tcW w:w="0" w:type="auto"/>
            <w:tcBorders>
              <w:top w:val="single" w:color="auto" w:sz="4" w:space="0"/>
              <w:left w:val="nil"/>
              <w:bottom w:val="single" w:color="auto" w:sz="4" w:space="0"/>
              <w:right w:val="single" w:color="auto" w:sz="4" w:space="0"/>
            </w:tcBorders>
            <w:shd w:val="clear" w:color="000000" w:fill="FFFFFF"/>
            <w:noWrap/>
            <w:vAlign w:val="center"/>
          </w:tcPr>
          <w:p w14:paraId="7B274A3C">
            <w:pPr>
              <w:widowControl/>
              <w:jc w:val="right"/>
              <w:rPr>
                <w:rFonts w:hint="eastAsia" w:ascii="宋体" w:hAnsi="宋体" w:eastAsia="宋体" w:cs="宋体"/>
                <w:color w:val="000000"/>
                <w:kern w:val="0"/>
                <w:sz w:val="24"/>
                <w:szCs w:val="24"/>
                <w14:ligatures w14:val="none"/>
              </w:rPr>
            </w:pPr>
          </w:p>
        </w:tc>
        <w:tc>
          <w:tcPr>
            <w:tcW w:w="0" w:type="auto"/>
            <w:tcBorders>
              <w:top w:val="single" w:color="auto" w:sz="4" w:space="0"/>
              <w:left w:val="nil"/>
              <w:bottom w:val="single" w:color="auto" w:sz="4" w:space="0"/>
              <w:right w:val="single" w:color="auto" w:sz="4" w:space="0"/>
            </w:tcBorders>
            <w:shd w:val="clear" w:color="000000" w:fill="FFFFFF"/>
            <w:noWrap/>
            <w:vAlign w:val="center"/>
          </w:tcPr>
          <w:p w14:paraId="584836E9">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636C6D7D">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061E6EF5">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2.2</w:t>
            </w:r>
          </w:p>
        </w:tc>
        <w:tc>
          <w:tcPr>
            <w:tcW w:w="1961" w:type="dxa"/>
            <w:tcBorders>
              <w:top w:val="nil"/>
              <w:left w:val="nil"/>
              <w:bottom w:val="single" w:color="auto" w:sz="4" w:space="0"/>
              <w:right w:val="single" w:color="auto" w:sz="4" w:space="0"/>
            </w:tcBorders>
            <w:shd w:val="clear" w:color="000000" w:fill="FFFFFF"/>
            <w:vAlign w:val="center"/>
          </w:tcPr>
          <w:p w14:paraId="658F770F">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总控控制工作站</w:t>
            </w:r>
          </w:p>
        </w:tc>
        <w:tc>
          <w:tcPr>
            <w:tcW w:w="4996" w:type="dxa"/>
            <w:tcBorders>
              <w:top w:val="nil"/>
              <w:left w:val="nil"/>
              <w:bottom w:val="single" w:color="auto" w:sz="4" w:space="0"/>
              <w:right w:val="single" w:color="auto" w:sz="4" w:space="0"/>
            </w:tcBorders>
            <w:shd w:val="clear" w:color="000000" w:fill="FFFFFF"/>
            <w:vAlign w:val="center"/>
          </w:tcPr>
          <w:p w14:paraId="60907D5F">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性能不低于以下配置：英特尔i7处理器、32G内存、512G固态硬盘、24寸液晶显示器、键盘、鼠标。</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软件配置：</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正本操作系统</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总控控制软件。</w:t>
            </w:r>
          </w:p>
        </w:tc>
        <w:tc>
          <w:tcPr>
            <w:tcW w:w="872" w:type="dxa"/>
            <w:tcBorders>
              <w:top w:val="nil"/>
              <w:left w:val="nil"/>
              <w:bottom w:val="single" w:color="auto" w:sz="4" w:space="0"/>
              <w:right w:val="single" w:color="auto" w:sz="4" w:space="0"/>
            </w:tcBorders>
            <w:shd w:val="clear" w:color="000000" w:fill="FFFFFF"/>
            <w:vAlign w:val="center"/>
          </w:tcPr>
          <w:p w14:paraId="71306587">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25E44307">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w:t>
            </w:r>
          </w:p>
        </w:tc>
        <w:tc>
          <w:tcPr>
            <w:tcW w:w="1641" w:type="dxa"/>
            <w:tcBorders>
              <w:top w:val="nil"/>
              <w:left w:val="nil"/>
              <w:bottom w:val="single" w:color="auto" w:sz="4" w:space="0"/>
              <w:right w:val="single" w:color="auto" w:sz="4" w:space="0"/>
            </w:tcBorders>
            <w:shd w:val="clear" w:color="000000" w:fill="FFFFFF"/>
            <w:noWrap/>
            <w:vAlign w:val="center"/>
          </w:tcPr>
          <w:p w14:paraId="0BFCE7FC">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6F5B162F">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5C69B9C4">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505F3F6D">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053F00C4">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2.3</w:t>
            </w:r>
          </w:p>
        </w:tc>
        <w:tc>
          <w:tcPr>
            <w:tcW w:w="1961" w:type="dxa"/>
            <w:tcBorders>
              <w:top w:val="nil"/>
              <w:left w:val="nil"/>
              <w:bottom w:val="single" w:color="auto" w:sz="4" w:space="0"/>
              <w:right w:val="single" w:color="auto" w:sz="4" w:space="0"/>
            </w:tcBorders>
            <w:shd w:val="clear" w:color="000000" w:fill="FFFFFF"/>
            <w:vAlign w:val="center"/>
          </w:tcPr>
          <w:p w14:paraId="19519BF4">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高清帧同步卡</w:t>
            </w:r>
          </w:p>
        </w:tc>
        <w:tc>
          <w:tcPr>
            <w:tcW w:w="4996" w:type="dxa"/>
            <w:tcBorders>
              <w:top w:val="nil"/>
              <w:left w:val="nil"/>
              <w:bottom w:val="single" w:color="auto" w:sz="4" w:space="0"/>
              <w:right w:val="single" w:color="auto" w:sz="4" w:space="0"/>
            </w:tcBorders>
            <w:shd w:val="clear" w:color="000000" w:fill="FFFFFF"/>
            <w:vAlign w:val="center"/>
          </w:tcPr>
          <w:p w14:paraId="6ADE8E46">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1路HD/SD-SDI信号进行帧同步和时钟恢复处理后输出4路HD/SD-SDI</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信号；同步信号支持模拟复合和三电平同步信号。</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带后面板</w:t>
            </w:r>
          </w:p>
        </w:tc>
        <w:tc>
          <w:tcPr>
            <w:tcW w:w="872" w:type="dxa"/>
            <w:tcBorders>
              <w:top w:val="nil"/>
              <w:left w:val="nil"/>
              <w:bottom w:val="single" w:color="auto" w:sz="4" w:space="0"/>
              <w:right w:val="single" w:color="auto" w:sz="4" w:space="0"/>
            </w:tcBorders>
            <w:shd w:val="clear" w:color="000000" w:fill="FFFFFF"/>
            <w:vAlign w:val="center"/>
          </w:tcPr>
          <w:p w14:paraId="79B70D71">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块</w:t>
            </w:r>
          </w:p>
        </w:tc>
        <w:tc>
          <w:tcPr>
            <w:tcW w:w="856" w:type="dxa"/>
            <w:tcBorders>
              <w:top w:val="nil"/>
              <w:left w:val="nil"/>
              <w:bottom w:val="single" w:color="auto" w:sz="4" w:space="0"/>
              <w:right w:val="single" w:color="auto" w:sz="4" w:space="0"/>
            </w:tcBorders>
            <w:shd w:val="clear" w:color="000000" w:fill="FFFFFF"/>
            <w:vAlign w:val="center"/>
          </w:tcPr>
          <w:p w14:paraId="58C76BEB">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4</w:t>
            </w:r>
          </w:p>
        </w:tc>
        <w:tc>
          <w:tcPr>
            <w:tcW w:w="1641" w:type="dxa"/>
            <w:tcBorders>
              <w:top w:val="nil"/>
              <w:left w:val="nil"/>
              <w:bottom w:val="single" w:color="auto" w:sz="4" w:space="0"/>
              <w:right w:val="single" w:color="auto" w:sz="4" w:space="0"/>
            </w:tcBorders>
            <w:shd w:val="clear" w:color="000000" w:fill="FFFFFF"/>
            <w:noWrap/>
            <w:vAlign w:val="center"/>
          </w:tcPr>
          <w:p w14:paraId="2CCD2D0B">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4BDADD56">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4ADD4B45">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6BEFBBEC">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66329F7C">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2.4</w:t>
            </w:r>
          </w:p>
        </w:tc>
        <w:tc>
          <w:tcPr>
            <w:tcW w:w="1961" w:type="dxa"/>
            <w:tcBorders>
              <w:top w:val="nil"/>
              <w:left w:val="nil"/>
              <w:bottom w:val="single" w:color="auto" w:sz="4" w:space="0"/>
              <w:right w:val="single" w:color="auto" w:sz="4" w:space="0"/>
            </w:tcBorders>
            <w:shd w:val="clear" w:color="000000" w:fill="FFFFFF"/>
            <w:vAlign w:val="center"/>
          </w:tcPr>
          <w:p w14:paraId="6D83706F">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高清数字视频分配器</w:t>
            </w:r>
          </w:p>
        </w:tc>
        <w:tc>
          <w:tcPr>
            <w:tcW w:w="4996" w:type="dxa"/>
            <w:tcBorders>
              <w:top w:val="nil"/>
              <w:left w:val="nil"/>
              <w:bottom w:val="single" w:color="auto" w:sz="4" w:space="0"/>
              <w:right w:val="single" w:color="auto" w:sz="4" w:space="0"/>
            </w:tcBorders>
            <w:shd w:val="clear" w:color="000000" w:fill="FFFFFF"/>
            <w:vAlign w:val="center"/>
          </w:tcPr>
          <w:p w14:paraId="299D6A7F">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支持SD、HD-SDI信号输入输出，1路信号输入、8路SDI输出、带均衡。</w:t>
            </w:r>
          </w:p>
        </w:tc>
        <w:tc>
          <w:tcPr>
            <w:tcW w:w="872" w:type="dxa"/>
            <w:tcBorders>
              <w:top w:val="nil"/>
              <w:left w:val="nil"/>
              <w:bottom w:val="single" w:color="auto" w:sz="4" w:space="0"/>
              <w:right w:val="single" w:color="auto" w:sz="4" w:space="0"/>
            </w:tcBorders>
            <w:shd w:val="clear" w:color="000000" w:fill="FFFFFF"/>
            <w:vAlign w:val="center"/>
          </w:tcPr>
          <w:p w14:paraId="36B3389D">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块</w:t>
            </w:r>
          </w:p>
        </w:tc>
        <w:tc>
          <w:tcPr>
            <w:tcW w:w="856" w:type="dxa"/>
            <w:tcBorders>
              <w:top w:val="nil"/>
              <w:left w:val="nil"/>
              <w:bottom w:val="single" w:color="auto" w:sz="4" w:space="0"/>
              <w:right w:val="single" w:color="auto" w:sz="4" w:space="0"/>
            </w:tcBorders>
            <w:shd w:val="clear" w:color="000000" w:fill="FFFFFF"/>
            <w:vAlign w:val="center"/>
          </w:tcPr>
          <w:p w14:paraId="3E844DB0">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20</w:t>
            </w:r>
          </w:p>
        </w:tc>
        <w:tc>
          <w:tcPr>
            <w:tcW w:w="1641" w:type="dxa"/>
            <w:tcBorders>
              <w:top w:val="nil"/>
              <w:left w:val="nil"/>
              <w:bottom w:val="single" w:color="auto" w:sz="4" w:space="0"/>
              <w:right w:val="single" w:color="auto" w:sz="4" w:space="0"/>
            </w:tcBorders>
            <w:shd w:val="clear" w:color="000000" w:fill="FFFFFF"/>
            <w:noWrap/>
            <w:vAlign w:val="center"/>
          </w:tcPr>
          <w:p w14:paraId="2D73EAAE">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3119B144">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71BB481C">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0B3137F1">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592E4654">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2.5</w:t>
            </w:r>
          </w:p>
        </w:tc>
        <w:tc>
          <w:tcPr>
            <w:tcW w:w="1961" w:type="dxa"/>
            <w:tcBorders>
              <w:top w:val="nil"/>
              <w:left w:val="nil"/>
              <w:bottom w:val="single" w:color="auto" w:sz="4" w:space="0"/>
              <w:right w:val="single" w:color="auto" w:sz="4" w:space="0"/>
            </w:tcBorders>
            <w:shd w:val="clear" w:color="000000" w:fill="FFFFFF"/>
            <w:vAlign w:val="center"/>
          </w:tcPr>
          <w:p w14:paraId="131275EB">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上、下变换</w:t>
            </w:r>
          </w:p>
        </w:tc>
        <w:tc>
          <w:tcPr>
            <w:tcW w:w="4996" w:type="dxa"/>
            <w:tcBorders>
              <w:top w:val="nil"/>
              <w:left w:val="nil"/>
              <w:bottom w:val="single" w:color="auto" w:sz="4" w:space="0"/>
              <w:right w:val="single" w:color="auto" w:sz="4" w:space="0"/>
            </w:tcBorders>
            <w:shd w:val="clear" w:color="000000" w:fill="FFFFFF"/>
            <w:vAlign w:val="center"/>
          </w:tcPr>
          <w:p w14:paraId="2CA2F92C">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1路SDI输入，1路SDI环出，6路SDI输出，1路同步环出，带帧同步处理</w:t>
            </w:r>
          </w:p>
        </w:tc>
        <w:tc>
          <w:tcPr>
            <w:tcW w:w="872" w:type="dxa"/>
            <w:tcBorders>
              <w:top w:val="nil"/>
              <w:left w:val="nil"/>
              <w:bottom w:val="single" w:color="auto" w:sz="4" w:space="0"/>
              <w:right w:val="single" w:color="auto" w:sz="4" w:space="0"/>
            </w:tcBorders>
            <w:shd w:val="clear" w:color="000000" w:fill="FFFFFF"/>
            <w:vAlign w:val="center"/>
          </w:tcPr>
          <w:p w14:paraId="6386105A">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块</w:t>
            </w:r>
          </w:p>
        </w:tc>
        <w:tc>
          <w:tcPr>
            <w:tcW w:w="856" w:type="dxa"/>
            <w:tcBorders>
              <w:top w:val="nil"/>
              <w:left w:val="nil"/>
              <w:bottom w:val="single" w:color="auto" w:sz="4" w:space="0"/>
              <w:right w:val="single" w:color="auto" w:sz="4" w:space="0"/>
            </w:tcBorders>
            <w:shd w:val="clear" w:color="000000" w:fill="FFFFFF"/>
            <w:vAlign w:val="center"/>
          </w:tcPr>
          <w:p w14:paraId="0D735B92">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2</w:t>
            </w:r>
          </w:p>
        </w:tc>
        <w:tc>
          <w:tcPr>
            <w:tcW w:w="1641" w:type="dxa"/>
            <w:tcBorders>
              <w:top w:val="nil"/>
              <w:left w:val="nil"/>
              <w:bottom w:val="single" w:color="auto" w:sz="4" w:space="0"/>
              <w:right w:val="single" w:color="auto" w:sz="4" w:space="0"/>
            </w:tcBorders>
            <w:shd w:val="clear" w:color="000000" w:fill="FFFFFF"/>
            <w:noWrap/>
            <w:vAlign w:val="center"/>
          </w:tcPr>
          <w:p w14:paraId="538B0B40">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49AB0F56">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5BA26D1B">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603FB642">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4E831519">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2.6</w:t>
            </w:r>
          </w:p>
        </w:tc>
        <w:tc>
          <w:tcPr>
            <w:tcW w:w="1961" w:type="dxa"/>
            <w:tcBorders>
              <w:top w:val="nil"/>
              <w:left w:val="nil"/>
              <w:bottom w:val="single" w:color="auto" w:sz="4" w:space="0"/>
              <w:right w:val="single" w:color="auto" w:sz="4" w:space="0"/>
            </w:tcBorders>
            <w:shd w:val="clear" w:color="000000" w:fill="FFFFFF"/>
            <w:vAlign w:val="center"/>
          </w:tcPr>
          <w:p w14:paraId="771714D2">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周边机箱</w:t>
            </w:r>
          </w:p>
        </w:tc>
        <w:tc>
          <w:tcPr>
            <w:tcW w:w="4996" w:type="dxa"/>
            <w:tcBorders>
              <w:top w:val="nil"/>
              <w:left w:val="nil"/>
              <w:bottom w:val="single" w:color="auto" w:sz="4" w:space="0"/>
              <w:right w:val="single" w:color="auto" w:sz="4" w:space="0"/>
            </w:tcBorders>
            <w:shd w:val="clear" w:color="000000" w:fill="FFFFFF"/>
            <w:vAlign w:val="center"/>
          </w:tcPr>
          <w:p w14:paraId="1A22AEBA">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2RU数字机箱，可容纳10块板卡，冗余电源。</w:t>
            </w:r>
          </w:p>
        </w:tc>
        <w:tc>
          <w:tcPr>
            <w:tcW w:w="872" w:type="dxa"/>
            <w:tcBorders>
              <w:top w:val="nil"/>
              <w:left w:val="nil"/>
              <w:bottom w:val="single" w:color="auto" w:sz="4" w:space="0"/>
              <w:right w:val="single" w:color="auto" w:sz="4" w:space="0"/>
            </w:tcBorders>
            <w:shd w:val="clear" w:color="000000" w:fill="FFFFFF"/>
            <w:vAlign w:val="center"/>
          </w:tcPr>
          <w:p w14:paraId="737B3CB5">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54F3FD15">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3</w:t>
            </w:r>
          </w:p>
        </w:tc>
        <w:tc>
          <w:tcPr>
            <w:tcW w:w="1641" w:type="dxa"/>
            <w:tcBorders>
              <w:top w:val="nil"/>
              <w:left w:val="nil"/>
              <w:bottom w:val="single" w:color="auto" w:sz="4" w:space="0"/>
              <w:right w:val="single" w:color="auto" w:sz="4" w:space="0"/>
            </w:tcBorders>
            <w:shd w:val="clear" w:color="000000" w:fill="FFFFFF"/>
            <w:noWrap/>
            <w:vAlign w:val="center"/>
          </w:tcPr>
          <w:p w14:paraId="5C10A8B4">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49381B74">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2242B7DD">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50598DB4">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5B41F210">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2.7</w:t>
            </w:r>
          </w:p>
        </w:tc>
        <w:tc>
          <w:tcPr>
            <w:tcW w:w="1961" w:type="dxa"/>
            <w:tcBorders>
              <w:top w:val="nil"/>
              <w:left w:val="nil"/>
              <w:bottom w:val="single" w:color="auto" w:sz="4" w:space="0"/>
              <w:right w:val="single" w:color="auto" w:sz="4" w:space="0"/>
            </w:tcBorders>
            <w:shd w:val="clear" w:color="000000" w:fill="FFFFFF"/>
            <w:vAlign w:val="center"/>
          </w:tcPr>
          <w:p w14:paraId="287BF5E6">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高/标清垫片机</w:t>
            </w:r>
          </w:p>
        </w:tc>
        <w:tc>
          <w:tcPr>
            <w:tcW w:w="4996" w:type="dxa"/>
            <w:tcBorders>
              <w:top w:val="nil"/>
              <w:left w:val="nil"/>
              <w:bottom w:val="single" w:color="auto" w:sz="4" w:space="0"/>
              <w:right w:val="single" w:color="auto" w:sz="4" w:space="0"/>
            </w:tcBorders>
            <w:shd w:val="clear" w:color="000000" w:fill="FFFFFF"/>
            <w:vAlign w:val="center"/>
          </w:tcPr>
          <w:p w14:paraId="6F0BF4EF">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广播级HD固态硬盘录机，配备3G-SDI和HDMI接口，可处理所有SD和HD格式且最高可达1080p30；</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还能提供传统广播级录机所采用的VTR式熟悉控制，以及压缩或无压缩10bit 4:2:2广播级高品质记录；</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当您需要从事单机记录、超长记录或SD和HD母版制作时，其低成本特性还能便于多机位安装。</w:t>
            </w:r>
          </w:p>
        </w:tc>
        <w:tc>
          <w:tcPr>
            <w:tcW w:w="872" w:type="dxa"/>
            <w:tcBorders>
              <w:top w:val="nil"/>
              <w:left w:val="nil"/>
              <w:bottom w:val="single" w:color="auto" w:sz="4" w:space="0"/>
              <w:right w:val="single" w:color="auto" w:sz="4" w:space="0"/>
            </w:tcBorders>
            <w:shd w:val="clear" w:color="000000" w:fill="FFFFFF"/>
            <w:vAlign w:val="center"/>
          </w:tcPr>
          <w:p w14:paraId="39388816">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72001D15">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w:t>
            </w:r>
          </w:p>
        </w:tc>
        <w:tc>
          <w:tcPr>
            <w:tcW w:w="1641" w:type="dxa"/>
            <w:tcBorders>
              <w:top w:val="nil"/>
              <w:left w:val="nil"/>
              <w:bottom w:val="single" w:color="auto" w:sz="4" w:space="0"/>
              <w:right w:val="single" w:color="auto" w:sz="4" w:space="0"/>
            </w:tcBorders>
            <w:shd w:val="clear" w:color="000000" w:fill="FFFFFF"/>
            <w:noWrap/>
            <w:vAlign w:val="center"/>
          </w:tcPr>
          <w:p w14:paraId="4BF959C4">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492E0DD2">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01127EE4">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2BE9D0A9">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403E136E">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2.8</w:t>
            </w:r>
          </w:p>
        </w:tc>
        <w:tc>
          <w:tcPr>
            <w:tcW w:w="1961" w:type="dxa"/>
            <w:tcBorders>
              <w:top w:val="nil"/>
              <w:left w:val="nil"/>
              <w:bottom w:val="single" w:color="auto" w:sz="4" w:space="0"/>
              <w:right w:val="single" w:color="auto" w:sz="4" w:space="0"/>
            </w:tcBorders>
            <w:shd w:val="clear" w:color="000000" w:fill="FFFFFF"/>
            <w:vAlign w:val="center"/>
          </w:tcPr>
          <w:p w14:paraId="5CFEF7CF">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高清延时器</w:t>
            </w:r>
          </w:p>
        </w:tc>
        <w:tc>
          <w:tcPr>
            <w:tcW w:w="4996" w:type="dxa"/>
            <w:tcBorders>
              <w:top w:val="nil"/>
              <w:left w:val="nil"/>
              <w:bottom w:val="single" w:color="auto" w:sz="4" w:space="0"/>
              <w:right w:val="single" w:color="auto" w:sz="4" w:space="0"/>
            </w:tcBorders>
            <w:shd w:val="clear" w:color="000000" w:fill="FFFFFF"/>
            <w:vAlign w:val="center"/>
          </w:tcPr>
          <w:p w14:paraId="4DDD74A9">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高清信号480秒延时，30秒到480秒可调，3G信号4分钟延时，4K信号60秒延时；</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LCD前面板，一路PGM，一路AUX输入，一路同步信号输入；</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一路PGM 环出；两路PGM信号输出， 三路PST输出，一路同步信号环出；</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双冗余电源，可配遥控面板</w:t>
            </w:r>
          </w:p>
        </w:tc>
        <w:tc>
          <w:tcPr>
            <w:tcW w:w="872" w:type="dxa"/>
            <w:tcBorders>
              <w:top w:val="nil"/>
              <w:left w:val="nil"/>
              <w:bottom w:val="single" w:color="auto" w:sz="4" w:space="0"/>
              <w:right w:val="single" w:color="auto" w:sz="4" w:space="0"/>
            </w:tcBorders>
            <w:shd w:val="clear" w:color="000000" w:fill="FFFFFF"/>
            <w:vAlign w:val="center"/>
          </w:tcPr>
          <w:p w14:paraId="1707C4F8">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2543856F">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w:t>
            </w:r>
          </w:p>
        </w:tc>
        <w:tc>
          <w:tcPr>
            <w:tcW w:w="1641" w:type="dxa"/>
            <w:tcBorders>
              <w:top w:val="nil"/>
              <w:left w:val="nil"/>
              <w:bottom w:val="single" w:color="auto" w:sz="4" w:space="0"/>
              <w:right w:val="single" w:color="auto" w:sz="4" w:space="0"/>
            </w:tcBorders>
            <w:shd w:val="clear" w:color="000000" w:fill="FFFFFF"/>
            <w:noWrap/>
            <w:vAlign w:val="center"/>
          </w:tcPr>
          <w:p w14:paraId="6818E8CA">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74B19239">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0351CC38">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4BDCE9BA">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067A652F">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2.9</w:t>
            </w:r>
          </w:p>
        </w:tc>
        <w:tc>
          <w:tcPr>
            <w:tcW w:w="1961" w:type="dxa"/>
            <w:tcBorders>
              <w:top w:val="nil"/>
              <w:left w:val="nil"/>
              <w:bottom w:val="single" w:color="auto" w:sz="4" w:space="0"/>
              <w:right w:val="single" w:color="auto" w:sz="4" w:space="0"/>
            </w:tcBorders>
            <w:shd w:val="clear" w:color="000000" w:fill="FFFFFF"/>
            <w:vAlign w:val="center"/>
          </w:tcPr>
          <w:p w14:paraId="54686D77">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高清测试图发生器</w:t>
            </w:r>
          </w:p>
        </w:tc>
        <w:tc>
          <w:tcPr>
            <w:tcW w:w="4996" w:type="dxa"/>
            <w:tcBorders>
              <w:top w:val="nil"/>
              <w:left w:val="nil"/>
              <w:bottom w:val="single" w:color="auto" w:sz="4" w:space="0"/>
              <w:right w:val="single" w:color="auto" w:sz="4" w:space="0"/>
            </w:tcBorders>
            <w:shd w:val="clear" w:color="000000" w:fill="FFFFFF"/>
            <w:vAlign w:val="center"/>
          </w:tcPr>
          <w:p w14:paraId="4CADB384">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基于FPGA的嵌入式设计，采用大容量闪存方案，</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2个HD/SD SDI输出、1个BB输入，支持RJ45网络接口</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能实现256*256大小的静止台标多达上千幅；</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支持连续500帧的TGA动画系列文件循环播放；</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时台标均采用24bit真彩色合成，采用4:2:2:4（Y：Cb：Cr：A）处理；</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台标采用TGA格式，可以通过RS232串口和LAN网口下载台标；</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支持在线下载台标；</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能同时输出主台标，副标，第三角标，时标，高清文字标志等；</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台标和时标可以全屏位移，可通过VFD屏设置定位参数；</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可断电记忆，掉电保存；</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支持GPS或LTC校时。</w:t>
            </w:r>
          </w:p>
        </w:tc>
        <w:tc>
          <w:tcPr>
            <w:tcW w:w="872" w:type="dxa"/>
            <w:tcBorders>
              <w:top w:val="nil"/>
              <w:left w:val="nil"/>
              <w:bottom w:val="single" w:color="auto" w:sz="4" w:space="0"/>
              <w:right w:val="single" w:color="auto" w:sz="4" w:space="0"/>
            </w:tcBorders>
            <w:shd w:val="clear" w:color="000000" w:fill="FFFFFF"/>
            <w:vAlign w:val="center"/>
          </w:tcPr>
          <w:p w14:paraId="43EE8420">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02FD84D8">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w:t>
            </w:r>
          </w:p>
        </w:tc>
        <w:tc>
          <w:tcPr>
            <w:tcW w:w="1641" w:type="dxa"/>
            <w:tcBorders>
              <w:top w:val="nil"/>
              <w:left w:val="nil"/>
              <w:bottom w:val="single" w:color="auto" w:sz="4" w:space="0"/>
              <w:right w:val="single" w:color="auto" w:sz="4" w:space="0"/>
            </w:tcBorders>
            <w:shd w:val="clear" w:color="000000" w:fill="FFFFFF"/>
            <w:noWrap/>
            <w:vAlign w:val="center"/>
          </w:tcPr>
          <w:p w14:paraId="04593301">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24968A0C">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359D343D">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2010CCE2">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26D707AB">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2.10</w:t>
            </w:r>
          </w:p>
        </w:tc>
        <w:tc>
          <w:tcPr>
            <w:tcW w:w="1961" w:type="dxa"/>
            <w:tcBorders>
              <w:top w:val="nil"/>
              <w:left w:val="nil"/>
              <w:bottom w:val="single" w:color="auto" w:sz="4" w:space="0"/>
              <w:right w:val="single" w:color="auto" w:sz="4" w:space="0"/>
            </w:tcBorders>
            <w:shd w:val="clear" w:color="000000" w:fill="FFFFFF"/>
            <w:vAlign w:val="center"/>
          </w:tcPr>
          <w:p w14:paraId="03B14D8F">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广播级液晶监视器</w:t>
            </w:r>
          </w:p>
        </w:tc>
        <w:tc>
          <w:tcPr>
            <w:tcW w:w="4996" w:type="dxa"/>
            <w:tcBorders>
              <w:top w:val="nil"/>
              <w:left w:val="nil"/>
              <w:bottom w:val="single" w:color="auto" w:sz="4" w:space="0"/>
              <w:right w:val="single" w:color="auto" w:sz="4" w:space="0"/>
            </w:tcBorders>
            <w:shd w:val="clear" w:color="000000" w:fill="FFFFFF"/>
            <w:vAlign w:val="center"/>
          </w:tcPr>
          <w:p w14:paraId="390A3294">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15.6寸广播级液晶监视器：</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屏幕尺寸：15.6”，16：9屏幕，  分辨率：1920×1080， 色彩：1.073G，视角：178°H×178°V，背光：RGB LED；</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.2路3G/HD/SD-SDI视频输入，环通输出，1路复合信号输入，带自动终接的环通输出，1路YPbPr信号输入，带自动终接的环通输出，可配置为复合或YC输入，1路HDMI输入，兼容DVI-D，HDMI Type-A连接器，2路模拟立体声音频输入，1路模拟立体声音频输出，内置扬声器及耳机插孔，6个GPI输入，RS485输入带环通输出，10/100M自适应网口；</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.支持3D-LUT色彩校正技术，多种色温调整（D93、D65、D56、D50、D32）；</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.支持3种色域模式（EBU、SMPTE-C、ITU-709）；</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.支持双画面显示PBP/PIP，支持波形、矢量图同时显示，16通道音频表显示(VU &amp; PPM)；</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.支持HDMI信号嵌入音频，支持时码显示（LTC、VITC、D-VITC）；</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.支持Scan，Native，Aspect Ratio，Marker，Blue Only，MoNo，H/V Delay，I/P Mode Select，CC，支持IMD功能和三色TALLY显示；</w:t>
            </w:r>
          </w:p>
        </w:tc>
        <w:tc>
          <w:tcPr>
            <w:tcW w:w="872" w:type="dxa"/>
            <w:tcBorders>
              <w:top w:val="nil"/>
              <w:left w:val="nil"/>
              <w:bottom w:val="single" w:color="auto" w:sz="4" w:space="0"/>
              <w:right w:val="single" w:color="auto" w:sz="4" w:space="0"/>
            </w:tcBorders>
            <w:shd w:val="clear" w:color="000000" w:fill="FFFFFF"/>
            <w:vAlign w:val="center"/>
          </w:tcPr>
          <w:p w14:paraId="5FB695DD">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1C551F96">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w:t>
            </w:r>
          </w:p>
        </w:tc>
        <w:tc>
          <w:tcPr>
            <w:tcW w:w="1641" w:type="dxa"/>
            <w:tcBorders>
              <w:top w:val="nil"/>
              <w:left w:val="nil"/>
              <w:bottom w:val="single" w:color="auto" w:sz="4" w:space="0"/>
              <w:right w:val="single" w:color="auto" w:sz="4" w:space="0"/>
            </w:tcBorders>
            <w:shd w:val="clear" w:color="000000" w:fill="FFFFFF"/>
            <w:noWrap/>
            <w:vAlign w:val="center"/>
          </w:tcPr>
          <w:p w14:paraId="3AB168F5">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6F8D407E">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672AA9E4">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02CC737E">
        <w:tblPrEx>
          <w:tblCellMar>
            <w:top w:w="0" w:type="dxa"/>
            <w:left w:w="108" w:type="dxa"/>
            <w:bottom w:w="0" w:type="dxa"/>
            <w:right w:w="108" w:type="dxa"/>
          </w:tblCellMar>
        </w:tblPrEx>
        <w:trPr>
          <w:trHeight w:val="567" w:hRule="atLeast"/>
        </w:trPr>
        <w:tc>
          <w:tcPr>
            <w:tcW w:w="1091" w:type="dxa"/>
            <w:tcBorders>
              <w:top w:val="nil"/>
              <w:left w:val="single" w:color="auto" w:sz="4" w:space="0"/>
              <w:bottom w:val="nil"/>
              <w:right w:val="single" w:color="auto" w:sz="4" w:space="0"/>
            </w:tcBorders>
            <w:shd w:val="clear" w:color="000000" w:fill="FFFFFF"/>
            <w:noWrap/>
            <w:vAlign w:val="center"/>
          </w:tcPr>
          <w:p w14:paraId="4D80C42E">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（三）</w:t>
            </w:r>
          </w:p>
        </w:tc>
        <w:tc>
          <w:tcPr>
            <w:tcW w:w="1961" w:type="dxa"/>
            <w:tcBorders>
              <w:top w:val="nil"/>
              <w:left w:val="nil"/>
              <w:bottom w:val="nil"/>
              <w:right w:val="single" w:color="auto" w:sz="4" w:space="0"/>
            </w:tcBorders>
            <w:shd w:val="clear" w:color="000000" w:fill="FFFFFF"/>
            <w:noWrap/>
            <w:vAlign w:val="center"/>
          </w:tcPr>
          <w:p w14:paraId="67D336E0">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分控周边设备</w:t>
            </w:r>
          </w:p>
        </w:tc>
        <w:tc>
          <w:tcPr>
            <w:tcW w:w="4996" w:type="dxa"/>
            <w:tcBorders>
              <w:top w:val="nil"/>
              <w:left w:val="nil"/>
              <w:bottom w:val="nil"/>
              <w:right w:val="single" w:color="auto" w:sz="4" w:space="0"/>
            </w:tcBorders>
            <w:shd w:val="clear" w:color="000000" w:fill="FFFFFF"/>
            <w:noWrap/>
            <w:vAlign w:val="center"/>
          </w:tcPr>
          <w:p w14:paraId="61A7EB6B">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c>
          <w:tcPr>
            <w:tcW w:w="872" w:type="dxa"/>
            <w:tcBorders>
              <w:top w:val="nil"/>
              <w:left w:val="nil"/>
              <w:bottom w:val="single" w:color="auto" w:sz="4" w:space="0"/>
              <w:right w:val="single" w:color="auto" w:sz="4" w:space="0"/>
            </w:tcBorders>
            <w:shd w:val="clear" w:color="000000" w:fill="FFFFFF"/>
            <w:noWrap/>
            <w:vAlign w:val="center"/>
          </w:tcPr>
          <w:p w14:paraId="33355D85">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c>
          <w:tcPr>
            <w:tcW w:w="856" w:type="dxa"/>
            <w:tcBorders>
              <w:top w:val="nil"/>
              <w:left w:val="nil"/>
              <w:bottom w:val="single" w:color="auto" w:sz="4" w:space="0"/>
              <w:right w:val="single" w:color="auto" w:sz="4" w:space="0"/>
            </w:tcBorders>
            <w:shd w:val="clear" w:color="000000" w:fill="FFFFFF"/>
            <w:noWrap/>
            <w:vAlign w:val="center"/>
          </w:tcPr>
          <w:p w14:paraId="2C7A3233">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c>
          <w:tcPr>
            <w:tcW w:w="1641" w:type="dxa"/>
            <w:tcBorders>
              <w:top w:val="nil"/>
              <w:left w:val="nil"/>
              <w:bottom w:val="single" w:color="auto" w:sz="4" w:space="0"/>
              <w:right w:val="single" w:color="auto" w:sz="4" w:space="0"/>
            </w:tcBorders>
            <w:shd w:val="clear" w:color="000000" w:fill="FFFFFF"/>
            <w:noWrap/>
            <w:vAlign w:val="center"/>
          </w:tcPr>
          <w:p w14:paraId="137463FC">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c>
          <w:tcPr>
            <w:tcW w:w="0" w:type="auto"/>
            <w:tcBorders>
              <w:top w:val="nil"/>
              <w:left w:val="nil"/>
              <w:bottom w:val="nil"/>
              <w:right w:val="single" w:color="auto" w:sz="4" w:space="0"/>
            </w:tcBorders>
            <w:shd w:val="clear" w:color="000000" w:fill="FFFFFF"/>
            <w:noWrap/>
            <w:vAlign w:val="center"/>
          </w:tcPr>
          <w:p w14:paraId="22D5829A">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c>
          <w:tcPr>
            <w:tcW w:w="0" w:type="auto"/>
            <w:tcBorders>
              <w:top w:val="nil"/>
              <w:left w:val="nil"/>
              <w:bottom w:val="nil"/>
              <w:right w:val="single" w:color="auto" w:sz="4" w:space="0"/>
            </w:tcBorders>
            <w:shd w:val="clear" w:color="000000" w:fill="FFFFFF"/>
            <w:noWrap/>
            <w:vAlign w:val="center"/>
          </w:tcPr>
          <w:p w14:paraId="14FEE435">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58E498C8">
        <w:tblPrEx>
          <w:tblCellMar>
            <w:top w:w="0" w:type="dxa"/>
            <w:left w:w="108" w:type="dxa"/>
            <w:bottom w:w="0" w:type="dxa"/>
            <w:right w:w="108" w:type="dxa"/>
          </w:tblCellMar>
        </w:tblPrEx>
        <w:trPr>
          <w:trHeight w:val="567" w:hRule="atLeast"/>
        </w:trPr>
        <w:tc>
          <w:tcPr>
            <w:tcW w:w="1091"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3D4C5109">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3.1</w:t>
            </w:r>
          </w:p>
        </w:tc>
        <w:tc>
          <w:tcPr>
            <w:tcW w:w="1961" w:type="dxa"/>
            <w:tcBorders>
              <w:top w:val="single" w:color="auto" w:sz="4" w:space="0"/>
              <w:left w:val="nil"/>
              <w:bottom w:val="single" w:color="auto" w:sz="4" w:space="0"/>
              <w:right w:val="single" w:color="auto" w:sz="4" w:space="0"/>
            </w:tcBorders>
            <w:shd w:val="clear" w:color="000000" w:fill="FFFFFF"/>
            <w:vAlign w:val="center"/>
          </w:tcPr>
          <w:p w14:paraId="4CFBB25B">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16X16高清播出切换器</w:t>
            </w:r>
          </w:p>
        </w:tc>
        <w:tc>
          <w:tcPr>
            <w:tcW w:w="4996" w:type="dxa"/>
            <w:tcBorders>
              <w:top w:val="single" w:color="auto" w:sz="4" w:space="0"/>
              <w:left w:val="nil"/>
              <w:bottom w:val="single" w:color="auto" w:sz="4" w:space="0"/>
              <w:right w:val="single" w:color="auto" w:sz="4" w:space="0"/>
            </w:tcBorders>
            <w:shd w:val="clear" w:color="000000" w:fill="FFFFFF"/>
            <w:vAlign w:val="center"/>
          </w:tcPr>
          <w:p w14:paraId="055FE3F5">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1）支持16路输入信号，至少两路净静切换输出。</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2）输入/输出板卡高标清信号自适应，支持3G-SDI (SMPTE 424M)/HD-SDI (SMPTE 292M)/SD-SDI (SMPTE 259M)/DVB-ASI；</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3）具有Bypass掉电直通功能</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4）配备串口支持外部自动播出控制系统控制</w:t>
            </w:r>
          </w:p>
        </w:tc>
        <w:tc>
          <w:tcPr>
            <w:tcW w:w="872" w:type="dxa"/>
            <w:tcBorders>
              <w:top w:val="nil"/>
              <w:left w:val="nil"/>
              <w:bottom w:val="single" w:color="auto" w:sz="4" w:space="0"/>
              <w:right w:val="single" w:color="auto" w:sz="4" w:space="0"/>
            </w:tcBorders>
            <w:shd w:val="clear" w:color="000000" w:fill="FFFFFF"/>
            <w:vAlign w:val="center"/>
          </w:tcPr>
          <w:p w14:paraId="5A77BEB5">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6E1610B9">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6</w:t>
            </w:r>
          </w:p>
        </w:tc>
        <w:tc>
          <w:tcPr>
            <w:tcW w:w="1641" w:type="dxa"/>
            <w:vMerge w:val="restart"/>
            <w:tcBorders>
              <w:top w:val="nil"/>
              <w:left w:val="single" w:color="auto" w:sz="4" w:space="0"/>
              <w:bottom w:val="single" w:color="000000" w:sz="4" w:space="0"/>
              <w:right w:val="single" w:color="auto" w:sz="4" w:space="0"/>
            </w:tcBorders>
            <w:shd w:val="clear" w:color="000000" w:fill="FFFFFF"/>
            <w:noWrap/>
            <w:vAlign w:val="center"/>
          </w:tcPr>
          <w:p w14:paraId="27D9FAEE">
            <w:pPr>
              <w:widowControl/>
              <w:jc w:val="right"/>
              <w:rPr>
                <w:rFonts w:hint="eastAsia" w:ascii="宋体" w:hAnsi="宋体" w:eastAsia="宋体" w:cs="宋体"/>
                <w:color w:val="000000"/>
                <w:kern w:val="0"/>
                <w:sz w:val="24"/>
                <w:szCs w:val="24"/>
                <w14:ligatures w14:val="none"/>
              </w:rPr>
            </w:pPr>
          </w:p>
        </w:tc>
        <w:tc>
          <w:tcPr>
            <w:tcW w:w="0" w:type="auto"/>
            <w:vMerge w:val="restart"/>
            <w:tcBorders>
              <w:top w:val="single" w:color="auto" w:sz="4" w:space="0"/>
              <w:left w:val="single" w:color="auto" w:sz="4" w:space="0"/>
              <w:bottom w:val="single" w:color="000000" w:sz="4" w:space="0"/>
              <w:right w:val="single" w:color="auto" w:sz="4" w:space="0"/>
            </w:tcBorders>
            <w:shd w:val="clear" w:color="000000" w:fill="FFFFFF"/>
            <w:noWrap/>
            <w:vAlign w:val="center"/>
          </w:tcPr>
          <w:p w14:paraId="388BF2A2">
            <w:pPr>
              <w:widowControl/>
              <w:jc w:val="right"/>
              <w:rPr>
                <w:rFonts w:hint="eastAsia" w:ascii="宋体" w:hAnsi="宋体" w:eastAsia="宋体" w:cs="宋体"/>
                <w:color w:val="000000"/>
                <w:kern w:val="0"/>
                <w:sz w:val="24"/>
                <w:szCs w:val="24"/>
                <w14:ligatures w14:val="none"/>
              </w:rPr>
            </w:pPr>
          </w:p>
        </w:tc>
        <w:tc>
          <w:tcPr>
            <w:tcW w:w="0" w:type="auto"/>
            <w:tcBorders>
              <w:top w:val="single" w:color="auto" w:sz="4" w:space="0"/>
              <w:left w:val="nil"/>
              <w:bottom w:val="nil"/>
              <w:right w:val="single" w:color="auto" w:sz="4" w:space="0"/>
            </w:tcBorders>
            <w:shd w:val="clear" w:color="000000" w:fill="FFFFFF"/>
            <w:noWrap/>
            <w:vAlign w:val="center"/>
          </w:tcPr>
          <w:p w14:paraId="29FA1403">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3C64231E">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55994B9E">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3.2</w:t>
            </w:r>
          </w:p>
        </w:tc>
        <w:tc>
          <w:tcPr>
            <w:tcW w:w="1961" w:type="dxa"/>
            <w:tcBorders>
              <w:top w:val="nil"/>
              <w:left w:val="nil"/>
              <w:bottom w:val="single" w:color="auto" w:sz="4" w:space="0"/>
              <w:right w:val="single" w:color="auto" w:sz="4" w:space="0"/>
            </w:tcBorders>
            <w:shd w:val="clear" w:color="000000" w:fill="FFFFFF"/>
            <w:vAlign w:val="center"/>
          </w:tcPr>
          <w:p w14:paraId="3676FF6F">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16X16高清播出切换器遥控面板</w:t>
            </w:r>
          </w:p>
        </w:tc>
        <w:tc>
          <w:tcPr>
            <w:tcW w:w="4996" w:type="dxa"/>
            <w:tcBorders>
              <w:top w:val="nil"/>
              <w:left w:val="nil"/>
              <w:bottom w:val="single" w:color="auto" w:sz="4" w:space="0"/>
              <w:right w:val="single" w:color="auto" w:sz="4" w:space="0"/>
            </w:tcBorders>
            <w:shd w:val="clear" w:color="000000" w:fill="FFFFFF"/>
            <w:vAlign w:val="center"/>
          </w:tcPr>
          <w:p w14:paraId="7CC8E198">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与矩阵同一品牌；RCP控制面板，含16个自定义信号调度按键和8个多功能按键。XY全母线控制。</w:t>
            </w:r>
          </w:p>
        </w:tc>
        <w:tc>
          <w:tcPr>
            <w:tcW w:w="872" w:type="dxa"/>
            <w:tcBorders>
              <w:top w:val="nil"/>
              <w:left w:val="nil"/>
              <w:bottom w:val="single" w:color="auto" w:sz="4" w:space="0"/>
              <w:right w:val="single" w:color="auto" w:sz="4" w:space="0"/>
            </w:tcBorders>
            <w:shd w:val="clear" w:color="000000" w:fill="FFFFFF"/>
            <w:vAlign w:val="center"/>
          </w:tcPr>
          <w:p w14:paraId="395CB3DA">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块</w:t>
            </w:r>
          </w:p>
        </w:tc>
        <w:tc>
          <w:tcPr>
            <w:tcW w:w="856" w:type="dxa"/>
            <w:tcBorders>
              <w:top w:val="nil"/>
              <w:left w:val="nil"/>
              <w:bottom w:val="single" w:color="auto" w:sz="4" w:space="0"/>
              <w:right w:val="single" w:color="auto" w:sz="4" w:space="0"/>
            </w:tcBorders>
            <w:shd w:val="clear" w:color="000000" w:fill="FFFFFF"/>
            <w:vAlign w:val="center"/>
          </w:tcPr>
          <w:p w14:paraId="1BE4D5F5">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6</w:t>
            </w:r>
          </w:p>
        </w:tc>
        <w:tc>
          <w:tcPr>
            <w:tcW w:w="1641" w:type="dxa"/>
            <w:vMerge w:val="continue"/>
            <w:tcBorders>
              <w:top w:val="nil"/>
              <w:left w:val="single" w:color="auto" w:sz="4" w:space="0"/>
              <w:bottom w:val="single" w:color="000000" w:sz="4" w:space="0"/>
              <w:right w:val="single" w:color="auto" w:sz="4" w:space="0"/>
            </w:tcBorders>
            <w:vAlign w:val="center"/>
          </w:tcPr>
          <w:p w14:paraId="29D480A2">
            <w:pPr>
              <w:widowControl/>
              <w:jc w:val="left"/>
              <w:rPr>
                <w:rFonts w:hint="eastAsia" w:ascii="宋体" w:hAnsi="宋体" w:eastAsia="宋体" w:cs="宋体"/>
                <w:color w:val="000000"/>
                <w:kern w:val="0"/>
                <w:sz w:val="24"/>
                <w:szCs w:val="24"/>
                <w14:ligatures w14:val="none"/>
              </w:rPr>
            </w:pPr>
          </w:p>
        </w:tc>
        <w:tc>
          <w:tcPr>
            <w:tcW w:w="0" w:type="auto"/>
            <w:vMerge w:val="continue"/>
            <w:tcBorders>
              <w:top w:val="single" w:color="auto" w:sz="4" w:space="0"/>
              <w:left w:val="single" w:color="auto" w:sz="4" w:space="0"/>
              <w:bottom w:val="single" w:color="000000" w:sz="4" w:space="0"/>
              <w:right w:val="single" w:color="auto" w:sz="4" w:space="0"/>
            </w:tcBorders>
            <w:vAlign w:val="center"/>
          </w:tcPr>
          <w:p w14:paraId="15FECC08">
            <w:pPr>
              <w:widowControl/>
              <w:jc w:val="lef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26E779D9">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1B002647">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495EBD19">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3.3</w:t>
            </w:r>
          </w:p>
        </w:tc>
        <w:tc>
          <w:tcPr>
            <w:tcW w:w="1961" w:type="dxa"/>
            <w:tcBorders>
              <w:top w:val="nil"/>
              <w:left w:val="nil"/>
              <w:bottom w:val="single" w:color="auto" w:sz="4" w:space="0"/>
              <w:right w:val="single" w:color="auto" w:sz="4" w:space="0"/>
            </w:tcBorders>
            <w:shd w:val="clear" w:color="000000" w:fill="FFFFFF"/>
            <w:vAlign w:val="center"/>
          </w:tcPr>
          <w:p w14:paraId="2C87C007">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422倒换器</w:t>
            </w:r>
          </w:p>
        </w:tc>
        <w:tc>
          <w:tcPr>
            <w:tcW w:w="4996" w:type="dxa"/>
            <w:tcBorders>
              <w:top w:val="nil"/>
              <w:left w:val="nil"/>
              <w:bottom w:val="single" w:color="auto" w:sz="4" w:space="0"/>
              <w:right w:val="single" w:color="auto" w:sz="4" w:space="0"/>
            </w:tcBorders>
            <w:shd w:val="clear" w:color="000000" w:fill="FFFFFF"/>
            <w:vAlign w:val="center"/>
          </w:tcPr>
          <w:p w14:paraId="3411E14D">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输入：4组或8组主、备两路RS-232/422信号</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输出：4组或8组1路RS-232/422信号4组或8组倒换通道，每组通道具有主、备两路RS-232/422信号输入和1 路信号输出</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每组通道支持RS-232/422接口协议</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每组主路支持掉电直通功能</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支持前面板手动/自动切换</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支持前面板一键切换</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支持GPI 与RS-232/422 接口的远程控制</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具有GPI级联功能，可实现多个倒换器级联</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冗余热备份电源设计</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具有掉电自动记忆功能</w:t>
            </w:r>
          </w:p>
        </w:tc>
        <w:tc>
          <w:tcPr>
            <w:tcW w:w="872" w:type="dxa"/>
            <w:tcBorders>
              <w:top w:val="nil"/>
              <w:left w:val="nil"/>
              <w:bottom w:val="single" w:color="auto" w:sz="4" w:space="0"/>
              <w:right w:val="single" w:color="auto" w:sz="4" w:space="0"/>
            </w:tcBorders>
            <w:shd w:val="clear" w:color="000000" w:fill="FFFFFF"/>
            <w:vAlign w:val="center"/>
          </w:tcPr>
          <w:p w14:paraId="525F6D40">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499D7D9C">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3</w:t>
            </w:r>
          </w:p>
        </w:tc>
        <w:tc>
          <w:tcPr>
            <w:tcW w:w="1641" w:type="dxa"/>
            <w:tcBorders>
              <w:top w:val="nil"/>
              <w:left w:val="nil"/>
              <w:bottom w:val="single" w:color="auto" w:sz="4" w:space="0"/>
              <w:right w:val="single" w:color="auto" w:sz="4" w:space="0"/>
            </w:tcBorders>
            <w:shd w:val="clear" w:color="000000" w:fill="FFFFFF"/>
            <w:noWrap/>
            <w:vAlign w:val="center"/>
          </w:tcPr>
          <w:p w14:paraId="6052A407">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77D1C041">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664B3494">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2FC71F92">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5249D67B">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3.4</w:t>
            </w:r>
          </w:p>
        </w:tc>
        <w:tc>
          <w:tcPr>
            <w:tcW w:w="1961" w:type="dxa"/>
            <w:tcBorders>
              <w:top w:val="nil"/>
              <w:left w:val="nil"/>
              <w:bottom w:val="single" w:color="auto" w:sz="4" w:space="0"/>
              <w:right w:val="single" w:color="auto" w:sz="4" w:space="0"/>
            </w:tcBorders>
            <w:shd w:val="clear" w:color="000000" w:fill="FFFFFF"/>
            <w:vAlign w:val="center"/>
          </w:tcPr>
          <w:p w14:paraId="551CDFF4">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高清三选一自动切换器</w:t>
            </w:r>
          </w:p>
        </w:tc>
        <w:tc>
          <w:tcPr>
            <w:tcW w:w="4996" w:type="dxa"/>
            <w:tcBorders>
              <w:top w:val="nil"/>
              <w:left w:val="nil"/>
              <w:bottom w:val="single" w:color="auto" w:sz="4" w:space="0"/>
              <w:right w:val="single" w:color="auto" w:sz="4" w:space="0"/>
            </w:tcBorders>
            <w:shd w:val="clear" w:color="000000" w:fill="FFFFFF"/>
            <w:vAlign w:val="center"/>
          </w:tcPr>
          <w:p w14:paraId="102F1117">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三路SDI高标清倒换器 主、备、备三路SDI高标清信号输入</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1路SDI高标清信号输出</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▲SDI输入输出信号——支持3路HD/SD SDI输入信号（主、备、垫），4路输出信号。其中IN1口和OUT1口支持掉电直通功能；(提供广电机构主管部门出具带CMA、CNAS标志的检测报告佐证)。</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自动切换，当主路信号满足切换条件（如信号丢失），输出信号将被自动切换至备路，如果主路信号恢复正常，输出信号将再次切回主路，如果主路、备路同时出问题输出信号将切换到第三路（垫），在主路或备路信号恢复正常后输出信号将自动切回主路或备路；(提供广电机构主管部门出具带CMA、CNAS标志的检测报告佐证)。</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▲信号检测报警，支持对视频丢失、黑场、静帧、音量过高、静音等异常问题进行实时报警，检测阈值可根据用户需求进行设置；(提供广电机构主管部门出具带CMA、CNAS标志的检测报告佐证)。</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▲支持掉电记忆功能和嵌入音频处理功能。(提供广电机构主管部门出具带CMA、CNAS标志的检测报告佐证)。</w:t>
            </w:r>
          </w:p>
        </w:tc>
        <w:tc>
          <w:tcPr>
            <w:tcW w:w="872" w:type="dxa"/>
            <w:tcBorders>
              <w:top w:val="nil"/>
              <w:left w:val="nil"/>
              <w:bottom w:val="single" w:color="auto" w:sz="4" w:space="0"/>
              <w:right w:val="single" w:color="auto" w:sz="4" w:space="0"/>
            </w:tcBorders>
            <w:shd w:val="clear" w:color="000000" w:fill="FFFFFF"/>
            <w:vAlign w:val="center"/>
          </w:tcPr>
          <w:p w14:paraId="027CD1BE">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3229F49F">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3</w:t>
            </w:r>
          </w:p>
        </w:tc>
        <w:tc>
          <w:tcPr>
            <w:tcW w:w="1641" w:type="dxa"/>
            <w:tcBorders>
              <w:top w:val="nil"/>
              <w:left w:val="nil"/>
              <w:bottom w:val="single" w:color="auto" w:sz="4" w:space="0"/>
              <w:right w:val="single" w:color="auto" w:sz="4" w:space="0"/>
            </w:tcBorders>
            <w:shd w:val="clear" w:color="000000" w:fill="FFFFFF"/>
            <w:noWrap/>
            <w:vAlign w:val="center"/>
          </w:tcPr>
          <w:p w14:paraId="6B427DEE">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177929A8">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4F8598AA">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2A75415C">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5832C914">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3.5</w:t>
            </w:r>
          </w:p>
        </w:tc>
        <w:tc>
          <w:tcPr>
            <w:tcW w:w="1961" w:type="dxa"/>
            <w:tcBorders>
              <w:top w:val="nil"/>
              <w:left w:val="nil"/>
              <w:bottom w:val="single" w:color="auto" w:sz="4" w:space="0"/>
              <w:right w:val="single" w:color="auto" w:sz="4" w:space="0"/>
            </w:tcBorders>
            <w:shd w:val="clear" w:color="000000" w:fill="FFFFFF"/>
            <w:vAlign w:val="center"/>
          </w:tcPr>
          <w:p w14:paraId="2964E6FC">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三选一遥控面板</w:t>
            </w:r>
          </w:p>
        </w:tc>
        <w:tc>
          <w:tcPr>
            <w:tcW w:w="4996" w:type="dxa"/>
            <w:tcBorders>
              <w:top w:val="nil"/>
              <w:left w:val="nil"/>
              <w:bottom w:val="single" w:color="auto" w:sz="4" w:space="0"/>
              <w:right w:val="single" w:color="auto" w:sz="4" w:space="0"/>
            </w:tcBorders>
            <w:shd w:val="clear" w:color="000000" w:fill="FFFFFF"/>
            <w:vAlign w:val="center"/>
          </w:tcPr>
          <w:p w14:paraId="05644533">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三选一遥控面板，带灯按键，RS232控制口</w:t>
            </w:r>
          </w:p>
        </w:tc>
        <w:tc>
          <w:tcPr>
            <w:tcW w:w="872" w:type="dxa"/>
            <w:tcBorders>
              <w:top w:val="nil"/>
              <w:left w:val="nil"/>
              <w:bottom w:val="single" w:color="auto" w:sz="4" w:space="0"/>
              <w:right w:val="single" w:color="auto" w:sz="4" w:space="0"/>
            </w:tcBorders>
            <w:shd w:val="clear" w:color="000000" w:fill="FFFFFF"/>
            <w:vAlign w:val="center"/>
          </w:tcPr>
          <w:p w14:paraId="437B071E">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11C0FF8C">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3</w:t>
            </w:r>
          </w:p>
        </w:tc>
        <w:tc>
          <w:tcPr>
            <w:tcW w:w="1641" w:type="dxa"/>
            <w:tcBorders>
              <w:top w:val="nil"/>
              <w:left w:val="nil"/>
              <w:bottom w:val="single" w:color="auto" w:sz="4" w:space="0"/>
              <w:right w:val="single" w:color="auto" w:sz="4" w:space="0"/>
            </w:tcBorders>
            <w:shd w:val="clear" w:color="000000" w:fill="FFFFFF"/>
            <w:noWrap/>
            <w:vAlign w:val="center"/>
          </w:tcPr>
          <w:p w14:paraId="02D923BC">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214EEE25">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46F9656C">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27A29BCD">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5239E7A8">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3.6</w:t>
            </w:r>
          </w:p>
        </w:tc>
        <w:tc>
          <w:tcPr>
            <w:tcW w:w="1961" w:type="dxa"/>
            <w:tcBorders>
              <w:top w:val="nil"/>
              <w:left w:val="nil"/>
              <w:bottom w:val="nil"/>
              <w:right w:val="single" w:color="auto" w:sz="4" w:space="0"/>
            </w:tcBorders>
            <w:shd w:val="clear" w:color="000000" w:fill="FFFFFF"/>
            <w:vAlign w:val="center"/>
          </w:tcPr>
          <w:p w14:paraId="05AA75DE">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高清台标机</w:t>
            </w:r>
          </w:p>
        </w:tc>
        <w:tc>
          <w:tcPr>
            <w:tcW w:w="4996" w:type="dxa"/>
            <w:tcBorders>
              <w:top w:val="nil"/>
              <w:left w:val="nil"/>
              <w:bottom w:val="nil"/>
              <w:right w:val="single" w:color="auto" w:sz="4" w:space="0"/>
            </w:tcBorders>
            <w:shd w:val="clear" w:color="000000" w:fill="FFFFFF"/>
            <w:vAlign w:val="center"/>
          </w:tcPr>
          <w:p w14:paraId="407ED0A6">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1RU，冗余双电源，采用24bit真彩色合成，支持多个独立台标、时标，支持动画台标、支持网络校时和LTC校时功能,独立GPS校时可选，带Ref外同步输入。</w:t>
            </w:r>
          </w:p>
        </w:tc>
        <w:tc>
          <w:tcPr>
            <w:tcW w:w="872" w:type="dxa"/>
            <w:tcBorders>
              <w:top w:val="nil"/>
              <w:left w:val="nil"/>
              <w:bottom w:val="single" w:color="auto" w:sz="4" w:space="0"/>
              <w:right w:val="single" w:color="auto" w:sz="4" w:space="0"/>
            </w:tcBorders>
            <w:shd w:val="clear" w:color="000000" w:fill="FFFFFF"/>
            <w:vAlign w:val="center"/>
          </w:tcPr>
          <w:p w14:paraId="1AC5BAE8">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385B9E83">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6</w:t>
            </w:r>
          </w:p>
        </w:tc>
        <w:tc>
          <w:tcPr>
            <w:tcW w:w="1641" w:type="dxa"/>
            <w:tcBorders>
              <w:top w:val="nil"/>
              <w:left w:val="nil"/>
              <w:bottom w:val="single" w:color="auto" w:sz="4" w:space="0"/>
              <w:right w:val="single" w:color="auto" w:sz="4" w:space="0"/>
            </w:tcBorders>
            <w:shd w:val="clear" w:color="000000" w:fill="FFFFFF"/>
            <w:noWrap/>
            <w:vAlign w:val="center"/>
          </w:tcPr>
          <w:p w14:paraId="703391F5">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0534F4CE">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749991E2">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3EA8EC6A">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7A717FF1">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3.7</w:t>
            </w:r>
          </w:p>
        </w:tc>
        <w:tc>
          <w:tcPr>
            <w:tcW w:w="1961" w:type="dxa"/>
            <w:tcBorders>
              <w:top w:val="single" w:color="auto" w:sz="4" w:space="0"/>
              <w:left w:val="nil"/>
              <w:bottom w:val="nil"/>
              <w:right w:val="single" w:color="auto" w:sz="4" w:space="0"/>
            </w:tcBorders>
            <w:shd w:val="clear" w:color="000000" w:fill="FFFFFF"/>
            <w:vAlign w:val="center"/>
          </w:tcPr>
          <w:p w14:paraId="15375245">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高清数字键控器</w:t>
            </w:r>
          </w:p>
        </w:tc>
        <w:tc>
          <w:tcPr>
            <w:tcW w:w="4996" w:type="dxa"/>
            <w:tcBorders>
              <w:top w:val="single" w:color="auto" w:sz="4" w:space="0"/>
              <w:left w:val="nil"/>
              <w:bottom w:val="nil"/>
              <w:right w:val="single" w:color="auto" w:sz="4" w:space="0"/>
            </w:tcBorders>
            <w:shd w:val="clear" w:color="000000" w:fill="FFFFFF"/>
            <w:vAlign w:val="center"/>
          </w:tcPr>
          <w:p w14:paraId="0F042019">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1RU，冗余双电源，2路数字下游键输入，支持嵌入音频，带CLEAN信号输出，带掉电直通功能，冗余双电源,双RS232遥控接口。</w:t>
            </w:r>
          </w:p>
          <w:p w14:paraId="5F9FD6E4">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1）▲支持1路HD/SD-SDI信号输入，2路HD/SD-SDI键信号输入，2路HD/SD-SDI填充信号输入； (提供广电机构主管部门出具带CMA、CNAS标志的检测报告佐证)。</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2）▲支持2路HD/SD-SDI信号PGM输出，其中PGM1输出支持掉电直通；支持1路HD/SD-SDI信号的PST输出，支持1路Clean信号（不叠加字幕、时钟和台标）输出；(提供广电机构主管部门出具带CMA、CNAS标志的检测报告佐证)。</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 xml:space="preserve">3）▲具备RS232串口，遥控面板和播控端RS232串口控制主机，具备网络管理端口，PC机可通过网络连接对主机进行配置管理；(提供广电机构主管部门出具带CMA、CNAS标志的检测报告佐证)。 </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 xml:space="preserve">4）▲可实现静态、渐变色、半透明、浮雕等台标字幕效果；支持高标清时钟叠加；支持嵌入音频处理功能；支持掉电记忆功能；(提供广电机构主管部门出具带CMA、CNAS标志的检测报告佐证)。 </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5）配套遥控面板：带灯按键，RS232控制口</w:t>
            </w:r>
          </w:p>
        </w:tc>
        <w:tc>
          <w:tcPr>
            <w:tcW w:w="872" w:type="dxa"/>
            <w:tcBorders>
              <w:top w:val="nil"/>
              <w:left w:val="nil"/>
              <w:bottom w:val="single" w:color="auto" w:sz="4" w:space="0"/>
              <w:right w:val="single" w:color="auto" w:sz="4" w:space="0"/>
            </w:tcBorders>
            <w:shd w:val="clear" w:color="000000" w:fill="FFFFFF"/>
            <w:vAlign w:val="center"/>
          </w:tcPr>
          <w:p w14:paraId="0465CF82">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00F82DA8">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6</w:t>
            </w:r>
          </w:p>
        </w:tc>
        <w:tc>
          <w:tcPr>
            <w:tcW w:w="1641" w:type="dxa"/>
            <w:tcBorders>
              <w:top w:val="nil"/>
              <w:left w:val="nil"/>
              <w:bottom w:val="single" w:color="auto" w:sz="4" w:space="0"/>
              <w:right w:val="single" w:color="auto" w:sz="4" w:space="0"/>
            </w:tcBorders>
            <w:shd w:val="clear" w:color="000000" w:fill="FFFFFF"/>
            <w:noWrap/>
            <w:vAlign w:val="center"/>
          </w:tcPr>
          <w:p w14:paraId="59AE35FD">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2182E22B">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3787742F">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179DE7E5">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44673E70">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3.8</w:t>
            </w:r>
          </w:p>
        </w:tc>
        <w:tc>
          <w:tcPr>
            <w:tcW w:w="1961" w:type="dxa"/>
            <w:tcBorders>
              <w:top w:val="single" w:color="auto" w:sz="4" w:space="0"/>
              <w:left w:val="nil"/>
              <w:bottom w:val="single" w:color="auto" w:sz="4" w:space="0"/>
              <w:right w:val="single" w:color="auto" w:sz="4" w:space="0"/>
            </w:tcBorders>
            <w:shd w:val="clear" w:color="000000" w:fill="FFFFFF"/>
            <w:vAlign w:val="center"/>
          </w:tcPr>
          <w:p w14:paraId="6B0594C5">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高清数字键混遥控面板</w:t>
            </w:r>
          </w:p>
        </w:tc>
        <w:tc>
          <w:tcPr>
            <w:tcW w:w="4996" w:type="dxa"/>
            <w:tcBorders>
              <w:top w:val="single" w:color="auto" w:sz="4" w:space="0"/>
              <w:left w:val="nil"/>
              <w:bottom w:val="single" w:color="auto" w:sz="4" w:space="0"/>
              <w:right w:val="single" w:color="auto" w:sz="4" w:space="0"/>
            </w:tcBorders>
            <w:shd w:val="clear" w:color="000000" w:fill="FFFFFF"/>
            <w:vAlign w:val="center"/>
          </w:tcPr>
          <w:p w14:paraId="3C2063E2">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进口带灯按键，RS232控制口</w:t>
            </w:r>
          </w:p>
        </w:tc>
        <w:tc>
          <w:tcPr>
            <w:tcW w:w="872" w:type="dxa"/>
            <w:tcBorders>
              <w:top w:val="nil"/>
              <w:left w:val="nil"/>
              <w:bottom w:val="single" w:color="auto" w:sz="4" w:space="0"/>
              <w:right w:val="single" w:color="auto" w:sz="4" w:space="0"/>
            </w:tcBorders>
            <w:shd w:val="clear" w:color="000000" w:fill="FFFFFF"/>
            <w:vAlign w:val="center"/>
          </w:tcPr>
          <w:p w14:paraId="52D0D152">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7C06FC94">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6</w:t>
            </w:r>
          </w:p>
        </w:tc>
        <w:tc>
          <w:tcPr>
            <w:tcW w:w="1641" w:type="dxa"/>
            <w:tcBorders>
              <w:top w:val="nil"/>
              <w:left w:val="nil"/>
              <w:bottom w:val="single" w:color="auto" w:sz="4" w:space="0"/>
              <w:right w:val="single" w:color="auto" w:sz="4" w:space="0"/>
            </w:tcBorders>
            <w:shd w:val="clear" w:color="000000" w:fill="FFFFFF"/>
            <w:noWrap/>
            <w:vAlign w:val="center"/>
          </w:tcPr>
          <w:p w14:paraId="11DBBE58">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3053EA3C">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02304142">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28B5665F">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4A2848DD">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3.9</w:t>
            </w:r>
          </w:p>
        </w:tc>
        <w:tc>
          <w:tcPr>
            <w:tcW w:w="1961" w:type="dxa"/>
            <w:tcBorders>
              <w:top w:val="nil"/>
              <w:left w:val="nil"/>
              <w:bottom w:val="single" w:color="auto" w:sz="4" w:space="0"/>
              <w:right w:val="single" w:color="auto" w:sz="4" w:space="0"/>
            </w:tcBorders>
            <w:shd w:val="clear" w:color="000000" w:fill="FFFFFF"/>
            <w:vAlign w:val="center"/>
          </w:tcPr>
          <w:p w14:paraId="20A89533">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高清响度控制器</w:t>
            </w:r>
          </w:p>
        </w:tc>
        <w:tc>
          <w:tcPr>
            <w:tcW w:w="4996" w:type="dxa"/>
            <w:tcBorders>
              <w:top w:val="nil"/>
              <w:left w:val="nil"/>
              <w:bottom w:val="single" w:color="auto" w:sz="4" w:space="0"/>
              <w:right w:val="single" w:color="auto" w:sz="4" w:space="0"/>
            </w:tcBorders>
            <w:shd w:val="clear" w:color="000000" w:fill="FFFFFF"/>
            <w:vAlign w:val="center"/>
          </w:tcPr>
          <w:p w14:paraId="3EDEC3BC">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1RU，冗余双电源，SD/HD自适应，手动和自动双模式增益调整，带监听和音量表显示，带掉电直通，一键Bypass，RS232控制。</w:t>
            </w:r>
          </w:p>
        </w:tc>
        <w:tc>
          <w:tcPr>
            <w:tcW w:w="872" w:type="dxa"/>
            <w:tcBorders>
              <w:top w:val="nil"/>
              <w:left w:val="nil"/>
              <w:bottom w:val="single" w:color="auto" w:sz="4" w:space="0"/>
              <w:right w:val="single" w:color="auto" w:sz="4" w:space="0"/>
            </w:tcBorders>
            <w:shd w:val="clear" w:color="000000" w:fill="FFFFFF"/>
            <w:vAlign w:val="center"/>
          </w:tcPr>
          <w:p w14:paraId="255B68E4">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6439E87B">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6</w:t>
            </w:r>
          </w:p>
        </w:tc>
        <w:tc>
          <w:tcPr>
            <w:tcW w:w="1641" w:type="dxa"/>
            <w:tcBorders>
              <w:top w:val="nil"/>
              <w:left w:val="nil"/>
              <w:bottom w:val="single" w:color="auto" w:sz="4" w:space="0"/>
              <w:right w:val="single" w:color="auto" w:sz="4" w:space="0"/>
            </w:tcBorders>
            <w:shd w:val="clear" w:color="000000" w:fill="FFFFFF"/>
            <w:noWrap/>
            <w:vAlign w:val="center"/>
          </w:tcPr>
          <w:p w14:paraId="15670940">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6FDED4EE">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349DC039">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5310AC28">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4EC4B217">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3.10</w:t>
            </w:r>
          </w:p>
        </w:tc>
        <w:tc>
          <w:tcPr>
            <w:tcW w:w="1961" w:type="dxa"/>
            <w:tcBorders>
              <w:top w:val="nil"/>
              <w:left w:val="nil"/>
              <w:bottom w:val="single" w:color="auto" w:sz="4" w:space="0"/>
              <w:right w:val="single" w:color="auto" w:sz="4" w:space="0"/>
            </w:tcBorders>
            <w:shd w:val="clear" w:color="000000" w:fill="FFFFFF"/>
            <w:vAlign w:val="center"/>
          </w:tcPr>
          <w:p w14:paraId="3D4206CC">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数字音频处理器遥控面板</w:t>
            </w:r>
          </w:p>
        </w:tc>
        <w:tc>
          <w:tcPr>
            <w:tcW w:w="4996" w:type="dxa"/>
            <w:tcBorders>
              <w:top w:val="nil"/>
              <w:left w:val="nil"/>
              <w:bottom w:val="single" w:color="auto" w:sz="4" w:space="0"/>
              <w:right w:val="single" w:color="auto" w:sz="4" w:space="0"/>
            </w:tcBorders>
            <w:shd w:val="clear" w:color="000000" w:fill="FFFFFF"/>
            <w:vAlign w:val="center"/>
          </w:tcPr>
          <w:p w14:paraId="22300B67">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带监听扬声器，带dBFS音量显示，进口带灯按键，RS232控制口</w:t>
            </w:r>
          </w:p>
        </w:tc>
        <w:tc>
          <w:tcPr>
            <w:tcW w:w="872" w:type="dxa"/>
            <w:tcBorders>
              <w:top w:val="nil"/>
              <w:left w:val="nil"/>
              <w:bottom w:val="single" w:color="auto" w:sz="4" w:space="0"/>
              <w:right w:val="single" w:color="auto" w:sz="4" w:space="0"/>
            </w:tcBorders>
            <w:shd w:val="clear" w:color="000000" w:fill="FFFFFF"/>
            <w:vAlign w:val="center"/>
          </w:tcPr>
          <w:p w14:paraId="57468F26">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103DBE29">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6</w:t>
            </w:r>
          </w:p>
        </w:tc>
        <w:tc>
          <w:tcPr>
            <w:tcW w:w="1641" w:type="dxa"/>
            <w:tcBorders>
              <w:top w:val="nil"/>
              <w:left w:val="nil"/>
              <w:bottom w:val="single" w:color="auto" w:sz="4" w:space="0"/>
              <w:right w:val="single" w:color="auto" w:sz="4" w:space="0"/>
            </w:tcBorders>
            <w:shd w:val="clear" w:color="000000" w:fill="FFFFFF"/>
            <w:noWrap/>
            <w:vAlign w:val="center"/>
          </w:tcPr>
          <w:p w14:paraId="669BA063">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42C7BE0F">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2E3193C3">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5A0D2DE4">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33BCF650">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3.11</w:t>
            </w:r>
          </w:p>
        </w:tc>
        <w:tc>
          <w:tcPr>
            <w:tcW w:w="1961" w:type="dxa"/>
            <w:tcBorders>
              <w:top w:val="nil"/>
              <w:left w:val="nil"/>
              <w:bottom w:val="single" w:color="auto" w:sz="4" w:space="0"/>
              <w:right w:val="single" w:color="auto" w:sz="4" w:space="0"/>
            </w:tcBorders>
            <w:shd w:val="clear" w:color="000000" w:fill="FFFFFF"/>
            <w:vAlign w:val="center"/>
          </w:tcPr>
          <w:p w14:paraId="3F3FF1C0">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高清数字视频</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分配器</w:t>
            </w:r>
          </w:p>
        </w:tc>
        <w:tc>
          <w:tcPr>
            <w:tcW w:w="4996" w:type="dxa"/>
            <w:tcBorders>
              <w:top w:val="nil"/>
              <w:left w:val="nil"/>
              <w:bottom w:val="single" w:color="auto" w:sz="4" w:space="0"/>
              <w:right w:val="single" w:color="auto" w:sz="4" w:space="0"/>
            </w:tcBorders>
            <w:shd w:val="clear" w:color="000000" w:fill="FFFFFF"/>
            <w:vAlign w:val="center"/>
          </w:tcPr>
          <w:p w14:paraId="5108B929">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支持SD、HD-SDI信号输入输出</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1路信号输入，8路SDI输出，带均衡</w:t>
            </w:r>
          </w:p>
        </w:tc>
        <w:tc>
          <w:tcPr>
            <w:tcW w:w="872" w:type="dxa"/>
            <w:tcBorders>
              <w:top w:val="nil"/>
              <w:left w:val="nil"/>
              <w:bottom w:val="single" w:color="auto" w:sz="4" w:space="0"/>
              <w:right w:val="single" w:color="auto" w:sz="4" w:space="0"/>
            </w:tcBorders>
            <w:shd w:val="clear" w:color="000000" w:fill="FFFFFF"/>
            <w:vAlign w:val="center"/>
          </w:tcPr>
          <w:p w14:paraId="5D6368DE">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块</w:t>
            </w:r>
          </w:p>
        </w:tc>
        <w:tc>
          <w:tcPr>
            <w:tcW w:w="856" w:type="dxa"/>
            <w:tcBorders>
              <w:top w:val="nil"/>
              <w:left w:val="nil"/>
              <w:bottom w:val="single" w:color="auto" w:sz="4" w:space="0"/>
              <w:right w:val="single" w:color="auto" w:sz="4" w:space="0"/>
            </w:tcBorders>
            <w:shd w:val="clear" w:color="000000" w:fill="FFFFFF"/>
            <w:vAlign w:val="center"/>
          </w:tcPr>
          <w:p w14:paraId="6C9FE5DC">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24</w:t>
            </w:r>
          </w:p>
        </w:tc>
        <w:tc>
          <w:tcPr>
            <w:tcW w:w="1641" w:type="dxa"/>
            <w:tcBorders>
              <w:top w:val="nil"/>
              <w:left w:val="nil"/>
              <w:bottom w:val="single" w:color="auto" w:sz="4" w:space="0"/>
              <w:right w:val="single" w:color="auto" w:sz="4" w:space="0"/>
            </w:tcBorders>
            <w:shd w:val="clear" w:color="000000" w:fill="FFFFFF"/>
            <w:noWrap/>
            <w:vAlign w:val="center"/>
          </w:tcPr>
          <w:p w14:paraId="78D7F797">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1F5EF8FA">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754553E4">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35C502B6">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5E933D66">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3.12</w:t>
            </w:r>
          </w:p>
        </w:tc>
        <w:tc>
          <w:tcPr>
            <w:tcW w:w="1961" w:type="dxa"/>
            <w:tcBorders>
              <w:top w:val="nil"/>
              <w:left w:val="nil"/>
              <w:bottom w:val="single" w:color="auto" w:sz="4" w:space="0"/>
              <w:right w:val="single" w:color="auto" w:sz="4" w:space="0"/>
            </w:tcBorders>
            <w:shd w:val="clear" w:color="000000" w:fill="FFFFFF"/>
            <w:vAlign w:val="center"/>
          </w:tcPr>
          <w:p w14:paraId="7CFF56BC">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数字机箱</w:t>
            </w:r>
          </w:p>
        </w:tc>
        <w:tc>
          <w:tcPr>
            <w:tcW w:w="4996" w:type="dxa"/>
            <w:tcBorders>
              <w:top w:val="nil"/>
              <w:left w:val="nil"/>
              <w:bottom w:val="single" w:color="auto" w:sz="4" w:space="0"/>
              <w:right w:val="single" w:color="auto" w:sz="4" w:space="0"/>
            </w:tcBorders>
            <w:shd w:val="clear" w:color="000000" w:fill="FFFFFF"/>
            <w:vAlign w:val="center"/>
          </w:tcPr>
          <w:p w14:paraId="3325D4CB">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2RU数字机箱，可容纳10块板卡，冗余电源。</w:t>
            </w:r>
          </w:p>
        </w:tc>
        <w:tc>
          <w:tcPr>
            <w:tcW w:w="872" w:type="dxa"/>
            <w:tcBorders>
              <w:top w:val="nil"/>
              <w:left w:val="nil"/>
              <w:bottom w:val="single" w:color="auto" w:sz="4" w:space="0"/>
              <w:right w:val="single" w:color="auto" w:sz="4" w:space="0"/>
            </w:tcBorders>
            <w:shd w:val="clear" w:color="000000" w:fill="FFFFFF"/>
            <w:vAlign w:val="center"/>
          </w:tcPr>
          <w:p w14:paraId="108E1995">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6F3E616D">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4</w:t>
            </w:r>
          </w:p>
        </w:tc>
        <w:tc>
          <w:tcPr>
            <w:tcW w:w="1641" w:type="dxa"/>
            <w:tcBorders>
              <w:top w:val="nil"/>
              <w:left w:val="nil"/>
              <w:bottom w:val="single" w:color="auto" w:sz="4" w:space="0"/>
              <w:right w:val="single" w:color="auto" w:sz="4" w:space="0"/>
            </w:tcBorders>
            <w:shd w:val="clear" w:color="000000" w:fill="FFFFFF"/>
            <w:noWrap/>
            <w:vAlign w:val="center"/>
          </w:tcPr>
          <w:p w14:paraId="30088BAB">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0D564FD4">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294D3C87">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56284D66">
        <w:tblPrEx>
          <w:tblCellMar>
            <w:top w:w="0" w:type="dxa"/>
            <w:left w:w="108" w:type="dxa"/>
            <w:bottom w:w="0" w:type="dxa"/>
            <w:right w:w="108" w:type="dxa"/>
          </w:tblCellMar>
        </w:tblPrEx>
        <w:trPr>
          <w:trHeight w:val="567" w:hRule="atLeast"/>
        </w:trPr>
        <w:tc>
          <w:tcPr>
            <w:tcW w:w="1091" w:type="dxa"/>
            <w:tcBorders>
              <w:top w:val="nil"/>
              <w:left w:val="single" w:color="auto" w:sz="4" w:space="0"/>
              <w:bottom w:val="nil"/>
              <w:right w:val="single" w:color="auto" w:sz="4" w:space="0"/>
            </w:tcBorders>
            <w:shd w:val="clear" w:color="000000" w:fill="FFFFFF"/>
            <w:noWrap/>
            <w:vAlign w:val="center"/>
          </w:tcPr>
          <w:p w14:paraId="3BA7A9CE">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（四）</w:t>
            </w:r>
          </w:p>
        </w:tc>
        <w:tc>
          <w:tcPr>
            <w:tcW w:w="1961" w:type="dxa"/>
            <w:tcBorders>
              <w:top w:val="nil"/>
              <w:left w:val="nil"/>
              <w:bottom w:val="nil"/>
              <w:right w:val="single" w:color="auto" w:sz="4" w:space="0"/>
            </w:tcBorders>
            <w:shd w:val="clear" w:color="000000" w:fill="FFFFFF"/>
            <w:noWrap/>
            <w:vAlign w:val="center"/>
          </w:tcPr>
          <w:p w14:paraId="2ED46B23">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同步与时钟系统</w:t>
            </w:r>
          </w:p>
        </w:tc>
        <w:tc>
          <w:tcPr>
            <w:tcW w:w="4996" w:type="dxa"/>
            <w:tcBorders>
              <w:top w:val="nil"/>
              <w:left w:val="nil"/>
              <w:bottom w:val="nil"/>
              <w:right w:val="single" w:color="auto" w:sz="4" w:space="0"/>
            </w:tcBorders>
            <w:shd w:val="clear" w:color="000000" w:fill="FFFFFF"/>
            <w:noWrap/>
            <w:vAlign w:val="center"/>
          </w:tcPr>
          <w:p w14:paraId="672168E7">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c>
          <w:tcPr>
            <w:tcW w:w="872" w:type="dxa"/>
            <w:tcBorders>
              <w:top w:val="nil"/>
              <w:left w:val="nil"/>
              <w:bottom w:val="single" w:color="auto" w:sz="4" w:space="0"/>
              <w:right w:val="single" w:color="auto" w:sz="4" w:space="0"/>
            </w:tcBorders>
            <w:shd w:val="clear" w:color="000000" w:fill="FFFFFF"/>
            <w:noWrap/>
            <w:vAlign w:val="center"/>
          </w:tcPr>
          <w:p w14:paraId="38DCF0B1">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c>
          <w:tcPr>
            <w:tcW w:w="856" w:type="dxa"/>
            <w:tcBorders>
              <w:top w:val="nil"/>
              <w:left w:val="nil"/>
              <w:bottom w:val="single" w:color="auto" w:sz="4" w:space="0"/>
              <w:right w:val="single" w:color="auto" w:sz="4" w:space="0"/>
            </w:tcBorders>
            <w:shd w:val="clear" w:color="000000" w:fill="FFFFFF"/>
            <w:noWrap/>
            <w:vAlign w:val="center"/>
          </w:tcPr>
          <w:p w14:paraId="2342E58C">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c>
          <w:tcPr>
            <w:tcW w:w="1641" w:type="dxa"/>
            <w:tcBorders>
              <w:top w:val="nil"/>
              <w:left w:val="nil"/>
              <w:bottom w:val="single" w:color="auto" w:sz="4" w:space="0"/>
              <w:right w:val="single" w:color="auto" w:sz="4" w:space="0"/>
            </w:tcBorders>
            <w:shd w:val="clear" w:color="000000" w:fill="FFFFFF"/>
            <w:noWrap/>
            <w:vAlign w:val="center"/>
          </w:tcPr>
          <w:p w14:paraId="2A23F9E0">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c>
          <w:tcPr>
            <w:tcW w:w="0" w:type="auto"/>
            <w:tcBorders>
              <w:top w:val="nil"/>
              <w:left w:val="nil"/>
              <w:bottom w:val="nil"/>
              <w:right w:val="single" w:color="auto" w:sz="4" w:space="0"/>
            </w:tcBorders>
            <w:shd w:val="clear" w:color="000000" w:fill="FFFFFF"/>
            <w:noWrap/>
            <w:vAlign w:val="center"/>
          </w:tcPr>
          <w:p w14:paraId="5F23A6E2">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c>
          <w:tcPr>
            <w:tcW w:w="0" w:type="auto"/>
            <w:tcBorders>
              <w:top w:val="nil"/>
              <w:left w:val="nil"/>
              <w:bottom w:val="nil"/>
              <w:right w:val="single" w:color="auto" w:sz="4" w:space="0"/>
            </w:tcBorders>
            <w:shd w:val="clear" w:color="000000" w:fill="FFFFFF"/>
            <w:noWrap/>
            <w:vAlign w:val="center"/>
          </w:tcPr>
          <w:p w14:paraId="66194A3A">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36B1FF9B">
        <w:tblPrEx>
          <w:tblCellMar>
            <w:top w:w="0" w:type="dxa"/>
            <w:left w:w="108" w:type="dxa"/>
            <w:bottom w:w="0" w:type="dxa"/>
            <w:right w:w="108" w:type="dxa"/>
          </w:tblCellMar>
        </w:tblPrEx>
        <w:trPr>
          <w:trHeight w:val="567" w:hRule="atLeast"/>
        </w:trPr>
        <w:tc>
          <w:tcPr>
            <w:tcW w:w="1091"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5B7837D6">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4.1</w:t>
            </w:r>
          </w:p>
        </w:tc>
        <w:tc>
          <w:tcPr>
            <w:tcW w:w="1961" w:type="dxa"/>
            <w:tcBorders>
              <w:top w:val="single" w:color="auto" w:sz="4" w:space="0"/>
              <w:left w:val="nil"/>
              <w:bottom w:val="single" w:color="auto" w:sz="4" w:space="0"/>
              <w:right w:val="single" w:color="auto" w:sz="4" w:space="0"/>
            </w:tcBorders>
            <w:shd w:val="clear" w:color="000000" w:fill="FFFFFF"/>
            <w:vAlign w:val="center"/>
          </w:tcPr>
          <w:p w14:paraId="3562C7AD">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同步信号发生器</w:t>
            </w:r>
          </w:p>
        </w:tc>
        <w:tc>
          <w:tcPr>
            <w:tcW w:w="4996" w:type="dxa"/>
            <w:tcBorders>
              <w:top w:val="single" w:color="auto" w:sz="4" w:space="0"/>
              <w:left w:val="nil"/>
              <w:bottom w:val="single" w:color="auto" w:sz="4" w:space="0"/>
              <w:right w:val="single" w:color="auto" w:sz="4" w:space="0"/>
            </w:tcBorders>
            <w:shd w:val="clear" w:color="000000" w:fill="FFFFFF"/>
            <w:vAlign w:val="center"/>
          </w:tcPr>
          <w:p w14:paraId="2CEADD82">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同步锁相/GPS 和 GLONASS 同步/NTP 服务器/黑脉冲/三电平同步，字时钟，LTC 和 Anc 时间码，烧入时间码，嵌入式音频，ANC 数据，ID 文本/圆，彩色徽标叠加，Web UI，SNMP 状态和告警报告，冗余电源系统。</w:t>
            </w:r>
          </w:p>
        </w:tc>
        <w:tc>
          <w:tcPr>
            <w:tcW w:w="872" w:type="dxa"/>
            <w:tcBorders>
              <w:top w:val="nil"/>
              <w:left w:val="nil"/>
              <w:bottom w:val="single" w:color="auto" w:sz="4" w:space="0"/>
              <w:right w:val="single" w:color="auto" w:sz="4" w:space="0"/>
            </w:tcBorders>
            <w:shd w:val="clear" w:color="000000" w:fill="FFFFFF"/>
            <w:vAlign w:val="center"/>
          </w:tcPr>
          <w:p w14:paraId="1C77442A">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304FD95F">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2</w:t>
            </w:r>
          </w:p>
        </w:tc>
        <w:tc>
          <w:tcPr>
            <w:tcW w:w="1641" w:type="dxa"/>
            <w:tcBorders>
              <w:top w:val="nil"/>
              <w:left w:val="nil"/>
              <w:bottom w:val="single" w:color="auto" w:sz="4" w:space="0"/>
              <w:right w:val="single" w:color="auto" w:sz="4" w:space="0"/>
            </w:tcBorders>
            <w:shd w:val="clear" w:color="000000" w:fill="FFFFFF"/>
            <w:noWrap/>
            <w:vAlign w:val="center"/>
          </w:tcPr>
          <w:p w14:paraId="084E64EF">
            <w:pPr>
              <w:widowControl/>
              <w:jc w:val="right"/>
              <w:rPr>
                <w:rFonts w:hint="eastAsia" w:ascii="宋体" w:hAnsi="宋体" w:eastAsia="宋体" w:cs="宋体"/>
                <w:color w:val="000000"/>
                <w:kern w:val="0"/>
                <w:sz w:val="24"/>
                <w:szCs w:val="24"/>
                <w14:ligatures w14:val="none"/>
              </w:rPr>
            </w:pPr>
          </w:p>
        </w:tc>
        <w:tc>
          <w:tcPr>
            <w:tcW w:w="0" w:type="auto"/>
            <w:tcBorders>
              <w:top w:val="single" w:color="auto" w:sz="4" w:space="0"/>
              <w:left w:val="nil"/>
              <w:bottom w:val="single" w:color="auto" w:sz="4" w:space="0"/>
              <w:right w:val="single" w:color="auto" w:sz="4" w:space="0"/>
            </w:tcBorders>
            <w:shd w:val="clear" w:color="000000" w:fill="FFFFFF"/>
            <w:noWrap/>
            <w:vAlign w:val="center"/>
          </w:tcPr>
          <w:p w14:paraId="582E79B8">
            <w:pPr>
              <w:widowControl/>
              <w:jc w:val="right"/>
              <w:rPr>
                <w:rFonts w:hint="eastAsia" w:ascii="宋体" w:hAnsi="宋体" w:eastAsia="宋体" w:cs="宋体"/>
                <w:color w:val="000000"/>
                <w:kern w:val="0"/>
                <w:sz w:val="24"/>
                <w:szCs w:val="24"/>
                <w14:ligatures w14:val="none"/>
              </w:rPr>
            </w:pPr>
          </w:p>
        </w:tc>
        <w:tc>
          <w:tcPr>
            <w:tcW w:w="0" w:type="auto"/>
            <w:tcBorders>
              <w:top w:val="single" w:color="auto" w:sz="4" w:space="0"/>
              <w:left w:val="nil"/>
              <w:bottom w:val="single" w:color="auto" w:sz="4" w:space="0"/>
              <w:right w:val="single" w:color="auto" w:sz="4" w:space="0"/>
            </w:tcBorders>
            <w:shd w:val="clear" w:color="000000" w:fill="FFFFFF"/>
            <w:noWrap/>
            <w:vAlign w:val="center"/>
          </w:tcPr>
          <w:p w14:paraId="6FDD6ADF">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2A61CFB1">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3CE12EDC">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4.2</w:t>
            </w:r>
          </w:p>
        </w:tc>
        <w:tc>
          <w:tcPr>
            <w:tcW w:w="1961" w:type="dxa"/>
            <w:tcBorders>
              <w:top w:val="nil"/>
              <w:left w:val="nil"/>
              <w:bottom w:val="single" w:color="auto" w:sz="4" w:space="0"/>
              <w:right w:val="single" w:color="auto" w:sz="4" w:space="0"/>
            </w:tcBorders>
            <w:shd w:val="clear" w:color="000000" w:fill="FFFFFF"/>
            <w:vAlign w:val="center"/>
          </w:tcPr>
          <w:p w14:paraId="60BD3263">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同步信号倒换器</w:t>
            </w:r>
          </w:p>
        </w:tc>
        <w:tc>
          <w:tcPr>
            <w:tcW w:w="4996" w:type="dxa"/>
            <w:tcBorders>
              <w:top w:val="nil"/>
              <w:left w:val="nil"/>
              <w:bottom w:val="single" w:color="auto" w:sz="4" w:space="0"/>
              <w:right w:val="single" w:color="auto" w:sz="4" w:space="0"/>
            </w:tcBorders>
            <w:shd w:val="clear" w:color="000000" w:fill="FFFFFF"/>
            <w:vAlign w:val="center"/>
          </w:tcPr>
          <w:p w14:paraId="7BEDA889">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开关模拟黑脉冲，HD 三电平同步，AES/DARS，字时钟，LTC，3G-SDI，HD-SDI，SD-SDI 信号，用户可配置通道，所有通道上幅度检测，自动或手动切换，故障和工作模式前面板指示灯，同步信号的电子快速开关功能，Web UI，SNMP 状态和告警报告，双冗余电源系统</w:t>
            </w:r>
          </w:p>
        </w:tc>
        <w:tc>
          <w:tcPr>
            <w:tcW w:w="872" w:type="dxa"/>
            <w:tcBorders>
              <w:top w:val="nil"/>
              <w:left w:val="nil"/>
              <w:bottom w:val="single" w:color="auto" w:sz="4" w:space="0"/>
              <w:right w:val="single" w:color="auto" w:sz="4" w:space="0"/>
            </w:tcBorders>
            <w:shd w:val="clear" w:color="000000" w:fill="FFFFFF"/>
            <w:vAlign w:val="center"/>
          </w:tcPr>
          <w:p w14:paraId="66732375">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7ECFDC80">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w:t>
            </w:r>
          </w:p>
        </w:tc>
        <w:tc>
          <w:tcPr>
            <w:tcW w:w="1641" w:type="dxa"/>
            <w:tcBorders>
              <w:top w:val="nil"/>
              <w:left w:val="nil"/>
              <w:bottom w:val="single" w:color="auto" w:sz="4" w:space="0"/>
              <w:right w:val="single" w:color="auto" w:sz="4" w:space="0"/>
            </w:tcBorders>
            <w:shd w:val="clear" w:color="000000" w:fill="FFFFFF"/>
            <w:noWrap/>
            <w:vAlign w:val="center"/>
          </w:tcPr>
          <w:p w14:paraId="7BAB8AB2">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1B7ABF36">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045F27D4">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2D947813">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64A320A0">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4.3</w:t>
            </w:r>
          </w:p>
        </w:tc>
        <w:tc>
          <w:tcPr>
            <w:tcW w:w="1961" w:type="dxa"/>
            <w:tcBorders>
              <w:top w:val="nil"/>
              <w:left w:val="nil"/>
              <w:bottom w:val="single" w:color="auto" w:sz="4" w:space="0"/>
              <w:right w:val="single" w:color="auto" w:sz="4" w:space="0"/>
            </w:tcBorders>
            <w:shd w:val="clear" w:color="000000" w:fill="FFFFFF"/>
            <w:vAlign w:val="center"/>
          </w:tcPr>
          <w:p w14:paraId="626F98BD">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模拟视频分配放大器</w:t>
            </w:r>
          </w:p>
        </w:tc>
        <w:tc>
          <w:tcPr>
            <w:tcW w:w="4996" w:type="dxa"/>
            <w:tcBorders>
              <w:top w:val="nil"/>
              <w:left w:val="nil"/>
              <w:bottom w:val="single" w:color="auto" w:sz="4" w:space="0"/>
              <w:right w:val="single" w:color="auto" w:sz="4" w:space="0"/>
            </w:tcBorders>
            <w:shd w:val="clear" w:color="000000" w:fill="FFFFFF"/>
            <w:vAlign w:val="center"/>
          </w:tcPr>
          <w:p w14:paraId="00257725">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同步信号分配放大器，1路输入，1路环出，8路同步信号输出</w:t>
            </w:r>
          </w:p>
        </w:tc>
        <w:tc>
          <w:tcPr>
            <w:tcW w:w="872" w:type="dxa"/>
            <w:tcBorders>
              <w:top w:val="nil"/>
              <w:left w:val="nil"/>
              <w:bottom w:val="single" w:color="auto" w:sz="4" w:space="0"/>
              <w:right w:val="single" w:color="auto" w:sz="4" w:space="0"/>
            </w:tcBorders>
            <w:shd w:val="clear" w:color="000000" w:fill="FFFFFF"/>
            <w:vAlign w:val="center"/>
          </w:tcPr>
          <w:p w14:paraId="29677364">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块</w:t>
            </w:r>
          </w:p>
        </w:tc>
        <w:tc>
          <w:tcPr>
            <w:tcW w:w="856" w:type="dxa"/>
            <w:tcBorders>
              <w:top w:val="nil"/>
              <w:left w:val="nil"/>
              <w:bottom w:val="single" w:color="auto" w:sz="4" w:space="0"/>
              <w:right w:val="single" w:color="auto" w:sz="4" w:space="0"/>
            </w:tcBorders>
            <w:shd w:val="clear" w:color="000000" w:fill="FFFFFF"/>
            <w:vAlign w:val="center"/>
          </w:tcPr>
          <w:p w14:paraId="62CE54B0">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8</w:t>
            </w:r>
          </w:p>
        </w:tc>
        <w:tc>
          <w:tcPr>
            <w:tcW w:w="1641" w:type="dxa"/>
            <w:tcBorders>
              <w:top w:val="nil"/>
              <w:left w:val="nil"/>
              <w:bottom w:val="single" w:color="auto" w:sz="4" w:space="0"/>
              <w:right w:val="single" w:color="auto" w:sz="4" w:space="0"/>
            </w:tcBorders>
            <w:shd w:val="clear" w:color="000000" w:fill="FFFFFF"/>
            <w:noWrap/>
            <w:vAlign w:val="center"/>
          </w:tcPr>
          <w:p w14:paraId="3D8FAF59">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1E00462C">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2C919BC1">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767CBBFA">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2844C44A">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4.4</w:t>
            </w:r>
          </w:p>
        </w:tc>
        <w:tc>
          <w:tcPr>
            <w:tcW w:w="1961" w:type="dxa"/>
            <w:tcBorders>
              <w:top w:val="nil"/>
              <w:left w:val="nil"/>
              <w:bottom w:val="single" w:color="auto" w:sz="4" w:space="0"/>
              <w:right w:val="single" w:color="auto" w:sz="4" w:space="0"/>
            </w:tcBorders>
            <w:shd w:val="clear" w:color="000000" w:fill="FFFFFF"/>
            <w:vAlign w:val="center"/>
          </w:tcPr>
          <w:p w14:paraId="694456B0">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数字机箱</w:t>
            </w:r>
          </w:p>
        </w:tc>
        <w:tc>
          <w:tcPr>
            <w:tcW w:w="4996" w:type="dxa"/>
            <w:tcBorders>
              <w:top w:val="nil"/>
              <w:left w:val="nil"/>
              <w:bottom w:val="single" w:color="auto" w:sz="4" w:space="0"/>
              <w:right w:val="single" w:color="auto" w:sz="4" w:space="0"/>
            </w:tcBorders>
            <w:shd w:val="clear" w:color="000000" w:fill="FFFFFF"/>
            <w:vAlign w:val="center"/>
          </w:tcPr>
          <w:p w14:paraId="60974C80">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2RU数字机箱，可容纳10块板卡，冗余电源。</w:t>
            </w:r>
          </w:p>
        </w:tc>
        <w:tc>
          <w:tcPr>
            <w:tcW w:w="872" w:type="dxa"/>
            <w:tcBorders>
              <w:top w:val="nil"/>
              <w:left w:val="nil"/>
              <w:bottom w:val="single" w:color="auto" w:sz="4" w:space="0"/>
              <w:right w:val="single" w:color="auto" w:sz="4" w:space="0"/>
            </w:tcBorders>
            <w:shd w:val="clear" w:color="000000" w:fill="FFFFFF"/>
            <w:vAlign w:val="center"/>
          </w:tcPr>
          <w:p w14:paraId="3DCA4C72">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0949D0E1">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w:t>
            </w:r>
          </w:p>
        </w:tc>
        <w:tc>
          <w:tcPr>
            <w:tcW w:w="1641" w:type="dxa"/>
            <w:tcBorders>
              <w:top w:val="nil"/>
              <w:left w:val="nil"/>
              <w:bottom w:val="single" w:color="auto" w:sz="4" w:space="0"/>
              <w:right w:val="single" w:color="auto" w:sz="4" w:space="0"/>
            </w:tcBorders>
            <w:shd w:val="clear" w:color="000000" w:fill="FFFFFF"/>
            <w:noWrap/>
            <w:vAlign w:val="center"/>
          </w:tcPr>
          <w:p w14:paraId="47FFF23D">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7A63686C">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2D024492">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03BFFF51">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5636BC5C">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4.5</w:t>
            </w:r>
          </w:p>
        </w:tc>
        <w:tc>
          <w:tcPr>
            <w:tcW w:w="1961" w:type="dxa"/>
            <w:tcBorders>
              <w:top w:val="nil"/>
              <w:left w:val="nil"/>
              <w:bottom w:val="single" w:color="auto" w:sz="4" w:space="0"/>
              <w:right w:val="single" w:color="auto" w:sz="4" w:space="0"/>
            </w:tcBorders>
            <w:shd w:val="clear" w:color="000000" w:fill="FFFFFF"/>
            <w:vAlign w:val="center"/>
          </w:tcPr>
          <w:p w14:paraId="2F37D3C6">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北斗卫星校时钟</w:t>
            </w:r>
          </w:p>
        </w:tc>
        <w:tc>
          <w:tcPr>
            <w:tcW w:w="4996" w:type="dxa"/>
            <w:tcBorders>
              <w:top w:val="nil"/>
              <w:left w:val="nil"/>
              <w:bottom w:val="single" w:color="auto" w:sz="4" w:space="0"/>
              <w:right w:val="single" w:color="auto" w:sz="4" w:space="0"/>
            </w:tcBorders>
            <w:shd w:val="clear" w:color="000000" w:fill="FFFFFF"/>
            <w:vAlign w:val="center"/>
          </w:tcPr>
          <w:p w14:paraId="1DB11A64">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 输出接口形式，支持 SZ、RS485、RS232、PPS、PPM、PPH、PPD、报文等多种时间</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信号输出。根据信号输出电平特性或类型的不同，分成 TTL、RS422/485、RS232 等。</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2） 智能纠错，避免时间源故障导致的丢包或错包问题</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3） 输入源发生倒换，输出不中断，实现软切换</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4） BD2 指标：</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天线射频灵敏度-166dbw；阻抗 50 欧。</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可同时跟踪 12 颗北斗卫星。接收频率 1575.42MHZ</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数据重现时间：热启动≤2 秒，冷启动≤35 分钟</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天线的馈线长 30 米 （特别要求可定制到 50～180 米）</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具有 192 通道卫星跟踪能力，接收频率 1559MHZ-1577MHZ。</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1PPS 秒脉冲定时精确度（RMS）0.02μs，定位精度：3 米卫星接收时间≤2 秒，</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时间保持能力：5×10-10</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PPS、PPM、PPH 和 PPD 时间输出精度 100ns</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5） 支持双电源冗余备份，也可支持单电源</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6） 平均无故障时间 MTBF 50000 小时。</w:t>
            </w:r>
          </w:p>
        </w:tc>
        <w:tc>
          <w:tcPr>
            <w:tcW w:w="872" w:type="dxa"/>
            <w:tcBorders>
              <w:top w:val="nil"/>
              <w:left w:val="nil"/>
              <w:bottom w:val="single" w:color="auto" w:sz="4" w:space="0"/>
              <w:right w:val="single" w:color="auto" w:sz="4" w:space="0"/>
            </w:tcBorders>
            <w:shd w:val="clear" w:color="000000" w:fill="FFFFFF"/>
            <w:vAlign w:val="center"/>
          </w:tcPr>
          <w:p w14:paraId="26781AA7">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4A52847D">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2</w:t>
            </w:r>
          </w:p>
        </w:tc>
        <w:tc>
          <w:tcPr>
            <w:tcW w:w="1641" w:type="dxa"/>
            <w:tcBorders>
              <w:top w:val="nil"/>
              <w:left w:val="nil"/>
              <w:bottom w:val="single" w:color="auto" w:sz="4" w:space="0"/>
              <w:right w:val="single" w:color="auto" w:sz="4" w:space="0"/>
            </w:tcBorders>
            <w:shd w:val="clear" w:color="000000" w:fill="FFFFFF"/>
            <w:noWrap/>
            <w:vAlign w:val="center"/>
          </w:tcPr>
          <w:p w14:paraId="1AADFDF5">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28CD8CDB">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473F89B1">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460BD4BE">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52A151F7">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4.6</w:t>
            </w:r>
          </w:p>
        </w:tc>
        <w:tc>
          <w:tcPr>
            <w:tcW w:w="1961" w:type="dxa"/>
            <w:tcBorders>
              <w:top w:val="nil"/>
              <w:left w:val="nil"/>
              <w:bottom w:val="single" w:color="auto" w:sz="4" w:space="0"/>
              <w:right w:val="single" w:color="auto" w:sz="4" w:space="0"/>
            </w:tcBorders>
            <w:shd w:val="clear" w:color="000000" w:fill="FFFFFF"/>
            <w:vAlign w:val="center"/>
          </w:tcPr>
          <w:p w14:paraId="054EFC11">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时码倒换器</w:t>
            </w:r>
          </w:p>
        </w:tc>
        <w:tc>
          <w:tcPr>
            <w:tcW w:w="4996" w:type="dxa"/>
            <w:tcBorders>
              <w:top w:val="nil"/>
              <w:left w:val="nil"/>
              <w:bottom w:val="single" w:color="auto" w:sz="4" w:space="0"/>
              <w:right w:val="single" w:color="auto" w:sz="4" w:space="0"/>
            </w:tcBorders>
            <w:shd w:val="clear" w:color="000000" w:fill="FFFFFF"/>
            <w:vAlign w:val="center"/>
          </w:tcPr>
          <w:p w14:paraId="2F464F45">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切换模式可以程控自动，亦采用防误动作保护切换开关手动切换。</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在自动模式下，主路信号（A路）异常无输出的情况下自动切换至备路(B路）；</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当主路信号（A路）恢复输出后，通过专用的智能判定电路在确认信号严格同步的情况下自动切回主路。</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前面板设有选择指示灯，选择开关和输出指示灯。</w:t>
            </w:r>
          </w:p>
        </w:tc>
        <w:tc>
          <w:tcPr>
            <w:tcW w:w="872" w:type="dxa"/>
            <w:tcBorders>
              <w:top w:val="nil"/>
              <w:left w:val="nil"/>
              <w:bottom w:val="single" w:color="auto" w:sz="4" w:space="0"/>
              <w:right w:val="single" w:color="auto" w:sz="4" w:space="0"/>
            </w:tcBorders>
            <w:shd w:val="clear" w:color="000000" w:fill="FFFFFF"/>
            <w:vAlign w:val="center"/>
          </w:tcPr>
          <w:p w14:paraId="1D419C70">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617E538E">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w:t>
            </w:r>
          </w:p>
        </w:tc>
        <w:tc>
          <w:tcPr>
            <w:tcW w:w="1641" w:type="dxa"/>
            <w:tcBorders>
              <w:top w:val="nil"/>
              <w:left w:val="nil"/>
              <w:bottom w:val="single" w:color="auto" w:sz="4" w:space="0"/>
              <w:right w:val="single" w:color="auto" w:sz="4" w:space="0"/>
            </w:tcBorders>
            <w:shd w:val="clear" w:color="000000" w:fill="FFFFFF"/>
            <w:noWrap/>
            <w:vAlign w:val="center"/>
          </w:tcPr>
          <w:p w14:paraId="7BB82F8E">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0FD2EF27">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33339DEE">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0CF4342D">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39197494">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4.7</w:t>
            </w:r>
          </w:p>
        </w:tc>
        <w:tc>
          <w:tcPr>
            <w:tcW w:w="1961" w:type="dxa"/>
            <w:tcBorders>
              <w:top w:val="nil"/>
              <w:left w:val="nil"/>
              <w:bottom w:val="single" w:color="auto" w:sz="4" w:space="0"/>
              <w:right w:val="single" w:color="auto" w:sz="4" w:space="0"/>
            </w:tcBorders>
            <w:shd w:val="clear" w:color="000000" w:fill="FFFFFF"/>
            <w:vAlign w:val="center"/>
          </w:tcPr>
          <w:p w14:paraId="058F2BF3">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高稳时钟</w:t>
            </w:r>
          </w:p>
        </w:tc>
        <w:tc>
          <w:tcPr>
            <w:tcW w:w="4996" w:type="dxa"/>
            <w:tcBorders>
              <w:top w:val="nil"/>
              <w:left w:val="nil"/>
              <w:bottom w:val="single" w:color="auto" w:sz="4" w:space="0"/>
              <w:right w:val="single" w:color="auto" w:sz="4" w:space="0"/>
            </w:tcBorders>
            <w:shd w:val="clear" w:color="000000" w:fill="FFFFFF"/>
            <w:vAlign w:val="center"/>
          </w:tcPr>
          <w:p w14:paraId="2E43F273">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为时钟系统的工作守时钟，内部采用高稳晶振，可校准于标准北京时间。既使校准源校时信号中断，仍可以较高的稳定度维持运行。GS2具有SZ时码、EBU时码、1pps、5MHz等多种输出。</w:t>
            </w:r>
          </w:p>
        </w:tc>
        <w:tc>
          <w:tcPr>
            <w:tcW w:w="872" w:type="dxa"/>
            <w:tcBorders>
              <w:top w:val="nil"/>
              <w:left w:val="nil"/>
              <w:bottom w:val="single" w:color="auto" w:sz="4" w:space="0"/>
              <w:right w:val="single" w:color="auto" w:sz="4" w:space="0"/>
            </w:tcBorders>
            <w:shd w:val="clear" w:color="000000" w:fill="FFFFFF"/>
            <w:vAlign w:val="center"/>
          </w:tcPr>
          <w:p w14:paraId="4F98177E">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73F1A0A2">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w:t>
            </w:r>
          </w:p>
        </w:tc>
        <w:tc>
          <w:tcPr>
            <w:tcW w:w="1641" w:type="dxa"/>
            <w:tcBorders>
              <w:top w:val="nil"/>
              <w:left w:val="nil"/>
              <w:bottom w:val="single" w:color="auto" w:sz="4" w:space="0"/>
              <w:right w:val="single" w:color="auto" w:sz="4" w:space="0"/>
            </w:tcBorders>
            <w:shd w:val="clear" w:color="000000" w:fill="FFFFFF"/>
            <w:noWrap/>
            <w:vAlign w:val="center"/>
          </w:tcPr>
          <w:p w14:paraId="0AEB84AC">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1136B7FA">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7E0B4121">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447425BA">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13A91BF1">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4.8</w:t>
            </w:r>
          </w:p>
        </w:tc>
        <w:tc>
          <w:tcPr>
            <w:tcW w:w="1961" w:type="dxa"/>
            <w:tcBorders>
              <w:top w:val="nil"/>
              <w:left w:val="nil"/>
              <w:bottom w:val="single" w:color="auto" w:sz="4" w:space="0"/>
              <w:right w:val="single" w:color="auto" w:sz="4" w:space="0"/>
            </w:tcBorders>
            <w:shd w:val="clear" w:color="000000" w:fill="FFFFFF"/>
            <w:vAlign w:val="center"/>
          </w:tcPr>
          <w:p w14:paraId="1A4E24E5">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时码分配器</w:t>
            </w:r>
          </w:p>
        </w:tc>
        <w:tc>
          <w:tcPr>
            <w:tcW w:w="4996" w:type="dxa"/>
            <w:tcBorders>
              <w:top w:val="nil"/>
              <w:left w:val="nil"/>
              <w:bottom w:val="single" w:color="auto" w:sz="4" w:space="0"/>
              <w:right w:val="single" w:color="auto" w:sz="4" w:space="0"/>
            </w:tcBorders>
            <w:shd w:val="clear" w:color="000000" w:fill="FFFFFF"/>
            <w:vAlign w:val="center"/>
          </w:tcPr>
          <w:p w14:paraId="189DEE00">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将一路时码输入，转为十二路时码输出。适用于时钟系统码的多路时码的分配。</w:t>
            </w:r>
          </w:p>
        </w:tc>
        <w:tc>
          <w:tcPr>
            <w:tcW w:w="872" w:type="dxa"/>
            <w:tcBorders>
              <w:top w:val="nil"/>
              <w:left w:val="nil"/>
              <w:bottom w:val="single" w:color="auto" w:sz="4" w:space="0"/>
              <w:right w:val="single" w:color="auto" w:sz="4" w:space="0"/>
            </w:tcBorders>
            <w:shd w:val="clear" w:color="000000" w:fill="FFFFFF"/>
            <w:vAlign w:val="center"/>
          </w:tcPr>
          <w:p w14:paraId="6191A569">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套</w:t>
            </w:r>
          </w:p>
        </w:tc>
        <w:tc>
          <w:tcPr>
            <w:tcW w:w="856" w:type="dxa"/>
            <w:tcBorders>
              <w:top w:val="nil"/>
              <w:left w:val="nil"/>
              <w:bottom w:val="single" w:color="auto" w:sz="4" w:space="0"/>
              <w:right w:val="single" w:color="auto" w:sz="4" w:space="0"/>
            </w:tcBorders>
            <w:shd w:val="clear" w:color="000000" w:fill="FFFFFF"/>
            <w:vAlign w:val="center"/>
          </w:tcPr>
          <w:p w14:paraId="1461DCE1">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w:t>
            </w:r>
          </w:p>
        </w:tc>
        <w:tc>
          <w:tcPr>
            <w:tcW w:w="1641" w:type="dxa"/>
            <w:tcBorders>
              <w:top w:val="nil"/>
              <w:left w:val="nil"/>
              <w:bottom w:val="single" w:color="auto" w:sz="4" w:space="0"/>
              <w:right w:val="single" w:color="auto" w:sz="4" w:space="0"/>
            </w:tcBorders>
            <w:shd w:val="clear" w:color="000000" w:fill="FFFFFF"/>
            <w:noWrap/>
            <w:vAlign w:val="center"/>
          </w:tcPr>
          <w:p w14:paraId="7F067B08">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1E30CA2E">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794CA3AE">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5BB05CC8">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1FA85509">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4.9</w:t>
            </w:r>
          </w:p>
        </w:tc>
        <w:tc>
          <w:tcPr>
            <w:tcW w:w="1961" w:type="dxa"/>
            <w:tcBorders>
              <w:top w:val="nil"/>
              <w:left w:val="nil"/>
              <w:bottom w:val="single" w:color="auto" w:sz="4" w:space="0"/>
              <w:right w:val="single" w:color="auto" w:sz="4" w:space="0"/>
            </w:tcBorders>
            <w:shd w:val="clear" w:color="000000" w:fill="FFFFFF"/>
            <w:vAlign w:val="center"/>
          </w:tcPr>
          <w:p w14:paraId="5EC49577">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日历子钟</w:t>
            </w:r>
          </w:p>
        </w:tc>
        <w:tc>
          <w:tcPr>
            <w:tcW w:w="4996" w:type="dxa"/>
            <w:tcBorders>
              <w:top w:val="nil"/>
              <w:left w:val="nil"/>
              <w:bottom w:val="single" w:color="auto" w:sz="4" w:space="0"/>
              <w:right w:val="single" w:color="auto" w:sz="4" w:space="0"/>
            </w:tcBorders>
            <w:shd w:val="clear" w:color="000000" w:fill="FFFFFF"/>
            <w:vAlign w:val="center"/>
          </w:tcPr>
          <w:p w14:paraId="0B6641C3">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日历子钟,可与外信号同步，无信号时靠内晶体维持自运行</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数显式子钟采用全静态显示、无闪烁。具有高性能复位电路，抗死机。钟面为抗老化防眩光板</w:t>
            </w:r>
          </w:p>
        </w:tc>
        <w:tc>
          <w:tcPr>
            <w:tcW w:w="872" w:type="dxa"/>
            <w:tcBorders>
              <w:top w:val="nil"/>
              <w:left w:val="nil"/>
              <w:bottom w:val="single" w:color="auto" w:sz="4" w:space="0"/>
              <w:right w:val="single" w:color="auto" w:sz="4" w:space="0"/>
            </w:tcBorders>
            <w:shd w:val="clear" w:color="000000" w:fill="FFFFFF"/>
            <w:vAlign w:val="center"/>
          </w:tcPr>
          <w:p w14:paraId="64EE09D6">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7B0942BA">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w:t>
            </w:r>
          </w:p>
        </w:tc>
        <w:tc>
          <w:tcPr>
            <w:tcW w:w="1641" w:type="dxa"/>
            <w:tcBorders>
              <w:top w:val="nil"/>
              <w:left w:val="nil"/>
              <w:bottom w:val="single" w:color="auto" w:sz="4" w:space="0"/>
              <w:right w:val="single" w:color="auto" w:sz="4" w:space="0"/>
            </w:tcBorders>
            <w:shd w:val="clear" w:color="000000" w:fill="FFFFFF"/>
            <w:noWrap/>
            <w:vAlign w:val="center"/>
          </w:tcPr>
          <w:p w14:paraId="0900D97D">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6583FF00">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6D70C817">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7A78D75A">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67804D35">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4.10</w:t>
            </w:r>
          </w:p>
        </w:tc>
        <w:tc>
          <w:tcPr>
            <w:tcW w:w="1961" w:type="dxa"/>
            <w:tcBorders>
              <w:top w:val="nil"/>
              <w:left w:val="nil"/>
              <w:bottom w:val="single" w:color="auto" w:sz="4" w:space="0"/>
              <w:right w:val="single" w:color="auto" w:sz="4" w:space="0"/>
            </w:tcBorders>
            <w:shd w:val="clear" w:color="000000" w:fill="FFFFFF"/>
            <w:vAlign w:val="center"/>
          </w:tcPr>
          <w:p w14:paraId="5C9A4F53">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标准子钟</w:t>
            </w:r>
          </w:p>
        </w:tc>
        <w:tc>
          <w:tcPr>
            <w:tcW w:w="4996" w:type="dxa"/>
            <w:tcBorders>
              <w:top w:val="nil"/>
              <w:left w:val="nil"/>
              <w:bottom w:val="single" w:color="auto" w:sz="4" w:space="0"/>
              <w:right w:val="single" w:color="auto" w:sz="4" w:space="0"/>
            </w:tcBorders>
            <w:shd w:val="clear" w:color="000000" w:fill="FFFFFF"/>
            <w:vAlign w:val="center"/>
          </w:tcPr>
          <w:p w14:paraId="18BB6E78">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8寸数字时钟,可与外信号同步，无信号时靠内晶体维持自运行</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数显式子钟采用全静态显示、无闪烁。具有高性能复位电路，抗死机。钟面为抗老化防眩光板。</w:t>
            </w:r>
          </w:p>
        </w:tc>
        <w:tc>
          <w:tcPr>
            <w:tcW w:w="872" w:type="dxa"/>
            <w:tcBorders>
              <w:top w:val="nil"/>
              <w:left w:val="nil"/>
              <w:bottom w:val="single" w:color="auto" w:sz="4" w:space="0"/>
              <w:right w:val="single" w:color="auto" w:sz="4" w:space="0"/>
            </w:tcBorders>
            <w:shd w:val="clear" w:color="000000" w:fill="FFFFFF"/>
            <w:vAlign w:val="center"/>
          </w:tcPr>
          <w:p w14:paraId="0944FD11">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3FB322C1">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2</w:t>
            </w:r>
          </w:p>
        </w:tc>
        <w:tc>
          <w:tcPr>
            <w:tcW w:w="1641" w:type="dxa"/>
            <w:tcBorders>
              <w:top w:val="nil"/>
              <w:left w:val="nil"/>
              <w:bottom w:val="single" w:color="auto" w:sz="4" w:space="0"/>
              <w:right w:val="single" w:color="auto" w:sz="4" w:space="0"/>
            </w:tcBorders>
            <w:shd w:val="clear" w:color="000000" w:fill="FFFFFF"/>
            <w:noWrap/>
            <w:vAlign w:val="center"/>
          </w:tcPr>
          <w:p w14:paraId="752600EB">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1E38FE40">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2D38C92F">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02854FF9">
        <w:tblPrEx>
          <w:tblCellMar>
            <w:top w:w="0" w:type="dxa"/>
            <w:left w:w="108" w:type="dxa"/>
            <w:bottom w:w="0" w:type="dxa"/>
            <w:right w:w="108" w:type="dxa"/>
          </w:tblCellMar>
        </w:tblPrEx>
        <w:trPr>
          <w:trHeight w:val="567" w:hRule="atLeast"/>
        </w:trPr>
        <w:tc>
          <w:tcPr>
            <w:tcW w:w="1091" w:type="dxa"/>
            <w:tcBorders>
              <w:top w:val="nil"/>
              <w:left w:val="single" w:color="auto" w:sz="4" w:space="0"/>
              <w:bottom w:val="nil"/>
              <w:right w:val="single" w:color="auto" w:sz="4" w:space="0"/>
            </w:tcBorders>
            <w:shd w:val="clear" w:color="000000" w:fill="FFFFFF"/>
            <w:noWrap/>
            <w:vAlign w:val="center"/>
          </w:tcPr>
          <w:p w14:paraId="499BCD06">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（五）</w:t>
            </w:r>
          </w:p>
        </w:tc>
        <w:tc>
          <w:tcPr>
            <w:tcW w:w="1961" w:type="dxa"/>
            <w:tcBorders>
              <w:top w:val="nil"/>
              <w:left w:val="nil"/>
              <w:bottom w:val="nil"/>
              <w:right w:val="single" w:color="auto" w:sz="4" w:space="0"/>
            </w:tcBorders>
            <w:shd w:val="clear" w:color="000000" w:fill="FFFFFF"/>
            <w:noWrap/>
            <w:vAlign w:val="center"/>
          </w:tcPr>
          <w:p w14:paraId="6FB0F7D2">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显示监看系统</w:t>
            </w:r>
          </w:p>
        </w:tc>
        <w:tc>
          <w:tcPr>
            <w:tcW w:w="4996" w:type="dxa"/>
            <w:tcBorders>
              <w:top w:val="nil"/>
              <w:left w:val="nil"/>
              <w:bottom w:val="nil"/>
              <w:right w:val="single" w:color="auto" w:sz="4" w:space="0"/>
            </w:tcBorders>
            <w:shd w:val="clear" w:color="000000" w:fill="FFFFFF"/>
            <w:noWrap/>
            <w:vAlign w:val="center"/>
          </w:tcPr>
          <w:p w14:paraId="5B90503B">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c>
          <w:tcPr>
            <w:tcW w:w="872" w:type="dxa"/>
            <w:tcBorders>
              <w:top w:val="nil"/>
              <w:left w:val="nil"/>
              <w:bottom w:val="single" w:color="auto" w:sz="4" w:space="0"/>
              <w:right w:val="single" w:color="auto" w:sz="4" w:space="0"/>
            </w:tcBorders>
            <w:shd w:val="clear" w:color="000000" w:fill="FFFFFF"/>
            <w:noWrap/>
            <w:vAlign w:val="center"/>
          </w:tcPr>
          <w:p w14:paraId="7386979D">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c>
          <w:tcPr>
            <w:tcW w:w="856" w:type="dxa"/>
            <w:tcBorders>
              <w:top w:val="nil"/>
              <w:left w:val="nil"/>
              <w:bottom w:val="single" w:color="auto" w:sz="4" w:space="0"/>
              <w:right w:val="single" w:color="auto" w:sz="4" w:space="0"/>
            </w:tcBorders>
            <w:shd w:val="clear" w:color="000000" w:fill="FFFFFF"/>
            <w:noWrap/>
            <w:vAlign w:val="center"/>
          </w:tcPr>
          <w:p w14:paraId="39BD7528">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c>
          <w:tcPr>
            <w:tcW w:w="1641" w:type="dxa"/>
            <w:tcBorders>
              <w:top w:val="nil"/>
              <w:left w:val="nil"/>
              <w:bottom w:val="single" w:color="auto" w:sz="4" w:space="0"/>
              <w:right w:val="single" w:color="auto" w:sz="4" w:space="0"/>
            </w:tcBorders>
            <w:shd w:val="clear" w:color="000000" w:fill="FFFFFF"/>
            <w:noWrap/>
            <w:vAlign w:val="center"/>
          </w:tcPr>
          <w:p w14:paraId="5EBFB1FD">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nil"/>
              <w:right w:val="single" w:color="auto" w:sz="4" w:space="0"/>
            </w:tcBorders>
            <w:shd w:val="clear" w:color="000000" w:fill="FFFFFF"/>
            <w:noWrap/>
            <w:vAlign w:val="center"/>
          </w:tcPr>
          <w:p w14:paraId="34756020">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nil"/>
              <w:right w:val="single" w:color="auto" w:sz="4" w:space="0"/>
            </w:tcBorders>
            <w:shd w:val="clear" w:color="000000" w:fill="FFFFFF"/>
            <w:noWrap/>
            <w:vAlign w:val="center"/>
          </w:tcPr>
          <w:p w14:paraId="7568FA02">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7015638F">
        <w:tblPrEx>
          <w:tblCellMar>
            <w:top w:w="0" w:type="dxa"/>
            <w:left w:w="108" w:type="dxa"/>
            <w:bottom w:w="0" w:type="dxa"/>
            <w:right w:w="108" w:type="dxa"/>
          </w:tblCellMar>
        </w:tblPrEx>
        <w:trPr>
          <w:trHeight w:val="567" w:hRule="atLeast"/>
        </w:trPr>
        <w:tc>
          <w:tcPr>
            <w:tcW w:w="1091"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14CA2431">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5.1</w:t>
            </w:r>
          </w:p>
        </w:tc>
        <w:tc>
          <w:tcPr>
            <w:tcW w:w="1961" w:type="dxa"/>
            <w:tcBorders>
              <w:top w:val="single" w:color="auto" w:sz="4" w:space="0"/>
              <w:left w:val="nil"/>
              <w:bottom w:val="single" w:color="auto" w:sz="4" w:space="0"/>
              <w:right w:val="single" w:color="auto" w:sz="4" w:space="0"/>
            </w:tcBorders>
            <w:shd w:val="clear" w:color="000000" w:fill="FFFFFF"/>
            <w:vAlign w:val="center"/>
          </w:tcPr>
          <w:p w14:paraId="1CDF622C">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16画面分割器</w:t>
            </w:r>
          </w:p>
        </w:tc>
        <w:tc>
          <w:tcPr>
            <w:tcW w:w="4996" w:type="dxa"/>
            <w:tcBorders>
              <w:top w:val="single" w:color="auto" w:sz="4" w:space="0"/>
              <w:left w:val="nil"/>
              <w:bottom w:val="single" w:color="auto" w:sz="4" w:space="0"/>
              <w:right w:val="single" w:color="auto" w:sz="4" w:space="0"/>
            </w:tcBorders>
            <w:shd w:val="clear" w:color="000000" w:fill="FFFFFF"/>
            <w:vAlign w:val="center"/>
          </w:tcPr>
          <w:p w14:paraId="652DAFDB">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1RU插板机箱，冗余双电源，HD/SD自适应，16路SDI输入，2路SDI和HDMI独立输出，内置信号检测功能，支持OSD。</w:t>
            </w:r>
          </w:p>
        </w:tc>
        <w:tc>
          <w:tcPr>
            <w:tcW w:w="872" w:type="dxa"/>
            <w:tcBorders>
              <w:top w:val="nil"/>
              <w:left w:val="nil"/>
              <w:bottom w:val="single" w:color="auto" w:sz="4" w:space="0"/>
              <w:right w:val="single" w:color="auto" w:sz="4" w:space="0"/>
            </w:tcBorders>
            <w:shd w:val="clear" w:color="000000" w:fill="FFFFFF"/>
            <w:vAlign w:val="center"/>
          </w:tcPr>
          <w:p w14:paraId="05F3AE03">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75DE7173">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4</w:t>
            </w:r>
          </w:p>
        </w:tc>
        <w:tc>
          <w:tcPr>
            <w:tcW w:w="1641" w:type="dxa"/>
            <w:tcBorders>
              <w:top w:val="nil"/>
              <w:left w:val="nil"/>
              <w:bottom w:val="single" w:color="auto" w:sz="4" w:space="0"/>
              <w:right w:val="single" w:color="auto" w:sz="4" w:space="0"/>
            </w:tcBorders>
            <w:shd w:val="clear" w:color="000000" w:fill="FFFFFF"/>
            <w:noWrap/>
            <w:vAlign w:val="center"/>
          </w:tcPr>
          <w:p w14:paraId="50FC3A4A">
            <w:pPr>
              <w:widowControl/>
              <w:jc w:val="right"/>
              <w:rPr>
                <w:rFonts w:hint="eastAsia" w:ascii="宋体" w:hAnsi="宋体" w:eastAsia="宋体" w:cs="宋体"/>
                <w:color w:val="000000"/>
                <w:kern w:val="0"/>
                <w:sz w:val="24"/>
                <w:szCs w:val="24"/>
                <w14:ligatures w14:val="none"/>
              </w:rPr>
            </w:pPr>
          </w:p>
        </w:tc>
        <w:tc>
          <w:tcPr>
            <w:tcW w:w="0" w:type="auto"/>
            <w:tcBorders>
              <w:top w:val="single" w:color="auto" w:sz="4" w:space="0"/>
              <w:left w:val="nil"/>
              <w:bottom w:val="single" w:color="auto" w:sz="4" w:space="0"/>
              <w:right w:val="single" w:color="auto" w:sz="4" w:space="0"/>
            </w:tcBorders>
            <w:shd w:val="clear" w:color="000000" w:fill="FFFFFF"/>
            <w:noWrap/>
            <w:vAlign w:val="center"/>
          </w:tcPr>
          <w:p w14:paraId="1CA77B04">
            <w:pPr>
              <w:widowControl/>
              <w:jc w:val="right"/>
              <w:rPr>
                <w:rFonts w:hint="eastAsia" w:ascii="宋体" w:hAnsi="宋体" w:eastAsia="宋体" w:cs="宋体"/>
                <w:color w:val="000000"/>
                <w:kern w:val="0"/>
                <w:sz w:val="24"/>
                <w:szCs w:val="24"/>
                <w14:ligatures w14:val="none"/>
              </w:rPr>
            </w:pPr>
          </w:p>
        </w:tc>
        <w:tc>
          <w:tcPr>
            <w:tcW w:w="0" w:type="auto"/>
            <w:tcBorders>
              <w:top w:val="single" w:color="auto" w:sz="4" w:space="0"/>
              <w:left w:val="nil"/>
              <w:bottom w:val="single" w:color="auto" w:sz="4" w:space="0"/>
              <w:right w:val="single" w:color="auto" w:sz="4" w:space="0"/>
            </w:tcBorders>
            <w:shd w:val="clear" w:color="000000" w:fill="FFFFFF"/>
            <w:noWrap/>
            <w:vAlign w:val="center"/>
          </w:tcPr>
          <w:p w14:paraId="1BB91996">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748D0817">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687BA17F">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5.2</w:t>
            </w:r>
          </w:p>
        </w:tc>
        <w:tc>
          <w:tcPr>
            <w:tcW w:w="1961" w:type="dxa"/>
            <w:tcBorders>
              <w:top w:val="nil"/>
              <w:left w:val="nil"/>
              <w:bottom w:val="single" w:color="auto" w:sz="4" w:space="0"/>
              <w:right w:val="single" w:color="auto" w:sz="4" w:space="0"/>
            </w:tcBorders>
            <w:shd w:val="clear" w:color="000000" w:fill="FFFFFF"/>
            <w:vAlign w:val="center"/>
          </w:tcPr>
          <w:p w14:paraId="25A23115">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SDI到HDMI转换器</w:t>
            </w:r>
          </w:p>
        </w:tc>
        <w:tc>
          <w:tcPr>
            <w:tcW w:w="4996" w:type="dxa"/>
            <w:tcBorders>
              <w:top w:val="nil"/>
              <w:left w:val="nil"/>
              <w:bottom w:val="single" w:color="auto" w:sz="4" w:space="0"/>
              <w:right w:val="single" w:color="auto" w:sz="4" w:space="0"/>
            </w:tcBorders>
            <w:shd w:val="clear" w:color="000000" w:fill="FFFFFF"/>
            <w:vAlign w:val="center"/>
          </w:tcPr>
          <w:p w14:paraId="57E265AA">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广播工业级信号转换器</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SDI输入</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SDI 格式：SD-SDI、HD-SDI、3G-SDI</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HDMI输出</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HDMI分辨率：720/50Hz、720/60Hz、1080i/50Hz、1080i/60Hz、1080p/24/25/30/50/60Hz</w:t>
            </w:r>
          </w:p>
        </w:tc>
        <w:tc>
          <w:tcPr>
            <w:tcW w:w="872" w:type="dxa"/>
            <w:tcBorders>
              <w:top w:val="nil"/>
              <w:left w:val="nil"/>
              <w:bottom w:val="single" w:color="auto" w:sz="4" w:space="0"/>
              <w:right w:val="single" w:color="auto" w:sz="4" w:space="0"/>
            </w:tcBorders>
            <w:shd w:val="clear" w:color="000000" w:fill="FFFFFF"/>
            <w:vAlign w:val="center"/>
          </w:tcPr>
          <w:p w14:paraId="70307311">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个</w:t>
            </w:r>
          </w:p>
        </w:tc>
        <w:tc>
          <w:tcPr>
            <w:tcW w:w="856" w:type="dxa"/>
            <w:tcBorders>
              <w:top w:val="nil"/>
              <w:left w:val="nil"/>
              <w:bottom w:val="single" w:color="auto" w:sz="4" w:space="0"/>
              <w:right w:val="single" w:color="auto" w:sz="4" w:space="0"/>
            </w:tcBorders>
            <w:shd w:val="clear" w:color="000000" w:fill="FFFFFF"/>
            <w:vAlign w:val="center"/>
          </w:tcPr>
          <w:p w14:paraId="4FF2E45A">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12</w:t>
            </w:r>
          </w:p>
        </w:tc>
        <w:tc>
          <w:tcPr>
            <w:tcW w:w="1641" w:type="dxa"/>
            <w:tcBorders>
              <w:top w:val="nil"/>
              <w:left w:val="nil"/>
              <w:bottom w:val="single" w:color="auto" w:sz="4" w:space="0"/>
              <w:right w:val="single" w:color="auto" w:sz="4" w:space="0"/>
            </w:tcBorders>
            <w:shd w:val="clear" w:color="000000" w:fill="FFFFFF"/>
            <w:noWrap/>
            <w:vAlign w:val="center"/>
          </w:tcPr>
          <w:p w14:paraId="671FDD6B">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3E61A72C">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10B24581">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6A644648">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5A7CE411">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5.3</w:t>
            </w:r>
          </w:p>
        </w:tc>
        <w:tc>
          <w:tcPr>
            <w:tcW w:w="1961" w:type="dxa"/>
            <w:tcBorders>
              <w:top w:val="nil"/>
              <w:left w:val="nil"/>
              <w:bottom w:val="single" w:color="auto" w:sz="4" w:space="0"/>
              <w:right w:val="single" w:color="auto" w:sz="4" w:space="0"/>
            </w:tcBorders>
            <w:shd w:val="clear" w:color="000000" w:fill="FFFFFF"/>
            <w:vAlign w:val="center"/>
          </w:tcPr>
          <w:p w14:paraId="24C14354">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55英寸电视机</w:t>
            </w:r>
          </w:p>
        </w:tc>
        <w:tc>
          <w:tcPr>
            <w:tcW w:w="4996" w:type="dxa"/>
            <w:tcBorders>
              <w:top w:val="nil"/>
              <w:left w:val="nil"/>
              <w:bottom w:val="single" w:color="auto" w:sz="4" w:space="0"/>
              <w:right w:val="single" w:color="auto" w:sz="4" w:space="0"/>
            </w:tcBorders>
            <w:shd w:val="clear" w:color="000000" w:fill="FFFFFF"/>
            <w:vAlign w:val="center"/>
          </w:tcPr>
          <w:p w14:paraId="1005E89D">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屏幕尺寸 55英寸</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屏幕比例 16:9</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 xml:space="preserve">支持4K </w:t>
            </w:r>
          </w:p>
        </w:tc>
        <w:tc>
          <w:tcPr>
            <w:tcW w:w="872" w:type="dxa"/>
            <w:tcBorders>
              <w:top w:val="nil"/>
              <w:left w:val="nil"/>
              <w:bottom w:val="single" w:color="auto" w:sz="4" w:space="0"/>
              <w:right w:val="single" w:color="auto" w:sz="4" w:space="0"/>
            </w:tcBorders>
            <w:shd w:val="clear" w:color="000000" w:fill="FFFFFF"/>
            <w:vAlign w:val="center"/>
          </w:tcPr>
          <w:p w14:paraId="569AD629">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26E3C26C">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18</w:t>
            </w:r>
          </w:p>
        </w:tc>
        <w:tc>
          <w:tcPr>
            <w:tcW w:w="1641" w:type="dxa"/>
            <w:tcBorders>
              <w:top w:val="nil"/>
              <w:left w:val="nil"/>
              <w:bottom w:val="single" w:color="auto" w:sz="4" w:space="0"/>
              <w:right w:val="single" w:color="auto" w:sz="4" w:space="0"/>
            </w:tcBorders>
            <w:shd w:val="clear" w:color="000000" w:fill="FFFFFF"/>
            <w:noWrap/>
            <w:vAlign w:val="center"/>
          </w:tcPr>
          <w:p w14:paraId="5A0B823D">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57E194E1">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3960039A">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029C5377">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41F0B728">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5.4</w:t>
            </w:r>
          </w:p>
        </w:tc>
        <w:tc>
          <w:tcPr>
            <w:tcW w:w="1961" w:type="dxa"/>
            <w:tcBorders>
              <w:top w:val="nil"/>
              <w:left w:val="nil"/>
              <w:bottom w:val="single" w:color="auto" w:sz="4" w:space="0"/>
              <w:right w:val="single" w:color="auto" w:sz="4" w:space="0"/>
            </w:tcBorders>
            <w:shd w:val="clear" w:color="000000" w:fill="FFFFFF"/>
            <w:vAlign w:val="center"/>
          </w:tcPr>
          <w:p w14:paraId="287A219F">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监视器</w:t>
            </w:r>
          </w:p>
        </w:tc>
        <w:tc>
          <w:tcPr>
            <w:tcW w:w="4996" w:type="dxa"/>
            <w:tcBorders>
              <w:top w:val="nil"/>
              <w:left w:val="nil"/>
              <w:bottom w:val="single" w:color="auto" w:sz="4" w:space="0"/>
              <w:right w:val="single" w:color="auto" w:sz="4" w:space="0"/>
            </w:tcBorders>
            <w:shd w:val="clear" w:color="000000" w:fill="FFFFFF"/>
            <w:vAlign w:val="center"/>
          </w:tcPr>
          <w:p w14:paraId="4F0ECB46">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21.5寸液晶监视器：</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屏幕尺寸：21.5”，16：9屏幕， 分辨率：1920×1080， 色彩：16.7M ，视角：178°H×178°V，背光：WLED；</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2路3G/HD/SD-SDI视频输入，1路环通输出，1路复合信号输入，1路HDMI输入，兼容DVI-D，HDMI Type-A连接器，1路模拟立体声音频输入，1路模拟立体声音频输出，内置扬声器及耳机插孔，RS485输入带环通输出，1路USB端口；</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支持面板的自动色彩校正功能；</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多种色温调整（D93、D65、D56），支持波形、矢量图显示，16通道音频表显示(VU &amp; PPM)；</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支持时码显示（LTC、VITC、D-VITC），支持HDMI信号嵌入音频解嵌，支持IMD功能和三色TALLY显示；</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支持Scan，Native，Aspect Ratio，Marker，Blue Only；</w:t>
            </w:r>
          </w:p>
        </w:tc>
        <w:tc>
          <w:tcPr>
            <w:tcW w:w="872" w:type="dxa"/>
            <w:tcBorders>
              <w:top w:val="nil"/>
              <w:left w:val="nil"/>
              <w:bottom w:val="single" w:color="auto" w:sz="4" w:space="0"/>
              <w:right w:val="single" w:color="auto" w:sz="4" w:space="0"/>
            </w:tcBorders>
            <w:shd w:val="clear" w:color="000000" w:fill="FFFFFF"/>
            <w:vAlign w:val="center"/>
          </w:tcPr>
          <w:p w14:paraId="51430679">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17267F35">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4</w:t>
            </w:r>
          </w:p>
        </w:tc>
        <w:tc>
          <w:tcPr>
            <w:tcW w:w="1641" w:type="dxa"/>
            <w:tcBorders>
              <w:top w:val="nil"/>
              <w:left w:val="nil"/>
              <w:bottom w:val="single" w:color="auto" w:sz="4" w:space="0"/>
              <w:right w:val="single" w:color="auto" w:sz="4" w:space="0"/>
            </w:tcBorders>
            <w:shd w:val="clear" w:color="000000" w:fill="FFFFFF"/>
            <w:noWrap/>
            <w:vAlign w:val="center"/>
          </w:tcPr>
          <w:p w14:paraId="14CDC4B9">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28EF9292">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1119315F">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20AFED73">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15B7A3DC">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5.5</w:t>
            </w:r>
          </w:p>
        </w:tc>
        <w:tc>
          <w:tcPr>
            <w:tcW w:w="1961" w:type="dxa"/>
            <w:tcBorders>
              <w:top w:val="nil"/>
              <w:left w:val="nil"/>
              <w:bottom w:val="single" w:color="auto" w:sz="4" w:space="0"/>
              <w:right w:val="single" w:color="auto" w:sz="4" w:space="0"/>
            </w:tcBorders>
            <w:shd w:val="clear" w:color="000000" w:fill="FFFFFF"/>
            <w:vAlign w:val="center"/>
          </w:tcPr>
          <w:p w14:paraId="19BEDA7A">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高清播后监录服务器</w:t>
            </w:r>
          </w:p>
        </w:tc>
        <w:tc>
          <w:tcPr>
            <w:tcW w:w="4996" w:type="dxa"/>
            <w:tcBorders>
              <w:top w:val="nil"/>
              <w:left w:val="nil"/>
              <w:bottom w:val="single" w:color="auto" w:sz="4" w:space="0"/>
              <w:right w:val="single" w:color="auto" w:sz="4" w:space="0"/>
            </w:tcBorders>
            <w:shd w:val="clear" w:color="000000" w:fill="FFFFFF"/>
            <w:vAlign w:val="center"/>
          </w:tcPr>
          <w:p w14:paraId="3D6570C3">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性能不低于以下配置：</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CPU：英特尔®酷睿I7处理器，</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 xml:space="preserve">内存：32GB </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硬盘：512G SSD+4T SATA</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其它：千兆以太网卡/24寸液晶显示器/键盘/鼠标/4G显卡</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4通道SD\HD-SDI接口板卡*1</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操作系统：正版操作系统</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高清监录软件,监视\查询统计/报警等全套软件</w:t>
            </w:r>
          </w:p>
        </w:tc>
        <w:tc>
          <w:tcPr>
            <w:tcW w:w="872" w:type="dxa"/>
            <w:tcBorders>
              <w:top w:val="nil"/>
              <w:left w:val="nil"/>
              <w:bottom w:val="single" w:color="auto" w:sz="4" w:space="0"/>
              <w:right w:val="single" w:color="auto" w:sz="4" w:space="0"/>
            </w:tcBorders>
            <w:shd w:val="clear" w:color="000000" w:fill="FFFFFF"/>
            <w:vAlign w:val="center"/>
          </w:tcPr>
          <w:p w14:paraId="6133860D">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套</w:t>
            </w:r>
          </w:p>
        </w:tc>
        <w:tc>
          <w:tcPr>
            <w:tcW w:w="856" w:type="dxa"/>
            <w:tcBorders>
              <w:top w:val="nil"/>
              <w:left w:val="nil"/>
              <w:bottom w:val="single" w:color="auto" w:sz="4" w:space="0"/>
              <w:right w:val="single" w:color="auto" w:sz="4" w:space="0"/>
            </w:tcBorders>
            <w:shd w:val="clear" w:color="000000" w:fill="FFFFFF"/>
            <w:vAlign w:val="center"/>
          </w:tcPr>
          <w:p w14:paraId="2209AC3C">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w:t>
            </w:r>
          </w:p>
        </w:tc>
        <w:tc>
          <w:tcPr>
            <w:tcW w:w="1641" w:type="dxa"/>
            <w:tcBorders>
              <w:top w:val="nil"/>
              <w:left w:val="nil"/>
              <w:bottom w:val="single" w:color="auto" w:sz="4" w:space="0"/>
              <w:right w:val="single" w:color="auto" w:sz="4" w:space="0"/>
            </w:tcBorders>
            <w:shd w:val="clear" w:color="000000" w:fill="FFFFFF"/>
            <w:noWrap/>
            <w:vAlign w:val="center"/>
          </w:tcPr>
          <w:p w14:paraId="48926BAE">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25CD67FF">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63BB08A5">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776F116E">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4042C0CF">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5.6</w:t>
            </w:r>
          </w:p>
        </w:tc>
        <w:tc>
          <w:tcPr>
            <w:tcW w:w="1961" w:type="dxa"/>
            <w:tcBorders>
              <w:top w:val="nil"/>
              <w:left w:val="nil"/>
              <w:bottom w:val="single" w:color="auto" w:sz="4" w:space="0"/>
              <w:right w:val="single" w:color="auto" w:sz="4" w:space="0"/>
            </w:tcBorders>
            <w:shd w:val="clear" w:color="000000" w:fill="FFFFFF"/>
            <w:vAlign w:val="center"/>
          </w:tcPr>
          <w:p w14:paraId="47B528A7">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流程监测服务器</w:t>
            </w:r>
          </w:p>
        </w:tc>
        <w:tc>
          <w:tcPr>
            <w:tcW w:w="4996" w:type="dxa"/>
            <w:tcBorders>
              <w:top w:val="nil"/>
              <w:left w:val="nil"/>
              <w:bottom w:val="single" w:color="auto" w:sz="4" w:space="0"/>
              <w:right w:val="single" w:color="auto" w:sz="4" w:space="0"/>
            </w:tcBorders>
            <w:shd w:val="clear" w:color="000000" w:fill="FFFFFF"/>
            <w:vAlign w:val="center"/>
          </w:tcPr>
          <w:p w14:paraId="41B5FBC8">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19"1U 机架式服务器,</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CPU:六核1.9GHz处理器；</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内存：32GB；</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硬盘：2块1.2TB系统盘；</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电源:冗余电源；</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Microsoft Windows Server,</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SQL Server数据库系统</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流畅监测服务器端软件</w:t>
            </w:r>
          </w:p>
        </w:tc>
        <w:tc>
          <w:tcPr>
            <w:tcW w:w="872" w:type="dxa"/>
            <w:tcBorders>
              <w:top w:val="nil"/>
              <w:left w:val="nil"/>
              <w:bottom w:val="single" w:color="auto" w:sz="4" w:space="0"/>
              <w:right w:val="single" w:color="auto" w:sz="4" w:space="0"/>
            </w:tcBorders>
            <w:shd w:val="clear" w:color="000000" w:fill="FFFFFF"/>
            <w:vAlign w:val="center"/>
          </w:tcPr>
          <w:p w14:paraId="71358752">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套</w:t>
            </w:r>
          </w:p>
        </w:tc>
        <w:tc>
          <w:tcPr>
            <w:tcW w:w="856" w:type="dxa"/>
            <w:tcBorders>
              <w:top w:val="nil"/>
              <w:left w:val="nil"/>
              <w:bottom w:val="single" w:color="auto" w:sz="4" w:space="0"/>
              <w:right w:val="single" w:color="auto" w:sz="4" w:space="0"/>
            </w:tcBorders>
            <w:shd w:val="clear" w:color="000000" w:fill="FFFFFF"/>
            <w:vAlign w:val="center"/>
          </w:tcPr>
          <w:p w14:paraId="134EE735">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w:t>
            </w:r>
          </w:p>
        </w:tc>
        <w:tc>
          <w:tcPr>
            <w:tcW w:w="1641" w:type="dxa"/>
            <w:tcBorders>
              <w:top w:val="nil"/>
              <w:left w:val="nil"/>
              <w:bottom w:val="single" w:color="auto" w:sz="4" w:space="0"/>
              <w:right w:val="single" w:color="auto" w:sz="4" w:space="0"/>
            </w:tcBorders>
            <w:shd w:val="clear" w:color="000000" w:fill="FFFFFF"/>
            <w:noWrap/>
            <w:vAlign w:val="center"/>
          </w:tcPr>
          <w:p w14:paraId="44657E54">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2F06E05A">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2E478CD4">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7383DDD1">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2DA068E9">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5.7</w:t>
            </w:r>
          </w:p>
        </w:tc>
        <w:tc>
          <w:tcPr>
            <w:tcW w:w="1961" w:type="dxa"/>
            <w:tcBorders>
              <w:top w:val="nil"/>
              <w:left w:val="nil"/>
              <w:bottom w:val="single" w:color="auto" w:sz="4" w:space="0"/>
              <w:right w:val="single" w:color="auto" w:sz="4" w:space="0"/>
            </w:tcBorders>
            <w:shd w:val="clear" w:color="000000" w:fill="FFFFFF"/>
            <w:vAlign w:val="center"/>
          </w:tcPr>
          <w:p w14:paraId="254CA85A">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流程监测控制工作站</w:t>
            </w:r>
          </w:p>
        </w:tc>
        <w:tc>
          <w:tcPr>
            <w:tcW w:w="4996" w:type="dxa"/>
            <w:tcBorders>
              <w:top w:val="nil"/>
              <w:left w:val="nil"/>
              <w:bottom w:val="single" w:color="auto" w:sz="4" w:space="0"/>
              <w:right w:val="single" w:color="auto" w:sz="4" w:space="0"/>
            </w:tcBorders>
            <w:shd w:val="clear" w:color="000000" w:fill="FFFFFF"/>
            <w:vAlign w:val="center"/>
          </w:tcPr>
          <w:p w14:paraId="0D214216">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性能不低于以下配置：英特尔®酷睿四核i7主流处理器、16G内存、512G固态硬盘、24寸液晶显示器、1000M 网口、键盘、鼠标；</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软件配置：</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正版操作系统；</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支持可视化报警显示</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支持视图配置</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支持声光报警</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支持统计查询</w:t>
            </w:r>
          </w:p>
        </w:tc>
        <w:tc>
          <w:tcPr>
            <w:tcW w:w="872" w:type="dxa"/>
            <w:tcBorders>
              <w:top w:val="nil"/>
              <w:left w:val="nil"/>
              <w:bottom w:val="single" w:color="auto" w:sz="4" w:space="0"/>
              <w:right w:val="single" w:color="auto" w:sz="4" w:space="0"/>
            </w:tcBorders>
            <w:shd w:val="clear" w:color="000000" w:fill="FFFFFF"/>
            <w:vAlign w:val="center"/>
          </w:tcPr>
          <w:p w14:paraId="6CAE7686">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77269D8F">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w:t>
            </w:r>
          </w:p>
        </w:tc>
        <w:tc>
          <w:tcPr>
            <w:tcW w:w="1641" w:type="dxa"/>
            <w:tcBorders>
              <w:top w:val="nil"/>
              <w:left w:val="nil"/>
              <w:bottom w:val="single" w:color="auto" w:sz="4" w:space="0"/>
              <w:right w:val="single" w:color="auto" w:sz="4" w:space="0"/>
            </w:tcBorders>
            <w:shd w:val="clear" w:color="000000" w:fill="FFFFFF"/>
            <w:noWrap/>
            <w:vAlign w:val="center"/>
          </w:tcPr>
          <w:p w14:paraId="36C17EEB">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4A6BBDBD">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002B78E8">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74D11034">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0E1BFEF9">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5.8</w:t>
            </w:r>
          </w:p>
        </w:tc>
        <w:tc>
          <w:tcPr>
            <w:tcW w:w="1961" w:type="dxa"/>
            <w:tcBorders>
              <w:top w:val="nil"/>
              <w:left w:val="nil"/>
              <w:bottom w:val="single" w:color="auto" w:sz="4" w:space="0"/>
              <w:right w:val="single" w:color="auto" w:sz="4" w:space="0"/>
            </w:tcBorders>
            <w:shd w:val="clear" w:color="000000" w:fill="FFFFFF"/>
            <w:vAlign w:val="center"/>
          </w:tcPr>
          <w:p w14:paraId="63D9BF06">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HD-SDI信号检测卡</w:t>
            </w:r>
          </w:p>
        </w:tc>
        <w:tc>
          <w:tcPr>
            <w:tcW w:w="4996" w:type="dxa"/>
            <w:tcBorders>
              <w:top w:val="nil"/>
              <w:left w:val="nil"/>
              <w:bottom w:val="single" w:color="auto" w:sz="4" w:space="0"/>
              <w:right w:val="single" w:color="auto" w:sz="4" w:space="0"/>
            </w:tcBorders>
            <w:shd w:val="clear" w:color="000000" w:fill="FFFFFF"/>
            <w:vAlign w:val="center"/>
          </w:tcPr>
          <w:p w14:paraId="08F7CF60">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高标清信号质量检测卡，单卡最大支持4个独立通道信号检测、</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通道数量可灵活配置，可实现SDI信号的各种异常检测，</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包括黑场、彩场、静帧、信号丢失、声音异常、音量过低、</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同步检测、特殊字段检测等;</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全嵌入式ARM架构，核心Soc为国内自主研发、生产；</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4路SDI输入，1路SDI输出，支持高清信号；</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1路HDMI输出，最高支持4KP60；</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10/100M/1000M RJ45网口；</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3.5mm Line In、Line Out音频输入输出接口；</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内置存储，至少提供8GB ROM，并可通过SATA扩展；</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具备USB3.0接口，支持扩展无线WIFI或4G/5G模块；</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支持按键消警功能；</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可扩展OLED屏幕，支持IP、状态显示；</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内置喇叭，支持语音及声效报警；</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功率：&lt;20W；</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支持信号的多级实时监测，可对信号中断、音视频丢失、音量高低、视频静帧、黑场等多项质量指标实时检测报警；</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支持信号的实时录制，支持MP4、TS、FLV、MOV、AVI等主流存储格式；</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1，▲、支持多画面输出功能，可实现单画面、画中画、多画面、预警样式的灵活配置，支持WEB、网络、HDMI等方式实时监看；（提供第三方检测报告佐证）</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2，▲、内置流媒体服务功能，支持码流推送功能，支持高低码率同步编码，支持RTSP、RTMP等主流流媒体格式；（提供第三方检测报告佐证）</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3，支持多层图文功能，可对输入输出信号实时叠加OSD状态及报警信息，支持挂角、名称、游字、时钟等多种图元；</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4，支持声光报警，可实现语音、声效、灯光、屏闪等多种预警方式；</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5，▲、支持WEB管理功能，可实现对设备的参数配置、状态查看、内容管理、素材及信号的实时监看、固件升级等多种操作；（提供第三方检测报告佐证）</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6，支持SDI信号垫播功能，支持垫片的上载、编排、管理；</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7，支持信号比对功能，可实时检测、预警输入信号的同步播出状态，支持帧级别的差异精度统计；</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8，▲、支持关键转播节目的同步放映检测，通过多种分析策略，可自动识别转播及本地节目的开始与结束，确保转播的完整性，减少转播事故，保障播出安全；（提供第三方检测报告佐证）</w:t>
            </w:r>
          </w:p>
        </w:tc>
        <w:tc>
          <w:tcPr>
            <w:tcW w:w="872" w:type="dxa"/>
            <w:tcBorders>
              <w:top w:val="nil"/>
              <w:left w:val="nil"/>
              <w:bottom w:val="single" w:color="auto" w:sz="4" w:space="0"/>
              <w:right w:val="single" w:color="auto" w:sz="4" w:space="0"/>
            </w:tcBorders>
            <w:shd w:val="clear" w:color="000000" w:fill="FFFFFF"/>
            <w:vAlign w:val="center"/>
          </w:tcPr>
          <w:p w14:paraId="0A989740">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块</w:t>
            </w:r>
          </w:p>
        </w:tc>
        <w:tc>
          <w:tcPr>
            <w:tcW w:w="856" w:type="dxa"/>
            <w:tcBorders>
              <w:top w:val="nil"/>
              <w:left w:val="nil"/>
              <w:bottom w:val="single" w:color="auto" w:sz="4" w:space="0"/>
              <w:right w:val="single" w:color="auto" w:sz="4" w:space="0"/>
            </w:tcBorders>
            <w:shd w:val="clear" w:color="000000" w:fill="FFFFFF"/>
            <w:vAlign w:val="center"/>
          </w:tcPr>
          <w:p w14:paraId="4442951D">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8</w:t>
            </w:r>
          </w:p>
        </w:tc>
        <w:tc>
          <w:tcPr>
            <w:tcW w:w="1641" w:type="dxa"/>
            <w:tcBorders>
              <w:top w:val="nil"/>
              <w:left w:val="nil"/>
              <w:bottom w:val="single" w:color="auto" w:sz="4" w:space="0"/>
              <w:right w:val="single" w:color="auto" w:sz="4" w:space="0"/>
            </w:tcBorders>
            <w:shd w:val="clear" w:color="000000" w:fill="FFFFFF"/>
            <w:noWrap/>
            <w:vAlign w:val="center"/>
          </w:tcPr>
          <w:p w14:paraId="7FFE2658">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2ABFC0C3">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6EBB48AC">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1AEF8771">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7E3D39CF">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5.9</w:t>
            </w:r>
          </w:p>
        </w:tc>
        <w:tc>
          <w:tcPr>
            <w:tcW w:w="1961" w:type="dxa"/>
            <w:tcBorders>
              <w:top w:val="nil"/>
              <w:left w:val="nil"/>
              <w:bottom w:val="single" w:color="auto" w:sz="4" w:space="0"/>
              <w:right w:val="single" w:color="auto" w:sz="4" w:space="0"/>
            </w:tcBorders>
            <w:shd w:val="clear" w:color="000000" w:fill="FFFFFF"/>
            <w:vAlign w:val="center"/>
          </w:tcPr>
          <w:p w14:paraId="218C1C0E">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节点机箱</w:t>
            </w:r>
          </w:p>
        </w:tc>
        <w:tc>
          <w:tcPr>
            <w:tcW w:w="4996" w:type="dxa"/>
            <w:tcBorders>
              <w:top w:val="nil"/>
              <w:left w:val="nil"/>
              <w:bottom w:val="single" w:color="auto" w:sz="4" w:space="0"/>
              <w:right w:val="single" w:color="auto" w:sz="4" w:space="0"/>
            </w:tcBorders>
            <w:shd w:val="clear" w:color="000000" w:fill="FFFFFF"/>
            <w:noWrap/>
            <w:vAlign w:val="center"/>
          </w:tcPr>
          <w:p w14:paraId="3D45B660">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1U/19”标准机箱 每个机箱2个槽位</w:t>
            </w:r>
          </w:p>
        </w:tc>
        <w:tc>
          <w:tcPr>
            <w:tcW w:w="872" w:type="dxa"/>
            <w:tcBorders>
              <w:top w:val="nil"/>
              <w:left w:val="nil"/>
              <w:bottom w:val="single" w:color="auto" w:sz="4" w:space="0"/>
              <w:right w:val="single" w:color="auto" w:sz="4" w:space="0"/>
            </w:tcBorders>
            <w:shd w:val="clear" w:color="000000" w:fill="FFFFFF"/>
            <w:vAlign w:val="center"/>
          </w:tcPr>
          <w:p w14:paraId="709975B1">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3EBA0E26">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4</w:t>
            </w:r>
          </w:p>
        </w:tc>
        <w:tc>
          <w:tcPr>
            <w:tcW w:w="1641" w:type="dxa"/>
            <w:tcBorders>
              <w:top w:val="nil"/>
              <w:left w:val="nil"/>
              <w:bottom w:val="single" w:color="auto" w:sz="4" w:space="0"/>
              <w:right w:val="single" w:color="auto" w:sz="4" w:space="0"/>
            </w:tcBorders>
            <w:shd w:val="clear" w:color="000000" w:fill="FFFFFF"/>
            <w:noWrap/>
            <w:vAlign w:val="center"/>
          </w:tcPr>
          <w:p w14:paraId="2B5D0699">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6C123F0C">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6BA6F5A1">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32830020">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512BEBB3">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5.10</w:t>
            </w:r>
          </w:p>
        </w:tc>
        <w:tc>
          <w:tcPr>
            <w:tcW w:w="1961" w:type="dxa"/>
            <w:tcBorders>
              <w:top w:val="nil"/>
              <w:left w:val="nil"/>
              <w:bottom w:val="single" w:color="auto" w:sz="4" w:space="0"/>
              <w:right w:val="single" w:color="auto" w:sz="4" w:space="0"/>
            </w:tcBorders>
            <w:shd w:val="clear" w:color="000000" w:fill="FFFFFF"/>
            <w:vAlign w:val="center"/>
          </w:tcPr>
          <w:p w14:paraId="5F9A08F0">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环境监控系统主机</w:t>
            </w:r>
          </w:p>
        </w:tc>
        <w:tc>
          <w:tcPr>
            <w:tcW w:w="4996" w:type="dxa"/>
            <w:tcBorders>
              <w:top w:val="nil"/>
              <w:left w:val="nil"/>
              <w:bottom w:val="single" w:color="auto" w:sz="4" w:space="0"/>
              <w:right w:val="single" w:color="auto" w:sz="4" w:space="0"/>
            </w:tcBorders>
            <w:shd w:val="clear" w:color="000000" w:fill="FFFFFF"/>
            <w:vAlign w:val="center"/>
          </w:tcPr>
          <w:p w14:paraId="1CECD9BC">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前维护方式（前接线方式）。提高空间利用率，维护更方便。</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结构紧凑：1U/19”标准机箱，安装十分方便。</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监控机柜开关电源。可以与开关电源互联，支持数据透明传输转发。完整的监控功能，必须提供通信协议另行开发。</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标准电总协议上传。按照规定的协议通过干接点、RS485/232/IP方式向监控后台上传环境量数据、接受远程系统指令</w:t>
            </w:r>
          </w:p>
        </w:tc>
        <w:tc>
          <w:tcPr>
            <w:tcW w:w="872" w:type="dxa"/>
            <w:tcBorders>
              <w:top w:val="nil"/>
              <w:left w:val="nil"/>
              <w:bottom w:val="single" w:color="auto" w:sz="4" w:space="0"/>
              <w:right w:val="single" w:color="auto" w:sz="4" w:space="0"/>
            </w:tcBorders>
            <w:shd w:val="clear" w:color="000000" w:fill="FFFFFF"/>
            <w:vAlign w:val="center"/>
          </w:tcPr>
          <w:p w14:paraId="4D29208E">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0FC3D70D">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w:t>
            </w:r>
          </w:p>
        </w:tc>
        <w:tc>
          <w:tcPr>
            <w:tcW w:w="1641" w:type="dxa"/>
            <w:tcBorders>
              <w:top w:val="nil"/>
              <w:left w:val="nil"/>
              <w:bottom w:val="single" w:color="auto" w:sz="4" w:space="0"/>
              <w:right w:val="single" w:color="auto" w:sz="4" w:space="0"/>
            </w:tcBorders>
            <w:shd w:val="clear" w:color="000000" w:fill="FFFFFF"/>
            <w:noWrap/>
            <w:vAlign w:val="center"/>
          </w:tcPr>
          <w:p w14:paraId="2C7FC285">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7FDCB64C">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3C65E942">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51D2A8BB">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00CD7134">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5.11</w:t>
            </w:r>
          </w:p>
        </w:tc>
        <w:tc>
          <w:tcPr>
            <w:tcW w:w="1961" w:type="dxa"/>
            <w:tcBorders>
              <w:top w:val="nil"/>
              <w:left w:val="nil"/>
              <w:bottom w:val="single" w:color="auto" w:sz="4" w:space="0"/>
              <w:right w:val="single" w:color="auto" w:sz="4" w:space="0"/>
            </w:tcBorders>
            <w:shd w:val="clear" w:color="000000" w:fill="FFFFFF"/>
            <w:vAlign w:val="center"/>
          </w:tcPr>
          <w:p w14:paraId="4942EF92">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感烟探测器</w:t>
            </w:r>
          </w:p>
        </w:tc>
        <w:tc>
          <w:tcPr>
            <w:tcW w:w="4996" w:type="dxa"/>
            <w:tcBorders>
              <w:top w:val="nil"/>
              <w:left w:val="nil"/>
              <w:bottom w:val="single" w:color="auto" w:sz="4" w:space="0"/>
              <w:right w:val="single" w:color="auto" w:sz="4" w:space="0"/>
            </w:tcBorders>
            <w:shd w:val="clear" w:color="000000" w:fill="FFFFFF"/>
            <w:vAlign w:val="center"/>
          </w:tcPr>
          <w:p w14:paraId="0CA9EE6C">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感应室内烟雾浓度，达到触发阈值会蜂鸣告警并发送报告信息，浓度低于阈值，自动取消蜂鸣告警并发送报告信息，用于燃烧时及时告警用户。</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1、光电感烟火灾探测器适用于火灾发生时有烟雾产生，而正常情况下无烟雾的场所。探测器对燃烧时产生的白色烟雾较敏感</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2、每个探测器有二个红色发光二极管（LED），作为360°\u20840X方位可见的指示灯。监视状态时指示灯闪烁。报警状态，指示灯常亮</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3、探测器采用无极性两线制连接。报警信号以回路电流变化的形式给出，且具有报警锁定功能。报警的复位只能通过短暂的断电来实现</w:t>
            </w:r>
          </w:p>
        </w:tc>
        <w:tc>
          <w:tcPr>
            <w:tcW w:w="872" w:type="dxa"/>
            <w:tcBorders>
              <w:top w:val="nil"/>
              <w:left w:val="nil"/>
              <w:bottom w:val="single" w:color="auto" w:sz="4" w:space="0"/>
              <w:right w:val="single" w:color="auto" w:sz="4" w:space="0"/>
            </w:tcBorders>
            <w:shd w:val="clear" w:color="000000" w:fill="FFFFFF"/>
            <w:vAlign w:val="center"/>
          </w:tcPr>
          <w:p w14:paraId="6EDECF24">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套</w:t>
            </w:r>
          </w:p>
        </w:tc>
        <w:tc>
          <w:tcPr>
            <w:tcW w:w="856" w:type="dxa"/>
            <w:tcBorders>
              <w:top w:val="nil"/>
              <w:left w:val="nil"/>
              <w:bottom w:val="single" w:color="auto" w:sz="4" w:space="0"/>
              <w:right w:val="single" w:color="auto" w:sz="4" w:space="0"/>
            </w:tcBorders>
            <w:shd w:val="clear" w:color="000000" w:fill="FFFFFF"/>
            <w:vAlign w:val="center"/>
          </w:tcPr>
          <w:p w14:paraId="611AF803">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4</w:t>
            </w:r>
          </w:p>
        </w:tc>
        <w:tc>
          <w:tcPr>
            <w:tcW w:w="1641" w:type="dxa"/>
            <w:tcBorders>
              <w:top w:val="nil"/>
              <w:left w:val="nil"/>
              <w:bottom w:val="single" w:color="auto" w:sz="4" w:space="0"/>
              <w:right w:val="single" w:color="auto" w:sz="4" w:space="0"/>
            </w:tcBorders>
            <w:shd w:val="clear" w:color="000000" w:fill="FFFFFF"/>
            <w:noWrap/>
            <w:vAlign w:val="center"/>
          </w:tcPr>
          <w:p w14:paraId="58850E63">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3E610B81">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56D8CFD7">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70FAA68B">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744D73BB">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5.12</w:t>
            </w:r>
          </w:p>
        </w:tc>
        <w:tc>
          <w:tcPr>
            <w:tcW w:w="1961" w:type="dxa"/>
            <w:tcBorders>
              <w:top w:val="nil"/>
              <w:left w:val="nil"/>
              <w:bottom w:val="single" w:color="auto" w:sz="4" w:space="0"/>
              <w:right w:val="single" w:color="auto" w:sz="4" w:space="0"/>
            </w:tcBorders>
            <w:shd w:val="clear" w:color="000000" w:fill="FFFFFF"/>
            <w:vAlign w:val="center"/>
          </w:tcPr>
          <w:p w14:paraId="1D57E402">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水浸传感器</w:t>
            </w:r>
          </w:p>
        </w:tc>
        <w:tc>
          <w:tcPr>
            <w:tcW w:w="4996" w:type="dxa"/>
            <w:tcBorders>
              <w:top w:val="nil"/>
              <w:left w:val="nil"/>
              <w:bottom w:val="single" w:color="auto" w:sz="4" w:space="0"/>
              <w:right w:val="single" w:color="auto" w:sz="4" w:space="0"/>
            </w:tcBorders>
            <w:shd w:val="clear" w:color="000000" w:fill="FFFFFF"/>
            <w:vAlign w:val="center"/>
          </w:tcPr>
          <w:p w14:paraId="38089C0E">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水浸传感器是利用两个测试针探头在浸入水中时，测试针两端的电阻发生改变，内部检测控制电路驱动继电器吸合，从而可以接通外部报警回路</w:t>
            </w:r>
          </w:p>
        </w:tc>
        <w:tc>
          <w:tcPr>
            <w:tcW w:w="872" w:type="dxa"/>
            <w:tcBorders>
              <w:top w:val="nil"/>
              <w:left w:val="nil"/>
              <w:bottom w:val="single" w:color="auto" w:sz="4" w:space="0"/>
              <w:right w:val="single" w:color="auto" w:sz="4" w:space="0"/>
            </w:tcBorders>
            <w:shd w:val="clear" w:color="000000" w:fill="FFFFFF"/>
            <w:vAlign w:val="center"/>
          </w:tcPr>
          <w:p w14:paraId="532A2028">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套</w:t>
            </w:r>
          </w:p>
        </w:tc>
        <w:tc>
          <w:tcPr>
            <w:tcW w:w="856" w:type="dxa"/>
            <w:tcBorders>
              <w:top w:val="nil"/>
              <w:left w:val="nil"/>
              <w:bottom w:val="single" w:color="auto" w:sz="4" w:space="0"/>
              <w:right w:val="single" w:color="auto" w:sz="4" w:space="0"/>
            </w:tcBorders>
            <w:shd w:val="clear" w:color="000000" w:fill="FFFFFF"/>
            <w:vAlign w:val="center"/>
          </w:tcPr>
          <w:p w14:paraId="15D4B6E7">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6</w:t>
            </w:r>
          </w:p>
        </w:tc>
        <w:tc>
          <w:tcPr>
            <w:tcW w:w="1641" w:type="dxa"/>
            <w:tcBorders>
              <w:top w:val="nil"/>
              <w:left w:val="nil"/>
              <w:bottom w:val="single" w:color="auto" w:sz="4" w:space="0"/>
              <w:right w:val="single" w:color="auto" w:sz="4" w:space="0"/>
            </w:tcBorders>
            <w:shd w:val="clear" w:color="000000" w:fill="FFFFFF"/>
            <w:noWrap/>
            <w:vAlign w:val="center"/>
          </w:tcPr>
          <w:p w14:paraId="61E17A52">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29EF0F33">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10AC1558">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6011C411">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65204117">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5.13</w:t>
            </w:r>
          </w:p>
        </w:tc>
        <w:tc>
          <w:tcPr>
            <w:tcW w:w="1961" w:type="dxa"/>
            <w:tcBorders>
              <w:top w:val="nil"/>
              <w:left w:val="nil"/>
              <w:bottom w:val="single" w:color="auto" w:sz="4" w:space="0"/>
              <w:right w:val="single" w:color="auto" w:sz="4" w:space="0"/>
            </w:tcBorders>
            <w:shd w:val="clear" w:color="000000" w:fill="FFFFFF"/>
            <w:vAlign w:val="center"/>
          </w:tcPr>
          <w:p w14:paraId="16943DE2">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温湿度传感器</w:t>
            </w:r>
          </w:p>
        </w:tc>
        <w:tc>
          <w:tcPr>
            <w:tcW w:w="4996" w:type="dxa"/>
            <w:tcBorders>
              <w:top w:val="nil"/>
              <w:left w:val="nil"/>
              <w:bottom w:val="single" w:color="auto" w:sz="4" w:space="0"/>
              <w:right w:val="single" w:color="auto" w:sz="4" w:space="0"/>
            </w:tcBorders>
            <w:shd w:val="clear" w:color="000000" w:fill="FFFFFF"/>
            <w:vAlign w:val="center"/>
          </w:tcPr>
          <w:p w14:paraId="1627BD7C">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测量范围</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温度：0℃～50℃</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温度准确度：±0.3℃（25℃时）</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湿度：0%RH～100%RH</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湿度准确度：±2%RH（25℃，30%RH～80%RH</w:t>
            </w:r>
          </w:p>
        </w:tc>
        <w:tc>
          <w:tcPr>
            <w:tcW w:w="872" w:type="dxa"/>
            <w:tcBorders>
              <w:top w:val="nil"/>
              <w:left w:val="nil"/>
              <w:bottom w:val="single" w:color="auto" w:sz="4" w:space="0"/>
              <w:right w:val="single" w:color="auto" w:sz="4" w:space="0"/>
            </w:tcBorders>
            <w:shd w:val="clear" w:color="000000" w:fill="FFFFFF"/>
            <w:vAlign w:val="center"/>
          </w:tcPr>
          <w:p w14:paraId="44578001">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套</w:t>
            </w:r>
          </w:p>
        </w:tc>
        <w:tc>
          <w:tcPr>
            <w:tcW w:w="856" w:type="dxa"/>
            <w:tcBorders>
              <w:top w:val="nil"/>
              <w:left w:val="nil"/>
              <w:bottom w:val="single" w:color="auto" w:sz="4" w:space="0"/>
              <w:right w:val="single" w:color="auto" w:sz="4" w:space="0"/>
            </w:tcBorders>
            <w:shd w:val="clear" w:color="000000" w:fill="FFFFFF"/>
            <w:vAlign w:val="center"/>
          </w:tcPr>
          <w:p w14:paraId="28911839">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4</w:t>
            </w:r>
          </w:p>
        </w:tc>
        <w:tc>
          <w:tcPr>
            <w:tcW w:w="1641" w:type="dxa"/>
            <w:tcBorders>
              <w:top w:val="nil"/>
              <w:left w:val="nil"/>
              <w:bottom w:val="single" w:color="auto" w:sz="4" w:space="0"/>
              <w:right w:val="single" w:color="auto" w:sz="4" w:space="0"/>
            </w:tcBorders>
            <w:shd w:val="clear" w:color="000000" w:fill="FFFFFF"/>
            <w:noWrap/>
            <w:vAlign w:val="center"/>
          </w:tcPr>
          <w:p w14:paraId="469A3B07">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2B09E396">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00C1F0C3">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5C5F3B05">
        <w:tblPrEx>
          <w:tblCellMar>
            <w:top w:w="0" w:type="dxa"/>
            <w:left w:w="108" w:type="dxa"/>
            <w:bottom w:w="0" w:type="dxa"/>
            <w:right w:w="108" w:type="dxa"/>
          </w:tblCellMar>
        </w:tblPrEx>
        <w:trPr>
          <w:trHeight w:val="567" w:hRule="atLeast"/>
        </w:trPr>
        <w:tc>
          <w:tcPr>
            <w:tcW w:w="1091" w:type="dxa"/>
            <w:tcBorders>
              <w:top w:val="nil"/>
              <w:left w:val="single" w:color="auto" w:sz="4" w:space="0"/>
              <w:bottom w:val="nil"/>
              <w:right w:val="single" w:color="auto" w:sz="4" w:space="0"/>
            </w:tcBorders>
            <w:shd w:val="clear" w:color="000000" w:fill="FFFFFF"/>
            <w:noWrap/>
            <w:vAlign w:val="center"/>
          </w:tcPr>
          <w:p w14:paraId="2721381A">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（六）</w:t>
            </w:r>
          </w:p>
        </w:tc>
        <w:tc>
          <w:tcPr>
            <w:tcW w:w="1961" w:type="dxa"/>
            <w:tcBorders>
              <w:top w:val="nil"/>
              <w:left w:val="nil"/>
              <w:bottom w:val="nil"/>
              <w:right w:val="single" w:color="auto" w:sz="4" w:space="0"/>
            </w:tcBorders>
            <w:shd w:val="clear" w:color="000000" w:fill="FFFFFF"/>
            <w:noWrap/>
            <w:vAlign w:val="center"/>
          </w:tcPr>
          <w:p w14:paraId="37A1CBE9">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编码传输设备</w:t>
            </w:r>
          </w:p>
        </w:tc>
        <w:tc>
          <w:tcPr>
            <w:tcW w:w="4996" w:type="dxa"/>
            <w:tcBorders>
              <w:top w:val="nil"/>
              <w:left w:val="nil"/>
              <w:bottom w:val="nil"/>
              <w:right w:val="single" w:color="auto" w:sz="4" w:space="0"/>
            </w:tcBorders>
            <w:shd w:val="clear" w:color="000000" w:fill="FFFFFF"/>
            <w:noWrap/>
            <w:vAlign w:val="center"/>
          </w:tcPr>
          <w:p w14:paraId="14E7AEC1">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c>
          <w:tcPr>
            <w:tcW w:w="872" w:type="dxa"/>
            <w:tcBorders>
              <w:top w:val="nil"/>
              <w:left w:val="nil"/>
              <w:bottom w:val="single" w:color="auto" w:sz="4" w:space="0"/>
              <w:right w:val="single" w:color="auto" w:sz="4" w:space="0"/>
            </w:tcBorders>
            <w:shd w:val="clear" w:color="000000" w:fill="FFFFFF"/>
            <w:noWrap/>
            <w:vAlign w:val="center"/>
          </w:tcPr>
          <w:p w14:paraId="14F49FB1">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c>
          <w:tcPr>
            <w:tcW w:w="856" w:type="dxa"/>
            <w:tcBorders>
              <w:top w:val="nil"/>
              <w:left w:val="nil"/>
              <w:bottom w:val="single" w:color="auto" w:sz="4" w:space="0"/>
              <w:right w:val="single" w:color="auto" w:sz="4" w:space="0"/>
            </w:tcBorders>
            <w:shd w:val="clear" w:color="000000" w:fill="FFFFFF"/>
            <w:noWrap/>
            <w:vAlign w:val="center"/>
          </w:tcPr>
          <w:p w14:paraId="4F170D7D">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c>
          <w:tcPr>
            <w:tcW w:w="1641" w:type="dxa"/>
            <w:tcBorders>
              <w:top w:val="nil"/>
              <w:left w:val="nil"/>
              <w:bottom w:val="single" w:color="auto" w:sz="4" w:space="0"/>
              <w:right w:val="single" w:color="auto" w:sz="4" w:space="0"/>
            </w:tcBorders>
            <w:shd w:val="clear" w:color="000000" w:fill="FFFFFF"/>
            <w:noWrap/>
            <w:vAlign w:val="center"/>
          </w:tcPr>
          <w:p w14:paraId="4BB71176">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c>
          <w:tcPr>
            <w:tcW w:w="0" w:type="auto"/>
            <w:tcBorders>
              <w:top w:val="nil"/>
              <w:left w:val="nil"/>
              <w:bottom w:val="nil"/>
              <w:right w:val="single" w:color="auto" w:sz="4" w:space="0"/>
            </w:tcBorders>
            <w:shd w:val="clear" w:color="000000" w:fill="FFFFFF"/>
            <w:noWrap/>
            <w:vAlign w:val="center"/>
          </w:tcPr>
          <w:p w14:paraId="3E36CD57">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c>
          <w:tcPr>
            <w:tcW w:w="0" w:type="auto"/>
            <w:tcBorders>
              <w:top w:val="nil"/>
              <w:left w:val="nil"/>
              <w:bottom w:val="nil"/>
              <w:right w:val="single" w:color="auto" w:sz="4" w:space="0"/>
            </w:tcBorders>
            <w:shd w:val="clear" w:color="000000" w:fill="FFFFFF"/>
            <w:noWrap/>
            <w:vAlign w:val="center"/>
          </w:tcPr>
          <w:p w14:paraId="5D5C08FD">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30CE38EA">
        <w:tblPrEx>
          <w:tblCellMar>
            <w:top w:w="0" w:type="dxa"/>
            <w:left w:w="108" w:type="dxa"/>
            <w:bottom w:w="0" w:type="dxa"/>
            <w:right w:w="108" w:type="dxa"/>
          </w:tblCellMar>
        </w:tblPrEx>
        <w:trPr>
          <w:trHeight w:val="567" w:hRule="atLeast"/>
        </w:trPr>
        <w:tc>
          <w:tcPr>
            <w:tcW w:w="1091"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467E1806">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6.1</w:t>
            </w:r>
          </w:p>
        </w:tc>
        <w:tc>
          <w:tcPr>
            <w:tcW w:w="1961" w:type="dxa"/>
            <w:tcBorders>
              <w:top w:val="single" w:color="auto" w:sz="4" w:space="0"/>
              <w:left w:val="nil"/>
              <w:bottom w:val="single" w:color="auto" w:sz="4" w:space="0"/>
              <w:right w:val="single" w:color="auto" w:sz="4" w:space="0"/>
            </w:tcBorders>
            <w:shd w:val="clear" w:color="000000" w:fill="FFFFFF"/>
            <w:vAlign w:val="center"/>
          </w:tcPr>
          <w:p w14:paraId="11A590B9">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高清卫星接收机</w:t>
            </w:r>
          </w:p>
        </w:tc>
        <w:tc>
          <w:tcPr>
            <w:tcW w:w="4996" w:type="dxa"/>
            <w:tcBorders>
              <w:top w:val="single" w:color="auto" w:sz="4" w:space="0"/>
              <w:left w:val="nil"/>
              <w:bottom w:val="single" w:color="auto" w:sz="4" w:space="0"/>
              <w:right w:val="single" w:color="auto" w:sz="4" w:space="0"/>
            </w:tcBorders>
            <w:shd w:val="clear" w:color="000000" w:fill="FFFFFF"/>
            <w:vAlign w:val="center"/>
          </w:tcPr>
          <w:p w14:paraId="6BB9A464">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AVS+专业卫星综合接收解码器，支持 AVS+/H.265/H.264/MPEG-2 解码，支</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持单频点 RF/2 路 ASI/2 路 IP 输入，单路 HDMI/2 路主备 SD/HD-SDI/单路 CVBS/单路 AES-EBU/单路</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模拟立体声/2 路 ASI/单路 IP 输出，支持 1080P/1080I/720P/576I/480I 多种分辨率，支持</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DRA/AC3/EAC3/AAC/MPEG 等音频。IP1 支持 UDP/RTP 输入输出，IP2 支持多协议 IP 输入：IP 支持</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UDP 多播/RTMP/HLS/HTTP/SRT/RTSP 协议.</w:t>
            </w:r>
          </w:p>
        </w:tc>
        <w:tc>
          <w:tcPr>
            <w:tcW w:w="872" w:type="dxa"/>
            <w:tcBorders>
              <w:top w:val="nil"/>
              <w:left w:val="nil"/>
              <w:bottom w:val="single" w:color="auto" w:sz="4" w:space="0"/>
              <w:right w:val="single" w:color="auto" w:sz="4" w:space="0"/>
            </w:tcBorders>
            <w:shd w:val="clear" w:color="000000" w:fill="FFFFFF"/>
            <w:vAlign w:val="center"/>
          </w:tcPr>
          <w:p w14:paraId="38A8BE85">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4DC0EB43">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8</w:t>
            </w:r>
          </w:p>
        </w:tc>
        <w:tc>
          <w:tcPr>
            <w:tcW w:w="1641" w:type="dxa"/>
            <w:tcBorders>
              <w:top w:val="nil"/>
              <w:left w:val="nil"/>
              <w:bottom w:val="single" w:color="auto" w:sz="4" w:space="0"/>
              <w:right w:val="single" w:color="auto" w:sz="4" w:space="0"/>
            </w:tcBorders>
            <w:shd w:val="clear" w:color="000000" w:fill="FFFFFF"/>
            <w:noWrap/>
            <w:vAlign w:val="center"/>
          </w:tcPr>
          <w:p w14:paraId="5A4C4E5E">
            <w:pPr>
              <w:widowControl/>
              <w:jc w:val="right"/>
              <w:rPr>
                <w:rFonts w:hint="eastAsia" w:ascii="宋体" w:hAnsi="宋体" w:eastAsia="宋体" w:cs="宋体"/>
                <w:color w:val="000000"/>
                <w:kern w:val="0"/>
                <w:sz w:val="24"/>
                <w:szCs w:val="24"/>
                <w14:ligatures w14:val="none"/>
              </w:rPr>
            </w:pPr>
          </w:p>
        </w:tc>
        <w:tc>
          <w:tcPr>
            <w:tcW w:w="0" w:type="auto"/>
            <w:tcBorders>
              <w:top w:val="single" w:color="auto" w:sz="4" w:space="0"/>
              <w:left w:val="nil"/>
              <w:bottom w:val="single" w:color="auto" w:sz="4" w:space="0"/>
              <w:right w:val="single" w:color="auto" w:sz="4" w:space="0"/>
            </w:tcBorders>
            <w:shd w:val="clear" w:color="000000" w:fill="FFFFFF"/>
            <w:noWrap/>
            <w:vAlign w:val="center"/>
          </w:tcPr>
          <w:p w14:paraId="3B409B83">
            <w:pPr>
              <w:widowControl/>
              <w:jc w:val="right"/>
              <w:rPr>
                <w:rFonts w:hint="eastAsia" w:ascii="宋体" w:hAnsi="宋体" w:eastAsia="宋体" w:cs="宋体"/>
                <w:color w:val="000000"/>
                <w:kern w:val="0"/>
                <w:sz w:val="24"/>
                <w:szCs w:val="24"/>
                <w14:ligatures w14:val="none"/>
              </w:rPr>
            </w:pPr>
          </w:p>
        </w:tc>
        <w:tc>
          <w:tcPr>
            <w:tcW w:w="0" w:type="auto"/>
            <w:tcBorders>
              <w:top w:val="single" w:color="auto" w:sz="4" w:space="0"/>
              <w:left w:val="nil"/>
              <w:bottom w:val="single" w:color="auto" w:sz="4" w:space="0"/>
              <w:right w:val="single" w:color="auto" w:sz="4" w:space="0"/>
            </w:tcBorders>
            <w:shd w:val="clear" w:color="000000" w:fill="FFFFFF"/>
            <w:noWrap/>
            <w:vAlign w:val="center"/>
          </w:tcPr>
          <w:p w14:paraId="77AFD9C7">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7BDB1ADB">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0DB584AA">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6.2</w:t>
            </w:r>
          </w:p>
        </w:tc>
        <w:tc>
          <w:tcPr>
            <w:tcW w:w="1961" w:type="dxa"/>
            <w:tcBorders>
              <w:top w:val="nil"/>
              <w:left w:val="nil"/>
              <w:bottom w:val="single" w:color="auto" w:sz="4" w:space="0"/>
              <w:right w:val="single" w:color="auto" w:sz="4" w:space="0"/>
            </w:tcBorders>
            <w:shd w:val="clear" w:color="000000" w:fill="FFFFFF"/>
            <w:vAlign w:val="center"/>
          </w:tcPr>
          <w:p w14:paraId="0DF9506F">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光端机</w:t>
            </w:r>
          </w:p>
        </w:tc>
        <w:tc>
          <w:tcPr>
            <w:tcW w:w="4996" w:type="dxa"/>
            <w:tcBorders>
              <w:top w:val="nil"/>
              <w:left w:val="nil"/>
              <w:bottom w:val="single" w:color="auto" w:sz="4" w:space="0"/>
              <w:right w:val="single" w:color="auto" w:sz="4" w:space="0"/>
            </w:tcBorders>
            <w:shd w:val="clear" w:color="000000" w:fill="FFFFFF"/>
            <w:vAlign w:val="center"/>
          </w:tcPr>
          <w:p w14:paraId="343B6C35">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xml:space="preserve">1芯光纤单向传输8路HD-SDI信号，向下兼容SD-SDI和ASI信号，发射机带环出，接收机双输出，40KM以内，1U机箱双电源，FC/PC或者FC/APC可选  </w:t>
            </w:r>
          </w:p>
        </w:tc>
        <w:tc>
          <w:tcPr>
            <w:tcW w:w="872" w:type="dxa"/>
            <w:tcBorders>
              <w:top w:val="nil"/>
              <w:left w:val="nil"/>
              <w:bottom w:val="single" w:color="auto" w:sz="4" w:space="0"/>
              <w:right w:val="single" w:color="auto" w:sz="4" w:space="0"/>
            </w:tcBorders>
            <w:shd w:val="clear" w:color="000000" w:fill="FFFFFF"/>
            <w:vAlign w:val="center"/>
          </w:tcPr>
          <w:p w14:paraId="2BC3B461">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套</w:t>
            </w:r>
          </w:p>
        </w:tc>
        <w:tc>
          <w:tcPr>
            <w:tcW w:w="856" w:type="dxa"/>
            <w:tcBorders>
              <w:top w:val="nil"/>
              <w:left w:val="nil"/>
              <w:bottom w:val="single" w:color="auto" w:sz="4" w:space="0"/>
              <w:right w:val="single" w:color="auto" w:sz="4" w:space="0"/>
            </w:tcBorders>
            <w:shd w:val="clear" w:color="000000" w:fill="FFFFFF"/>
            <w:vAlign w:val="center"/>
          </w:tcPr>
          <w:p w14:paraId="6FC71DCD">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2</w:t>
            </w:r>
          </w:p>
        </w:tc>
        <w:tc>
          <w:tcPr>
            <w:tcW w:w="1641" w:type="dxa"/>
            <w:tcBorders>
              <w:top w:val="nil"/>
              <w:left w:val="nil"/>
              <w:bottom w:val="single" w:color="auto" w:sz="4" w:space="0"/>
              <w:right w:val="single" w:color="auto" w:sz="4" w:space="0"/>
            </w:tcBorders>
            <w:shd w:val="clear" w:color="000000" w:fill="FFFFFF"/>
            <w:noWrap/>
            <w:vAlign w:val="center"/>
          </w:tcPr>
          <w:p w14:paraId="74F1D3C7">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6A8C7CAA">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3C5453DB">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043F226B">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25ECEA4B">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6.3</w:t>
            </w:r>
          </w:p>
        </w:tc>
        <w:tc>
          <w:tcPr>
            <w:tcW w:w="1961" w:type="dxa"/>
            <w:tcBorders>
              <w:top w:val="nil"/>
              <w:left w:val="nil"/>
              <w:bottom w:val="single" w:color="auto" w:sz="4" w:space="0"/>
              <w:right w:val="single" w:color="auto" w:sz="4" w:space="0"/>
            </w:tcBorders>
            <w:shd w:val="clear" w:color="000000" w:fill="FFFFFF"/>
            <w:vAlign w:val="center"/>
          </w:tcPr>
          <w:p w14:paraId="275BC0B5">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光纤及熔接配套服务</w:t>
            </w:r>
          </w:p>
        </w:tc>
        <w:tc>
          <w:tcPr>
            <w:tcW w:w="4996" w:type="dxa"/>
            <w:tcBorders>
              <w:top w:val="nil"/>
              <w:left w:val="nil"/>
              <w:bottom w:val="single" w:color="auto" w:sz="4" w:space="0"/>
              <w:right w:val="single" w:color="auto" w:sz="4" w:space="0"/>
            </w:tcBorders>
            <w:shd w:val="clear" w:color="000000" w:fill="FFFFFF"/>
            <w:vAlign w:val="center"/>
          </w:tcPr>
          <w:p w14:paraId="4CFFBF79">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距离为融媒体中心新地址到广电网络机房有12公里，融媒体中心新地址到距发射机房有7公里，提供配套光纤及光纤建设相关工程服务</w:t>
            </w:r>
          </w:p>
        </w:tc>
        <w:tc>
          <w:tcPr>
            <w:tcW w:w="872" w:type="dxa"/>
            <w:tcBorders>
              <w:top w:val="nil"/>
              <w:left w:val="nil"/>
              <w:bottom w:val="single" w:color="auto" w:sz="4" w:space="0"/>
              <w:right w:val="single" w:color="auto" w:sz="4" w:space="0"/>
            </w:tcBorders>
            <w:shd w:val="clear" w:color="000000" w:fill="FFFFFF"/>
            <w:vAlign w:val="center"/>
          </w:tcPr>
          <w:p w14:paraId="212CD5D3">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宗</w:t>
            </w:r>
          </w:p>
        </w:tc>
        <w:tc>
          <w:tcPr>
            <w:tcW w:w="856" w:type="dxa"/>
            <w:tcBorders>
              <w:top w:val="nil"/>
              <w:left w:val="nil"/>
              <w:bottom w:val="single" w:color="auto" w:sz="4" w:space="0"/>
              <w:right w:val="single" w:color="auto" w:sz="4" w:space="0"/>
            </w:tcBorders>
            <w:shd w:val="clear" w:color="000000" w:fill="FFFFFF"/>
            <w:vAlign w:val="center"/>
          </w:tcPr>
          <w:p w14:paraId="297E909A">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w:t>
            </w:r>
          </w:p>
        </w:tc>
        <w:tc>
          <w:tcPr>
            <w:tcW w:w="1641" w:type="dxa"/>
            <w:tcBorders>
              <w:top w:val="nil"/>
              <w:left w:val="nil"/>
              <w:bottom w:val="single" w:color="auto" w:sz="4" w:space="0"/>
              <w:right w:val="single" w:color="auto" w:sz="4" w:space="0"/>
            </w:tcBorders>
            <w:shd w:val="clear" w:color="000000" w:fill="FFFFFF"/>
            <w:noWrap/>
            <w:vAlign w:val="center"/>
          </w:tcPr>
          <w:p w14:paraId="519F1BD8">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0215DC02">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079FE75D">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172A96E6">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29C7D65F">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6.4</w:t>
            </w:r>
          </w:p>
        </w:tc>
        <w:tc>
          <w:tcPr>
            <w:tcW w:w="1961" w:type="dxa"/>
            <w:tcBorders>
              <w:top w:val="nil"/>
              <w:left w:val="nil"/>
              <w:bottom w:val="single" w:color="auto" w:sz="4" w:space="0"/>
              <w:right w:val="single" w:color="auto" w:sz="4" w:space="0"/>
            </w:tcBorders>
            <w:shd w:val="clear" w:color="000000" w:fill="FFFFFF"/>
            <w:vAlign w:val="center"/>
          </w:tcPr>
          <w:p w14:paraId="3A54ABD0">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四路网路编码器</w:t>
            </w:r>
          </w:p>
        </w:tc>
        <w:tc>
          <w:tcPr>
            <w:tcW w:w="4996" w:type="dxa"/>
            <w:tcBorders>
              <w:top w:val="nil"/>
              <w:left w:val="nil"/>
              <w:bottom w:val="single" w:color="auto" w:sz="4" w:space="0"/>
              <w:right w:val="single" w:color="auto" w:sz="4" w:space="0"/>
            </w:tcBorders>
            <w:shd w:val="clear" w:color="000000" w:fill="FFFFFF"/>
            <w:vAlign w:val="center"/>
          </w:tcPr>
          <w:p w14:paraId="00DBE0A3">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1U机架式设备；支持 4 路高清编码，一路编码支持输出 1*4 输出四个 IP 地址，</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 xml:space="preserve">系统输出 ：支持 IP、ASI，HD/SD-SDI、HDMI 等多种输入方式 </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 xml:space="preserve">支持 UDP 组播/单播、RTMP、HLS、FLV、SRT 输入 </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系统输出 ：</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支持 IP/ASI 输出 支持多种流媒体协议输出：UDP、RTMP、HTTP（FLV）、SRT、HLS直接切片到 web 服务器，视频编码格式：HEVC /H.264/MPEG-2/AVS+/m3u8</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 xml:space="preserve">编码格式、视频码率、分辨率、帧率、B 帧数量、CBR/VBR 均灵活可调，音频编码输出格式：MPEG-1/AAC/AC3/DRA </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 xml:space="preserve">支持音量固定增益 </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 xml:space="preserve">音量、码率、采样率均灵活可调 </w:t>
            </w:r>
          </w:p>
        </w:tc>
        <w:tc>
          <w:tcPr>
            <w:tcW w:w="872" w:type="dxa"/>
            <w:tcBorders>
              <w:top w:val="nil"/>
              <w:left w:val="nil"/>
              <w:bottom w:val="single" w:color="auto" w:sz="4" w:space="0"/>
              <w:right w:val="single" w:color="auto" w:sz="4" w:space="0"/>
            </w:tcBorders>
            <w:shd w:val="clear" w:color="000000" w:fill="FFFFFF"/>
            <w:vAlign w:val="center"/>
          </w:tcPr>
          <w:p w14:paraId="0BE27BAB">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5A0BC9F6">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w:t>
            </w:r>
          </w:p>
        </w:tc>
        <w:tc>
          <w:tcPr>
            <w:tcW w:w="1641" w:type="dxa"/>
            <w:tcBorders>
              <w:top w:val="nil"/>
              <w:left w:val="nil"/>
              <w:bottom w:val="single" w:color="auto" w:sz="4" w:space="0"/>
              <w:right w:val="single" w:color="auto" w:sz="4" w:space="0"/>
            </w:tcBorders>
            <w:shd w:val="clear" w:color="000000" w:fill="FFFFFF"/>
            <w:noWrap/>
            <w:vAlign w:val="center"/>
          </w:tcPr>
          <w:p w14:paraId="16B7DE58">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103332DA">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24265D32">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5EC65D35">
        <w:tblPrEx>
          <w:tblCellMar>
            <w:top w:w="0" w:type="dxa"/>
            <w:left w:w="108" w:type="dxa"/>
            <w:bottom w:w="0" w:type="dxa"/>
            <w:right w:w="108" w:type="dxa"/>
          </w:tblCellMar>
        </w:tblPrEx>
        <w:trPr>
          <w:trHeight w:val="567" w:hRule="atLeast"/>
        </w:trPr>
        <w:tc>
          <w:tcPr>
            <w:tcW w:w="1091" w:type="dxa"/>
            <w:tcBorders>
              <w:top w:val="nil"/>
              <w:left w:val="single" w:color="auto" w:sz="4" w:space="0"/>
              <w:bottom w:val="nil"/>
              <w:right w:val="single" w:color="auto" w:sz="4" w:space="0"/>
            </w:tcBorders>
            <w:shd w:val="clear" w:color="000000" w:fill="FFFFFF"/>
            <w:noWrap/>
            <w:vAlign w:val="center"/>
          </w:tcPr>
          <w:p w14:paraId="26F23C19">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（七）</w:t>
            </w:r>
          </w:p>
        </w:tc>
        <w:tc>
          <w:tcPr>
            <w:tcW w:w="1961" w:type="dxa"/>
            <w:tcBorders>
              <w:top w:val="nil"/>
              <w:left w:val="nil"/>
              <w:bottom w:val="nil"/>
              <w:right w:val="single" w:color="auto" w:sz="4" w:space="0"/>
            </w:tcBorders>
            <w:shd w:val="clear" w:color="000000" w:fill="FFFFFF"/>
            <w:noWrap/>
            <w:vAlign w:val="center"/>
          </w:tcPr>
          <w:p w14:paraId="3C0ABE4A">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系统集成</w:t>
            </w:r>
          </w:p>
        </w:tc>
        <w:tc>
          <w:tcPr>
            <w:tcW w:w="4996" w:type="dxa"/>
            <w:tcBorders>
              <w:top w:val="nil"/>
              <w:left w:val="nil"/>
              <w:bottom w:val="nil"/>
              <w:right w:val="single" w:color="auto" w:sz="4" w:space="0"/>
            </w:tcBorders>
            <w:shd w:val="clear" w:color="000000" w:fill="FFFFFF"/>
            <w:noWrap/>
            <w:vAlign w:val="center"/>
          </w:tcPr>
          <w:p w14:paraId="3F6C091C">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c>
          <w:tcPr>
            <w:tcW w:w="872" w:type="dxa"/>
            <w:tcBorders>
              <w:top w:val="nil"/>
              <w:left w:val="nil"/>
              <w:bottom w:val="single" w:color="auto" w:sz="4" w:space="0"/>
              <w:right w:val="single" w:color="auto" w:sz="4" w:space="0"/>
            </w:tcBorders>
            <w:shd w:val="clear" w:color="000000" w:fill="FFFFFF"/>
            <w:noWrap/>
            <w:vAlign w:val="center"/>
          </w:tcPr>
          <w:p w14:paraId="2AB9F55A">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c>
          <w:tcPr>
            <w:tcW w:w="856" w:type="dxa"/>
            <w:tcBorders>
              <w:top w:val="nil"/>
              <w:left w:val="nil"/>
              <w:bottom w:val="single" w:color="auto" w:sz="4" w:space="0"/>
              <w:right w:val="single" w:color="auto" w:sz="4" w:space="0"/>
            </w:tcBorders>
            <w:shd w:val="clear" w:color="000000" w:fill="FFFFFF"/>
            <w:noWrap/>
            <w:vAlign w:val="center"/>
          </w:tcPr>
          <w:p w14:paraId="3F9C9F49">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c>
          <w:tcPr>
            <w:tcW w:w="1641" w:type="dxa"/>
            <w:tcBorders>
              <w:top w:val="nil"/>
              <w:left w:val="nil"/>
              <w:bottom w:val="single" w:color="auto" w:sz="4" w:space="0"/>
              <w:right w:val="single" w:color="auto" w:sz="4" w:space="0"/>
            </w:tcBorders>
            <w:shd w:val="clear" w:color="000000" w:fill="FFFFFF"/>
            <w:noWrap/>
            <w:vAlign w:val="center"/>
          </w:tcPr>
          <w:p w14:paraId="460FE7B4">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c>
          <w:tcPr>
            <w:tcW w:w="0" w:type="auto"/>
            <w:tcBorders>
              <w:top w:val="nil"/>
              <w:left w:val="nil"/>
              <w:bottom w:val="nil"/>
              <w:right w:val="single" w:color="auto" w:sz="4" w:space="0"/>
            </w:tcBorders>
            <w:shd w:val="clear" w:color="000000" w:fill="FFFFFF"/>
            <w:noWrap/>
            <w:vAlign w:val="center"/>
          </w:tcPr>
          <w:p w14:paraId="444A1F13">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c>
          <w:tcPr>
            <w:tcW w:w="0" w:type="auto"/>
            <w:tcBorders>
              <w:top w:val="nil"/>
              <w:left w:val="nil"/>
              <w:bottom w:val="nil"/>
              <w:right w:val="single" w:color="auto" w:sz="4" w:space="0"/>
            </w:tcBorders>
            <w:shd w:val="clear" w:color="000000" w:fill="FFFFFF"/>
            <w:noWrap/>
            <w:vAlign w:val="center"/>
          </w:tcPr>
          <w:p w14:paraId="1A04BFF5">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7E94B8DF">
        <w:tblPrEx>
          <w:tblCellMar>
            <w:top w:w="0" w:type="dxa"/>
            <w:left w:w="108" w:type="dxa"/>
            <w:bottom w:w="0" w:type="dxa"/>
            <w:right w:w="108" w:type="dxa"/>
          </w:tblCellMar>
        </w:tblPrEx>
        <w:trPr>
          <w:trHeight w:val="567" w:hRule="atLeast"/>
        </w:trPr>
        <w:tc>
          <w:tcPr>
            <w:tcW w:w="1091"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00A5640D">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7.1</w:t>
            </w:r>
          </w:p>
        </w:tc>
        <w:tc>
          <w:tcPr>
            <w:tcW w:w="1961" w:type="dxa"/>
            <w:tcBorders>
              <w:top w:val="single" w:color="auto" w:sz="4" w:space="0"/>
              <w:left w:val="nil"/>
              <w:bottom w:val="single" w:color="auto" w:sz="4" w:space="0"/>
              <w:right w:val="single" w:color="auto" w:sz="4" w:space="0"/>
            </w:tcBorders>
            <w:shd w:val="clear" w:color="000000" w:fill="FFFFFF"/>
            <w:vAlign w:val="center"/>
          </w:tcPr>
          <w:p w14:paraId="603D4638">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病毒隔离墙</w:t>
            </w:r>
          </w:p>
        </w:tc>
        <w:tc>
          <w:tcPr>
            <w:tcW w:w="4996" w:type="dxa"/>
            <w:tcBorders>
              <w:top w:val="single" w:color="auto" w:sz="4" w:space="0"/>
              <w:left w:val="nil"/>
              <w:bottom w:val="single" w:color="auto" w:sz="4" w:space="0"/>
              <w:right w:val="single" w:color="auto" w:sz="4" w:space="0"/>
            </w:tcBorders>
            <w:shd w:val="clear" w:color="000000" w:fill="FFFFFF"/>
            <w:vAlign w:val="center"/>
          </w:tcPr>
          <w:p w14:paraId="0BBCD875">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1U机箱，2个光纤万兆口，6个千兆电口；</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白名单方式硬件网络病毒隔离墙，IP输入输出接口，用于非编网与播出网之间的素材隔离；</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确保播出安全,支持常见的视音频、图片以及文本等文件,文件内容深度分析,灵活的传输规则,跨网段传输,安全性高、无需病毒库升级。                                                    ▲提供公安部信息安全产品检测中心出具关于“网络隔离墙”的检验报告</w:t>
            </w:r>
          </w:p>
        </w:tc>
        <w:tc>
          <w:tcPr>
            <w:tcW w:w="872" w:type="dxa"/>
            <w:tcBorders>
              <w:top w:val="nil"/>
              <w:left w:val="nil"/>
              <w:bottom w:val="single" w:color="auto" w:sz="4" w:space="0"/>
              <w:right w:val="single" w:color="auto" w:sz="4" w:space="0"/>
            </w:tcBorders>
            <w:shd w:val="clear" w:color="000000" w:fill="FFFFFF"/>
            <w:vAlign w:val="center"/>
          </w:tcPr>
          <w:p w14:paraId="7CA98C1B">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5EEC181E">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3</w:t>
            </w:r>
          </w:p>
        </w:tc>
        <w:tc>
          <w:tcPr>
            <w:tcW w:w="1641" w:type="dxa"/>
            <w:tcBorders>
              <w:top w:val="nil"/>
              <w:left w:val="nil"/>
              <w:bottom w:val="single" w:color="auto" w:sz="4" w:space="0"/>
              <w:right w:val="single" w:color="auto" w:sz="4" w:space="0"/>
            </w:tcBorders>
            <w:shd w:val="clear" w:color="000000" w:fill="FFFFFF"/>
            <w:noWrap/>
            <w:vAlign w:val="center"/>
          </w:tcPr>
          <w:p w14:paraId="0B92065C">
            <w:pPr>
              <w:widowControl/>
              <w:jc w:val="right"/>
              <w:rPr>
                <w:rFonts w:hint="eastAsia" w:ascii="宋体" w:hAnsi="宋体" w:eastAsia="宋体" w:cs="宋体"/>
                <w:color w:val="000000"/>
                <w:kern w:val="0"/>
                <w:sz w:val="24"/>
                <w:szCs w:val="24"/>
                <w14:ligatures w14:val="none"/>
              </w:rPr>
            </w:pPr>
          </w:p>
        </w:tc>
        <w:tc>
          <w:tcPr>
            <w:tcW w:w="0" w:type="auto"/>
            <w:tcBorders>
              <w:top w:val="single" w:color="auto" w:sz="4" w:space="0"/>
              <w:left w:val="nil"/>
              <w:bottom w:val="single" w:color="auto" w:sz="4" w:space="0"/>
              <w:right w:val="single" w:color="auto" w:sz="4" w:space="0"/>
            </w:tcBorders>
            <w:shd w:val="clear" w:color="000000" w:fill="FFFFFF"/>
            <w:noWrap/>
            <w:vAlign w:val="center"/>
          </w:tcPr>
          <w:p w14:paraId="1178183A">
            <w:pPr>
              <w:widowControl/>
              <w:jc w:val="right"/>
              <w:rPr>
                <w:rFonts w:hint="eastAsia" w:ascii="宋体" w:hAnsi="宋体" w:eastAsia="宋体" w:cs="宋体"/>
                <w:color w:val="000000"/>
                <w:kern w:val="0"/>
                <w:sz w:val="24"/>
                <w:szCs w:val="24"/>
                <w14:ligatures w14:val="none"/>
              </w:rPr>
            </w:pPr>
          </w:p>
        </w:tc>
        <w:tc>
          <w:tcPr>
            <w:tcW w:w="0" w:type="auto"/>
            <w:tcBorders>
              <w:top w:val="single" w:color="auto" w:sz="4" w:space="0"/>
              <w:left w:val="nil"/>
              <w:bottom w:val="single" w:color="auto" w:sz="4" w:space="0"/>
              <w:right w:val="single" w:color="auto" w:sz="4" w:space="0"/>
            </w:tcBorders>
            <w:shd w:val="clear" w:color="000000" w:fill="FFFFFF"/>
            <w:noWrap/>
            <w:vAlign w:val="center"/>
          </w:tcPr>
          <w:p w14:paraId="095717A2">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5F9A4DB5">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0139F371">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7.2</w:t>
            </w:r>
          </w:p>
        </w:tc>
        <w:tc>
          <w:tcPr>
            <w:tcW w:w="1961" w:type="dxa"/>
            <w:tcBorders>
              <w:top w:val="nil"/>
              <w:left w:val="nil"/>
              <w:bottom w:val="single" w:color="auto" w:sz="4" w:space="0"/>
              <w:right w:val="single" w:color="auto" w:sz="4" w:space="0"/>
            </w:tcBorders>
            <w:shd w:val="clear" w:color="000000" w:fill="FFFFFF"/>
            <w:vAlign w:val="center"/>
          </w:tcPr>
          <w:p w14:paraId="7EB47876">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USB3.0病毒隔离墙</w:t>
            </w:r>
          </w:p>
        </w:tc>
        <w:tc>
          <w:tcPr>
            <w:tcW w:w="4996" w:type="dxa"/>
            <w:tcBorders>
              <w:top w:val="nil"/>
              <w:left w:val="nil"/>
              <w:bottom w:val="single" w:color="auto" w:sz="4" w:space="0"/>
              <w:right w:val="single" w:color="auto" w:sz="4" w:space="0"/>
            </w:tcBorders>
            <w:shd w:val="clear" w:color="000000" w:fill="FFFFFF"/>
            <w:vAlign w:val="center"/>
          </w:tcPr>
          <w:p w14:paraId="58C46674">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1RU,19英寸机箱，USB-IP网络病毒隔离墙，4个USB3.0输入，配备USB延长线。</w:t>
            </w:r>
          </w:p>
        </w:tc>
        <w:tc>
          <w:tcPr>
            <w:tcW w:w="872" w:type="dxa"/>
            <w:tcBorders>
              <w:top w:val="nil"/>
              <w:left w:val="nil"/>
              <w:bottom w:val="single" w:color="auto" w:sz="4" w:space="0"/>
              <w:right w:val="single" w:color="auto" w:sz="4" w:space="0"/>
            </w:tcBorders>
            <w:shd w:val="clear" w:color="000000" w:fill="FFFFFF"/>
            <w:vAlign w:val="center"/>
          </w:tcPr>
          <w:p w14:paraId="6AAE6A3F">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61E45D83">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4</w:t>
            </w:r>
          </w:p>
        </w:tc>
        <w:tc>
          <w:tcPr>
            <w:tcW w:w="1641" w:type="dxa"/>
            <w:tcBorders>
              <w:top w:val="nil"/>
              <w:left w:val="nil"/>
              <w:bottom w:val="single" w:color="auto" w:sz="4" w:space="0"/>
              <w:right w:val="single" w:color="auto" w:sz="4" w:space="0"/>
            </w:tcBorders>
            <w:shd w:val="clear" w:color="000000" w:fill="FFFFFF"/>
            <w:noWrap/>
            <w:vAlign w:val="center"/>
          </w:tcPr>
          <w:p w14:paraId="008FBC6E">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5F74E72E">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66714502">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3D579042">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47FB4DBA">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7.3</w:t>
            </w:r>
          </w:p>
        </w:tc>
        <w:tc>
          <w:tcPr>
            <w:tcW w:w="1961" w:type="dxa"/>
            <w:tcBorders>
              <w:top w:val="nil"/>
              <w:left w:val="nil"/>
              <w:bottom w:val="single" w:color="auto" w:sz="4" w:space="0"/>
              <w:right w:val="single" w:color="auto" w:sz="4" w:space="0"/>
            </w:tcBorders>
            <w:shd w:val="clear" w:color="000000" w:fill="FFFFFF"/>
            <w:vAlign w:val="center"/>
          </w:tcPr>
          <w:p w14:paraId="65324209">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上下变换设备</w:t>
            </w:r>
          </w:p>
        </w:tc>
        <w:tc>
          <w:tcPr>
            <w:tcW w:w="4996" w:type="dxa"/>
            <w:tcBorders>
              <w:top w:val="nil"/>
              <w:left w:val="nil"/>
              <w:bottom w:val="single" w:color="auto" w:sz="4" w:space="0"/>
              <w:right w:val="single" w:color="auto" w:sz="4" w:space="0"/>
            </w:tcBorders>
            <w:shd w:val="clear" w:color="000000" w:fill="FFFFFF"/>
            <w:vAlign w:val="center"/>
          </w:tcPr>
          <w:p w14:paraId="7D57022F">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可在任何SD或HD视频格式之间进行转换。</w:t>
            </w:r>
          </w:p>
        </w:tc>
        <w:tc>
          <w:tcPr>
            <w:tcW w:w="872" w:type="dxa"/>
            <w:tcBorders>
              <w:top w:val="nil"/>
              <w:left w:val="nil"/>
              <w:bottom w:val="single" w:color="auto" w:sz="4" w:space="0"/>
              <w:right w:val="single" w:color="auto" w:sz="4" w:space="0"/>
            </w:tcBorders>
            <w:shd w:val="clear" w:color="000000" w:fill="FFFFFF"/>
            <w:vAlign w:val="center"/>
          </w:tcPr>
          <w:p w14:paraId="0A366EA7">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1AB59ACB">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4</w:t>
            </w:r>
          </w:p>
        </w:tc>
        <w:tc>
          <w:tcPr>
            <w:tcW w:w="1641" w:type="dxa"/>
            <w:tcBorders>
              <w:top w:val="nil"/>
              <w:left w:val="nil"/>
              <w:bottom w:val="single" w:color="auto" w:sz="4" w:space="0"/>
              <w:right w:val="single" w:color="auto" w:sz="4" w:space="0"/>
            </w:tcBorders>
            <w:shd w:val="clear" w:color="000000" w:fill="FFFFFF"/>
            <w:noWrap/>
            <w:vAlign w:val="center"/>
          </w:tcPr>
          <w:p w14:paraId="64C097EA">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625ECD4F">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4C138798">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13C9DCF8">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353B2D59">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7.4</w:t>
            </w:r>
          </w:p>
        </w:tc>
        <w:tc>
          <w:tcPr>
            <w:tcW w:w="1961" w:type="dxa"/>
            <w:tcBorders>
              <w:top w:val="nil"/>
              <w:left w:val="nil"/>
              <w:bottom w:val="single" w:color="auto" w:sz="4" w:space="0"/>
              <w:right w:val="single" w:color="auto" w:sz="4" w:space="0"/>
            </w:tcBorders>
            <w:shd w:val="clear" w:color="000000" w:fill="FFFFFF"/>
            <w:vAlign w:val="center"/>
          </w:tcPr>
          <w:p w14:paraId="7C84F38A">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视频跳线盘</w:t>
            </w:r>
          </w:p>
        </w:tc>
        <w:tc>
          <w:tcPr>
            <w:tcW w:w="4996" w:type="dxa"/>
            <w:tcBorders>
              <w:top w:val="nil"/>
              <w:left w:val="nil"/>
              <w:bottom w:val="single" w:color="auto" w:sz="4" w:space="0"/>
              <w:right w:val="single" w:color="auto" w:sz="4" w:space="0"/>
            </w:tcBorders>
            <w:shd w:val="clear" w:color="000000" w:fill="FFFFFF"/>
            <w:vAlign w:val="center"/>
          </w:tcPr>
          <w:p w14:paraId="1D85A154">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广播级26路视频跳线盘1U 高清传输；</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含1米跳线2根</w:t>
            </w:r>
          </w:p>
        </w:tc>
        <w:tc>
          <w:tcPr>
            <w:tcW w:w="872" w:type="dxa"/>
            <w:tcBorders>
              <w:top w:val="nil"/>
              <w:left w:val="nil"/>
              <w:bottom w:val="single" w:color="auto" w:sz="4" w:space="0"/>
              <w:right w:val="single" w:color="auto" w:sz="4" w:space="0"/>
            </w:tcBorders>
            <w:shd w:val="clear" w:color="000000" w:fill="FFFFFF"/>
            <w:vAlign w:val="center"/>
          </w:tcPr>
          <w:p w14:paraId="46905873">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套</w:t>
            </w:r>
          </w:p>
        </w:tc>
        <w:tc>
          <w:tcPr>
            <w:tcW w:w="856" w:type="dxa"/>
            <w:tcBorders>
              <w:top w:val="nil"/>
              <w:left w:val="nil"/>
              <w:bottom w:val="single" w:color="auto" w:sz="4" w:space="0"/>
              <w:right w:val="single" w:color="auto" w:sz="4" w:space="0"/>
            </w:tcBorders>
            <w:shd w:val="clear" w:color="000000" w:fill="FFFFFF"/>
            <w:vAlign w:val="center"/>
          </w:tcPr>
          <w:p w14:paraId="036EE0BE">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5</w:t>
            </w:r>
          </w:p>
        </w:tc>
        <w:tc>
          <w:tcPr>
            <w:tcW w:w="1641" w:type="dxa"/>
            <w:tcBorders>
              <w:top w:val="nil"/>
              <w:left w:val="nil"/>
              <w:bottom w:val="single" w:color="auto" w:sz="4" w:space="0"/>
              <w:right w:val="single" w:color="auto" w:sz="4" w:space="0"/>
            </w:tcBorders>
            <w:shd w:val="clear" w:color="000000" w:fill="FFFFFF"/>
            <w:noWrap/>
            <w:vAlign w:val="center"/>
          </w:tcPr>
          <w:p w14:paraId="5CA8EDA9">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025C34AA">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1F0A3878">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3F44F51E">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1B01D750">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7.5</w:t>
            </w:r>
          </w:p>
        </w:tc>
        <w:tc>
          <w:tcPr>
            <w:tcW w:w="1961" w:type="dxa"/>
            <w:tcBorders>
              <w:top w:val="nil"/>
              <w:left w:val="nil"/>
              <w:bottom w:val="single" w:color="auto" w:sz="4" w:space="0"/>
              <w:right w:val="single" w:color="auto" w:sz="4" w:space="0"/>
            </w:tcBorders>
            <w:shd w:val="clear" w:color="000000" w:fill="FFFFFF"/>
            <w:vAlign w:val="center"/>
          </w:tcPr>
          <w:p w14:paraId="10DA4A2F">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48口千兆电+4口万兆光口交换机</w:t>
            </w:r>
          </w:p>
        </w:tc>
        <w:tc>
          <w:tcPr>
            <w:tcW w:w="4996" w:type="dxa"/>
            <w:tcBorders>
              <w:top w:val="nil"/>
              <w:left w:val="nil"/>
              <w:bottom w:val="single" w:color="auto" w:sz="4" w:space="0"/>
              <w:right w:val="single" w:color="auto" w:sz="4" w:space="0"/>
            </w:tcBorders>
            <w:shd w:val="clear" w:color="000000" w:fill="FFFFFF"/>
            <w:vAlign w:val="center"/>
          </w:tcPr>
          <w:p w14:paraId="759B6022">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48口千兆电+4口万兆光口标准三层网络全管理可堆叠</w:t>
            </w:r>
          </w:p>
        </w:tc>
        <w:tc>
          <w:tcPr>
            <w:tcW w:w="872" w:type="dxa"/>
            <w:tcBorders>
              <w:top w:val="nil"/>
              <w:left w:val="nil"/>
              <w:bottom w:val="single" w:color="auto" w:sz="4" w:space="0"/>
              <w:right w:val="single" w:color="auto" w:sz="4" w:space="0"/>
            </w:tcBorders>
            <w:shd w:val="clear" w:color="000000" w:fill="FFFFFF"/>
            <w:vAlign w:val="center"/>
          </w:tcPr>
          <w:p w14:paraId="04B40E9F">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7C91E888">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2</w:t>
            </w:r>
          </w:p>
        </w:tc>
        <w:tc>
          <w:tcPr>
            <w:tcW w:w="1641" w:type="dxa"/>
            <w:tcBorders>
              <w:top w:val="nil"/>
              <w:left w:val="nil"/>
              <w:bottom w:val="single" w:color="auto" w:sz="4" w:space="0"/>
              <w:right w:val="single" w:color="auto" w:sz="4" w:space="0"/>
            </w:tcBorders>
            <w:shd w:val="clear" w:color="000000" w:fill="FFFFFF"/>
            <w:noWrap/>
            <w:vAlign w:val="center"/>
          </w:tcPr>
          <w:p w14:paraId="3DFBF8E9">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33F88F0A">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09368082">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6BEAE33F">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26079C4A">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7.6</w:t>
            </w:r>
          </w:p>
        </w:tc>
        <w:tc>
          <w:tcPr>
            <w:tcW w:w="1961" w:type="dxa"/>
            <w:tcBorders>
              <w:top w:val="nil"/>
              <w:left w:val="nil"/>
              <w:bottom w:val="single" w:color="auto" w:sz="4" w:space="0"/>
              <w:right w:val="single" w:color="auto" w:sz="4" w:space="0"/>
            </w:tcBorders>
            <w:shd w:val="clear" w:color="000000" w:fill="FFFFFF"/>
            <w:vAlign w:val="center"/>
          </w:tcPr>
          <w:p w14:paraId="3F9AE706">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KVM</w:t>
            </w:r>
          </w:p>
        </w:tc>
        <w:tc>
          <w:tcPr>
            <w:tcW w:w="4996" w:type="dxa"/>
            <w:tcBorders>
              <w:top w:val="nil"/>
              <w:left w:val="nil"/>
              <w:bottom w:val="single" w:color="auto" w:sz="4" w:space="0"/>
              <w:right w:val="single" w:color="auto" w:sz="4" w:space="0"/>
            </w:tcBorders>
            <w:shd w:val="clear" w:color="000000" w:fill="FFFFFF"/>
            <w:vAlign w:val="center"/>
          </w:tcPr>
          <w:p w14:paraId="4E207CCE">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USB&amp;PS/2控制台，可操作8台电脑，机架带LCD,0SD菜单选择(17")</w:t>
            </w:r>
          </w:p>
        </w:tc>
        <w:tc>
          <w:tcPr>
            <w:tcW w:w="872" w:type="dxa"/>
            <w:tcBorders>
              <w:top w:val="nil"/>
              <w:left w:val="nil"/>
              <w:bottom w:val="single" w:color="auto" w:sz="4" w:space="0"/>
              <w:right w:val="single" w:color="auto" w:sz="4" w:space="0"/>
            </w:tcBorders>
            <w:shd w:val="clear" w:color="000000" w:fill="FFFFFF"/>
            <w:vAlign w:val="center"/>
          </w:tcPr>
          <w:p w14:paraId="1DD9E811">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3ED8619D">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2</w:t>
            </w:r>
          </w:p>
        </w:tc>
        <w:tc>
          <w:tcPr>
            <w:tcW w:w="1641" w:type="dxa"/>
            <w:tcBorders>
              <w:top w:val="nil"/>
              <w:left w:val="nil"/>
              <w:bottom w:val="single" w:color="auto" w:sz="4" w:space="0"/>
              <w:right w:val="single" w:color="auto" w:sz="4" w:space="0"/>
            </w:tcBorders>
            <w:shd w:val="clear" w:color="000000" w:fill="FFFFFF"/>
            <w:noWrap/>
            <w:vAlign w:val="center"/>
          </w:tcPr>
          <w:p w14:paraId="699B7EC6">
            <w:pPr>
              <w:keepNext w:val="0"/>
              <w:keepLines w:val="0"/>
              <w:widowControl/>
              <w:suppressLineNumbers w:val="0"/>
              <w:jc w:val="right"/>
              <w:textAlignment w:val="center"/>
              <w:rPr>
                <w:rFonts w:hint="eastAsia" w:ascii="宋体" w:hAnsi="宋体" w:eastAsia="宋体" w:cs="宋体"/>
                <w:color w:val="000000"/>
                <w:kern w:val="0"/>
                <w:sz w:val="24"/>
                <w:szCs w:val="24"/>
                <w14:ligatures w14:val="none"/>
              </w:rPr>
            </w:pPr>
          </w:p>
        </w:tc>
        <w:tc>
          <w:tcPr>
            <w:tcW w:w="1756" w:type="dxa"/>
            <w:tcBorders>
              <w:top w:val="nil"/>
              <w:left w:val="nil"/>
              <w:bottom w:val="single" w:color="auto" w:sz="4" w:space="0"/>
              <w:right w:val="single" w:color="auto" w:sz="4" w:space="0"/>
            </w:tcBorders>
            <w:shd w:val="clear" w:color="000000" w:fill="FFFFFF"/>
            <w:noWrap/>
            <w:vAlign w:val="center"/>
          </w:tcPr>
          <w:p w14:paraId="2D0C5775">
            <w:pPr>
              <w:keepNext w:val="0"/>
              <w:keepLines w:val="0"/>
              <w:widowControl/>
              <w:suppressLineNumbers w:val="0"/>
              <w:jc w:val="right"/>
              <w:textAlignment w:val="center"/>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2055FA14">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2A85D4D3">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4D3D39C7">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7.7</w:t>
            </w:r>
          </w:p>
        </w:tc>
        <w:tc>
          <w:tcPr>
            <w:tcW w:w="1961" w:type="dxa"/>
            <w:tcBorders>
              <w:top w:val="nil"/>
              <w:left w:val="nil"/>
              <w:bottom w:val="single" w:color="auto" w:sz="4" w:space="0"/>
              <w:right w:val="single" w:color="auto" w:sz="4" w:space="0"/>
            </w:tcBorders>
            <w:shd w:val="clear" w:color="000000" w:fill="FFFFFF"/>
            <w:vAlign w:val="center"/>
          </w:tcPr>
          <w:p w14:paraId="4A113C81">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电视墙</w:t>
            </w:r>
          </w:p>
        </w:tc>
        <w:tc>
          <w:tcPr>
            <w:tcW w:w="4996" w:type="dxa"/>
            <w:tcBorders>
              <w:top w:val="nil"/>
              <w:left w:val="nil"/>
              <w:bottom w:val="single" w:color="auto" w:sz="4" w:space="0"/>
              <w:right w:val="single" w:color="auto" w:sz="4" w:space="0"/>
            </w:tcBorders>
            <w:shd w:val="clear" w:color="000000" w:fill="FFFFFF"/>
            <w:vAlign w:val="center"/>
          </w:tcPr>
          <w:p w14:paraId="31C1A311">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电视墙安装18台55"电视机，配置顶端配置LED屏，考虑LED屏及LED屏两端双子钟开口要求等；</w:t>
            </w:r>
          </w:p>
        </w:tc>
        <w:tc>
          <w:tcPr>
            <w:tcW w:w="872" w:type="dxa"/>
            <w:tcBorders>
              <w:top w:val="nil"/>
              <w:left w:val="nil"/>
              <w:bottom w:val="single" w:color="auto" w:sz="4" w:space="0"/>
              <w:right w:val="single" w:color="auto" w:sz="4" w:space="0"/>
            </w:tcBorders>
            <w:shd w:val="clear" w:color="000000" w:fill="FFFFFF"/>
            <w:vAlign w:val="center"/>
          </w:tcPr>
          <w:p w14:paraId="7E00509E">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宗</w:t>
            </w:r>
          </w:p>
        </w:tc>
        <w:tc>
          <w:tcPr>
            <w:tcW w:w="856" w:type="dxa"/>
            <w:tcBorders>
              <w:top w:val="nil"/>
              <w:left w:val="nil"/>
              <w:bottom w:val="single" w:color="auto" w:sz="4" w:space="0"/>
              <w:right w:val="single" w:color="auto" w:sz="4" w:space="0"/>
            </w:tcBorders>
            <w:shd w:val="clear" w:color="000000" w:fill="FFFFFF"/>
            <w:vAlign w:val="center"/>
          </w:tcPr>
          <w:p w14:paraId="380D864B">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w:t>
            </w:r>
          </w:p>
        </w:tc>
        <w:tc>
          <w:tcPr>
            <w:tcW w:w="1641" w:type="dxa"/>
            <w:tcBorders>
              <w:top w:val="nil"/>
              <w:left w:val="nil"/>
              <w:bottom w:val="single" w:color="auto" w:sz="4" w:space="0"/>
              <w:right w:val="single" w:color="auto" w:sz="4" w:space="0"/>
            </w:tcBorders>
            <w:shd w:val="clear" w:color="000000" w:fill="FFFFFF"/>
            <w:noWrap/>
            <w:vAlign w:val="center"/>
          </w:tcPr>
          <w:p w14:paraId="15522ECD">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60B8EE75">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5A6F53C8">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5A6BA038">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1911C349">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7.8</w:t>
            </w:r>
          </w:p>
        </w:tc>
        <w:tc>
          <w:tcPr>
            <w:tcW w:w="1961" w:type="dxa"/>
            <w:tcBorders>
              <w:top w:val="nil"/>
              <w:left w:val="nil"/>
              <w:bottom w:val="single" w:color="auto" w:sz="4" w:space="0"/>
              <w:right w:val="single" w:color="auto" w:sz="4" w:space="0"/>
            </w:tcBorders>
            <w:shd w:val="clear" w:color="000000" w:fill="FFFFFF"/>
            <w:vAlign w:val="center"/>
          </w:tcPr>
          <w:p w14:paraId="2B3A17EA">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操控台（含配套）</w:t>
            </w:r>
          </w:p>
        </w:tc>
        <w:tc>
          <w:tcPr>
            <w:tcW w:w="4996" w:type="dxa"/>
            <w:tcBorders>
              <w:top w:val="nil"/>
              <w:left w:val="nil"/>
              <w:bottom w:val="single" w:color="auto" w:sz="4" w:space="0"/>
              <w:right w:val="single" w:color="auto" w:sz="4" w:space="0"/>
            </w:tcBorders>
            <w:shd w:val="clear" w:color="000000" w:fill="FFFFFF"/>
            <w:vAlign w:val="center"/>
          </w:tcPr>
          <w:p w14:paraId="685EB698">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开放式双联操控台，共18工位。</w:t>
            </w:r>
          </w:p>
        </w:tc>
        <w:tc>
          <w:tcPr>
            <w:tcW w:w="872" w:type="dxa"/>
            <w:tcBorders>
              <w:top w:val="nil"/>
              <w:left w:val="nil"/>
              <w:bottom w:val="single" w:color="auto" w:sz="4" w:space="0"/>
              <w:right w:val="single" w:color="auto" w:sz="4" w:space="0"/>
            </w:tcBorders>
            <w:shd w:val="clear" w:color="000000" w:fill="FFFFFF"/>
            <w:vAlign w:val="center"/>
          </w:tcPr>
          <w:p w14:paraId="2C15D4FA">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项</w:t>
            </w:r>
          </w:p>
        </w:tc>
        <w:tc>
          <w:tcPr>
            <w:tcW w:w="856" w:type="dxa"/>
            <w:tcBorders>
              <w:top w:val="nil"/>
              <w:left w:val="nil"/>
              <w:bottom w:val="single" w:color="auto" w:sz="4" w:space="0"/>
              <w:right w:val="single" w:color="auto" w:sz="4" w:space="0"/>
            </w:tcBorders>
            <w:shd w:val="clear" w:color="000000" w:fill="FFFFFF"/>
            <w:vAlign w:val="center"/>
          </w:tcPr>
          <w:p w14:paraId="499AAB47">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w:t>
            </w:r>
          </w:p>
        </w:tc>
        <w:tc>
          <w:tcPr>
            <w:tcW w:w="1641" w:type="dxa"/>
            <w:tcBorders>
              <w:top w:val="nil"/>
              <w:left w:val="nil"/>
              <w:bottom w:val="single" w:color="auto" w:sz="4" w:space="0"/>
              <w:right w:val="single" w:color="auto" w:sz="4" w:space="0"/>
            </w:tcBorders>
            <w:shd w:val="clear" w:color="000000" w:fill="FFFFFF"/>
            <w:noWrap/>
            <w:vAlign w:val="center"/>
          </w:tcPr>
          <w:p w14:paraId="7D56E7D1">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628DD102">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69D1A32A">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49A16EC0">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6AC914D3">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7.9</w:t>
            </w:r>
          </w:p>
        </w:tc>
        <w:tc>
          <w:tcPr>
            <w:tcW w:w="1961" w:type="dxa"/>
            <w:tcBorders>
              <w:top w:val="nil"/>
              <w:left w:val="nil"/>
              <w:bottom w:val="single" w:color="auto" w:sz="4" w:space="0"/>
              <w:right w:val="single" w:color="auto" w:sz="4" w:space="0"/>
            </w:tcBorders>
            <w:shd w:val="clear" w:color="000000" w:fill="FFFFFF"/>
            <w:vAlign w:val="center"/>
          </w:tcPr>
          <w:p w14:paraId="12BCBCE7">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线材辅材等</w:t>
            </w:r>
          </w:p>
        </w:tc>
        <w:tc>
          <w:tcPr>
            <w:tcW w:w="4996" w:type="dxa"/>
            <w:tcBorders>
              <w:top w:val="nil"/>
              <w:left w:val="nil"/>
              <w:bottom w:val="single" w:color="auto" w:sz="4" w:space="0"/>
              <w:right w:val="single" w:color="auto" w:sz="4" w:space="0"/>
            </w:tcBorders>
            <w:shd w:val="clear" w:color="000000" w:fill="FFFFFF"/>
            <w:vAlign w:val="center"/>
          </w:tcPr>
          <w:p w14:paraId="68D91502">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满足系统施工布线，-5进口视频线、进口BNC、进口音频线、六类千兆高速网线、六类水晶头、三芯屏蔽控制线、线圈号码管、捆绑扎带、标签等。含视频线、网线</w:t>
            </w:r>
            <w:r>
              <w:rPr>
                <w:rFonts w:hint="eastAsia" w:ascii="宋体" w:hAnsi="宋体" w:eastAsia="宋体" w:cs="宋体"/>
                <w:color w:val="000000"/>
                <w:kern w:val="0"/>
                <w:sz w:val="24"/>
                <w:szCs w:val="24"/>
                <w:lang w:val="en-US" w:eastAsia="zh-CN"/>
                <w14:ligatures w14:val="none"/>
              </w:rPr>
              <w:t>等</w:t>
            </w:r>
            <w:r>
              <w:rPr>
                <w:rFonts w:hint="eastAsia" w:ascii="宋体" w:hAnsi="宋体" w:eastAsia="宋体" w:cs="宋体"/>
                <w:color w:val="000000"/>
                <w:kern w:val="0"/>
                <w:sz w:val="24"/>
                <w:szCs w:val="24"/>
                <w14:ligatures w14:val="none"/>
              </w:rPr>
              <w:t>做线工具</w:t>
            </w:r>
          </w:p>
        </w:tc>
        <w:tc>
          <w:tcPr>
            <w:tcW w:w="872" w:type="dxa"/>
            <w:tcBorders>
              <w:top w:val="nil"/>
              <w:left w:val="nil"/>
              <w:bottom w:val="single" w:color="auto" w:sz="4" w:space="0"/>
              <w:right w:val="single" w:color="auto" w:sz="4" w:space="0"/>
            </w:tcBorders>
            <w:shd w:val="clear" w:color="000000" w:fill="FFFFFF"/>
            <w:vAlign w:val="center"/>
          </w:tcPr>
          <w:p w14:paraId="0A193880">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项</w:t>
            </w:r>
          </w:p>
        </w:tc>
        <w:tc>
          <w:tcPr>
            <w:tcW w:w="856" w:type="dxa"/>
            <w:tcBorders>
              <w:top w:val="nil"/>
              <w:left w:val="nil"/>
              <w:bottom w:val="single" w:color="auto" w:sz="4" w:space="0"/>
              <w:right w:val="single" w:color="auto" w:sz="4" w:space="0"/>
            </w:tcBorders>
            <w:shd w:val="clear" w:color="000000" w:fill="FFFFFF"/>
            <w:vAlign w:val="center"/>
          </w:tcPr>
          <w:p w14:paraId="694FA4AC">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w:t>
            </w:r>
          </w:p>
        </w:tc>
        <w:tc>
          <w:tcPr>
            <w:tcW w:w="1641" w:type="dxa"/>
            <w:tcBorders>
              <w:top w:val="nil"/>
              <w:left w:val="nil"/>
              <w:bottom w:val="single" w:color="auto" w:sz="4" w:space="0"/>
              <w:right w:val="single" w:color="auto" w:sz="4" w:space="0"/>
            </w:tcBorders>
            <w:shd w:val="clear" w:color="000000" w:fill="FFFFFF"/>
            <w:noWrap/>
            <w:vAlign w:val="center"/>
          </w:tcPr>
          <w:p w14:paraId="29736E0C">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73CB2B0A">
            <w:pPr>
              <w:widowControl/>
              <w:jc w:val="right"/>
              <w:rPr>
                <w:rFonts w:hint="default" w:ascii="宋体" w:hAnsi="宋体" w:eastAsia="宋体" w:cs="宋体"/>
                <w:color w:val="000000"/>
                <w:kern w:val="0"/>
                <w:sz w:val="24"/>
                <w:szCs w:val="24"/>
                <w:lang w:val="en-US" w:eastAsia="zh-CN"/>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1823850A">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45AEB40E">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355D89AD">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7.10</w:t>
            </w:r>
          </w:p>
        </w:tc>
        <w:tc>
          <w:tcPr>
            <w:tcW w:w="1961" w:type="dxa"/>
            <w:tcBorders>
              <w:top w:val="nil"/>
              <w:left w:val="nil"/>
              <w:bottom w:val="single" w:color="auto" w:sz="4" w:space="0"/>
              <w:right w:val="single" w:color="auto" w:sz="4" w:space="0"/>
            </w:tcBorders>
            <w:shd w:val="clear" w:color="000000" w:fill="FFFFFF"/>
            <w:vAlign w:val="center"/>
          </w:tcPr>
          <w:p w14:paraId="64506CF5">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安装服务费</w:t>
            </w:r>
          </w:p>
        </w:tc>
        <w:tc>
          <w:tcPr>
            <w:tcW w:w="4996" w:type="dxa"/>
            <w:tcBorders>
              <w:top w:val="nil"/>
              <w:left w:val="nil"/>
              <w:bottom w:val="single" w:color="auto" w:sz="4" w:space="0"/>
              <w:right w:val="single" w:color="auto" w:sz="4" w:space="0"/>
            </w:tcBorders>
            <w:shd w:val="clear" w:color="000000" w:fill="FFFFFF"/>
            <w:vAlign w:val="center"/>
          </w:tcPr>
          <w:p w14:paraId="642A81A4">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设备安装调试，系统测试等服务</w:t>
            </w:r>
          </w:p>
        </w:tc>
        <w:tc>
          <w:tcPr>
            <w:tcW w:w="872" w:type="dxa"/>
            <w:tcBorders>
              <w:top w:val="nil"/>
              <w:left w:val="nil"/>
              <w:bottom w:val="single" w:color="auto" w:sz="4" w:space="0"/>
              <w:right w:val="single" w:color="auto" w:sz="4" w:space="0"/>
            </w:tcBorders>
            <w:shd w:val="clear" w:color="000000" w:fill="FFFFFF"/>
            <w:vAlign w:val="center"/>
          </w:tcPr>
          <w:p w14:paraId="0E19C89A">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项</w:t>
            </w:r>
          </w:p>
        </w:tc>
        <w:tc>
          <w:tcPr>
            <w:tcW w:w="856" w:type="dxa"/>
            <w:tcBorders>
              <w:top w:val="nil"/>
              <w:left w:val="nil"/>
              <w:bottom w:val="single" w:color="auto" w:sz="4" w:space="0"/>
              <w:right w:val="single" w:color="auto" w:sz="4" w:space="0"/>
            </w:tcBorders>
            <w:shd w:val="clear" w:color="000000" w:fill="FFFFFF"/>
            <w:vAlign w:val="center"/>
          </w:tcPr>
          <w:p w14:paraId="51D13757">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w:t>
            </w:r>
          </w:p>
        </w:tc>
        <w:tc>
          <w:tcPr>
            <w:tcW w:w="1641" w:type="dxa"/>
            <w:tcBorders>
              <w:top w:val="nil"/>
              <w:left w:val="nil"/>
              <w:bottom w:val="single" w:color="auto" w:sz="4" w:space="0"/>
              <w:right w:val="single" w:color="auto" w:sz="4" w:space="0"/>
            </w:tcBorders>
            <w:shd w:val="clear" w:color="000000" w:fill="FFFFFF"/>
            <w:noWrap/>
            <w:vAlign w:val="center"/>
          </w:tcPr>
          <w:p w14:paraId="2C4D0FED">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7A6561D8">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53A8A7AB">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4F2A099F">
        <w:tblPrEx>
          <w:tblCellMar>
            <w:top w:w="0" w:type="dxa"/>
            <w:left w:w="108" w:type="dxa"/>
            <w:bottom w:w="0" w:type="dxa"/>
            <w:right w:w="108" w:type="dxa"/>
          </w:tblCellMar>
        </w:tblPrEx>
        <w:trPr>
          <w:trHeight w:val="567" w:hRule="atLeast"/>
        </w:trPr>
        <w:tc>
          <w:tcPr>
            <w:tcW w:w="1091" w:type="dxa"/>
            <w:tcBorders>
              <w:top w:val="nil"/>
              <w:left w:val="single" w:color="auto" w:sz="4" w:space="0"/>
              <w:bottom w:val="nil"/>
              <w:right w:val="single" w:color="auto" w:sz="4" w:space="0"/>
            </w:tcBorders>
            <w:shd w:val="clear" w:color="000000" w:fill="FFFFFF"/>
            <w:noWrap/>
            <w:vAlign w:val="center"/>
          </w:tcPr>
          <w:p w14:paraId="77D249FC">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三</w:t>
            </w:r>
          </w:p>
        </w:tc>
        <w:tc>
          <w:tcPr>
            <w:tcW w:w="1961" w:type="dxa"/>
            <w:tcBorders>
              <w:top w:val="nil"/>
              <w:left w:val="nil"/>
              <w:bottom w:val="nil"/>
              <w:right w:val="single" w:color="auto" w:sz="4" w:space="0"/>
            </w:tcBorders>
            <w:shd w:val="clear" w:color="000000" w:fill="FFFFFF"/>
            <w:vAlign w:val="center"/>
          </w:tcPr>
          <w:p w14:paraId="2C61A7FE">
            <w:pPr>
              <w:widowControl/>
              <w:jc w:val="center"/>
              <w:rPr>
                <w:rFonts w:hint="eastAsia" w:ascii="宋体" w:hAnsi="宋体" w:eastAsia="宋体" w:cs="宋体"/>
                <w:b/>
                <w:bCs/>
                <w:kern w:val="0"/>
                <w:sz w:val="24"/>
                <w:szCs w:val="24"/>
                <w14:ligatures w14:val="none"/>
              </w:rPr>
            </w:pPr>
            <w:r>
              <w:rPr>
                <w:rFonts w:hint="eastAsia" w:ascii="宋体" w:hAnsi="宋体" w:eastAsia="宋体" w:cs="宋体"/>
                <w:b/>
                <w:bCs/>
                <w:kern w:val="0"/>
                <w:sz w:val="24"/>
                <w:szCs w:val="24"/>
                <w14:ligatures w14:val="none"/>
              </w:rPr>
              <w:t>融媒体网络及网络安全建设</w:t>
            </w:r>
          </w:p>
        </w:tc>
        <w:tc>
          <w:tcPr>
            <w:tcW w:w="4996" w:type="dxa"/>
            <w:tcBorders>
              <w:top w:val="nil"/>
              <w:left w:val="nil"/>
              <w:bottom w:val="nil"/>
              <w:right w:val="single" w:color="auto" w:sz="4" w:space="0"/>
            </w:tcBorders>
            <w:shd w:val="clear" w:color="000000" w:fill="FFFFFF"/>
            <w:vAlign w:val="center"/>
          </w:tcPr>
          <w:p w14:paraId="61FBADCF">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　</w:t>
            </w:r>
          </w:p>
        </w:tc>
        <w:tc>
          <w:tcPr>
            <w:tcW w:w="872" w:type="dxa"/>
            <w:tcBorders>
              <w:top w:val="nil"/>
              <w:left w:val="nil"/>
              <w:bottom w:val="nil"/>
              <w:right w:val="single" w:color="auto" w:sz="4" w:space="0"/>
            </w:tcBorders>
            <w:shd w:val="clear" w:color="000000" w:fill="FFFFFF"/>
            <w:vAlign w:val="center"/>
          </w:tcPr>
          <w:p w14:paraId="0686CCB6">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　</w:t>
            </w:r>
          </w:p>
        </w:tc>
        <w:tc>
          <w:tcPr>
            <w:tcW w:w="856" w:type="dxa"/>
            <w:tcBorders>
              <w:top w:val="nil"/>
              <w:left w:val="nil"/>
              <w:bottom w:val="nil"/>
              <w:right w:val="single" w:color="auto" w:sz="4" w:space="0"/>
            </w:tcBorders>
            <w:shd w:val="clear" w:color="000000" w:fill="FFFFFF"/>
            <w:vAlign w:val="center"/>
          </w:tcPr>
          <w:p w14:paraId="37C4D8F3">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　</w:t>
            </w:r>
          </w:p>
        </w:tc>
        <w:tc>
          <w:tcPr>
            <w:tcW w:w="1641" w:type="dxa"/>
            <w:tcBorders>
              <w:top w:val="nil"/>
              <w:left w:val="nil"/>
              <w:bottom w:val="nil"/>
              <w:right w:val="single" w:color="auto" w:sz="4" w:space="0"/>
            </w:tcBorders>
            <w:shd w:val="clear" w:color="000000" w:fill="FFFFFF"/>
            <w:vAlign w:val="center"/>
          </w:tcPr>
          <w:p w14:paraId="57BBE619">
            <w:pPr>
              <w:widowControl/>
              <w:jc w:val="center"/>
              <w:rPr>
                <w:rFonts w:hint="eastAsia" w:ascii="宋体" w:hAnsi="宋体" w:eastAsia="宋体" w:cs="宋体"/>
                <w:kern w:val="0"/>
                <w:sz w:val="24"/>
                <w:szCs w:val="24"/>
                <w14:ligatures w14:val="none"/>
              </w:rPr>
            </w:pPr>
          </w:p>
        </w:tc>
        <w:tc>
          <w:tcPr>
            <w:tcW w:w="0" w:type="auto"/>
            <w:tcBorders>
              <w:top w:val="nil"/>
              <w:left w:val="nil"/>
              <w:bottom w:val="nil"/>
              <w:right w:val="single" w:color="auto" w:sz="4" w:space="0"/>
            </w:tcBorders>
            <w:shd w:val="clear" w:color="000000" w:fill="FFFFFF"/>
            <w:vAlign w:val="center"/>
          </w:tcPr>
          <w:p w14:paraId="1498D799">
            <w:pPr>
              <w:widowControl/>
              <w:jc w:val="center"/>
              <w:rPr>
                <w:rFonts w:hint="eastAsia" w:ascii="宋体" w:hAnsi="宋体" w:eastAsia="宋体" w:cs="宋体"/>
                <w:kern w:val="0"/>
                <w:sz w:val="24"/>
                <w:szCs w:val="24"/>
                <w14:ligatures w14:val="none"/>
              </w:rPr>
            </w:pPr>
          </w:p>
        </w:tc>
        <w:tc>
          <w:tcPr>
            <w:tcW w:w="0" w:type="auto"/>
            <w:tcBorders>
              <w:top w:val="nil"/>
              <w:left w:val="nil"/>
              <w:bottom w:val="nil"/>
              <w:right w:val="single" w:color="auto" w:sz="4" w:space="0"/>
            </w:tcBorders>
            <w:shd w:val="clear" w:color="000000" w:fill="FFFFFF"/>
            <w:vAlign w:val="center"/>
          </w:tcPr>
          <w:p w14:paraId="0676C44B">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　</w:t>
            </w:r>
          </w:p>
        </w:tc>
      </w:tr>
      <w:tr w14:paraId="77250B98">
        <w:tblPrEx>
          <w:tblCellMar>
            <w:top w:w="0" w:type="dxa"/>
            <w:left w:w="108" w:type="dxa"/>
            <w:bottom w:w="0" w:type="dxa"/>
            <w:right w:w="108" w:type="dxa"/>
          </w:tblCellMar>
        </w:tblPrEx>
        <w:trPr>
          <w:trHeight w:val="567" w:hRule="atLeast"/>
        </w:trPr>
        <w:tc>
          <w:tcPr>
            <w:tcW w:w="1091"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687AA55C">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（一）</w:t>
            </w:r>
          </w:p>
        </w:tc>
        <w:tc>
          <w:tcPr>
            <w:tcW w:w="1961" w:type="dxa"/>
            <w:tcBorders>
              <w:top w:val="single" w:color="auto" w:sz="4" w:space="0"/>
              <w:left w:val="nil"/>
              <w:bottom w:val="single" w:color="auto" w:sz="4" w:space="0"/>
              <w:right w:val="single" w:color="auto" w:sz="4" w:space="0"/>
            </w:tcBorders>
            <w:shd w:val="clear" w:color="000000" w:fill="FFFFFF"/>
            <w:noWrap/>
            <w:vAlign w:val="center"/>
          </w:tcPr>
          <w:p w14:paraId="722160A9">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网络设备（外网）</w:t>
            </w:r>
          </w:p>
        </w:tc>
        <w:tc>
          <w:tcPr>
            <w:tcW w:w="4996" w:type="dxa"/>
            <w:tcBorders>
              <w:top w:val="single" w:color="auto" w:sz="4" w:space="0"/>
              <w:left w:val="nil"/>
              <w:bottom w:val="single" w:color="auto" w:sz="4" w:space="0"/>
              <w:right w:val="single" w:color="auto" w:sz="4" w:space="0"/>
            </w:tcBorders>
            <w:shd w:val="clear" w:color="000000" w:fill="FFFFFF"/>
          </w:tcPr>
          <w:p w14:paraId="5C893B40">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　</w:t>
            </w:r>
          </w:p>
        </w:tc>
        <w:tc>
          <w:tcPr>
            <w:tcW w:w="872" w:type="dxa"/>
            <w:tcBorders>
              <w:top w:val="single" w:color="auto" w:sz="4" w:space="0"/>
              <w:left w:val="nil"/>
              <w:bottom w:val="single" w:color="auto" w:sz="4" w:space="0"/>
              <w:right w:val="single" w:color="auto" w:sz="4" w:space="0"/>
            </w:tcBorders>
            <w:shd w:val="clear" w:color="000000" w:fill="FFFFFF"/>
            <w:noWrap/>
            <w:vAlign w:val="center"/>
          </w:tcPr>
          <w:p w14:paraId="385052E6">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　</w:t>
            </w:r>
          </w:p>
        </w:tc>
        <w:tc>
          <w:tcPr>
            <w:tcW w:w="856" w:type="dxa"/>
            <w:tcBorders>
              <w:top w:val="single" w:color="auto" w:sz="4" w:space="0"/>
              <w:left w:val="nil"/>
              <w:bottom w:val="single" w:color="auto" w:sz="4" w:space="0"/>
              <w:right w:val="single" w:color="auto" w:sz="4" w:space="0"/>
            </w:tcBorders>
            <w:shd w:val="clear" w:color="000000" w:fill="FFFFFF"/>
            <w:noWrap/>
            <w:vAlign w:val="center"/>
          </w:tcPr>
          <w:p w14:paraId="2641B924">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　</w:t>
            </w:r>
          </w:p>
        </w:tc>
        <w:tc>
          <w:tcPr>
            <w:tcW w:w="1641" w:type="dxa"/>
            <w:tcBorders>
              <w:top w:val="single" w:color="auto" w:sz="4" w:space="0"/>
              <w:left w:val="nil"/>
              <w:bottom w:val="single" w:color="auto" w:sz="4" w:space="0"/>
              <w:right w:val="single" w:color="auto" w:sz="4" w:space="0"/>
            </w:tcBorders>
            <w:shd w:val="clear" w:color="000000" w:fill="FFFFFF"/>
            <w:noWrap/>
            <w:vAlign w:val="center"/>
          </w:tcPr>
          <w:p w14:paraId="2026077C">
            <w:pPr>
              <w:widowControl/>
              <w:jc w:val="right"/>
              <w:rPr>
                <w:rFonts w:hint="eastAsia" w:ascii="宋体" w:hAnsi="宋体" w:eastAsia="宋体" w:cs="宋体"/>
                <w:kern w:val="0"/>
                <w:sz w:val="24"/>
                <w:szCs w:val="24"/>
                <w14:ligatures w14:val="none"/>
              </w:rPr>
            </w:pPr>
          </w:p>
        </w:tc>
        <w:tc>
          <w:tcPr>
            <w:tcW w:w="0" w:type="auto"/>
            <w:tcBorders>
              <w:top w:val="single" w:color="auto" w:sz="4" w:space="0"/>
              <w:left w:val="nil"/>
              <w:bottom w:val="single" w:color="auto" w:sz="4" w:space="0"/>
              <w:right w:val="single" w:color="auto" w:sz="4" w:space="0"/>
            </w:tcBorders>
            <w:shd w:val="clear" w:color="000000" w:fill="FFFFFF"/>
            <w:noWrap/>
            <w:vAlign w:val="center"/>
          </w:tcPr>
          <w:p w14:paraId="64C47900">
            <w:pPr>
              <w:widowControl/>
              <w:jc w:val="right"/>
              <w:rPr>
                <w:rFonts w:hint="eastAsia" w:ascii="宋体" w:hAnsi="宋体" w:eastAsia="宋体" w:cs="宋体"/>
                <w:kern w:val="0"/>
                <w:sz w:val="24"/>
                <w:szCs w:val="24"/>
                <w14:ligatures w14:val="none"/>
              </w:rPr>
            </w:pPr>
          </w:p>
        </w:tc>
        <w:tc>
          <w:tcPr>
            <w:tcW w:w="0" w:type="auto"/>
            <w:tcBorders>
              <w:top w:val="single" w:color="auto" w:sz="4" w:space="0"/>
              <w:left w:val="nil"/>
              <w:bottom w:val="single" w:color="auto" w:sz="4" w:space="0"/>
              <w:right w:val="single" w:color="auto" w:sz="4" w:space="0"/>
            </w:tcBorders>
            <w:shd w:val="clear" w:color="000000" w:fill="FFFFFF"/>
            <w:vAlign w:val="center"/>
          </w:tcPr>
          <w:p w14:paraId="0F037B24">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　</w:t>
            </w:r>
          </w:p>
        </w:tc>
      </w:tr>
      <w:tr w14:paraId="48F1658A">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vAlign w:val="center"/>
          </w:tcPr>
          <w:p w14:paraId="16CA3BAB">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1.1</w:t>
            </w:r>
          </w:p>
        </w:tc>
        <w:tc>
          <w:tcPr>
            <w:tcW w:w="1961" w:type="dxa"/>
            <w:tcBorders>
              <w:top w:val="nil"/>
              <w:left w:val="nil"/>
              <w:bottom w:val="single" w:color="auto" w:sz="4" w:space="0"/>
              <w:right w:val="single" w:color="auto" w:sz="4" w:space="0"/>
            </w:tcBorders>
            <w:shd w:val="clear" w:color="000000" w:fill="FFFFFF"/>
            <w:vAlign w:val="center"/>
          </w:tcPr>
          <w:p w14:paraId="2D61C521">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外网接入交换机</w:t>
            </w:r>
          </w:p>
        </w:tc>
        <w:tc>
          <w:tcPr>
            <w:tcW w:w="4996" w:type="dxa"/>
            <w:tcBorders>
              <w:top w:val="nil"/>
              <w:left w:val="nil"/>
              <w:bottom w:val="single" w:color="auto" w:sz="4" w:space="0"/>
              <w:right w:val="single" w:color="auto" w:sz="4" w:space="0"/>
            </w:tcBorders>
            <w:shd w:val="clear" w:color="auto" w:fill="auto"/>
          </w:tcPr>
          <w:p w14:paraId="76BE9A2F">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1、性能： 交换容量≥336Gbps, 包转发率≥126Mpps，若产品官网或彩页中有X/Y参数，则以X参数为准;</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2、端口：≥24个10/100/1000M电口，≥4个千兆SFP口；</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3、二层功能：最大MAC地址≥8K，支持4K VLAN，支持STP/RSTP/MSTP，支持MRSTP，支持本地镜像及远程端口镜像；</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4、组播协议：支持IGMP v1/v2 Snooping和快速离开机制，支持MAC based L2MC，支持静态组播组，支持IGMP Proxy；</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5、可靠性：支持手动聚合，静态LACP，支持SmartLink；</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6、DHCP：支持DHCP Client，支持DHCP Relay；</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7、安全：支持用户分级管理和口令保护，支持801.X认证，支持CPU保护和ARP防攻击功能，支持ACL过滤，支持防DDOS攻击，支持AAA认证，支持Radius、TACACS+ ，支持安全MAC，支持SSH V2.0，支持SFTP，支持动态ARP 检测，防止中间人攻击和ARP拒绝服务，支持BPDU guard，Root guard；</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8、证书：提供工信部入网证；</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9、提供制造商三年质保服务、根据需要配置对应的模块；</w:t>
            </w:r>
          </w:p>
        </w:tc>
        <w:tc>
          <w:tcPr>
            <w:tcW w:w="872" w:type="dxa"/>
            <w:tcBorders>
              <w:top w:val="nil"/>
              <w:left w:val="nil"/>
              <w:bottom w:val="single" w:color="auto" w:sz="4" w:space="0"/>
              <w:right w:val="single" w:color="auto" w:sz="4" w:space="0"/>
            </w:tcBorders>
            <w:shd w:val="clear" w:color="000000" w:fill="FFFFFF"/>
            <w:vAlign w:val="center"/>
          </w:tcPr>
          <w:p w14:paraId="34D390D5">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3DEF924E">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2</w:t>
            </w:r>
          </w:p>
        </w:tc>
        <w:tc>
          <w:tcPr>
            <w:tcW w:w="1641" w:type="dxa"/>
            <w:tcBorders>
              <w:top w:val="nil"/>
              <w:left w:val="nil"/>
              <w:bottom w:val="single" w:color="auto" w:sz="4" w:space="0"/>
              <w:right w:val="single" w:color="auto" w:sz="4" w:space="0"/>
            </w:tcBorders>
            <w:shd w:val="clear" w:color="000000" w:fill="FFFFFF"/>
            <w:noWrap/>
            <w:vAlign w:val="center"/>
          </w:tcPr>
          <w:p w14:paraId="16AF9BD8">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5BEA068B">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vAlign w:val="center"/>
          </w:tcPr>
          <w:p w14:paraId="69124FFF">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2D774DC0">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vAlign w:val="center"/>
          </w:tcPr>
          <w:p w14:paraId="057E1963">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1.2</w:t>
            </w:r>
          </w:p>
        </w:tc>
        <w:tc>
          <w:tcPr>
            <w:tcW w:w="1961" w:type="dxa"/>
            <w:tcBorders>
              <w:top w:val="nil"/>
              <w:left w:val="nil"/>
              <w:bottom w:val="single" w:color="auto" w:sz="4" w:space="0"/>
              <w:right w:val="single" w:color="auto" w:sz="4" w:space="0"/>
            </w:tcBorders>
            <w:shd w:val="clear" w:color="000000" w:fill="FFFFFF"/>
            <w:vAlign w:val="center"/>
          </w:tcPr>
          <w:p w14:paraId="4C991364">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DMZ区接入交换机</w:t>
            </w:r>
          </w:p>
        </w:tc>
        <w:tc>
          <w:tcPr>
            <w:tcW w:w="4996" w:type="dxa"/>
            <w:tcBorders>
              <w:top w:val="nil"/>
              <w:left w:val="nil"/>
              <w:bottom w:val="single" w:color="auto" w:sz="4" w:space="0"/>
              <w:right w:val="single" w:color="auto" w:sz="4" w:space="0"/>
            </w:tcBorders>
            <w:shd w:val="clear" w:color="auto" w:fill="auto"/>
          </w:tcPr>
          <w:p w14:paraId="1789DC24">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1、交换能力：交换容量≥2.56Tbps、转发率≥480Mpps；</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2、可插拔模块化电源≥2；</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3、MAC地址表≥32K，路由表容量≥16K，ARP≥16K；</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4、▲≥16个10/100/1000Base-T原生电口（非光转电模块实现），≥20个1G/10G SFP+ 端口，≥8个10G/25G SFP28端口，扩展槽≥2个，提供相关证明材料并加盖投标人公章；</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5、支持VXLAN gateway，支持VXLAN bridge，支持VXLAN routing，支持集中式网关和分布式网关部署；</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6、支持支持LACP，支持M-LAG 跨机箱链路捆绑；</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7、支持IPv4静态路由、RIP V1/V2、OSPF、BGP、ISIS；支持IPv6静态路由、RIPng、OSPFv3，支持策略路由；</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 xml:space="preserve">8、支持VRRP（虚拟路由冗余协议)，VARP，LLDP； </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9、支持AAA认证、RADIUS 认证、TACACS+认证；支持基于端口/VLAN 的MAC 数量限制；</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10、支持支持命令行接口（CLI）配置，支持Console、Telnet、SSH 等终端服务，支持SNMPv1/v2c/v3 等网络管理协议，支持图形化WEB 界面管理；</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11、提供制造商三年质保服务、根据需要配置对应的模块；</w:t>
            </w:r>
          </w:p>
        </w:tc>
        <w:tc>
          <w:tcPr>
            <w:tcW w:w="872" w:type="dxa"/>
            <w:tcBorders>
              <w:top w:val="nil"/>
              <w:left w:val="nil"/>
              <w:bottom w:val="single" w:color="auto" w:sz="4" w:space="0"/>
              <w:right w:val="single" w:color="auto" w:sz="4" w:space="0"/>
            </w:tcBorders>
            <w:shd w:val="clear" w:color="000000" w:fill="FFFFFF"/>
            <w:vAlign w:val="center"/>
          </w:tcPr>
          <w:p w14:paraId="499FAFED">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20BD4F59">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w:t>
            </w:r>
          </w:p>
        </w:tc>
        <w:tc>
          <w:tcPr>
            <w:tcW w:w="1641" w:type="dxa"/>
            <w:tcBorders>
              <w:top w:val="nil"/>
              <w:left w:val="nil"/>
              <w:bottom w:val="single" w:color="auto" w:sz="4" w:space="0"/>
              <w:right w:val="single" w:color="auto" w:sz="4" w:space="0"/>
            </w:tcBorders>
            <w:shd w:val="clear" w:color="000000" w:fill="FFFFFF"/>
            <w:noWrap/>
            <w:vAlign w:val="center"/>
          </w:tcPr>
          <w:p w14:paraId="1298CB74">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48DFBDC9">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vAlign w:val="center"/>
          </w:tcPr>
          <w:p w14:paraId="571FDEB9">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19E94AE4">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vAlign w:val="center"/>
          </w:tcPr>
          <w:p w14:paraId="7844A1C5">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1.3</w:t>
            </w:r>
          </w:p>
        </w:tc>
        <w:tc>
          <w:tcPr>
            <w:tcW w:w="1961" w:type="dxa"/>
            <w:tcBorders>
              <w:top w:val="nil"/>
              <w:left w:val="nil"/>
              <w:bottom w:val="single" w:color="auto" w:sz="4" w:space="0"/>
              <w:right w:val="single" w:color="auto" w:sz="4" w:space="0"/>
            </w:tcBorders>
            <w:shd w:val="clear" w:color="000000" w:fill="FFFFFF"/>
            <w:vAlign w:val="center"/>
          </w:tcPr>
          <w:p w14:paraId="2B4C5ADA">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xml:space="preserve">核心交换机 </w:t>
            </w:r>
          </w:p>
        </w:tc>
        <w:tc>
          <w:tcPr>
            <w:tcW w:w="4996" w:type="dxa"/>
            <w:tcBorders>
              <w:top w:val="nil"/>
              <w:left w:val="nil"/>
              <w:bottom w:val="single" w:color="auto" w:sz="4" w:space="0"/>
              <w:right w:val="single" w:color="auto" w:sz="4" w:space="0"/>
            </w:tcBorders>
            <w:shd w:val="clear" w:color="auto" w:fill="auto"/>
          </w:tcPr>
          <w:p w14:paraId="65209219">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1、交换容量≥31.1Tbps/153.6Tbps；</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2、▲支持独立的主控引擎槽位≥2个，独立的交换网板槽位≥1个，独立业务板卡槽位数≥6个，提供产品图片证明并加盖投标人公章；</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3、支持高性能的IPv6网络服务能力，包括RIPng、BGP4+、OSPFv3等IPv6单播路由能力，以及MLD v1/v2、MLD Snooping、MVR6、PIM-SMv6等IPv6多播路由能力；</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4、支持IPv4和IPv6的双协议栈和多种隧道技术；</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5、支持M-LAG、VRRP、Smart Link、ECMP、BFD等高可靠技术；</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6、支持SPAN/RSPAN/ERSPAN、流镜像、多源多目的镜像、sFlow等流量监控技术；</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7、▲支持1G、10G、25G、40G、100G端口的业务板卡，提供对应业务板卡图片证明并加盖投标人公章；</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8、▲交换芯片支持≥36MB的大缓存，提供官网截图并加盖投标人公章；</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9、▲引擎≥2块，交换网板≥1块，电源≥2个，10G/25G光口≥36个，1G电口≥48个，根据需要配置对应的模块；（需提供制造商相关配置承诺函并加盖投标人公章）</w:t>
            </w:r>
          </w:p>
        </w:tc>
        <w:tc>
          <w:tcPr>
            <w:tcW w:w="872" w:type="dxa"/>
            <w:tcBorders>
              <w:top w:val="nil"/>
              <w:left w:val="nil"/>
              <w:bottom w:val="single" w:color="auto" w:sz="4" w:space="0"/>
              <w:right w:val="single" w:color="auto" w:sz="4" w:space="0"/>
            </w:tcBorders>
            <w:shd w:val="clear" w:color="000000" w:fill="FFFFFF"/>
            <w:vAlign w:val="center"/>
          </w:tcPr>
          <w:p w14:paraId="78A83073">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48B471F6">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w:t>
            </w:r>
          </w:p>
        </w:tc>
        <w:tc>
          <w:tcPr>
            <w:tcW w:w="1641" w:type="dxa"/>
            <w:tcBorders>
              <w:top w:val="nil"/>
              <w:left w:val="nil"/>
              <w:bottom w:val="single" w:color="auto" w:sz="4" w:space="0"/>
              <w:right w:val="single" w:color="auto" w:sz="4" w:space="0"/>
            </w:tcBorders>
            <w:shd w:val="clear" w:color="000000" w:fill="FFFFFF"/>
            <w:noWrap/>
            <w:vAlign w:val="center"/>
          </w:tcPr>
          <w:p w14:paraId="6BC0A1DB">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2F57A802">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vAlign w:val="center"/>
          </w:tcPr>
          <w:p w14:paraId="542AA5D3">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60CC8D16">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vAlign w:val="center"/>
          </w:tcPr>
          <w:p w14:paraId="0C4F236F">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1.4</w:t>
            </w:r>
          </w:p>
        </w:tc>
        <w:tc>
          <w:tcPr>
            <w:tcW w:w="1961" w:type="dxa"/>
            <w:tcBorders>
              <w:top w:val="nil"/>
              <w:left w:val="nil"/>
              <w:bottom w:val="single" w:color="auto" w:sz="4" w:space="0"/>
              <w:right w:val="single" w:color="auto" w:sz="4" w:space="0"/>
            </w:tcBorders>
            <w:shd w:val="clear" w:color="000000" w:fill="FFFFFF"/>
            <w:vAlign w:val="center"/>
          </w:tcPr>
          <w:p w14:paraId="2E8F08B2">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客户端汇聚交换机</w:t>
            </w:r>
          </w:p>
        </w:tc>
        <w:tc>
          <w:tcPr>
            <w:tcW w:w="4996" w:type="dxa"/>
            <w:tcBorders>
              <w:top w:val="nil"/>
              <w:left w:val="nil"/>
              <w:bottom w:val="single" w:color="auto" w:sz="4" w:space="0"/>
              <w:right w:val="single" w:color="auto" w:sz="4" w:space="0"/>
            </w:tcBorders>
            <w:shd w:val="clear" w:color="auto" w:fill="auto"/>
          </w:tcPr>
          <w:p w14:paraId="3D078C6B">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1、交换能力：交换容量≥2.56Tbps、转发率≥480Mpps；</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2、可插拔模块化电源≥2；</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3、MAC地址表≥32K，路由表容量≥16K，ARP≥16K；</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4、▲≥16个10/100/1000Base-T原生电口（非光转电模块实现），≥20个1G/10G SFP+ 端口，≥8个10G/25G SFP28端口，扩展槽≥2个，提供相关证明材料并加盖投标人公章；</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5、支持VXLAN gateway，支持VXLAN bridge，支持VXLAN routing，支持集中式网关和分布式网关部署；</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6、支持支持LACP，支持M-LAG 跨机箱链路捆绑；</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7、支持IPv4静态路由、RIP V1/V2、OSPF、BGP、ISIS；支持IPv6静态路由、RIPng、OSPFv3，支持策略路由；</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 xml:space="preserve">8、支持VRRP（虚拟路由冗余协议)，VARP，LLDP； </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9、支持AAA认证、RADIUS 认证、TACACS+认证；支持基于端口/VLAN 的MAC 数量限制；</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10、支持支持命令行接口（CLI）配置，支持Console、Telnet、SSH 等终端服务，支持SNMPv1/v2c/v3 等网络管理协议，支持图形化WEB 界面管理；</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11、提供制造商三年质保服务、根据需要配置对应的模块；</w:t>
            </w:r>
          </w:p>
        </w:tc>
        <w:tc>
          <w:tcPr>
            <w:tcW w:w="872" w:type="dxa"/>
            <w:tcBorders>
              <w:top w:val="nil"/>
              <w:left w:val="nil"/>
              <w:bottom w:val="single" w:color="auto" w:sz="4" w:space="0"/>
              <w:right w:val="single" w:color="auto" w:sz="4" w:space="0"/>
            </w:tcBorders>
            <w:shd w:val="clear" w:color="000000" w:fill="FFFFFF"/>
            <w:vAlign w:val="center"/>
          </w:tcPr>
          <w:p w14:paraId="59E78D0C">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1BCAC9E7">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2</w:t>
            </w:r>
          </w:p>
        </w:tc>
        <w:tc>
          <w:tcPr>
            <w:tcW w:w="1641" w:type="dxa"/>
            <w:tcBorders>
              <w:top w:val="nil"/>
              <w:left w:val="nil"/>
              <w:bottom w:val="single" w:color="auto" w:sz="4" w:space="0"/>
              <w:right w:val="single" w:color="auto" w:sz="4" w:space="0"/>
            </w:tcBorders>
            <w:shd w:val="clear" w:color="000000" w:fill="FFFFFF"/>
            <w:noWrap/>
            <w:vAlign w:val="center"/>
          </w:tcPr>
          <w:p w14:paraId="2C89A88A">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7E5F06DA">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vAlign w:val="center"/>
          </w:tcPr>
          <w:p w14:paraId="5AB2B3B7">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0B704FAE">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vAlign w:val="center"/>
          </w:tcPr>
          <w:p w14:paraId="368EE90E">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1.5</w:t>
            </w:r>
          </w:p>
        </w:tc>
        <w:tc>
          <w:tcPr>
            <w:tcW w:w="1961" w:type="dxa"/>
            <w:tcBorders>
              <w:top w:val="nil"/>
              <w:left w:val="nil"/>
              <w:bottom w:val="single" w:color="auto" w:sz="4" w:space="0"/>
              <w:right w:val="single" w:color="auto" w:sz="4" w:space="0"/>
            </w:tcBorders>
            <w:shd w:val="clear" w:color="000000" w:fill="FFFFFF"/>
            <w:vAlign w:val="center"/>
          </w:tcPr>
          <w:p w14:paraId="6A0EAAFF">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有线接入交换机</w:t>
            </w:r>
          </w:p>
        </w:tc>
        <w:tc>
          <w:tcPr>
            <w:tcW w:w="4996" w:type="dxa"/>
            <w:tcBorders>
              <w:top w:val="nil"/>
              <w:left w:val="nil"/>
              <w:bottom w:val="single" w:color="auto" w:sz="4" w:space="0"/>
              <w:right w:val="single" w:color="auto" w:sz="4" w:space="0"/>
            </w:tcBorders>
            <w:shd w:val="clear" w:color="auto" w:fill="auto"/>
          </w:tcPr>
          <w:p w14:paraId="3834BC09">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1、交换能力：交换容量≥ 432Gbps,三层包转发率≥ 166 Mpps，若产品官网或彩页中有X/Y参数，则以X参数为准；</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2、▲固定接口配置要求：≥48个10/100/1000 RJ45 电口，≥4个10G SFP+ 端口；</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3、▲二层功能：最大MAC地址≥16K，支持4K VLAN，支持STP/RSTP/MSTP，支持本地镜像及远程镜像；</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 xml:space="preserve">4、▲三层功能：IPv4 路由表≥1K；支持IPv4静态路由，RIPv1&amp;v2，OSPFv2，BGP，ECMP，ICMP、策略路由，VRF;支持IPv6静态路由， RIPng，OSPF V3，ICMPv6，NDP，ICMPv6等；                    </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5、组播协议：支持IGMP snooping v1v2v3，IGMP Proxy，Fast leave，Layer 2 Static Multicast等；</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6、DHCP：支持DHCP Snooping，支持DHCP Server/DHCP Client/DHCP Relay，支持option82；</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7、安全：支持dot1X认证、AAA认证，支持Radius、TACACS+认证，支持CPU防攻击；</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8、支持M-LAG技术，将多台物理机箱组成1台虚拟交换机，实现多台设备间的链路聚合；</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9、提供制造商三年质保服务、根据需要配置对应的模块；</w:t>
            </w:r>
          </w:p>
        </w:tc>
        <w:tc>
          <w:tcPr>
            <w:tcW w:w="872" w:type="dxa"/>
            <w:tcBorders>
              <w:top w:val="nil"/>
              <w:left w:val="nil"/>
              <w:bottom w:val="single" w:color="auto" w:sz="4" w:space="0"/>
              <w:right w:val="single" w:color="auto" w:sz="4" w:space="0"/>
            </w:tcBorders>
            <w:shd w:val="clear" w:color="000000" w:fill="FFFFFF"/>
            <w:vAlign w:val="center"/>
          </w:tcPr>
          <w:p w14:paraId="78C28831">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55A5672D">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8</w:t>
            </w:r>
          </w:p>
        </w:tc>
        <w:tc>
          <w:tcPr>
            <w:tcW w:w="1641" w:type="dxa"/>
            <w:tcBorders>
              <w:top w:val="nil"/>
              <w:left w:val="nil"/>
              <w:bottom w:val="single" w:color="auto" w:sz="4" w:space="0"/>
              <w:right w:val="single" w:color="auto" w:sz="4" w:space="0"/>
            </w:tcBorders>
            <w:shd w:val="clear" w:color="000000" w:fill="FFFFFF"/>
            <w:noWrap/>
            <w:vAlign w:val="center"/>
          </w:tcPr>
          <w:p w14:paraId="4BA94D34">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260A08F1">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vAlign w:val="center"/>
          </w:tcPr>
          <w:p w14:paraId="358DBAE5">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09A57E5D">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vAlign w:val="center"/>
          </w:tcPr>
          <w:p w14:paraId="2A70CFB4">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1.6</w:t>
            </w:r>
          </w:p>
        </w:tc>
        <w:tc>
          <w:tcPr>
            <w:tcW w:w="1961" w:type="dxa"/>
            <w:tcBorders>
              <w:top w:val="nil"/>
              <w:left w:val="nil"/>
              <w:bottom w:val="single" w:color="auto" w:sz="4" w:space="0"/>
              <w:right w:val="single" w:color="auto" w:sz="4" w:space="0"/>
            </w:tcBorders>
            <w:shd w:val="clear" w:color="000000" w:fill="FFFFFF"/>
            <w:vAlign w:val="center"/>
          </w:tcPr>
          <w:p w14:paraId="2E829069">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POE接入交换机</w:t>
            </w:r>
          </w:p>
        </w:tc>
        <w:tc>
          <w:tcPr>
            <w:tcW w:w="4996" w:type="dxa"/>
            <w:tcBorders>
              <w:top w:val="nil"/>
              <w:left w:val="nil"/>
              <w:bottom w:val="single" w:color="auto" w:sz="4" w:space="0"/>
              <w:right w:val="single" w:color="auto" w:sz="4" w:space="0"/>
            </w:tcBorders>
            <w:shd w:val="clear" w:color="auto" w:fill="auto"/>
          </w:tcPr>
          <w:p w14:paraId="5A228E14">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1、交换能力：交换容量≥368 Gbps,三层包转发率≥126Mpps，若产品官网或彩页中有X/Y参数，则以X参数为准；</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2、固定接口配置要求：≥24个10/100/1000 RJ45 电口，≥4个10G SFP+ 端口；</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3、▲POE供电：支持IEEE802.3bt/IEEE 802.3af/IEEE 802.3at供电标准，其中1-8号口支持HPoE，单端口PoE输出功率 ≥90W，整机POE供电≥370W；提供官网截图并加盖投标人公章；</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4、二层功能：最大MAC地址≥16K，支持4K VLAN，支持STP/RSTP/MSTP，支持本地镜像及远程镜像；</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 xml:space="preserve">5、三层功能：IPv4 路由表≥1K；支持IPv4静态路由，RIPv1&amp;v2，OSPFv2， ECMP，ICMP、策略路由，VRF;支持IPv6静态路由， RIPng，OSPF V3，ICMPv6，NDP，ICMPv6等；                    </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6、组播协议：支持IGMP snooping v1v2v3，IGMP Proxy，Fast leave，Layer 2 Static Multicast等；</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7、DHCP：支持DHCP Snooping，支持DHCP Server/DHCP Client/DHCP Relay，支持option82；</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8、安全：支持dot1X认证、AAA认证，支持Radius、TACACS+认证，支持CPU防攻击；</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9、提供制造商三年质保服务、根据需要配置对应的模块；</w:t>
            </w:r>
          </w:p>
        </w:tc>
        <w:tc>
          <w:tcPr>
            <w:tcW w:w="872" w:type="dxa"/>
            <w:tcBorders>
              <w:top w:val="nil"/>
              <w:left w:val="nil"/>
              <w:bottom w:val="single" w:color="auto" w:sz="4" w:space="0"/>
              <w:right w:val="single" w:color="auto" w:sz="4" w:space="0"/>
            </w:tcBorders>
            <w:shd w:val="clear" w:color="000000" w:fill="FFFFFF"/>
            <w:vAlign w:val="center"/>
          </w:tcPr>
          <w:p w14:paraId="2747D747">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6E88286C">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5</w:t>
            </w:r>
          </w:p>
        </w:tc>
        <w:tc>
          <w:tcPr>
            <w:tcW w:w="1641" w:type="dxa"/>
            <w:tcBorders>
              <w:top w:val="nil"/>
              <w:left w:val="nil"/>
              <w:bottom w:val="single" w:color="auto" w:sz="4" w:space="0"/>
              <w:right w:val="single" w:color="auto" w:sz="4" w:space="0"/>
            </w:tcBorders>
            <w:shd w:val="clear" w:color="000000" w:fill="FFFFFF"/>
            <w:noWrap/>
            <w:vAlign w:val="center"/>
          </w:tcPr>
          <w:p w14:paraId="0F426AAA">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5E03C683">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vAlign w:val="center"/>
          </w:tcPr>
          <w:p w14:paraId="0F335E45">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5B953567">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vAlign w:val="center"/>
          </w:tcPr>
          <w:p w14:paraId="740BE10B">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1.7</w:t>
            </w:r>
          </w:p>
        </w:tc>
        <w:tc>
          <w:tcPr>
            <w:tcW w:w="1961" w:type="dxa"/>
            <w:tcBorders>
              <w:top w:val="nil"/>
              <w:left w:val="nil"/>
              <w:bottom w:val="single" w:color="auto" w:sz="4" w:space="0"/>
              <w:right w:val="single" w:color="auto" w:sz="4" w:space="0"/>
            </w:tcBorders>
            <w:shd w:val="clear" w:color="000000" w:fill="FFFFFF"/>
            <w:vAlign w:val="center"/>
          </w:tcPr>
          <w:p w14:paraId="5D8F6627">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xml:space="preserve">无线控制器 </w:t>
            </w:r>
          </w:p>
        </w:tc>
        <w:tc>
          <w:tcPr>
            <w:tcW w:w="4996" w:type="dxa"/>
            <w:tcBorders>
              <w:top w:val="nil"/>
              <w:left w:val="nil"/>
              <w:bottom w:val="single" w:color="auto" w:sz="4" w:space="0"/>
              <w:right w:val="single" w:color="auto" w:sz="4" w:space="0"/>
            </w:tcBorders>
            <w:shd w:val="clear" w:color="auto" w:fill="auto"/>
          </w:tcPr>
          <w:p w14:paraId="10C3127F">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1、默认可管理AP数≥128个，集中转发最大支持256个 AP，本地转发最大支持512个AP；</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2、实配固化千兆电口数≥6，固化千兆光口数≥2，≥2个USB接口，1个Console管理接口，1个VGA可视化管理接口；</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3、▲支持内置硬盘扩展，扩展插槽≥1个，扩展容量≥2T，提供网站或彩页截图证明并加盖投标人公章；</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4、为保障无线网络的可靠性，单台设备最大可配置AP数目≥2048，实现AP动态冗余；</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5、单台设备最大支持的在线无线用户数目≥8K；</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6、支持静态路由、RIP(v1/v2)、OSPF等多种路由协议章；</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7、支持DHCP功能，对内网提供DHCP服务；</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8、支持查看DHCP地址池分配状态，可生成IP、MAC对应关系列表；</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9、▲支持VRRP (Virtual Router Redundancy Protocol，虚拟路由冗余协议)，提供设备配置截图并加盖投标人公章；</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10、要求设备可配置AP的本地数据转发技术模式，即可根据网络的SSID的规划，决定数据是否需要全部经过无线AC转发或直接进入有线网络进行本地交换，从而更好的适应未来无线网络更高流量传输的要求；</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11、支持本地的Portal、WPA2-Enterprise、MAC认证功能，无需通过外置Radius服务器认证；</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12、设备应支持基于集中转发或本地转发情况下WPA2-Enterprise的二三层快速漫游，满足终端全场景的安全快速漫游切换；</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13、设备应支持 802.11r快速漫游，提升漫游体验；</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14、支持对钓鱼 AP 的无损检测与反制；</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15、支持MAC认证、WEB认证、802.1X认证，认证后能实现IP、MAC、WLAN等元素的绑定信息，保证只有合法的用户才能进入网络；</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16、支持对非法无线接入点进行探测，并对非法AP进行屏蔽；</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17、▲支持应用识别功能，需内置2000+条应用特征库；并且支持通过配置对某一种或某一类应用进行阻断，提供设备配置截图并加盖投标人公章；</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18、与网管平台联动，有线无线网络统一集中管理，集群化管理；</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19、▲配置：AP授权≥128个；（需提供制造商相关授权承诺函并加盖投标人公章）</w:t>
            </w:r>
          </w:p>
        </w:tc>
        <w:tc>
          <w:tcPr>
            <w:tcW w:w="872" w:type="dxa"/>
            <w:tcBorders>
              <w:top w:val="nil"/>
              <w:left w:val="nil"/>
              <w:bottom w:val="single" w:color="auto" w:sz="4" w:space="0"/>
              <w:right w:val="single" w:color="auto" w:sz="4" w:space="0"/>
            </w:tcBorders>
            <w:shd w:val="clear" w:color="000000" w:fill="FFFFFF"/>
            <w:vAlign w:val="center"/>
          </w:tcPr>
          <w:p w14:paraId="50577B17">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16F76A7A">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w:t>
            </w:r>
          </w:p>
        </w:tc>
        <w:tc>
          <w:tcPr>
            <w:tcW w:w="1641" w:type="dxa"/>
            <w:tcBorders>
              <w:top w:val="nil"/>
              <w:left w:val="nil"/>
              <w:bottom w:val="single" w:color="auto" w:sz="4" w:space="0"/>
              <w:right w:val="single" w:color="auto" w:sz="4" w:space="0"/>
            </w:tcBorders>
            <w:shd w:val="clear" w:color="000000" w:fill="FFFFFF"/>
            <w:noWrap/>
            <w:vAlign w:val="center"/>
          </w:tcPr>
          <w:p w14:paraId="5F125C17">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3FBC7AE1">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vAlign w:val="center"/>
          </w:tcPr>
          <w:p w14:paraId="08DD2600">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4F04EE9C">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vAlign w:val="center"/>
          </w:tcPr>
          <w:p w14:paraId="685D15A1">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1.8</w:t>
            </w:r>
          </w:p>
        </w:tc>
        <w:tc>
          <w:tcPr>
            <w:tcW w:w="1961" w:type="dxa"/>
            <w:tcBorders>
              <w:top w:val="nil"/>
              <w:left w:val="nil"/>
              <w:bottom w:val="single" w:color="auto" w:sz="4" w:space="0"/>
              <w:right w:val="single" w:color="auto" w:sz="4" w:space="0"/>
            </w:tcBorders>
            <w:shd w:val="clear" w:color="000000" w:fill="FFFFFF"/>
            <w:vAlign w:val="center"/>
          </w:tcPr>
          <w:p w14:paraId="47AC4C64">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xml:space="preserve">室内AP </w:t>
            </w:r>
          </w:p>
        </w:tc>
        <w:tc>
          <w:tcPr>
            <w:tcW w:w="4996" w:type="dxa"/>
            <w:tcBorders>
              <w:top w:val="nil"/>
              <w:left w:val="nil"/>
              <w:bottom w:val="single" w:color="auto" w:sz="4" w:space="0"/>
              <w:right w:val="single" w:color="auto" w:sz="4" w:space="0"/>
            </w:tcBorders>
            <w:shd w:val="clear" w:color="auto" w:fill="auto"/>
          </w:tcPr>
          <w:p w14:paraId="1675AA45">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1、支持标准的802.11ax协议，可同时工作在802.11ax和802.11a/b/g/n/ac模式；</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2、采用双频4空间流设计，5GHz单射频支持2*2 MIMO，且单射频最大接入速率≥1.2Gbps，2.4GHz单射频支持2*2 MIMO，且单射频最大接入速率≥0.575Gbps，整机最大接入速率≥1.775Gbps；</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3、▲整机接口≥2个10/100/1000Base-T以太网口，支持PoE和本地供电，提供网站或彩页截图证明并加盖投标人公章；</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4.配置：制造商三年保修；</w:t>
            </w:r>
          </w:p>
        </w:tc>
        <w:tc>
          <w:tcPr>
            <w:tcW w:w="872" w:type="dxa"/>
            <w:tcBorders>
              <w:top w:val="nil"/>
              <w:left w:val="nil"/>
              <w:bottom w:val="single" w:color="auto" w:sz="4" w:space="0"/>
              <w:right w:val="single" w:color="auto" w:sz="4" w:space="0"/>
            </w:tcBorders>
            <w:shd w:val="clear" w:color="000000" w:fill="FFFFFF"/>
            <w:vAlign w:val="center"/>
          </w:tcPr>
          <w:p w14:paraId="397C5BDE">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5A6546D7">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30</w:t>
            </w:r>
          </w:p>
        </w:tc>
        <w:tc>
          <w:tcPr>
            <w:tcW w:w="1641" w:type="dxa"/>
            <w:tcBorders>
              <w:top w:val="nil"/>
              <w:left w:val="nil"/>
              <w:bottom w:val="single" w:color="auto" w:sz="4" w:space="0"/>
              <w:right w:val="single" w:color="auto" w:sz="4" w:space="0"/>
            </w:tcBorders>
            <w:shd w:val="clear" w:color="000000" w:fill="FFFFFF"/>
            <w:noWrap/>
            <w:vAlign w:val="center"/>
          </w:tcPr>
          <w:p w14:paraId="7EF1BE0F">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2200DBA2">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vAlign w:val="center"/>
          </w:tcPr>
          <w:p w14:paraId="567AD993">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3530F315">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vAlign w:val="center"/>
          </w:tcPr>
          <w:p w14:paraId="7DCC0D7B">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1.9</w:t>
            </w:r>
          </w:p>
        </w:tc>
        <w:tc>
          <w:tcPr>
            <w:tcW w:w="1961" w:type="dxa"/>
            <w:tcBorders>
              <w:top w:val="nil"/>
              <w:left w:val="nil"/>
              <w:bottom w:val="single" w:color="auto" w:sz="4" w:space="0"/>
              <w:right w:val="single" w:color="auto" w:sz="4" w:space="0"/>
            </w:tcBorders>
            <w:shd w:val="clear" w:color="000000" w:fill="FFFFFF"/>
            <w:vAlign w:val="center"/>
          </w:tcPr>
          <w:p w14:paraId="3AB1D96F">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网络管理引擎</w:t>
            </w:r>
          </w:p>
        </w:tc>
        <w:tc>
          <w:tcPr>
            <w:tcW w:w="4996" w:type="dxa"/>
            <w:tcBorders>
              <w:top w:val="nil"/>
              <w:left w:val="nil"/>
              <w:bottom w:val="single" w:color="auto" w:sz="4" w:space="0"/>
              <w:right w:val="single" w:color="auto" w:sz="4" w:space="0"/>
            </w:tcBorders>
            <w:shd w:val="clear" w:color="auto" w:fill="auto"/>
          </w:tcPr>
          <w:p w14:paraId="1D46B23A">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xml:space="preserve">1. 软件架构:控制器支持X86虚拟化部署模式； </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 xml:space="preserve">2. 南北向接口:控制器支持Neutron Plugin 、Restful API、Java API方式北向接口，控制器支持OpenFlow 1.3、NETCONF、OVS-DB、SNMP、SSH、NXAPI等南向接口协议； </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 xml:space="preserve">3. 规划开局:SDN控制器提供图形化的网络拓扑界面,支持拖拽搭建虚拟网络拓扑开局，支持设计网络拓扑和实际部署网络拓扑比对功能； </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 xml:space="preserve">4. 导航设计:SDN控制器支持业务配置导航和配置预览功能,指导用户按照业务流程逐步配置,同时生成配置预览,让用户对照流程和预览结果进行配置,简化复杂业务的部署； </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 xml:space="preserve">5. 网络数字化:SDN控制器可以通过图形化的虚拟交换机端口面板，图形化端口面板将抽象的端口信息可视化,可以清晰直观地查看端口配置与连接情况，通过点击端口图标直接在界面上进行划分VLAN、设置流量策略、环路保护等功能； </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6.自定义模块:SDN控制器支持意图网络模板定义,基于用户意图通过调用配置模板快速自动构建网络,简化部署流程,提升运维效率;</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7.版本升级:SDN控制器支持批量或单台设备进行版本升级，支持定时重启；</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8.▲配置同步:SDN控制器支持WEB和CLI配置同步；（提供配置截图并加盖投标人公章）</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9.环路检测:SDN控制器通过闭环检查策略,从图形化翻译命令行,检查配置下发,确认协议状态,实现自动化配置闭环检查；</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10.配置回滚和比对:SDN控制器支持设备配置恢复、配置回滚、配置比对；</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11.▲认证服务器功能:SDN控制器支持Radius服务器功能，并定义不同用户角色的权限、配置权限区分；（提供配置截图并加盖投标人公章）</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12.监控功能:SDN控制器支持对多维度的可视化监控,包括拓扑呈现、端口状态、流量、CPU和内存利用率等信息的监控，通过直观的图形界面展示各维度的监控数据,如用不同颜色表示端口状态,用曲线图显示流量的历史变化趋势；</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13.IP地址可视化:SDN控制器支持统一规划IP段,并维护IP使用列表。然后在图形界面上直观显示IP地址分配情况，该功能让管理员直观掌握IP资源分配和使用情况,便于管理；</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14.定制化：SDN控制器厂家支持定制化功能开发；</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15.▲配置：制造商实施、定制化功能开发、支持对现有网络设备的纳管、框式交换机授权≥2，盒式交换机授权≥5000；（需提供制造商相关授权承诺函并加盖投标人公章）</w:t>
            </w:r>
          </w:p>
        </w:tc>
        <w:tc>
          <w:tcPr>
            <w:tcW w:w="872" w:type="dxa"/>
            <w:tcBorders>
              <w:top w:val="nil"/>
              <w:left w:val="nil"/>
              <w:bottom w:val="single" w:color="auto" w:sz="4" w:space="0"/>
              <w:right w:val="single" w:color="auto" w:sz="4" w:space="0"/>
            </w:tcBorders>
            <w:shd w:val="clear" w:color="000000" w:fill="FFFFFF"/>
            <w:vAlign w:val="center"/>
          </w:tcPr>
          <w:p w14:paraId="06BDAF38">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套</w:t>
            </w:r>
          </w:p>
        </w:tc>
        <w:tc>
          <w:tcPr>
            <w:tcW w:w="856" w:type="dxa"/>
            <w:tcBorders>
              <w:top w:val="nil"/>
              <w:left w:val="nil"/>
              <w:bottom w:val="single" w:color="auto" w:sz="4" w:space="0"/>
              <w:right w:val="single" w:color="auto" w:sz="4" w:space="0"/>
            </w:tcBorders>
            <w:shd w:val="clear" w:color="000000" w:fill="FFFFFF"/>
            <w:vAlign w:val="center"/>
          </w:tcPr>
          <w:p w14:paraId="5E122E28">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w:t>
            </w:r>
          </w:p>
        </w:tc>
        <w:tc>
          <w:tcPr>
            <w:tcW w:w="1641" w:type="dxa"/>
            <w:tcBorders>
              <w:top w:val="nil"/>
              <w:left w:val="nil"/>
              <w:bottom w:val="single" w:color="auto" w:sz="4" w:space="0"/>
              <w:right w:val="single" w:color="auto" w:sz="4" w:space="0"/>
            </w:tcBorders>
            <w:shd w:val="clear" w:color="000000" w:fill="FFFFFF"/>
            <w:noWrap/>
            <w:vAlign w:val="center"/>
          </w:tcPr>
          <w:p w14:paraId="4AB7B306">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2F128AEB">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vAlign w:val="center"/>
          </w:tcPr>
          <w:p w14:paraId="21CFD373">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5BD17AF3">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vAlign w:val="center"/>
          </w:tcPr>
          <w:p w14:paraId="34E6EAF2">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1.10</w:t>
            </w:r>
          </w:p>
        </w:tc>
        <w:tc>
          <w:tcPr>
            <w:tcW w:w="1961" w:type="dxa"/>
            <w:tcBorders>
              <w:top w:val="nil"/>
              <w:left w:val="nil"/>
              <w:bottom w:val="single" w:color="auto" w:sz="4" w:space="0"/>
              <w:right w:val="single" w:color="auto" w:sz="4" w:space="0"/>
            </w:tcBorders>
            <w:shd w:val="clear" w:color="000000" w:fill="FFFFFF"/>
            <w:vAlign w:val="center"/>
          </w:tcPr>
          <w:p w14:paraId="64AC8F9A">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管理工作站</w:t>
            </w:r>
          </w:p>
        </w:tc>
        <w:tc>
          <w:tcPr>
            <w:tcW w:w="4996" w:type="dxa"/>
            <w:tcBorders>
              <w:top w:val="nil"/>
              <w:left w:val="nil"/>
              <w:bottom w:val="single" w:color="auto" w:sz="4" w:space="0"/>
              <w:right w:val="single" w:color="auto" w:sz="4" w:space="0"/>
            </w:tcBorders>
            <w:shd w:val="clear" w:color="auto" w:fill="auto"/>
          </w:tcPr>
          <w:p w14:paraId="7D0DAD93">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显示器、键盘、14代I3 CPU，16G内存，512G SSD和1T机械盘</w:t>
            </w:r>
          </w:p>
        </w:tc>
        <w:tc>
          <w:tcPr>
            <w:tcW w:w="872" w:type="dxa"/>
            <w:tcBorders>
              <w:top w:val="nil"/>
              <w:left w:val="nil"/>
              <w:bottom w:val="single" w:color="auto" w:sz="4" w:space="0"/>
              <w:right w:val="single" w:color="auto" w:sz="4" w:space="0"/>
            </w:tcBorders>
            <w:shd w:val="clear" w:color="000000" w:fill="FFFFFF"/>
            <w:vAlign w:val="center"/>
          </w:tcPr>
          <w:p w14:paraId="6014585B">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6BA513C0">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w:t>
            </w:r>
          </w:p>
        </w:tc>
        <w:tc>
          <w:tcPr>
            <w:tcW w:w="1641" w:type="dxa"/>
            <w:tcBorders>
              <w:top w:val="nil"/>
              <w:left w:val="nil"/>
              <w:bottom w:val="single" w:color="auto" w:sz="4" w:space="0"/>
              <w:right w:val="single" w:color="auto" w:sz="4" w:space="0"/>
            </w:tcBorders>
            <w:shd w:val="clear" w:color="000000" w:fill="FFFFFF"/>
            <w:noWrap/>
            <w:vAlign w:val="center"/>
          </w:tcPr>
          <w:p w14:paraId="1AA2AA01">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65E74BBE">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vAlign w:val="center"/>
          </w:tcPr>
          <w:p w14:paraId="693D15EC">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0D2FE28E">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vAlign w:val="center"/>
          </w:tcPr>
          <w:p w14:paraId="1BDF270D">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1.11</w:t>
            </w:r>
          </w:p>
        </w:tc>
        <w:tc>
          <w:tcPr>
            <w:tcW w:w="1961" w:type="dxa"/>
            <w:tcBorders>
              <w:top w:val="nil"/>
              <w:left w:val="nil"/>
              <w:bottom w:val="single" w:color="auto" w:sz="4" w:space="0"/>
              <w:right w:val="single" w:color="auto" w:sz="4" w:space="0"/>
            </w:tcBorders>
            <w:shd w:val="clear" w:color="000000" w:fill="FFFFFF"/>
            <w:vAlign w:val="center"/>
          </w:tcPr>
          <w:p w14:paraId="01373B78">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光模块（多模模块）</w:t>
            </w:r>
          </w:p>
        </w:tc>
        <w:tc>
          <w:tcPr>
            <w:tcW w:w="4996" w:type="dxa"/>
            <w:tcBorders>
              <w:top w:val="nil"/>
              <w:left w:val="nil"/>
              <w:bottom w:val="single" w:color="auto" w:sz="4" w:space="0"/>
              <w:right w:val="single" w:color="auto" w:sz="4" w:space="0"/>
            </w:tcBorders>
            <w:shd w:val="clear" w:color="auto" w:fill="auto"/>
          </w:tcPr>
          <w:p w14:paraId="16148D97">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10GBASE-SR SFP+光模块，多模，850nm</w:t>
            </w:r>
          </w:p>
        </w:tc>
        <w:tc>
          <w:tcPr>
            <w:tcW w:w="872" w:type="dxa"/>
            <w:tcBorders>
              <w:top w:val="nil"/>
              <w:left w:val="nil"/>
              <w:bottom w:val="single" w:color="auto" w:sz="4" w:space="0"/>
              <w:right w:val="single" w:color="auto" w:sz="4" w:space="0"/>
            </w:tcBorders>
            <w:shd w:val="clear" w:color="000000" w:fill="FFFFFF"/>
            <w:vAlign w:val="center"/>
          </w:tcPr>
          <w:p w14:paraId="5C2424E4">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个</w:t>
            </w:r>
          </w:p>
        </w:tc>
        <w:tc>
          <w:tcPr>
            <w:tcW w:w="856" w:type="dxa"/>
            <w:tcBorders>
              <w:top w:val="nil"/>
              <w:left w:val="nil"/>
              <w:bottom w:val="single" w:color="auto" w:sz="4" w:space="0"/>
              <w:right w:val="single" w:color="auto" w:sz="4" w:space="0"/>
            </w:tcBorders>
            <w:shd w:val="clear" w:color="000000" w:fill="FFFFFF"/>
            <w:vAlign w:val="center"/>
          </w:tcPr>
          <w:p w14:paraId="53388F98">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20</w:t>
            </w:r>
          </w:p>
        </w:tc>
        <w:tc>
          <w:tcPr>
            <w:tcW w:w="1641" w:type="dxa"/>
            <w:tcBorders>
              <w:top w:val="nil"/>
              <w:left w:val="nil"/>
              <w:bottom w:val="single" w:color="auto" w:sz="4" w:space="0"/>
              <w:right w:val="single" w:color="auto" w:sz="4" w:space="0"/>
            </w:tcBorders>
            <w:shd w:val="clear" w:color="000000" w:fill="FFFFFF"/>
            <w:noWrap/>
            <w:vAlign w:val="center"/>
          </w:tcPr>
          <w:p w14:paraId="0956ABFA">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38D84950">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vAlign w:val="center"/>
          </w:tcPr>
          <w:p w14:paraId="3B5CC621">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1F31C008">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vAlign w:val="center"/>
          </w:tcPr>
          <w:p w14:paraId="0F3B665B">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1.12</w:t>
            </w:r>
          </w:p>
        </w:tc>
        <w:tc>
          <w:tcPr>
            <w:tcW w:w="1961" w:type="dxa"/>
            <w:tcBorders>
              <w:top w:val="nil"/>
              <w:left w:val="nil"/>
              <w:bottom w:val="single" w:color="auto" w:sz="4" w:space="0"/>
              <w:right w:val="single" w:color="auto" w:sz="4" w:space="0"/>
            </w:tcBorders>
            <w:shd w:val="clear" w:color="000000" w:fill="FFFFFF"/>
            <w:vAlign w:val="center"/>
          </w:tcPr>
          <w:p w14:paraId="283833A7">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光模块（单模模块）</w:t>
            </w:r>
          </w:p>
        </w:tc>
        <w:tc>
          <w:tcPr>
            <w:tcW w:w="4996" w:type="dxa"/>
            <w:tcBorders>
              <w:top w:val="nil"/>
              <w:left w:val="nil"/>
              <w:bottom w:val="single" w:color="auto" w:sz="4" w:space="0"/>
              <w:right w:val="single" w:color="auto" w:sz="4" w:space="0"/>
            </w:tcBorders>
            <w:shd w:val="clear" w:color="auto" w:fill="auto"/>
          </w:tcPr>
          <w:p w14:paraId="2BB34A3F">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10GBASE-LR SFP+光模块，单模，1310nm，双LC，10KM</w:t>
            </w:r>
          </w:p>
        </w:tc>
        <w:tc>
          <w:tcPr>
            <w:tcW w:w="872" w:type="dxa"/>
            <w:tcBorders>
              <w:top w:val="nil"/>
              <w:left w:val="nil"/>
              <w:bottom w:val="single" w:color="auto" w:sz="4" w:space="0"/>
              <w:right w:val="single" w:color="auto" w:sz="4" w:space="0"/>
            </w:tcBorders>
            <w:shd w:val="clear" w:color="000000" w:fill="FFFFFF"/>
            <w:vAlign w:val="center"/>
          </w:tcPr>
          <w:p w14:paraId="53F801C9">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个</w:t>
            </w:r>
          </w:p>
        </w:tc>
        <w:tc>
          <w:tcPr>
            <w:tcW w:w="856" w:type="dxa"/>
            <w:tcBorders>
              <w:top w:val="nil"/>
              <w:left w:val="nil"/>
              <w:bottom w:val="single" w:color="auto" w:sz="4" w:space="0"/>
              <w:right w:val="single" w:color="auto" w:sz="4" w:space="0"/>
            </w:tcBorders>
            <w:shd w:val="clear" w:color="000000" w:fill="FFFFFF"/>
            <w:vAlign w:val="center"/>
          </w:tcPr>
          <w:p w14:paraId="0E1D7E83">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40</w:t>
            </w:r>
          </w:p>
        </w:tc>
        <w:tc>
          <w:tcPr>
            <w:tcW w:w="1641" w:type="dxa"/>
            <w:tcBorders>
              <w:top w:val="nil"/>
              <w:left w:val="nil"/>
              <w:bottom w:val="single" w:color="auto" w:sz="4" w:space="0"/>
              <w:right w:val="single" w:color="auto" w:sz="4" w:space="0"/>
            </w:tcBorders>
            <w:shd w:val="clear" w:color="000000" w:fill="FFFFFF"/>
            <w:noWrap/>
            <w:vAlign w:val="center"/>
          </w:tcPr>
          <w:p w14:paraId="5E83AE89">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766A9720">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vAlign w:val="center"/>
          </w:tcPr>
          <w:p w14:paraId="79348D87">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35981F60">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5C98CFCD">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（二）</w:t>
            </w:r>
          </w:p>
        </w:tc>
        <w:tc>
          <w:tcPr>
            <w:tcW w:w="1961" w:type="dxa"/>
            <w:tcBorders>
              <w:top w:val="nil"/>
              <w:left w:val="nil"/>
              <w:bottom w:val="single" w:color="auto" w:sz="4" w:space="0"/>
              <w:right w:val="single" w:color="auto" w:sz="4" w:space="0"/>
            </w:tcBorders>
            <w:shd w:val="clear" w:color="000000" w:fill="FFFFFF"/>
            <w:noWrap/>
            <w:vAlign w:val="center"/>
          </w:tcPr>
          <w:p w14:paraId="6070BC60">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网络设备（内网）</w:t>
            </w:r>
          </w:p>
        </w:tc>
        <w:tc>
          <w:tcPr>
            <w:tcW w:w="4996" w:type="dxa"/>
            <w:tcBorders>
              <w:top w:val="nil"/>
              <w:left w:val="nil"/>
              <w:bottom w:val="single" w:color="auto" w:sz="4" w:space="0"/>
              <w:right w:val="single" w:color="auto" w:sz="4" w:space="0"/>
            </w:tcBorders>
            <w:shd w:val="clear" w:color="000000" w:fill="FFFFFF"/>
          </w:tcPr>
          <w:p w14:paraId="4B135D08">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　</w:t>
            </w:r>
          </w:p>
        </w:tc>
        <w:tc>
          <w:tcPr>
            <w:tcW w:w="872" w:type="dxa"/>
            <w:tcBorders>
              <w:top w:val="nil"/>
              <w:left w:val="nil"/>
              <w:bottom w:val="single" w:color="auto" w:sz="4" w:space="0"/>
              <w:right w:val="single" w:color="auto" w:sz="4" w:space="0"/>
            </w:tcBorders>
            <w:shd w:val="clear" w:color="000000" w:fill="FFFFFF"/>
            <w:vAlign w:val="center"/>
          </w:tcPr>
          <w:p w14:paraId="63B497BD">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c>
          <w:tcPr>
            <w:tcW w:w="856" w:type="dxa"/>
            <w:tcBorders>
              <w:top w:val="nil"/>
              <w:left w:val="nil"/>
              <w:bottom w:val="single" w:color="auto" w:sz="4" w:space="0"/>
              <w:right w:val="single" w:color="auto" w:sz="4" w:space="0"/>
            </w:tcBorders>
            <w:shd w:val="clear" w:color="000000" w:fill="FFFFFF"/>
            <w:vAlign w:val="center"/>
          </w:tcPr>
          <w:p w14:paraId="429DC9A9">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c>
          <w:tcPr>
            <w:tcW w:w="1641" w:type="dxa"/>
            <w:tcBorders>
              <w:top w:val="nil"/>
              <w:left w:val="nil"/>
              <w:bottom w:val="single" w:color="auto" w:sz="4" w:space="0"/>
              <w:right w:val="single" w:color="auto" w:sz="4" w:space="0"/>
            </w:tcBorders>
            <w:shd w:val="clear" w:color="000000" w:fill="FFFFFF"/>
            <w:vAlign w:val="center"/>
          </w:tcPr>
          <w:p w14:paraId="5CC345A7">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0CB36879">
            <w:pPr>
              <w:widowControl/>
              <w:jc w:val="right"/>
              <w:rPr>
                <w:rFonts w:hint="eastAsia" w:ascii="宋体" w:hAnsi="宋体" w:eastAsia="宋体" w:cs="宋体"/>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vAlign w:val="center"/>
          </w:tcPr>
          <w:p w14:paraId="73DBF9E8">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45D67AA4">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vAlign w:val="center"/>
          </w:tcPr>
          <w:p w14:paraId="68F67A1F">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2.1</w:t>
            </w:r>
          </w:p>
        </w:tc>
        <w:tc>
          <w:tcPr>
            <w:tcW w:w="1961" w:type="dxa"/>
            <w:tcBorders>
              <w:top w:val="nil"/>
              <w:left w:val="nil"/>
              <w:bottom w:val="single" w:color="auto" w:sz="4" w:space="0"/>
              <w:right w:val="single" w:color="auto" w:sz="4" w:space="0"/>
            </w:tcBorders>
            <w:shd w:val="clear" w:color="000000" w:fill="FFFFFF"/>
            <w:vAlign w:val="center"/>
          </w:tcPr>
          <w:p w14:paraId="6AA32A79">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外联接入交换机</w:t>
            </w:r>
          </w:p>
        </w:tc>
        <w:tc>
          <w:tcPr>
            <w:tcW w:w="4996" w:type="dxa"/>
            <w:tcBorders>
              <w:top w:val="nil"/>
              <w:left w:val="nil"/>
              <w:bottom w:val="single" w:color="auto" w:sz="4" w:space="0"/>
              <w:right w:val="single" w:color="auto" w:sz="4" w:space="0"/>
            </w:tcBorders>
            <w:shd w:val="clear" w:color="auto" w:fill="auto"/>
          </w:tcPr>
          <w:p w14:paraId="72ACA14E">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1、性能： 交换容量≥336Gbps, 包转发率≥126Mpps，若产品官网或彩页中有X/Y参数，则以X参数为准；</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2、端口：≥24个10/100/1000M电口，≥4个千兆SFP口；</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3、二层功能：最大MAC地址≥8K，支持4K VLAN，支持STP/RSTP/MSTP，支持MRSTP，支持本地镜像及远程端口镜像；</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4、组播协议：支持IGMP v1/v2 Snooping和快速离开机制，支持MAC based L2MC，支持静态组播组，支持IGMP Proxy；</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5、可靠性：支持手动聚合，静态LACP，支持SmartLink；</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6、DHCP：支持DHCP Client，支持DHCP Relay；</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7、安全：支持用户分级管理和口令保护，支持801.X认证，支持CPU保护和ARP防攻击功能，支持ACL过滤，支持防DDOS攻击，支持AAA认证，支持Radius、TACACS+ ，支持安全MAC，支持SSH V2.0，支持SFTP，支持动态ARP 检测，防止中间人攻击和ARP拒绝服务，支持BPDU guard，Root guard；</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8、证书：提供工信部入网证；</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9、提供制造商三年质保服务、根据需要配置对应的模块；</w:t>
            </w:r>
          </w:p>
        </w:tc>
        <w:tc>
          <w:tcPr>
            <w:tcW w:w="872" w:type="dxa"/>
            <w:tcBorders>
              <w:top w:val="nil"/>
              <w:left w:val="nil"/>
              <w:bottom w:val="single" w:color="auto" w:sz="4" w:space="0"/>
              <w:right w:val="single" w:color="auto" w:sz="4" w:space="0"/>
            </w:tcBorders>
            <w:shd w:val="clear" w:color="000000" w:fill="FFFFFF"/>
            <w:vAlign w:val="center"/>
          </w:tcPr>
          <w:p w14:paraId="3F942408">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126A9ED1">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2</w:t>
            </w:r>
          </w:p>
        </w:tc>
        <w:tc>
          <w:tcPr>
            <w:tcW w:w="1641" w:type="dxa"/>
            <w:tcBorders>
              <w:top w:val="nil"/>
              <w:left w:val="nil"/>
              <w:bottom w:val="single" w:color="auto" w:sz="4" w:space="0"/>
              <w:right w:val="single" w:color="auto" w:sz="4" w:space="0"/>
            </w:tcBorders>
            <w:shd w:val="clear" w:color="000000" w:fill="FFFFFF"/>
            <w:noWrap/>
            <w:vAlign w:val="center"/>
          </w:tcPr>
          <w:p w14:paraId="6E0285F0">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5881E1E8">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vAlign w:val="center"/>
          </w:tcPr>
          <w:p w14:paraId="095F4285">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09D20C59">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vAlign w:val="center"/>
          </w:tcPr>
          <w:p w14:paraId="08430769">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2.2</w:t>
            </w:r>
          </w:p>
        </w:tc>
        <w:tc>
          <w:tcPr>
            <w:tcW w:w="1961" w:type="dxa"/>
            <w:tcBorders>
              <w:top w:val="nil"/>
              <w:left w:val="nil"/>
              <w:bottom w:val="single" w:color="auto" w:sz="4" w:space="0"/>
              <w:right w:val="single" w:color="auto" w:sz="4" w:space="0"/>
            </w:tcBorders>
            <w:shd w:val="clear" w:color="000000" w:fill="FFFFFF"/>
            <w:vAlign w:val="center"/>
          </w:tcPr>
          <w:p w14:paraId="1619B3FB">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xml:space="preserve">核心交换机 </w:t>
            </w:r>
          </w:p>
        </w:tc>
        <w:tc>
          <w:tcPr>
            <w:tcW w:w="4996" w:type="dxa"/>
            <w:tcBorders>
              <w:top w:val="nil"/>
              <w:left w:val="nil"/>
              <w:bottom w:val="single" w:color="auto" w:sz="4" w:space="0"/>
              <w:right w:val="single" w:color="auto" w:sz="4" w:space="0"/>
            </w:tcBorders>
            <w:shd w:val="clear" w:color="auto" w:fill="auto"/>
          </w:tcPr>
          <w:p w14:paraId="0152BCCD">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1、交换容量≥31.1Tbps/153.6Tbps；</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2、▲支持独立的主控引擎槽位≥2个，独立的交换网板槽位≥1个，独立业务板卡槽位数≥6个，提供产品图片证明并加盖投标人公章；</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3、支持高性能的IPv6网络服务能力，包括RIPng、BGP4+、OSPFv3等IPv6单播路由能力，以及MLD v1/v2、MLD Snooping、MVR6、PIM-SMv6等IPv6多播路由能力；</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4、支持IPv4和IPv6的双协议栈和多种隧道技术；</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5、支持M-LAG、VRRP、Smart Link、ECMP、BFD等高可靠技术；</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6、支持SPAN/RSPAN/ERSPAN、流镜像、多源多目的镜像、sFlow等流量监控技术；</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7、▲支持1G、10G、25G、40G、100G端口的业务板卡，提供对应业务板卡图片证明并加盖投标人公章；</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8、▲交换芯片支持≥36MB的大缓存，提供官网截图并加盖投标人公章；</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9、▲引擎≥2块，交换网板≥1块，电源≥2个，10G/25G光口≥36个，1G电口≥48个，根据需要配置对应的模块；（需提供制造商相关配置承诺函并加盖投标人公章）</w:t>
            </w:r>
          </w:p>
        </w:tc>
        <w:tc>
          <w:tcPr>
            <w:tcW w:w="872" w:type="dxa"/>
            <w:tcBorders>
              <w:top w:val="nil"/>
              <w:left w:val="nil"/>
              <w:bottom w:val="single" w:color="auto" w:sz="4" w:space="0"/>
              <w:right w:val="single" w:color="auto" w:sz="4" w:space="0"/>
            </w:tcBorders>
            <w:shd w:val="clear" w:color="000000" w:fill="FFFFFF"/>
            <w:vAlign w:val="center"/>
          </w:tcPr>
          <w:p w14:paraId="35BFBDC6">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276B278E">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2</w:t>
            </w:r>
          </w:p>
        </w:tc>
        <w:tc>
          <w:tcPr>
            <w:tcW w:w="1641" w:type="dxa"/>
            <w:tcBorders>
              <w:top w:val="nil"/>
              <w:left w:val="nil"/>
              <w:bottom w:val="single" w:color="auto" w:sz="4" w:space="0"/>
              <w:right w:val="single" w:color="auto" w:sz="4" w:space="0"/>
            </w:tcBorders>
            <w:shd w:val="clear" w:color="000000" w:fill="FFFFFF"/>
            <w:noWrap/>
            <w:vAlign w:val="center"/>
          </w:tcPr>
          <w:p w14:paraId="1DBD634A">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297B2596">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vAlign w:val="center"/>
          </w:tcPr>
          <w:p w14:paraId="47A49174">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1228FC98">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vAlign w:val="center"/>
          </w:tcPr>
          <w:p w14:paraId="5FD73EB8">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2.3</w:t>
            </w:r>
          </w:p>
        </w:tc>
        <w:tc>
          <w:tcPr>
            <w:tcW w:w="1961" w:type="dxa"/>
            <w:tcBorders>
              <w:top w:val="nil"/>
              <w:left w:val="nil"/>
              <w:bottom w:val="single" w:color="auto" w:sz="4" w:space="0"/>
              <w:right w:val="single" w:color="auto" w:sz="4" w:space="0"/>
            </w:tcBorders>
            <w:shd w:val="clear" w:color="000000" w:fill="FFFFFF"/>
            <w:vAlign w:val="center"/>
          </w:tcPr>
          <w:p w14:paraId="3D7A895F">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服务器区汇聚交换机</w:t>
            </w:r>
          </w:p>
        </w:tc>
        <w:tc>
          <w:tcPr>
            <w:tcW w:w="4996" w:type="dxa"/>
            <w:tcBorders>
              <w:top w:val="nil"/>
              <w:left w:val="nil"/>
              <w:bottom w:val="single" w:color="auto" w:sz="4" w:space="0"/>
              <w:right w:val="single" w:color="auto" w:sz="4" w:space="0"/>
            </w:tcBorders>
            <w:shd w:val="clear" w:color="auto" w:fill="auto"/>
          </w:tcPr>
          <w:p w14:paraId="6F5DB4CE">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1、交换能力：交换容量≥2.56Tbps、转发率≥480Mpps；</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2、可插拔模块化电源≥2；</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3、MAC地址表≥32K，路由表容量≥16K，ARP≥16K；</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4、▲≥16个10/100/1000Base-T原生电口（非光转电模块实现），≥20个1G/10G SFP+ 端口，≥8个10G/25G SFP28端口，扩展槽≥2个，提供相关证明材料并加盖投标人公章；</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5、支持VXLAN gateway，支持VXLAN bridge，支持VXLAN routing，支持集中式网关和分布式网关部署；</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6、支持支持LACP，支持M-LAG 跨机箱链路捆绑；</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7、支持IPv4静态路由、RIP V1/V2、OSPF、BGP、ISIS；支持IPv6静态路由、RIPng、OSPFv3，支持策略路由；</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 xml:space="preserve">8、支持VRRP（虚拟路由冗余协议)，VARP，LLDP； </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9、支持AAA认证、RADIUS 认证、TACACS+认证；支持基于端口/VLAN 的MAC 数量限制；</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10、支持支持命令行接口（CLI）配置，支持Console、Telnet、SSH 等终端服务，支持SNMPv1/v2c/v3 等网络管理协议，支持图形化WEB 界面管理；</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11、提供制造商三年质保服务、根据需要配置对应的模块；</w:t>
            </w:r>
          </w:p>
        </w:tc>
        <w:tc>
          <w:tcPr>
            <w:tcW w:w="872" w:type="dxa"/>
            <w:tcBorders>
              <w:top w:val="nil"/>
              <w:left w:val="nil"/>
              <w:bottom w:val="single" w:color="auto" w:sz="4" w:space="0"/>
              <w:right w:val="single" w:color="auto" w:sz="4" w:space="0"/>
            </w:tcBorders>
            <w:shd w:val="clear" w:color="000000" w:fill="FFFFFF"/>
            <w:vAlign w:val="center"/>
          </w:tcPr>
          <w:p w14:paraId="6C31A198">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66EBEDC9">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2</w:t>
            </w:r>
          </w:p>
        </w:tc>
        <w:tc>
          <w:tcPr>
            <w:tcW w:w="1641" w:type="dxa"/>
            <w:tcBorders>
              <w:top w:val="nil"/>
              <w:left w:val="nil"/>
              <w:bottom w:val="single" w:color="auto" w:sz="4" w:space="0"/>
              <w:right w:val="single" w:color="auto" w:sz="4" w:space="0"/>
            </w:tcBorders>
            <w:shd w:val="clear" w:color="000000" w:fill="FFFFFF"/>
            <w:noWrap/>
            <w:vAlign w:val="center"/>
          </w:tcPr>
          <w:p w14:paraId="6FB6E4B6">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3F7F86C2">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vAlign w:val="center"/>
          </w:tcPr>
          <w:p w14:paraId="43136BEF">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5DE24159">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vAlign w:val="center"/>
          </w:tcPr>
          <w:p w14:paraId="0AC879BB">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2.4</w:t>
            </w:r>
          </w:p>
        </w:tc>
        <w:tc>
          <w:tcPr>
            <w:tcW w:w="1961" w:type="dxa"/>
            <w:tcBorders>
              <w:top w:val="nil"/>
              <w:left w:val="nil"/>
              <w:bottom w:val="single" w:color="auto" w:sz="4" w:space="0"/>
              <w:right w:val="single" w:color="auto" w:sz="4" w:space="0"/>
            </w:tcBorders>
            <w:shd w:val="clear" w:color="000000" w:fill="FFFFFF"/>
            <w:vAlign w:val="center"/>
          </w:tcPr>
          <w:p w14:paraId="223562EC">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xml:space="preserve">超融合内连交换机 </w:t>
            </w:r>
          </w:p>
        </w:tc>
        <w:tc>
          <w:tcPr>
            <w:tcW w:w="4996" w:type="dxa"/>
            <w:tcBorders>
              <w:top w:val="nil"/>
              <w:left w:val="nil"/>
              <w:bottom w:val="single" w:color="auto" w:sz="4" w:space="0"/>
              <w:right w:val="single" w:color="auto" w:sz="4" w:space="0"/>
            </w:tcBorders>
            <w:shd w:val="clear" w:color="auto" w:fill="auto"/>
          </w:tcPr>
          <w:p w14:paraId="6A838B39">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1、交换能力：交换容量≥2.56Tbps、转发率≥480Mpps；</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2、可插拔模块化电源≥2；</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3、MAC地址表≥32K，路由表容量≥16K，ARP≥16K；</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4、▲≥16个10/100/1000Base-T原生电口（非光转电模块实现），≥20个1G/10G SFP+ 端口，≥8个10G/25G SFP28端口，扩展槽≥2个，提供相关证明材料并加盖投标人公章；</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5、支持VXLAN gateway，支持VXLAN bridge，支持VXLAN routing，支持集中式网关和分布式网关部署；</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6、支持支持LACP，支持M-LAG 跨机箱链路捆绑；</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7、支持IPv4静态路由、RIP V1/V2、OSPF、BGP、ISIS；支持IPv6静态路由、RIPng、OSPFv3，支持策略路由；</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 xml:space="preserve">8、支持VRRP（虚拟路由冗余协议)，VARP，LLDP； </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9、支持AAA认证、RADIUS 认证、TACACS+认证；支持基于端口/VLAN 的MAC 数量限制；</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10、支持支持命令行接口（CLI）配置，支持Console、Telnet、SSH 等终端服务，支持SNMPv1/v2c/v3 等网络管理协议，支持图形化WEB 界面管理；</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11、提供制造商三年质保服务、根据需要配置对应的模块；</w:t>
            </w:r>
          </w:p>
        </w:tc>
        <w:tc>
          <w:tcPr>
            <w:tcW w:w="872" w:type="dxa"/>
            <w:tcBorders>
              <w:top w:val="nil"/>
              <w:left w:val="nil"/>
              <w:bottom w:val="single" w:color="auto" w:sz="4" w:space="0"/>
              <w:right w:val="single" w:color="auto" w:sz="4" w:space="0"/>
            </w:tcBorders>
            <w:shd w:val="clear" w:color="000000" w:fill="FFFFFF"/>
            <w:vAlign w:val="center"/>
          </w:tcPr>
          <w:p w14:paraId="2AE3A45B">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21CAA487">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2</w:t>
            </w:r>
          </w:p>
        </w:tc>
        <w:tc>
          <w:tcPr>
            <w:tcW w:w="1641" w:type="dxa"/>
            <w:tcBorders>
              <w:top w:val="nil"/>
              <w:left w:val="nil"/>
              <w:bottom w:val="single" w:color="auto" w:sz="4" w:space="0"/>
              <w:right w:val="single" w:color="auto" w:sz="4" w:space="0"/>
            </w:tcBorders>
            <w:shd w:val="clear" w:color="000000" w:fill="FFFFFF"/>
            <w:noWrap/>
            <w:vAlign w:val="center"/>
          </w:tcPr>
          <w:p w14:paraId="1C50748F">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563F5A09">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vAlign w:val="center"/>
          </w:tcPr>
          <w:p w14:paraId="224171D2">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00CDDD8D">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vAlign w:val="center"/>
          </w:tcPr>
          <w:p w14:paraId="4D7AD2A6">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2.5</w:t>
            </w:r>
          </w:p>
        </w:tc>
        <w:tc>
          <w:tcPr>
            <w:tcW w:w="1961" w:type="dxa"/>
            <w:tcBorders>
              <w:top w:val="nil"/>
              <w:left w:val="nil"/>
              <w:bottom w:val="single" w:color="auto" w:sz="4" w:space="0"/>
              <w:right w:val="single" w:color="auto" w:sz="4" w:space="0"/>
            </w:tcBorders>
            <w:shd w:val="clear" w:color="000000" w:fill="FFFFFF"/>
            <w:vAlign w:val="center"/>
          </w:tcPr>
          <w:p w14:paraId="15BE6049">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运维监控区汇聚交换机</w:t>
            </w:r>
          </w:p>
        </w:tc>
        <w:tc>
          <w:tcPr>
            <w:tcW w:w="4996" w:type="dxa"/>
            <w:tcBorders>
              <w:top w:val="nil"/>
              <w:left w:val="nil"/>
              <w:bottom w:val="single" w:color="auto" w:sz="4" w:space="0"/>
              <w:right w:val="single" w:color="auto" w:sz="4" w:space="0"/>
            </w:tcBorders>
            <w:shd w:val="clear" w:color="auto" w:fill="auto"/>
          </w:tcPr>
          <w:p w14:paraId="72F26530">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1、交换能力：交换容量≥2.56Tbps、转发率≥480Mpps；</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2、可插拔模块化电源≥2；</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3、MAC地址表≥32K，路由表容量≥16K，ARP≥16K；</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4、▲≥16个10/100/1000Base-T原生电口（非光转电模块实现），≥20个1G/10G SFP+ 端口，≥8个10G/25G SFP28端口，扩展槽≥2个，提供相关证明材料并加盖投标人公章；</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5、支持VXLAN gateway，支持VXLAN bridge，支持VXLAN routing，支持集中式网关和分布式网关部署；</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6、支持支持LACP，支持M-LAG 跨机箱链路捆绑；</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7、支持IPv4静态路由、RIP V1/V2、OSPF、BGP、ISIS；支持IPv6静态路由、RIPng、OSPFv3，支持策略路由；</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 xml:space="preserve">8、支持VRRP（虚拟路由冗余协议)，VARP，LLDP； </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9、支持AAA认证、RADIUS 认证、TACACS+认证；支持基于端口/VLAN 的MAC 数量限制；</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10、支持支持命令行接口（CLI）配置，支持Console、Telnet、SSH 等终端服务，支持SNMPv1/v2c/v3 等网络管理协议，支持图形化WEB 界面管理；</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11、提供制造商三年质保服务、根据需要配置对应的模块；</w:t>
            </w:r>
          </w:p>
        </w:tc>
        <w:tc>
          <w:tcPr>
            <w:tcW w:w="872" w:type="dxa"/>
            <w:tcBorders>
              <w:top w:val="nil"/>
              <w:left w:val="nil"/>
              <w:bottom w:val="single" w:color="auto" w:sz="4" w:space="0"/>
              <w:right w:val="single" w:color="auto" w:sz="4" w:space="0"/>
            </w:tcBorders>
            <w:shd w:val="clear" w:color="000000" w:fill="FFFFFF"/>
            <w:vAlign w:val="center"/>
          </w:tcPr>
          <w:p w14:paraId="333497E3">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185E77F4">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w:t>
            </w:r>
          </w:p>
        </w:tc>
        <w:tc>
          <w:tcPr>
            <w:tcW w:w="1641" w:type="dxa"/>
            <w:tcBorders>
              <w:top w:val="nil"/>
              <w:left w:val="nil"/>
              <w:bottom w:val="single" w:color="auto" w:sz="4" w:space="0"/>
              <w:right w:val="single" w:color="auto" w:sz="4" w:space="0"/>
            </w:tcBorders>
            <w:shd w:val="clear" w:color="000000" w:fill="FFFFFF"/>
            <w:noWrap/>
            <w:vAlign w:val="center"/>
          </w:tcPr>
          <w:p w14:paraId="5E5CF8E2">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747E1BDA">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vAlign w:val="center"/>
          </w:tcPr>
          <w:p w14:paraId="12CE2A82">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34B97270">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vAlign w:val="center"/>
          </w:tcPr>
          <w:p w14:paraId="1F566E81">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2.6</w:t>
            </w:r>
          </w:p>
        </w:tc>
        <w:tc>
          <w:tcPr>
            <w:tcW w:w="1961" w:type="dxa"/>
            <w:tcBorders>
              <w:top w:val="nil"/>
              <w:left w:val="nil"/>
              <w:bottom w:val="single" w:color="auto" w:sz="4" w:space="0"/>
              <w:right w:val="single" w:color="auto" w:sz="4" w:space="0"/>
            </w:tcBorders>
            <w:shd w:val="clear" w:color="000000" w:fill="FFFFFF"/>
            <w:vAlign w:val="center"/>
          </w:tcPr>
          <w:p w14:paraId="35D92295">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运维监控区接入交换机</w:t>
            </w:r>
          </w:p>
        </w:tc>
        <w:tc>
          <w:tcPr>
            <w:tcW w:w="4996" w:type="dxa"/>
            <w:tcBorders>
              <w:top w:val="nil"/>
              <w:left w:val="nil"/>
              <w:bottom w:val="single" w:color="auto" w:sz="4" w:space="0"/>
              <w:right w:val="single" w:color="auto" w:sz="4" w:space="0"/>
            </w:tcBorders>
            <w:shd w:val="clear" w:color="auto" w:fill="auto"/>
          </w:tcPr>
          <w:p w14:paraId="694BF58D">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1、交换能力：交换容量 432Gbps,三层包转发率≥ 166 Mpps，若产品官网或彩页中有X/Y参数，则以X参数为准；</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2、▲固定接口配置要求：≥48个10/100/1000 RJ45 电口，≥4个10G SFP+ 端口；</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3、▲二层功能：最大MAC地址≥16K，支持4K VLAN，支持STP/RSTP/MSTP，支持本地镜像及远程镜像；</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 xml:space="preserve">4、▲三层功能：IPv4 路由表≥1K；支持IPv4静态路由，RIPv1&amp;v2，OSPFv2，BGP，ECMP，ICMP、策略路由，VRF;支持IPv6静态路由， RIPng，OSPF V3，ICMPv6，NDP，ICMPv6等；                    </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5、组播协议：支持IGMP snooping v1v2v3，IGMP Proxy，Fast leave，Layer 2 Static Multicast等；</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6、DHCP：支持DHCP Snooping，支持DHCP Server/DHCP Client/DHCP Relay，支持option82；</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7、安全：支持dot1X认证、AAA认证，支持Radius、TACACS+认证，支持CPU防攻击；</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8、 支持M-LAG技术，将多台物理机箱组成1台虚拟交换机，实现多台设备间的链路聚合；</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9、提供制造商三年质保服务、根据需要配置对应的模块；</w:t>
            </w:r>
          </w:p>
        </w:tc>
        <w:tc>
          <w:tcPr>
            <w:tcW w:w="872" w:type="dxa"/>
            <w:tcBorders>
              <w:top w:val="nil"/>
              <w:left w:val="nil"/>
              <w:bottom w:val="single" w:color="auto" w:sz="4" w:space="0"/>
              <w:right w:val="single" w:color="auto" w:sz="4" w:space="0"/>
            </w:tcBorders>
            <w:shd w:val="clear" w:color="000000" w:fill="FFFFFF"/>
            <w:vAlign w:val="center"/>
          </w:tcPr>
          <w:p w14:paraId="62D75827">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67D65382">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2</w:t>
            </w:r>
          </w:p>
        </w:tc>
        <w:tc>
          <w:tcPr>
            <w:tcW w:w="1641" w:type="dxa"/>
            <w:tcBorders>
              <w:top w:val="nil"/>
              <w:left w:val="nil"/>
              <w:bottom w:val="single" w:color="auto" w:sz="4" w:space="0"/>
              <w:right w:val="single" w:color="auto" w:sz="4" w:space="0"/>
            </w:tcBorders>
            <w:shd w:val="clear" w:color="000000" w:fill="FFFFFF"/>
            <w:noWrap/>
            <w:vAlign w:val="center"/>
          </w:tcPr>
          <w:p w14:paraId="686A99FD">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2029753F">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vAlign w:val="center"/>
          </w:tcPr>
          <w:p w14:paraId="59A2541F">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601005BF">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vAlign w:val="center"/>
          </w:tcPr>
          <w:p w14:paraId="2D3BF174">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2.7</w:t>
            </w:r>
          </w:p>
        </w:tc>
        <w:tc>
          <w:tcPr>
            <w:tcW w:w="1961" w:type="dxa"/>
            <w:tcBorders>
              <w:top w:val="nil"/>
              <w:left w:val="nil"/>
              <w:bottom w:val="single" w:color="auto" w:sz="4" w:space="0"/>
              <w:right w:val="single" w:color="auto" w:sz="4" w:space="0"/>
            </w:tcBorders>
            <w:shd w:val="clear" w:color="000000" w:fill="FFFFFF"/>
            <w:vAlign w:val="center"/>
          </w:tcPr>
          <w:p w14:paraId="4BE38D72">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xml:space="preserve">客户端汇聚交换机 </w:t>
            </w:r>
          </w:p>
        </w:tc>
        <w:tc>
          <w:tcPr>
            <w:tcW w:w="4996" w:type="dxa"/>
            <w:tcBorders>
              <w:top w:val="nil"/>
              <w:left w:val="nil"/>
              <w:bottom w:val="single" w:color="auto" w:sz="4" w:space="0"/>
              <w:right w:val="single" w:color="auto" w:sz="4" w:space="0"/>
            </w:tcBorders>
            <w:shd w:val="clear" w:color="auto" w:fill="auto"/>
          </w:tcPr>
          <w:p w14:paraId="182D35E1">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1、交换能力：交换容量≥2.56Tbps、转发率≥480Mpps；</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2、可插拔模块化电源≥2；</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3、MAC地址表≥32K，路由表容量≥16K，ARP≥16K；</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4、▲≥16个10/100/1000Base-T原生电口（非光转电模块实现），≥20个1G/10G SFP+ 端口，≥8个10G/25G SFP28端口，扩展槽≥2个，提供相关证明材料并加盖投标人公章；</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5、支持VXLAN gateway，支持VXLAN bridge，支持VXLAN routing，支持集中式网关和分布式网关部署；</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6、支持支持LACP，支持M-LAG 跨机箱链路捆绑；</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7、支持IPv4静态路由、RIP V1/V2、OSPF、BGP、ISIS；支持IPv6静态路由、RIPng、OSPFv3，支持策略路由；</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 xml:space="preserve">8、支持VRRP（虚拟路由冗余协议)，VARP，LLDP； </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9、支持AAA认证、RADIUS 认证、TACACS+认证；支持基于端口/VLAN 的MAC 数量限制；</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10、支持支持命令行接口（CLI）配置，支持Console、Telnet、SSH 等终端服务，支持SNMPv1/v2c/v3 等网络管理协议，支持图形化WEB 界面管理；</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11、提供制造商三年质保服务、根据需要配置对应的模块；</w:t>
            </w:r>
          </w:p>
        </w:tc>
        <w:tc>
          <w:tcPr>
            <w:tcW w:w="872" w:type="dxa"/>
            <w:tcBorders>
              <w:top w:val="nil"/>
              <w:left w:val="nil"/>
              <w:bottom w:val="single" w:color="auto" w:sz="4" w:space="0"/>
              <w:right w:val="single" w:color="auto" w:sz="4" w:space="0"/>
            </w:tcBorders>
            <w:shd w:val="clear" w:color="000000" w:fill="FFFFFF"/>
            <w:vAlign w:val="center"/>
          </w:tcPr>
          <w:p w14:paraId="0CFD0814">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6EFBAB98">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2</w:t>
            </w:r>
          </w:p>
        </w:tc>
        <w:tc>
          <w:tcPr>
            <w:tcW w:w="1641" w:type="dxa"/>
            <w:tcBorders>
              <w:top w:val="nil"/>
              <w:left w:val="nil"/>
              <w:bottom w:val="single" w:color="auto" w:sz="4" w:space="0"/>
              <w:right w:val="single" w:color="auto" w:sz="4" w:space="0"/>
            </w:tcBorders>
            <w:shd w:val="clear" w:color="000000" w:fill="FFFFFF"/>
            <w:noWrap/>
            <w:vAlign w:val="center"/>
          </w:tcPr>
          <w:p w14:paraId="42325EE7">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421692FB">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vAlign w:val="center"/>
          </w:tcPr>
          <w:p w14:paraId="65702A5E">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1FE07BB8">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vAlign w:val="center"/>
          </w:tcPr>
          <w:p w14:paraId="310A804B">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2.8</w:t>
            </w:r>
          </w:p>
        </w:tc>
        <w:tc>
          <w:tcPr>
            <w:tcW w:w="1961" w:type="dxa"/>
            <w:tcBorders>
              <w:top w:val="nil"/>
              <w:left w:val="nil"/>
              <w:bottom w:val="single" w:color="auto" w:sz="4" w:space="0"/>
              <w:right w:val="single" w:color="auto" w:sz="4" w:space="0"/>
            </w:tcBorders>
            <w:shd w:val="clear" w:color="000000" w:fill="FFFFFF"/>
            <w:vAlign w:val="center"/>
          </w:tcPr>
          <w:p w14:paraId="2CFAC9FE">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有线接入交换机</w:t>
            </w:r>
          </w:p>
        </w:tc>
        <w:tc>
          <w:tcPr>
            <w:tcW w:w="4996" w:type="dxa"/>
            <w:tcBorders>
              <w:top w:val="nil"/>
              <w:left w:val="nil"/>
              <w:bottom w:val="single" w:color="auto" w:sz="4" w:space="0"/>
              <w:right w:val="single" w:color="auto" w:sz="4" w:space="0"/>
            </w:tcBorders>
            <w:shd w:val="clear" w:color="auto" w:fill="auto"/>
          </w:tcPr>
          <w:p w14:paraId="568C5895">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1、交换能力：交换容量 432Gbps,三层包转发率≥ 166 Mpps，若产品官网或彩页中有X/Y参数，则以X参数为准；</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2、▲固定接口配置要求：≥48个10/100/1000 RJ45 电口，≥4个10G SFP+ 端口；</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3、▲二层功能：最大MAC地址≥16K，支持4K VLAN，支持STP/RSTP/MSTP，支持本地镜像及远程镜像；</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 xml:space="preserve">4、▲三层功能：IPv4 路由表≥1K；支持IPv4静态路由，RIPv1&amp;v2，OSPFv2，BGP，ECMP，ICMP、策略路由，VRF;支持IPv6静态路由， RIPng，OSPF V3，ICMPv6，NDP，ICMPv6等；                    </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5、组播协议：支持IGMP snooping v1v2v3，IGMP Proxy，Fast leave，Layer 2 Static Multicast等；</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6、DHCP：支持DHCP Snooping，支持DHCP Server/DHCP Client/DHCP Relay，支持option82；</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7、安全：支持dot1X认证、AAA认证，支持Radius、TACACS+认证，支持CPU防攻击；</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8、支持M-LAG技术，将多台物理机箱组成1台虚拟交换机，实现多台设备间的链路聚合；</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9、提供制造商三年质保服务、根据需要配置对应的模块；</w:t>
            </w:r>
          </w:p>
        </w:tc>
        <w:tc>
          <w:tcPr>
            <w:tcW w:w="872" w:type="dxa"/>
            <w:tcBorders>
              <w:top w:val="nil"/>
              <w:left w:val="nil"/>
              <w:bottom w:val="single" w:color="auto" w:sz="4" w:space="0"/>
              <w:right w:val="single" w:color="auto" w:sz="4" w:space="0"/>
            </w:tcBorders>
            <w:shd w:val="clear" w:color="000000" w:fill="FFFFFF"/>
            <w:vAlign w:val="center"/>
          </w:tcPr>
          <w:p w14:paraId="31A82D34">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6B30C1E7">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8</w:t>
            </w:r>
          </w:p>
        </w:tc>
        <w:tc>
          <w:tcPr>
            <w:tcW w:w="1641" w:type="dxa"/>
            <w:tcBorders>
              <w:top w:val="nil"/>
              <w:left w:val="nil"/>
              <w:bottom w:val="single" w:color="auto" w:sz="4" w:space="0"/>
              <w:right w:val="single" w:color="auto" w:sz="4" w:space="0"/>
            </w:tcBorders>
            <w:shd w:val="clear" w:color="000000" w:fill="FFFFFF"/>
            <w:noWrap/>
            <w:vAlign w:val="center"/>
          </w:tcPr>
          <w:p w14:paraId="4863ADD4">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257B4311">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vAlign w:val="center"/>
          </w:tcPr>
          <w:p w14:paraId="52008D49">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11EE1496">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vAlign w:val="center"/>
          </w:tcPr>
          <w:p w14:paraId="2F0A97F9">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2.9</w:t>
            </w:r>
          </w:p>
        </w:tc>
        <w:tc>
          <w:tcPr>
            <w:tcW w:w="1961" w:type="dxa"/>
            <w:tcBorders>
              <w:top w:val="nil"/>
              <w:left w:val="nil"/>
              <w:bottom w:val="single" w:color="auto" w:sz="4" w:space="0"/>
              <w:right w:val="single" w:color="auto" w:sz="4" w:space="0"/>
            </w:tcBorders>
            <w:shd w:val="clear" w:color="000000" w:fill="FFFFFF"/>
            <w:vAlign w:val="center"/>
          </w:tcPr>
          <w:p w14:paraId="0F4310E5">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网络管理引擎</w:t>
            </w:r>
          </w:p>
        </w:tc>
        <w:tc>
          <w:tcPr>
            <w:tcW w:w="4996" w:type="dxa"/>
            <w:tcBorders>
              <w:top w:val="nil"/>
              <w:left w:val="nil"/>
              <w:bottom w:val="single" w:color="auto" w:sz="4" w:space="0"/>
              <w:right w:val="single" w:color="auto" w:sz="4" w:space="0"/>
            </w:tcBorders>
            <w:shd w:val="clear" w:color="auto" w:fill="auto"/>
          </w:tcPr>
          <w:p w14:paraId="22DDAACB">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xml:space="preserve">1. 软件架构:控制器支持X86虚拟化部署模式； </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 xml:space="preserve">2. 南北向接口:控制器支持Neutron Plugin 、Restful API、Java API方式北向接口，控制器支持OpenFlow 1.3、NETCONF、OVS-DB、SNMP、SSH、NXAPI等南向接口协议； </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 xml:space="preserve">3. 规划开局:SDN控制器提供图形化的网络拓扑界面,支持拖拽搭建虚拟网络拓扑开局，支持设计网络拓扑和实际部署网络拓扑比对功能； </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 xml:space="preserve">4. 导航设计:SDN控制器支持业务配置导航和配置预览功能,指导用户按照业务流程逐步配置,同时生成配置预览,让用户对照流程和预览结果进行配置,简化复杂业务的部署； </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 xml:space="preserve">5. 网络数字化:SDN控制器可以通过图形化的虚拟交换机端口面板，图形化端口面板将抽象的端口信息可视化,可以清晰直观地查看端口配置与连接情况，通过点击端口图标直接在界面上进行划分VLAN、设置流量策略、环路保护等功能； </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6.自定义模块:SDN控制器支持意图网络模板定义,基于用户意图通过调用配置模板快速自动构建网络,简化部署流程,提升运维效率;</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7.版本升级:SDN控制器支持批量或单台设备进行版本升级，支持定时重启；</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8.▲配置同步:SDN控制器支持WEB和CLI配置同步；（提供配置截图并加盖投标人公章）</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9.环路检测:SDN控制器通过闭环检查策略,从图形化翻译命令行,检查配置下发,确认协议状态,实现自动化配置闭环检查；</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10.配置回滚和比对:SDN控制器支持设备配置恢复、配置回滚、配置比对；</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11.▲认证服务器功能:SDN控制器支持Radius服务器功能，并定义不同用户角色的权限、配置权限区分；（提供配置截图并加盖投标人公章）</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12.监控功能:SDN控制器支持对多维度的可视化监控,包括拓扑呈现、端口状态、流量、CPU和内存利用率等信息的监控，通过直观的图形界面展示各维度的监控数据,如用不同颜色表示端口状态,用曲线图显示流量的历史变化趋势；</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13.IP地址可视化:SDN控制器支持统一规划IP段,并维护IP使用列表。然后在图形界面上直观显示IP地址分配情况，该功能让管理员直观掌握IP资源分配和使用情况,便于管理；</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14.定制化：SDN控制器厂家支持定制化功能开发；</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15.▲配置：制造商实施、定制化功能开发、支持对现有网络设备的纳管、框式交换机授权≥2，盒式交换机授权≥5000；（需提供制造商相关授权承诺函并加盖投标人公章）</w:t>
            </w:r>
          </w:p>
        </w:tc>
        <w:tc>
          <w:tcPr>
            <w:tcW w:w="872" w:type="dxa"/>
            <w:tcBorders>
              <w:top w:val="nil"/>
              <w:left w:val="nil"/>
              <w:bottom w:val="single" w:color="auto" w:sz="4" w:space="0"/>
              <w:right w:val="single" w:color="auto" w:sz="4" w:space="0"/>
            </w:tcBorders>
            <w:shd w:val="clear" w:color="000000" w:fill="FFFFFF"/>
            <w:vAlign w:val="center"/>
          </w:tcPr>
          <w:p w14:paraId="374091A3">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套</w:t>
            </w:r>
          </w:p>
        </w:tc>
        <w:tc>
          <w:tcPr>
            <w:tcW w:w="856" w:type="dxa"/>
            <w:tcBorders>
              <w:top w:val="nil"/>
              <w:left w:val="nil"/>
              <w:bottom w:val="single" w:color="auto" w:sz="4" w:space="0"/>
              <w:right w:val="single" w:color="auto" w:sz="4" w:space="0"/>
            </w:tcBorders>
            <w:shd w:val="clear" w:color="000000" w:fill="FFFFFF"/>
            <w:vAlign w:val="center"/>
          </w:tcPr>
          <w:p w14:paraId="1B6358EC">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w:t>
            </w:r>
          </w:p>
        </w:tc>
        <w:tc>
          <w:tcPr>
            <w:tcW w:w="1641" w:type="dxa"/>
            <w:tcBorders>
              <w:top w:val="nil"/>
              <w:left w:val="nil"/>
              <w:bottom w:val="single" w:color="auto" w:sz="4" w:space="0"/>
              <w:right w:val="single" w:color="auto" w:sz="4" w:space="0"/>
            </w:tcBorders>
            <w:shd w:val="clear" w:color="000000" w:fill="FFFFFF"/>
            <w:noWrap/>
            <w:vAlign w:val="center"/>
          </w:tcPr>
          <w:p w14:paraId="7819B0DC">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642CCF49">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vAlign w:val="center"/>
          </w:tcPr>
          <w:p w14:paraId="52E647C4">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42D62DE5">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vAlign w:val="center"/>
          </w:tcPr>
          <w:p w14:paraId="16B5B6DC">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2.10</w:t>
            </w:r>
          </w:p>
        </w:tc>
        <w:tc>
          <w:tcPr>
            <w:tcW w:w="1961" w:type="dxa"/>
            <w:tcBorders>
              <w:top w:val="nil"/>
              <w:left w:val="nil"/>
              <w:bottom w:val="single" w:color="auto" w:sz="4" w:space="0"/>
              <w:right w:val="single" w:color="auto" w:sz="4" w:space="0"/>
            </w:tcBorders>
            <w:shd w:val="clear" w:color="000000" w:fill="FFFFFF"/>
            <w:vAlign w:val="center"/>
          </w:tcPr>
          <w:p w14:paraId="7365F303">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光模块（多模模块）</w:t>
            </w:r>
          </w:p>
        </w:tc>
        <w:tc>
          <w:tcPr>
            <w:tcW w:w="4996" w:type="dxa"/>
            <w:tcBorders>
              <w:top w:val="nil"/>
              <w:left w:val="nil"/>
              <w:bottom w:val="single" w:color="auto" w:sz="4" w:space="0"/>
              <w:right w:val="single" w:color="auto" w:sz="4" w:space="0"/>
            </w:tcBorders>
            <w:shd w:val="clear" w:color="auto" w:fill="auto"/>
          </w:tcPr>
          <w:p w14:paraId="2AD3FDB4">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10GBASE-SR SFP+光模块，多模，850nm</w:t>
            </w:r>
          </w:p>
        </w:tc>
        <w:tc>
          <w:tcPr>
            <w:tcW w:w="872" w:type="dxa"/>
            <w:tcBorders>
              <w:top w:val="nil"/>
              <w:left w:val="nil"/>
              <w:bottom w:val="single" w:color="auto" w:sz="4" w:space="0"/>
              <w:right w:val="single" w:color="auto" w:sz="4" w:space="0"/>
            </w:tcBorders>
            <w:shd w:val="clear" w:color="000000" w:fill="FFFFFF"/>
            <w:vAlign w:val="center"/>
          </w:tcPr>
          <w:p w14:paraId="301FD6F2">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个</w:t>
            </w:r>
          </w:p>
        </w:tc>
        <w:tc>
          <w:tcPr>
            <w:tcW w:w="856" w:type="dxa"/>
            <w:tcBorders>
              <w:top w:val="nil"/>
              <w:left w:val="nil"/>
              <w:bottom w:val="single" w:color="auto" w:sz="4" w:space="0"/>
              <w:right w:val="single" w:color="auto" w:sz="4" w:space="0"/>
            </w:tcBorders>
            <w:shd w:val="clear" w:color="000000" w:fill="FFFFFF"/>
            <w:vAlign w:val="center"/>
          </w:tcPr>
          <w:p w14:paraId="00F817CC">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80</w:t>
            </w:r>
          </w:p>
        </w:tc>
        <w:tc>
          <w:tcPr>
            <w:tcW w:w="1641" w:type="dxa"/>
            <w:tcBorders>
              <w:top w:val="nil"/>
              <w:left w:val="nil"/>
              <w:bottom w:val="single" w:color="auto" w:sz="4" w:space="0"/>
              <w:right w:val="single" w:color="auto" w:sz="4" w:space="0"/>
            </w:tcBorders>
            <w:shd w:val="clear" w:color="000000" w:fill="FFFFFF"/>
            <w:noWrap/>
            <w:vAlign w:val="center"/>
          </w:tcPr>
          <w:p w14:paraId="132232B5">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0F11FF2A">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vAlign w:val="center"/>
          </w:tcPr>
          <w:p w14:paraId="44524C63">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35377325">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vAlign w:val="center"/>
          </w:tcPr>
          <w:p w14:paraId="095EE369">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2.11</w:t>
            </w:r>
          </w:p>
        </w:tc>
        <w:tc>
          <w:tcPr>
            <w:tcW w:w="1961" w:type="dxa"/>
            <w:tcBorders>
              <w:top w:val="nil"/>
              <w:left w:val="nil"/>
              <w:bottom w:val="single" w:color="auto" w:sz="4" w:space="0"/>
              <w:right w:val="single" w:color="auto" w:sz="4" w:space="0"/>
            </w:tcBorders>
            <w:shd w:val="clear" w:color="000000" w:fill="FFFFFF"/>
            <w:vAlign w:val="center"/>
          </w:tcPr>
          <w:p w14:paraId="3222E27E">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光模块（单模模块）</w:t>
            </w:r>
          </w:p>
        </w:tc>
        <w:tc>
          <w:tcPr>
            <w:tcW w:w="4996" w:type="dxa"/>
            <w:tcBorders>
              <w:top w:val="nil"/>
              <w:left w:val="nil"/>
              <w:bottom w:val="single" w:color="auto" w:sz="4" w:space="0"/>
              <w:right w:val="single" w:color="auto" w:sz="4" w:space="0"/>
            </w:tcBorders>
            <w:shd w:val="clear" w:color="auto" w:fill="auto"/>
          </w:tcPr>
          <w:p w14:paraId="4B09421A">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10GBASE-LR SFP+光模块，单模，1310nm，双LC，10KM</w:t>
            </w:r>
          </w:p>
        </w:tc>
        <w:tc>
          <w:tcPr>
            <w:tcW w:w="872" w:type="dxa"/>
            <w:tcBorders>
              <w:top w:val="nil"/>
              <w:left w:val="nil"/>
              <w:bottom w:val="single" w:color="auto" w:sz="4" w:space="0"/>
              <w:right w:val="single" w:color="auto" w:sz="4" w:space="0"/>
            </w:tcBorders>
            <w:shd w:val="clear" w:color="000000" w:fill="FFFFFF"/>
            <w:vAlign w:val="center"/>
          </w:tcPr>
          <w:p w14:paraId="45B7B0EC">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个</w:t>
            </w:r>
          </w:p>
        </w:tc>
        <w:tc>
          <w:tcPr>
            <w:tcW w:w="856" w:type="dxa"/>
            <w:tcBorders>
              <w:top w:val="nil"/>
              <w:left w:val="nil"/>
              <w:bottom w:val="single" w:color="auto" w:sz="4" w:space="0"/>
              <w:right w:val="single" w:color="auto" w:sz="4" w:space="0"/>
            </w:tcBorders>
            <w:shd w:val="clear" w:color="000000" w:fill="FFFFFF"/>
            <w:vAlign w:val="center"/>
          </w:tcPr>
          <w:p w14:paraId="7546C2DB">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32</w:t>
            </w:r>
          </w:p>
        </w:tc>
        <w:tc>
          <w:tcPr>
            <w:tcW w:w="1641" w:type="dxa"/>
            <w:tcBorders>
              <w:top w:val="nil"/>
              <w:left w:val="nil"/>
              <w:bottom w:val="single" w:color="auto" w:sz="4" w:space="0"/>
              <w:right w:val="single" w:color="auto" w:sz="4" w:space="0"/>
            </w:tcBorders>
            <w:shd w:val="clear" w:color="000000" w:fill="FFFFFF"/>
            <w:noWrap/>
            <w:vAlign w:val="center"/>
          </w:tcPr>
          <w:p w14:paraId="05F49798">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18D20BE6">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vAlign w:val="center"/>
          </w:tcPr>
          <w:p w14:paraId="18087305">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57A95753">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15F7A5B9">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（三）</w:t>
            </w:r>
          </w:p>
        </w:tc>
        <w:tc>
          <w:tcPr>
            <w:tcW w:w="1961" w:type="dxa"/>
            <w:tcBorders>
              <w:top w:val="nil"/>
              <w:left w:val="nil"/>
              <w:bottom w:val="single" w:color="auto" w:sz="4" w:space="0"/>
              <w:right w:val="single" w:color="auto" w:sz="4" w:space="0"/>
            </w:tcBorders>
            <w:shd w:val="clear" w:color="000000" w:fill="FFFFFF"/>
            <w:noWrap/>
            <w:vAlign w:val="center"/>
          </w:tcPr>
          <w:p w14:paraId="5EB6A6C0">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网络安全</w:t>
            </w:r>
          </w:p>
        </w:tc>
        <w:tc>
          <w:tcPr>
            <w:tcW w:w="4996" w:type="dxa"/>
            <w:tcBorders>
              <w:top w:val="nil"/>
              <w:left w:val="nil"/>
              <w:bottom w:val="single" w:color="auto" w:sz="4" w:space="0"/>
              <w:right w:val="single" w:color="auto" w:sz="4" w:space="0"/>
            </w:tcBorders>
            <w:shd w:val="clear" w:color="000000" w:fill="FFFFFF"/>
          </w:tcPr>
          <w:p w14:paraId="76EA5456">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　</w:t>
            </w:r>
          </w:p>
        </w:tc>
        <w:tc>
          <w:tcPr>
            <w:tcW w:w="872" w:type="dxa"/>
            <w:tcBorders>
              <w:top w:val="nil"/>
              <w:left w:val="nil"/>
              <w:bottom w:val="single" w:color="auto" w:sz="4" w:space="0"/>
              <w:right w:val="single" w:color="auto" w:sz="4" w:space="0"/>
            </w:tcBorders>
            <w:shd w:val="clear" w:color="000000" w:fill="FFFFFF"/>
            <w:vAlign w:val="center"/>
          </w:tcPr>
          <w:p w14:paraId="6346932B">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c>
          <w:tcPr>
            <w:tcW w:w="856" w:type="dxa"/>
            <w:tcBorders>
              <w:top w:val="nil"/>
              <w:left w:val="nil"/>
              <w:bottom w:val="single" w:color="auto" w:sz="4" w:space="0"/>
              <w:right w:val="single" w:color="auto" w:sz="4" w:space="0"/>
            </w:tcBorders>
            <w:shd w:val="clear" w:color="000000" w:fill="FFFFFF"/>
            <w:vAlign w:val="center"/>
          </w:tcPr>
          <w:p w14:paraId="78DA3A2C">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c>
          <w:tcPr>
            <w:tcW w:w="1641" w:type="dxa"/>
            <w:tcBorders>
              <w:top w:val="nil"/>
              <w:left w:val="nil"/>
              <w:bottom w:val="single" w:color="auto" w:sz="4" w:space="0"/>
              <w:right w:val="single" w:color="auto" w:sz="4" w:space="0"/>
            </w:tcBorders>
            <w:shd w:val="clear" w:color="000000" w:fill="FFFFFF"/>
            <w:noWrap/>
            <w:vAlign w:val="center"/>
          </w:tcPr>
          <w:p w14:paraId="59823D4F">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027EE7E4">
            <w:pPr>
              <w:widowControl/>
              <w:jc w:val="right"/>
              <w:rPr>
                <w:rFonts w:hint="eastAsia" w:ascii="宋体" w:hAnsi="宋体" w:eastAsia="宋体" w:cs="宋体"/>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vAlign w:val="center"/>
          </w:tcPr>
          <w:p w14:paraId="2B513B93">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7BBCDBEE">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vAlign w:val="center"/>
          </w:tcPr>
          <w:p w14:paraId="3529974E">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3.1</w:t>
            </w:r>
          </w:p>
        </w:tc>
        <w:tc>
          <w:tcPr>
            <w:tcW w:w="1961" w:type="dxa"/>
            <w:tcBorders>
              <w:top w:val="nil"/>
              <w:left w:val="nil"/>
              <w:bottom w:val="single" w:color="auto" w:sz="4" w:space="0"/>
              <w:right w:val="single" w:color="auto" w:sz="4" w:space="0"/>
            </w:tcBorders>
            <w:shd w:val="clear" w:color="000000" w:fill="FFFFFF"/>
            <w:vAlign w:val="center"/>
          </w:tcPr>
          <w:p w14:paraId="7AE5755B">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互联网出口防火墙</w:t>
            </w:r>
          </w:p>
        </w:tc>
        <w:tc>
          <w:tcPr>
            <w:tcW w:w="4996" w:type="dxa"/>
            <w:tcBorders>
              <w:top w:val="nil"/>
              <w:left w:val="nil"/>
              <w:bottom w:val="single" w:color="auto" w:sz="4" w:space="0"/>
              <w:right w:val="single" w:color="auto" w:sz="4" w:space="0"/>
            </w:tcBorders>
            <w:shd w:val="clear" w:color="auto" w:fill="auto"/>
          </w:tcPr>
          <w:p w14:paraId="56760C48">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标准机架设备，≧8个千兆电口≧2个千兆光插槽≧2个万兆光插槽，冗余电源，防火墙吞吐≧10G，并发连接≧260万，每秒新建连接≧8万，应用层吞吐量≧8G，FW+IPS吞吐量≧2G，FW+AV吞吐量≧2G，全威胁吞吐量1.5G，IPSEC VPN吞吐1G，IPSEC VPN隧道数2000，含3年AV、IPS特征库升级许可；                                                                                                       2、支持IPv4/v6双栈IP/MAC静态和动态探测绑定，支持跨三层绑定，支持IP/MAC绑定表导入导出；</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3、提供策略分析功能，支持策略命中分析、策略冗余分析、策略冲突检查、策略包含分析，可在WEB界面显示检测结果；支持策略加速技术；</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4、▲支持一体化安全策略配置，可以通过一条策略实现五元组信息源MAC、域名、地理区域、应用、服务、时间、长连接、并发会话、WEB认证、IPS、AV、URL过滤、WAF、邮件安全、数据过滤、文件过滤、审计、防代理、APT等功能配置，简化用户管理；（提供截图证明并加盖投标人公章）</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5、支持系统管理员能够通过本地认证及外部认证方式进行登录管理，外部认证失败时可转本地认证支持管理员分权管理，可自定义管理员权限模板，所有功能模块组合可由管理员自由组合配置</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6、▲产品制造商需具备中国信息安全测评中心安全工程类（三级）证书</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7、▲产品制造商需具备质量管理体系认证-TL9000证书</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 xml:space="preserve">8、提供3年制造商质保函，制造商工程师3年上门服务                                                                                                                                         </w:t>
            </w:r>
          </w:p>
        </w:tc>
        <w:tc>
          <w:tcPr>
            <w:tcW w:w="872" w:type="dxa"/>
            <w:tcBorders>
              <w:top w:val="nil"/>
              <w:left w:val="nil"/>
              <w:bottom w:val="single" w:color="auto" w:sz="4" w:space="0"/>
              <w:right w:val="single" w:color="auto" w:sz="4" w:space="0"/>
            </w:tcBorders>
            <w:shd w:val="clear" w:color="000000" w:fill="FFFFFF"/>
            <w:vAlign w:val="center"/>
          </w:tcPr>
          <w:p w14:paraId="0C6D446A">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39FD6B30">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2</w:t>
            </w:r>
          </w:p>
        </w:tc>
        <w:tc>
          <w:tcPr>
            <w:tcW w:w="1641" w:type="dxa"/>
            <w:tcBorders>
              <w:top w:val="nil"/>
              <w:left w:val="nil"/>
              <w:bottom w:val="single" w:color="auto" w:sz="4" w:space="0"/>
              <w:right w:val="single" w:color="auto" w:sz="4" w:space="0"/>
            </w:tcBorders>
            <w:shd w:val="clear" w:color="000000" w:fill="FFFFFF"/>
            <w:noWrap/>
            <w:vAlign w:val="center"/>
          </w:tcPr>
          <w:p w14:paraId="4C3462B6">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6105B8ED">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vAlign w:val="center"/>
          </w:tcPr>
          <w:p w14:paraId="745FB7E0">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497119A7">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vAlign w:val="center"/>
          </w:tcPr>
          <w:p w14:paraId="32DBF633">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3.2</w:t>
            </w:r>
          </w:p>
        </w:tc>
        <w:tc>
          <w:tcPr>
            <w:tcW w:w="1961" w:type="dxa"/>
            <w:tcBorders>
              <w:top w:val="nil"/>
              <w:left w:val="nil"/>
              <w:bottom w:val="single" w:color="auto" w:sz="4" w:space="0"/>
              <w:right w:val="single" w:color="auto" w:sz="4" w:space="0"/>
            </w:tcBorders>
            <w:shd w:val="clear" w:color="000000" w:fill="FFFFFF"/>
            <w:vAlign w:val="center"/>
          </w:tcPr>
          <w:p w14:paraId="3589758D">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互联网行为管理</w:t>
            </w:r>
          </w:p>
        </w:tc>
        <w:tc>
          <w:tcPr>
            <w:tcW w:w="4996" w:type="dxa"/>
            <w:tcBorders>
              <w:top w:val="nil"/>
              <w:left w:val="nil"/>
              <w:bottom w:val="single" w:color="auto" w:sz="4" w:space="0"/>
              <w:right w:val="single" w:color="auto" w:sz="4" w:space="0"/>
            </w:tcBorders>
            <w:shd w:val="clear" w:color="auto" w:fill="auto"/>
          </w:tcPr>
          <w:p w14:paraId="111800ED">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1、标准2U机架设备, ≧8个千兆电口、≧2个千兆光口、≧2个万兆SFP+插槽,双电源, ≧2个扩展槽位,带宽性能≧800M 网络吞吐量≧3G 最大并发连接数≧80W 硬盘≧4T。含3年系统版本升级、URL库及应用特征库升级许可；</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 xml:space="preserve">2、支持路由模式，旁路模式、网桥模式、混合模式部署；切换部署模式无需重启，不影响设备正常使用 </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3、▲支持移动终端发现后拒绝移动终端接入并支持启用事件告警。支持移动终端列表添加信任列表（提供截图证明并加盖投标人公章）</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4、支持https网站识别，支持加密网站搜索，支持ssl论坛加密发帖内容识别，支持基于关键字的控制。支持基于授权签名的方式实现https审计免除告警的行为。</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5、从内网整体网络的宏观角度展现网络使用概况、上网目的地分布、热门应用流量分布、网站类型分析、终端类型分析、在线人群趋势、高风险任人群排名、违规行为统计等多维度全方位展现网络的使用综合态势，给网络管理提供依据</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6、▲产品制造商需具备中国信息安全测评中心安全工程类（三级）证书</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 xml:space="preserve">7、▲产品制造商需具备质量管理体系认证-TL9000证书 </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 xml:space="preserve">8、提供3年制造商质保函，制造商工程师3年上门服务     </w:t>
            </w:r>
          </w:p>
        </w:tc>
        <w:tc>
          <w:tcPr>
            <w:tcW w:w="872" w:type="dxa"/>
            <w:tcBorders>
              <w:top w:val="nil"/>
              <w:left w:val="nil"/>
              <w:bottom w:val="single" w:color="auto" w:sz="4" w:space="0"/>
              <w:right w:val="single" w:color="auto" w:sz="4" w:space="0"/>
            </w:tcBorders>
            <w:shd w:val="clear" w:color="000000" w:fill="FFFFFF"/>
            <w:vAlign w:val="center"/>
          </w:tcPr>
          <w:p w14:paraId="2221320C">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1D650F29">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2</w:t>
            </w:r>
          </w:p>
        </w:tc>
        <w:tc>
          <w:tcPr>
            <w:tcW w:w="1641" w:type="dxa"/>
            <w:tcBorders>
              <w:top w:val="nil"/>
              <w:left w:val="nil"/>
              <w:bottom w:val="single" w:color="auto" w:sz="4" w:space="0"/>
              <w:right w:val="single" w:color="auto" w:sz="4" w:space="0"/>
            </w:tcBorders>
            <w:shd w:val="clear" w:color="000000" w:fill="FFFFFF"/>
            <w:noWrap/>
            <w:vAlign w:val="center"/>
          </w:tcPr>
          <w:p w14:paraId="6EE9A7B8">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019EEABB">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vAlign w:val="center"/>
          </w:tcPr>
          <w:p w14:paraId="51950609">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231B77FB">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vAlign w:val="center"/>
          </w:tcPr>
          <w:p w14:paraId="7DA1277D">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3.3</w:t>
            </w:r>
          </w:p>
        </w:tc>
        <w:tc>
          <w:tcPr>
            <w:tcW w:w="1961" w:type="dxa"/>
            <w:tcBorders>
              <w:top w:val="nil"/>
              <w:left w:val="nil"/>
              <w:bottom w:val="single" w:color="auto" w:sz="4" w:space="0"/>
              <w:right w:val="single" w:color="auto" w:sz="4" w:space="0"/>
            </w:tcBorders>
            <w:shd w:val="clear" w:color="000000" w:fill="FFFFFF"/>
            <w:vAlign w:val="center"/>
          </w:tcPr>
          <w:p w14:paraId="20F2713D">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专线外联接入防火墙</w:t>
            </w:r>
          </w:p>
        </w:tc>
        <w:tc>
          <w:tcPr>
            <w:tcW w:w="4996" w:type="dxa"/>
            <w:tcBorders>
              <w:top w:val="nil"/>
              <w:left w:val="nil"/>
              <w:bottom w:val="single" w:color="auto" w:sz="4" w:space="0"/>
              <w:right w:val="single" w:color="auto" w:sz="4" w:space="0"/>
            </w:tcBorders>
            <w:shd w:val="clear" w:color="auto" w:fill="auto"/>
          </w:tcPr>
          <w:p w14:paraId="5CBC21AA">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1、▲2U,内存16G，≧6个千兆电口，≧2个千兆光插槽,≧2个万兆接口，冗余电源,防火墙吞吐≧20G，并发连接≧500万，每秒新建连接≧16万，应用层吞吐量≧16G，须满配光模块。</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2、▲支持智能DNS及DNS Doctoring功能，能够将来自内部网络的域名解析请求定向到真实内网资源，提高访问效率，同时支持通过配置多条 DNS Doctoring，实现内网资源服务器的负载均衡；（提供截图证明并加盖投标人公章）</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3、支持一体化安全策略配置，可以通过一条策略实现五元组、源MAC、源地区、目的地区、域名、应用、服务、时间、长连接、并发会话、WEB认证、IPS、AV、URL过滤、高级威胁防护、WAF、邮件安全、数据过滤、文件过滤、僵木蠕防御、审计、防代理、APT等功能配置,简化用户管理；</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4、访问控制策略执行动作支持允许、禁止及认证，对符合条件的流量进行Web认证，在策略中可设置用户 Web 认证的门户地址</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5、提供智能策略分析功能，支持策略命中分析、策略冗余分析、策略冲突检查，并且可在WEB界面显示检测结果：红色为冗余策略，绿色为冲突策略；</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6、支持系统温度、CPU温度、CPU利用率、内存利用率、电源故障等告警，支持CPU利用率、内存利用率、磁盘利用率等硬件资源实时利用率及其历史使用情况追踪；</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7、▲产品制造商需具备中国信息安全测评中心安全工程类（三级）证书；</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8、▲产品制造商需具备质量管理体系认证-TL9000证书。</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 xml:space="preserve">9、提供3年制造商质保函，制造商工程师3年上门服务       </w:t>
            </w:r>
          </w:p>
        </w:tc>
        <w:tc>
          <w:tcPr>
            <w:tcW w:w="872" w:type="dxa"/>
            <w:tcBorders>
              <w:top w:val="nil"/>
              <w:left w:val="nil"/>
              <w:bottom w:val="single" w:color="auto" w:sz="4" w:space="0"/>
              <w:right w:val="single" w:color="auto" w:sz="4" w:space="0"/>
            </w:tcBorders>
            <w:shd w:val="clear" w:color="000000" w:fill="FFFFFF"/>
            <w:vAlign w:val="center"/>
          </w:tcPr>
          <w:p w14:paraId="349AC9DA">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563671DA">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2</w:t>
            </w:r>
          </w:p>
        </w:tc>
        <w:tc>
          <w:tcPr>
            <w:tcW w:w="1641" w:type="dxa"/>
            <w:tcBorders>
              <w:top w:val="nil"/>
              <w:left w:val="nil"/>
              <w:bottom w:val="single" w:color="auto" w:sz="4" w:space="0"/>
              <w:right w:val="single" w:color="auto" w:sz="4" w:space="0"/>
            </w:tcBorders>
            <w:shd w:val="clear" w:color="000000" w:fill="FFFFFF"/>
            <w:noWrap/>
            <w:vAlign w:val="center"/>
          </w:tcPr>
          <w:p w14:paraId="4CA6CBA8">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3855DDC4">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vAlign w:val="center"/>
          </w:tcPr>
          <w:p w14:paraId="46BFEEDF">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对接外联单位的数据防火墙（有线、政务等专网）</w:t>
            </w:r>
          </w:p>
        </w:tc>
      </w:tr>
      <w:tr w14:paraId="08832DF4">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vAlign w:val="center"/>
          </w:tcPr>
          <w:p w14:paraId="77999402">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3.4</w:t>
            </w:r>
          </w:p>
        </w:tc>
        <w:tc>
          <w:tcPr>
            <w:tcW w:w="1961" w:type="dxa"/>
            <w:tcBorders>
              <w:top w:val="nil"/>
              <w:left w:val="nil"/>
              <w:bottom w:val="single" w:color="auto" w:sz="4" w:space="0"/>
              <w:right w:val="single" w:color="auto" w:sz="4" w:space="0"/>
            </w:tcBorders>
            <w:shd w:val="clear" w:color="000000" w:fill="FFFFFF"/>
            <w:vAlign w:val="center"/>
          </w:tcPr>
          <w:p w14:paraId="15973B7D">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服务器区防火墙</w:t>
            </w:r>
          </w:p>
        </w:tc>
        <w:tc>
          <w:tcPr>
            <w:tcW w:w="4996" w:type="dxa"/>
            <w:tcBorders>
              <w:top w:val="nil"/>
              <w:left w:val="nil"/>
              <w:bottom w:val="single" w:color="auto" w:sz="4" w:space="0"/>
              <w:right w:val="single" w:color="auto" w:sz="4" w:space="0"/>
            </w:tcBorders>
            <w:shd w:val="clear" w:color="auto" w:fill="auto"/>
          </w:tcPr>
          <w:p w14:paraId="1B021393">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1、▲2U,内存16G，≧6个千兆电口，≧2个千兆光插槽,≧2个万兆接口，冗余电源,防火墙吞吐≧20G，并发连接≧500万，每秒新建连接≧16万，应用层吞吐量≧16G，须满配光模块。</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2、▲支持智能DNS及DNS Doctoring功能，能够将来自内部网络的域名解析请求定向到真实内网资源，提高访问效率，同时支持通过配置多条 DNS Doctoring，实现内网资源服务器的负载均衡；（提供截图证明并加盖投标人公章）</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3、支持一体化安全策略配置，可以通过一条策略实现五元组、源MAC、源地区、目的地区、域名、应用、服务、时间、长连接、并发会话、WEB认证、IPS、AV、URL过滤、高级威胁防护、WAF、邮件安全、数据过滤、文件过滤、僵木蠕防御、审计、防代理、APT等功能配置,简化用户管理；</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4、访问控制策略执行动作支持允许、禁止及认证，对符合条件的流量进行Web认证，在策略中可设置用户 Web 认证的门户地址</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5、提供智能策略分析功能，支持策略命中分析、策略冗余分析、策略冲突检查，并且可在WEB界面显示检测结果：红色为冗余策略，绿色为冲突策略；</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6、支持系统温度、CPU温度、CPU利用率、内存利用率、电源故障等告警，支持CPU利用率、内存利用率、磁盘利用率等硬件资源实时利用率及其历史使用情况追踪；</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7、▲产品制造商需具备中国信息安全测评中心安全工程类（三级）证书；</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8、▲产品制造商需具备质量管理体系认证-TL9000证书。</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 xml:space="preserve">9、提供3年制造商质保函，制造商工程师3年上门服务       </w:t>
            </w:r>
          </w:p>
        </w:tc>
        <w:tc>
          <w:tcPr>
            <w:tcW w:w="872" w:type="dxa"/>
            <w:tcBorders>
              <w:top w:val="nil"/>
              <w:left w:val="nil"/>
              <w:bottom w:val="single" w:color="auto" w:sz="4" w:space="0"/>
              <w:right w:val="single" w:color="auto" w:sz="4" w:space="0"/>
            </w:tcBorders>
            <w:shd w:val="clear" w:color="000000" w:fill="FFFFFF"/>
            <w:vAlign w:val="center"/>
          </w:tcPr>
          <w:p w14:paraId="71A8617E">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21FC59BF">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2</w:t>
            </w:r>
          </w:p>
        </w:tc>
        <w:tc>
          <w:tcPr>
            <w:tcW w:w="1641" w:type="dxa"/>
            <w:tcBorders>
              <w:top w:val="nil"/>
              <w:left w:val="nil"/>
              <w:bottom w:val="single" w:color="auto" w:sz="4" w:space="0"/>
              <w:right w:val="single" w:color="auto" w:sz="4" w:space="0"/>
            </w:tcBorders>
            <w:shd w:val="clear" w:color="000000" w:fill="FFFFFF"/>
            <w:noWrap/>
            <w:vAlign w:val="center"/>
          </w:tcPr>
          <w:p w14:paraId="7D341367">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763DA7BC">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vAlign w:val="center"/>
          </w:tcPr>
          <w:p w14:paraId="6B503B77">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保护所有的业务系统和数据库等（OA服务器、录播服务器等系统）</w:t>
            </w:r>
          </w:p>
        </w:tc>
      </w:tr>
      <w:tr w14:paraId="0BFD91DF">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vAlign w:val="center"/>
          </w:tcPr>
          <w:p w14:paraId="658E4DCA">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3.5</w:t>
            </w:r>
          </w:p>
        </w:tc>
        <w:tc>
          <w:tcPr>
            <w:tcW w:w="1961" w:type="dxa"/>
            <w:tcBorders>
              <w:top w:val="nil"/>
              <w:left w:val="nil"/>
              <w:bottom w:val="single" w:color="auto" w:sz="4" w:space="0"/>
              <w:right w:val="single" w:color="auto" w:sz="4" w:space="0"/>
            </w:tcBorders>
            <w:shd w:val="clear" w:color="000000" w:fill="FFFFFF"/>
            <w:vAlign w:val="center"/>
          </w:tcPr>
          <w:p w14:paraId="7E86833B">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内外网隔离网闸</w:t>
            </w:r>
          </w:p>
        </w:tc>
        <w:tc>
          <w:tcPr>
            <w:tcW w:w="4996" w:type="dxa"/>
            <w:tcBorders>
              <w:top w:val="nil"/>
              <w:left w:val="nil"/>
              <w:bottom w:val="single" w:color="auto" w:sz="4" w:space="0"/>
              <w:right w:val="single" w:color="auto" w:sz="4" w:space="0"/>
            </w:tcBorders>
            <w:shd w:val="clear" w:color="auto" w:fill="auto"/>
          </w:tcPr>
          <w:p w14:paraId="250F4AE8">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2U,内外端机双侧液晶屏；内端机≧6个10/100/1000Base-T接口（含1个管理口、1个HA口），1个扩展槽位；外端机6个10/100/1000Base-T接口（含1个管理口、1个HA口），1个扩展槽位,冗余电源,网络吞吐量：≧800Mbps，并发连接数≧12万，延时≦5ms，内外端机各≧8G内存，内外端机各≧1TB硬盘；</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2、支持文件同步容错策略和告警策略，同步出错能够自动重传并能够设置重传次数，出现异常同步状况能够终止同步弹出告警提示并记录日志；</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3、▲支持文件变动实时同步、定时同步、系统资源空闲智能同步等多种同步方式；（提供截图证明并加盖投标人公章）</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4、支持自定义的TCP、UDP协议的数据隔离交换，以用户定制的命令、参数等协议解析方式来解析自定义应用的通信内容，支持16进制数据格式的定制；</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5、支持关键字过滤，支持关键字数据字典文件导入；支持防病毒功能，支持病毒库升级；采用国内知名制造商病毒库；</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6、▲产品制造商需具备中国信息安全测评中心安全工程类（三级）证书；</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 xml:space="preserve">7、▲产品制造商需具备质量管理体系认证-TL9000证书；  </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 xml:space="preserve">8、提供3年制造商质保函，制造商工程师3年上门服务。        </w:t>
            </w:r>
          </w:p>
        </w:tc>
        <w:tc>
          <w:tcPr>
            <w:tcW w:w="872" w:type="dxa"/>
            <w:tcBorders>
              <w:top w:val="nil"/>
              <w:left w:val="nil"/>
              <w:bottom w:val="single" w:color="auto" w:sz="4" w:space="0"/>
              <w:right w:val="single" w:color="auto" w:sz="4" w:space="0"/>
            </w:tcBorders>
            <w:shd w:val="clear" w:color="000000" w:fill="FFFFFF"/>
            <w:vAlign w:val="center"/>
          </w:tcPr>
          <w:p w14:paraId="077E4308">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6AE826FB">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2</w:t>
            </w:r>
          </w:p>
        </w:tc>
        <w:tc>
          <w:tcPr>
            <w:tcW w:w="1641" w:type="dxa"/>
            <w:tcBorders>
              <w:top w:val="nil"/>
              <w:left w:val="nil"/>
              <w:bottom w:val="single" w:color="auto" w:sz="4" w:space="0"/>
              <w:right w:val="single" w:color="auto" w:sz="4" w:space="0"/>
            </w:tcBorders>
            <w:shd w:val="clear" w:color="000000" w:fill="FFFFFF"/>
            <w:noWrap/>
            <w:vAlign w:val="center"/>
          </w:tcPr>
          <w:p w14:paraId="7F32F656">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4BC5A0BF">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vAlign w:val="center"/>
          </w:tcPr>
          <w:p w14:paraId="1969A0A3">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3A63496C">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vAlign w:val="center"/>
          </w:tcPr>
          <w:p w14:paraId="6DC35496">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3.6</w:t>
            </w:r>
          </w:p>
        </w:tc>
        <w:tc>
          <w:tcPr>
            <w:tcW w:w="1961" w:type="dxa"/>
            <w:tcBorders>
              <w:top w:val="nil"/>
              <w:left w:val="nil"/>
              <w:bottom w:val="single" w:color="auto" w:sz="4" w:space="0"/>
              <w:right w:val="single" w:color="auto" w:sz="4" w:space="0"/>
            </w:tcBorders>
            <w:shd w:val="clear" w:color="000000" w:fill="FFFFFF"/>
            <w:vAlign w:val="center"/>
          </w:tcPr>
          <w:p w14:paraId="630521CC">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日志审计</w:t>
            </w:r>
          </w:p>
        </w:tc>
        <w:tc>
          <w:tcPr>
            <w:tcW w:w="4996" w:type="dxa"/>
            <w:tcBorders>
              <w:top w:val="nil"/>
              <w:left w:val="nil"/>
              <w:bottom w:val="single" w:color="auto" w:sz="4" w:space="0"/>
              <w:right w:val="single" w:color="auto" w:sz="4" w:space="0"/>
            </w:tcBorders>
            <w:shd w:val="clear" w:color="auto" w:fill="auto"/>
          </w:tcPr>
          <w:p w14:paraId="3374328B">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1、▲2U, ≧6个千兆电口，≧4个千兆光口插槽，1个console口,冗余电源, ≧2个扩展槽位, ≧32G内存，≧256G SSD 系统盘，数据盘≧6T，2个USB接口，自带液晶屏，日志采集处理速度≧8000EPS，包含50个日志源授权；</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2、支持独立展示每个被采集源最近24小时的日志数量趋势，便于掌握设备的安全事件情况，支持独立展示每个设备日志的最新采集时间，便于了解设备日志的采集状态；</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3、▲支持对重点日志源的关注设置，并可通过关注列表快速查看重点日志源的状态、当日日志量、采集日志总量、最近接收时间、业务组等基础信息 ；（提供截图证明并加盖投标人公章）</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4、支持以业务角度将日志源进行分组，支持在日志查询时以业务组进行查询，支持在首页拓扑展示时以业务组进行展示；</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5、▲产品制造商需具备中国信息安全测评中心安全工程类（三级）证书；</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6、▲产品制造商需具备质量管理体系认证-TL9000证书。</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 xml:space="preserve">7、提供3年制造商质保函，制造商工程师3年上门服务            </w:t>
            </w:r>
          </w:p>
        </w:tc>
        <w:tc>
          <w:tcPr>
            <w:tcW w:w="872" w:type="dxa"/>
            <w:tcBorders>
              <w:top w:val="nil"/>
              <w:left w:val="nil"/>
              <w:bottom w:val="single" w:color="auto" w:sz="4" w:space="0"/>
              <w:right w:val="single" w:color="auto" w:sz="4" w:space="0"/>
            </w:tcBorders>
            <w:shd w:val="clear" w:color="000000" w:fill="FFFFFF"/>
            <w:vAlign w:val="center"/>
          </w:tcPr>
          <w:p w14:paraId="394D5592">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389A816F">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w:t>
            </w:r>
          </w:p>
        </w:tc>
        <w:tc>
          <w:tcPr>
            <w:tcW w:w="1641" w:type="dxa"/>
            <w:tcBorders>
              <w:top w:val="nil"/>
              <w:left w:val="nil"/>
              <w:bottom w:val="single" w:color="auto" w:sz="4" w:space="0"/>
              <w:right w:val="single" w:color="auto" w:sz="4" w:space="0"/>
            </w:tcBorders>
            <w:shd w:val="clear" w:color="000000" w:fill="FFFFFF"/>
            <w:noWrap/>
            <w:vAlign w:val="center"/>
          </w:tcPr>
          <w:p w14:paraId="513A148F">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6B16697B">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vAlign w:val="center"/>
          </w:tcPr>
          <w:p w14:paraId="2EAD3DB9">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7BF0D7BF">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vAlign w:val="center"/>
          </w:tcPr>
          <w:p w14:paraId="291DF35E">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3.7</w:t>
            </w:r>
          </w:p>
        </w:tc>
        <w:tc>
          <w:tcPr>
            <w:tcW w:w="1961" w:type="dxa"/>
            <w:tcBorders>
              <w:top w:val="nil"/>
              <w:left w:val="nil"/>
              <w:bottom w:val="single" w:color="auto" w:sz="4" w:space="0"/>
              <w:right w:val="single" w:color="auto" w:sz="4" w:space="0"/>
            </w:tcBorders>
            <w:shd w:val="clear" w:color="000000" w:fill="FFFFFF"/>
            <w:vAlign w:val="center"/>
          </w:tcPr>
          <w:p w14:paraId="0A70CE24">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堡垒机</w:t>
            </w:r>
          </w:p>
        </w:tc>
        <w:tc>
          <w:tcPr>
            <w:tcW w:w="4996" w:type="dxa"/>
            <w:tcBorders>
              <w:top w:val="nil"/>
              <w:left w:val="nil"/>
              <w:bottom w:val="single" w:color="auto" w:sz="4" w:space="0"/>
              <w:right w:val="single" w:color="auto" w:sz="4" w:space="0"/>
            </w:tcBorders>
            <w:shd w:val="clear" w:color="auto" w:fill="auto"/>
          </w:tcPr>
          <w:p w14:paraId="47F504F1">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1、▲1U, ≧6个千兆电口，≧4个千兆SFP插槽，≧16G内存， ≧4T硬盘,冗余电源, ≧2个扩展槽位,100个主机/设备许可；用户数不限制。图形并发≧50，字符并发≧100；含3年软件升级许可；</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2、支持混合云资源的管理，即公有云及局域网资源，支持主机、服务器、网络设备、安全设备、数据库等的资产管理；满足公有云、云资源池、数据中心多种运维场景；</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3、▲支持首页动态展现资源总量、活动用户、实时会话、待审批工单、当日运维记录、资产运行状态、今日运维总数、今日运维时长TOP10、今日告警总数、今日运维指令TOP10等信息，方便管理员实时查看系统运行情况掌握资产会话连接情况；（提供截图证明并加盖投标人公章）</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4、支持访问SSH、RDP、Telnet、FTP、SFTP、VNC、数据库等资产；</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5、支持无须记忆多个设备账号和密码，实现账号密码代填功能；支持自动、半自动、手动三种登录方式；</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6、支持全文审计检索。可以对操作行为中的用户信息、资产信息、管理地址信息、管理方式信息、操作命令信息、操作结果信息进行全文检索、过滤，极大提高查询效率，更方便的进行用户关联追溯；</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7、▲产品制造商需具备中国信息安全测评中心安全工程类（三级）证书</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8、▲产品制造商需具备质量管理体系认证-TL9000证书</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 xml:space="preserve">9、提供3年制造商质保函，制造商工程师3年上门服务     </w:t>
            </w:r>
          </w:p>
        </w:tc>
        <w:tc>
          <w:tcPr>
            <w:tcW w:w="872" w:type="dxa"/>
            <w:tcBorders>
              <w:top w:val="nil"/>
              <w:left w:val="nil"/>
              <w:bottom w:val="single" w:color="auto" w:sz="4" w:space="0"/>
              <w:right w:val="single" w:color="auto" w:sz="4" w:space="0"/>
            </w:tcBorders>
            <w:shd w:val="clear" w:color="000000" w:fill="FFFFFF"/>
            <w:vAlign w:val="center"/>
          </w:tcPr>
          <w:p w14:paraId="0195F3F5">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23D66E9F">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w:t>
            </w:r>
          </w:p>
        </w:tc>
        <w:tc>
          <w:tcPr>
            <w:tcW w:w="1641" w:type="dxa"/>
            <w:tcBorders>
              <w:top w:val="nil"/>
              <w:left w:val="nil"/>
              <w:bottom w:val="single" w:color="auto" w:sz="4" w:space="0"/>
              <w:right w:val="single" w:color="auto" w:sz="4" w:space="0"/>
            </w:tcBorders>
            <w:shd w:val="clear" w:color="000000" w:fill="FFFFFF"/>
            <w:noWrap/>
            <w:vAlign w:val="center"/>
          </w:tcPr>
          <w:p w14:paraId="2FA03263">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657E261D">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vAlign w:val="center"/>
          </w:tcPr>
          <w:p w14:paraId="30039596">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18391E1F">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vAlign w:val="center"/>
          </w:tcPr>
          <w:p w14:paraId="7B9C4397">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3.8</w:t>
            </w:r>
          </w:p>
        </w:tc>
        <w:tc>
          <w:tcPr>
            <w:tcW w:w="1961" w:type="dxa"/>
            <w:tcBorders>
              <w:top w:val="nil"/>
              <w:left w:val="nil"/>
              <w:bottom w:val="single" w:color="auto" w:sz="4" w:space="0"/>
              <w:right w:val="single" w:color="auto" w:sz="4" w:space="0"/>
            </w:tcBorders>
            <w:shd w:val="clear" w:color="000000" w:fill="FFFFFF"/>
            <w:vAlign w:val="center"/>
          </w:tcPr>
          <w:p w14:paraId="7C9FD5B3">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漏洞扫描</w:t>
            </w:r>
          </w:p>
        </w:tc>
        <w:tc>
          <w:tcPr>
            <w:tcW w:w="4996" w:type="dxa"/>
            <w:tcBorders>
              <w:top w:val="nil"/>
              <w:left w:val="nil"/>
              <w:bottom w:val="single" w:color="auto" w:sz="4" w:space="0"/>
              <w:right w:val="single" w:color="auto" w:sz="4" w:space="0"/>
            </w:tcBorders>
            <w:shd w:val="clear" w:color="auto" w:fill="auto"/>
          </w:tcPr>
          <w:p w14:paraId="3F870FC0">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1、▲标准机架设备，≧6个千兆电口，≧4个千兆光口（插槽、不含模块）,冗余电源, ≧2个扩展槽位,1个Console接口，2个USB接口，≧16G内存，自带液晶屏，支持200个Web域名扫描授权，并发扫描≧6个web扫描任务；</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 xml:space="preserve">2、支持无限制IP扫描授权，并发扫描≧15个系统扫描任务，并发扫描≧160个IP地址；支持分布式部署，含3年规则库升级许可；                            </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 xml:space="preserve">3、支持首页全面展示风险分布及趋势图表，包括主机风险分布、站点风险分布、漏洞风险分布、漏洞top10、资产风险值趋势、资产风险分布趋势；                                                    </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4、▲支持扫描系统漏洞数量大于330000种，web漏洞数量大于4700种,数据库大于3000种产品漏洞库应涵盖目前的安全漏洞和攻击特征，漏洞库具备至少CVE、CNCVE、CNVD、BUGTRAQ、CNNVD编号；（提供截图证明并加盖投标人公章）</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 xml:space="preserve">5、支持站点组、单站点风险在线报表和站点特有属性配置站点信息包含但不限于：代理、认证、访问策略、爬取策略、指纹选项等信息；                                                                 </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6、▲产品制造商需具备中国信息安全测评中心安全工程类（三级）证书；</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7、▲产品制造商需具备质量管理体系认证-TL9000证书。</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 xml:space="preserve">8、提供3年制造商质保函，制造商工程师3年上门服务     </w:t>
            </w:r>
          </w:p>
        </w:tc>
        <w:tc>
          <w:tcPr>
            <w:tcW w:w="872" w:type="dxa"/>
            <w:tcBorders>
              <w:top w:val="nil"/>
              <w:left w:val="nil"/>
              <w:bottom w:val="single" w:color="auto" w:sz="4" w:space="0"/>
              <w:right w:val="single" w:color="auto" w:sz="4" w:space="0"/>
            </w:tcBorders>
            <w:shd w:val="clear" w:color="000000" w:fill="FFFFFF"/>
            <w:vAlign w:val="center"/>
          </w:tcPr>
          <w:p w14:paraId="41649121">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4FE43283">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w:t>
            </w:r>
          </w:p>
        </w:tc>
        <w:tc>
          <w:tcPr>
            <w:tcW w:w="1641" w:type="dxa"/>
            <w:tcBorders>
              <w:top w:val="nil"/>
              <w:left w:val="nil"/>
              <w:bottom w:val="single" w:color="auto" w:sz="4" w:space="0"/>
              <w:right w:val="single" w:color="auto" w:sz="4" w:space="0"/>
            </w:tcBorders>
            <w:shd w:val="clear" w:color="000000" w:fill="FFFFFF"/>
            <w:noWrap/>
            <w:vAlign w:val="center"/>
          </w:tcPr>
          <w:p w14:paraId="08E97516">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40305EAD">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vAlign w:val="center"/>
          </w:tcPr>
          <w:p w14:paraId="7965907F">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0C0E2EC2">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vAlign w:val="center"/>
          </w:tcPr>
          <w:p w14:paraId="5120CB6D">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3.9</w:t>
            </w:r>
          </w:p>
        </w:tc>
        <w:tc>
          <w:tcPr>
            <w:tcW w:w="1961" w:type="dxa"/>
            <w:tcBorders>
              <w:top w:val="nil"/>
              <w:left w:val="nil"/>
              <w:bottom w:val="single" w:color="auto" w:sz="4" w:space="0"/>
              <w:right w:val="single" w:color="auto" w:sz="4" w:space="0"/>
            </w:tcBorders>
            <w:shd w:val="clear" w:color="000000" w:fill="FFFFFF"/>
            <w:vAlign w:val="center"/>
          </w:tcPr>
          <w:p w14:paraId="458B1845">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数据库审计</w:t>
            </w:r>
          </w:p>
        </w:tc>
        <w:tc>
          <w:tcPr>
            <w:tcW w:w="4996" w:type="dxa"/>
            <w:tcBorders>
              <w:top w:val="nil"/>
              <w:left w:val="nil"/>
              <w:bottom w:val="single" w:color="auto" w:sz="4" w:space="0"/>
              <w:right w:val="single" w:color="auto" w:sz="4" w:space="0"/>
            </w:tcBorders>
            <w:shd w:val="clear" w:color="auto" w:fill="auto"/>
          </w:tcPr>
          <w:p w14:paraId="4D09A51F">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1、▲2U,内存≧32G，硬盘≧4T，≧6个千兆电口，≧4个千兆光口,冗余电源, ≧2个扩展槽位,吞吐≧600Mbps, 可审计流量≧300Mbps 峰值SQL处理能力≧3000条/秒, 日处理事件数≧500万条；</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 xml:space="preserve">2、支持Oracle、SQLServer、MySQL、DB2、Sybase、Informix、PostgreSQL、Teradata等数据库系统，支持Cache、Hive、Hana、clickhouse、Tibero、Solr、MongoDB、HBase、ElasticSearch、Redis等国际主流数据库系统；                                                                                              </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 xml:space="preserve">3、支持对针对数据库的 XSS 攻击行为、SQL 注入攻击行为，利用漏洞攻击等行为进行审计，内置审计规则不需要额外配置，并进行实时报警；                                                      </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 xml:space="preserve">4、▲支持会话回放功能,并至少支持0.5倍速、1倍速、1.5倍速、2倍速、4倍速五级播放速度调节；（提供截图证明并加盖投标人公章）                                                                                                                                </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 xml:space="preserve">5、支持云检测，可对本单位部署的同一品牌的多台审计或者多类型安全设备（版本号、序列号、型号、运行时长、CPU和内存占用、并发和新建连接数、设备流量等）进行远程统一检测，保障各设备的安全稳定运行；           </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6、▲产品制造商需具备中国信息安全测评中心安全工程类（三级）证书；</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7、▲产品制造商需具备质量管理体系认证-TL9000证书。</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 xml:space="preserve">8、提供3年制造商质保函，制造商工程师3年上门服务   </w:t>
            </w:r>
          </w:p>
        </w:tc>
        <w:tc>
          <w:tcPr>
            <w:tcW w:w="872" w:type="dxa"/>
            <w:tcBorders>
              <w:top w:val="nil"/>
              <w:left w:val="nil"/>
              <w:bottom w:val="single" w:color="auto" w:sz="4" w:space="0"/>
              <w:right w:val="single" w:color="auto" w:sz="4" w:space="0"/>
            </w:tcBorders>
            <w:shd w:val="clear" w:color="000000" w:fill="FFFFFF"/>
            <w:vAlign w:val="center"/>
          </w:tcPr>
          <w:p w14:paraId="1EDD72A4">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103613D3">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w:t>
            </w:r>
          </w:p>
        </w:tc>
        <w:tc>
          <w:tcPr>
            <w:tcW w:w="1641" w:type="dxa"/>
            <w:tcBorders>
              <w:top w:val="nil"/>
              <w:left w:val="nil"/>
              <w:bottom w:val="single" w:color="auto" w:sz="4" w:space="0"/>
              <w:right w:val="single" w:color="auto" w:sz="4" w:space="0"/>
            </w:tcBorders>
            <w:shd w:val="clear" w:color="000000" w:fill="FFFFFF"/>
            <w:noWrap/>
            <w:vAlign w:val="center"/>
          </w:tcPr>
          <w:p w14:paraId="48878802">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761FBA0B">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vAlign w:val="center"/>
          </w:tcPr>
          <w:p w14:paraId="17216FE9">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3869AA72">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vAlign w:val="center"/>
          </w:tcPr>
          <w:p w14:paraId="2BDB3E63">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3.10</w:t>
            </w:r>
          </w:p>
        </w:tc>
        <w:tc>
          <w:tcPr>
            <w:tcW w:w="1961" w:type="dxa"/>
            <w:tcBorders>
              <w:top w:val="nil"/>
              <w:left w:val="nil"/>
              <w:bottom w:val="single" w:color="auto" w:sz="4" w:space="0"/>
              <w:right w:val="single" w:color="auto" w:sz="4" w:space="0"/>
            </w:tcBorders>
            <w:shd w:val="clear" w:color="000000" w:fill="FFFFFF"/>
            <w:vAlign w:val="center"/>
          </w:tcPr>
          <w:p w14:paraId="29DBB354">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网管认证平台</w:t>
            </w:r>
          </w:p>
        </w:tc>
        <w:tc>
          <w:tcPr>
            <w:tcW w:w="4996" w:type="dxa"/>
            <w:tcBorders>
              <w:top w:val="nil"/>
              <w:left w:val="nil"/>
              <w:bottom w:val="single" w:color="auto" w:sz="4" w:space="0"/>
              <w:right w:val="single" w:color="auto" w:sz="4" w:space="0"/>
            </w:tcBorders>
            <w:shd w:val="clear" w:color="auto" w:fill="auto"/>
          </w:tcPr>
          <w:p w14:paraId="2C3584DF">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1、▲标准机架设备 ≧8个千兆电口，≧4个千兆光口,冗余电源, ≧2个扩展槽位,最大支持终端同时在线数800；</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2、系统部署简单，支持旁路或串联部署，支持命令行与B/S模式管理，提供系统首页图形化展示功能，可展示设备面板状态、CPU状态、内存状态、硬盘状态、在线用户、报警统计等信息；</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3、设备提供硬件BYPASS功能，支持双操作系统冷备、双机热备，在单机模式下，提供独立系统逃生工具；</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4、支持终端信息绑定认证，可检查入网终端IP、终端MAC、用户名、交换机IP、交换机端口、终端硬件ID等多要素信息；</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5、系统具备良好的使用体验与可管理性，支持系统界面与登录界面LOGO的自定义导入，可自由设置产品显示名称。管理员可进行准入系统的维护、升级、诊断分析等操作，支持图形化方式展示各类型数据所占磁盘状态，并提供备份、恢复、清理功能；</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6、▲产品制造商需具备中国信息安全测评中心安全工程类（三级）证书；</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7、▲产品制造商需具备质量管理体系认证-TL9000证书。</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 xml:space="preserve">8、提供3年制造商质保函，制造商工程师3年上门服务   </w:t>
            </w:r>
          </w:p>
        </w:tc>
        <w:tc>
          <w:tcPr>
            <w:tcW w:w="872" w:type="dxa"/>
            <w:tcBorders>
              <w:top w:val="nil"/>
              <w:left w:val="nil"/>
              <w:bottom w:val="single" w:color="auto" w:sz="4" w:space="0"/>
              <w:right w:val="single" w:color="auto" w:sz="4" w:space="0"/>
            </w:tcBorders>
            <w:shd w:val="clear" w:color="000000" w:fill="FFFFFF"/>
            <w:vAlign w:val="center"/>
          </w:tcPr>
          <w:p w14:paraId="567159A8">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套</w:t>
            </w:r>
          </w:p>
        </w:tc>
        <w:tc>
          <w:tcPr>
            <w:tcW w:w="856" w:type="dxa"/>
            <w:tcBorders>
              <w:top w:val="nil"/>
              <w:left w:val="nil"/>
              <w:bottom w:val="single" w:color="auto" w:sz="4" w:space="0"/>
              <w:right w:val="single" w:color="auto" w:sz="4" w:space="0"/>
            </w:tcBorders>
            <w:shd w:val="clear" w:color="000000" w:fill="FFFFFF"/>
            <w:vAlign w:val="center"/>
          </w:tcPr>
          <w:p w14:paraId="626E07E5">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w:t>
            </w:r>
          </w:p>
        </w:tc>
        <w:tc>
          <w:tcPr>
            <w:tcW w:w="1641" w:type="dxa"/>
            <w:tcBorders>
              <w:top w:val="nil"/>
              <w:left w:val="nil"/>
              <w:bottom w:val="single" w:color="auto" w:sz="4" w:space="0"/>
              <w:right w:val="single" w:color="auto" w:sz="4" w:space="0"/>
            </w:tcBorders>
            <w:shd w:val="clear" w:color="000000" w:fill="FFFFFF"/>
            <w:noWrap/>
            <w:vAlign w:val="center"/>
          </w:tcPr>
          <w:p w14:paraId="7967DDFB">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15489CEE">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vAlign w:val="center"/>
          </w:tcPr>
          <w:p w14:paraId="74FC5737">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59E48B4E">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vAlign w:val="center"/>
          </w:tcPr>
          <w:p w14:paraId="389C2398">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3.11</w:t>
            </w:r>
          </w:p>
        </w:tc>
        <w:tc>
          <w:tcPr>
            <w:tcW w:w="1961" w:type="dxa"/>
            <w:tcBorders>
              <w:top w:val="nil"/>
              <w:left w:val="nil"/>
              <w:bottom w:val="single" w:color="auto" w:sz="4" w:space="0"/>
              <w:right w:val="single" w:color="auto" w:sz="4" w:space="0"/>
            </w:tcBorders>
            <w:shd w:val="clear" w:color="000000" w:fill="FFFFFF"/>
            <w:vAlign w:val="center"/>
          </w:tcPr>
          <w:p w14:paraId="38FC06A1">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终端及服务器杀毒</w:t>
            </w:r>
          </w:p>
        </w:tc>
        <w:tc>
          <w:tcPr>
            <w:tcW w:w="4996" w:type="dxa"/>
            <w:tcBorders>
              <w:top w:val="nil"/>
              <w:left w:val="nil"/>
              <w:bottom w:val="single" w:color="auto" w:sz="4" w:space="0"/>
              <w:right w:val="single" w:color="auto" w:sz="4" w:space="0"/>
            </w:tcBorders>
            <w:shd w:val="clear" w:color="auto" w:fill="auto"/>
          </w:tcPr>
          <w:p w14:paraId="56C3A842">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1、▲客户端至少支持WindowsXP、Windows 7、Windows 8、Windows 10等32位/64位终端操作系统，支持Windows server 2003、Windows server2008、Windows server 2012、Windows server 2016、Windows server 2019等32位/64位服务器操作系统，支持Red Hat Linux、Ubuntu Linux、SuSE Linux、CentOS、Debian等操作系统。配置300个点PC端授权，60个服务器端授权；包含3年病毒库升级服务；</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2、▲客户端安装后至多占用50M硬盘资源，日常内存占用不到20M，有效节省PC/Server资源；（提供截图证明并加盖投标人公章）</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3、支持对webshell后门进行扫描检测 , webshell后门库数量大于100000对系统关键位置进行防护，阻止无文本攻击、流氓软件、广告程序对系统的恶意篡改等行为。从系统文件保护、病毒免疫、进程保护、注册表保护、危险动作拦截、执行防护等多个维度对系统进行防护；</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4、支持进程监控，可定义进程黑、白名单，支持进程路径、HASH、版本、内容匹配，可忽略已签名程序，白名单指定进程可设置自保护、启动退出报警，黑名单中的进程可自动中止</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5、▲产品制造商需具备中国信息安全测评中心安全工程类（三级）证书；</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6、▲产品制造商需具备质量管理体系认证-TL9000证书。</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 xml:space="preserve">7、提供3年制造商质保函，制造商工程师3年上门服务                          </w:t>
            </w:r>
          </w:p>
        </w:tc>
        <w:tc>
          <w:tcPr>
            <w:tcW w:w="872" w:type="dxa"/>
            <w:tcBorders>
              <w:top w:val="nil"/>
              <w:left w:val="nil"/>
              <w:bottom w:val="single" w:color="auto" w:sz="4" w:space="0"/>
              <w:right w:val="single" w:color="auto" w:sz="4" w:space="0"/>
            </w:tcBorders>
            <w:shd w:val="clear" w:color="000000" w:fill="FFFFFF"/>
            <w:vAlign w:val="center"/>
          </w:tcPr>
          <w:p w14:paraId="2AF4D3CD">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套</w:t>
            </w:r>
          </w:p>
        </w:tc>
        <w:tc>
          <w:tcPr>
            <w:tcW w:w="856" w:type="dxa"/>
            <w:tcBorders>
              <w:top w:val="nil"/>
              <w:left w:val="nil"/>
              <w:bottom w:val="single" w:color="auto" w:sz="4" w:space="0"/>
              <w:right w:val="single" w:color="auto" w:sz="4" w:space="0"/>
            </w:tcBorders>
            <w:shd w:val="clear" w:color="000000" w:fill="FFFFFF"/>
            <w:vAlign w:val="center"/>
          </w:tcPr>
          <w:p w14:paraId="0A7B9EE6">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w:t>
            </w:r>
          </w:p>
        </w:tc>
        <w:tc>
          <w:tcPr>
            <w:tcW w:w="1641" w:type="dxa"/>
            <w:tcBorders>
              <w:top w:val="nil"/>
              <w:left w:val="nil"/>
              <w:bottom w:val="single" w:color="auto" w:sz="4" w:space="0"/>
              <w:right w:val="single" w:color="auto" w:sz="4" w:space="0"/>
            </w:tcBorders>
            <w:shd w:val="clear" w:color="000000" w:fill="FFFFFF"/>
            <w:noWrap/>
            <w:vAlign w:val="center"/>
          </w:tcPr>
          <w:p w14:paraId="0DBC1B68">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0F848779">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vAlign w:val="center"/>
          </w:tcPr>
          <w:p w14:paraId="5FF76ACB">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5A63F42C">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vAlign w:val="center"/>
          </w:tcPr>
          <w:p w14:paraId="7688767D">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3.12</w:t>
            </w:r>
          </w:p>
        </w:tc>
        <w:tc>
          <w:tcPr>
            <w:tcW w:w="1961" w:type="dxa"/>
            <w:tcBorders>
              <w:top w:val="nil"/>
              <w:left w:val="nil"/>
              <w:bottom w:val="single" w:color="auto" w:sz="4" w:space="0"/>
              <w:right w:val="single" w:color="auto" w:sz="4" w:space="0"/>
            </w:tcBorders>
            <w:shd w:val="clear" w:color="000000" w:fill="FFFFFF"/>
            <w:vAlign w:val="center"/>
          </w:tcPr>
          <w:p w14:paraId="7CF5D2BA">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三级等保</w:t>
            </w:r>
          </w:p>
        </w:tc>
        <w:tc>
          <w:tcPr>
            <w:tcW w:w="4996" w:type="dxa"/>
            <w:tcBorders>
              <w:top w:val="nil"/>
              <w:left w:val="nil"/>
              <w:bottom w:val="single" w:color="auto" w:sz="4" w:space="0"/>
              <w:right w:val="single" w:color="auto" w:sz="4" w:space="0"/>
            </w:tcBorders>
            <w:shd w:val="clear" w:color="auto" w:fill="auto"/>
          </w:tcPr>
          <w:p w14:paraId="1A60B5AC">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三级等保测评</w:t>
            </w:r>
          </w:p>
        </w:tc>
        <w:tc>
          <w:tcPr>
            <w:tcW w:w="872" w:type="dxa"/>
            <w:tcBorders>
              <w:top w:val="nil"/>
              <w:left w:val="nil"/>
              <w:bottom w:val="single" w:color="auto" w:sz="4" w:space="0"/>
              <w:right w:val="single" w:color="auto" w:sz="4" w:space="0"/>
            </w:tcBorders>
            <w:shd w:val="clear" w:color="000000" w:fill="FFFFFF"/>
            <w:vAlign w:val="center"/>
          </w:tcPr>
          <w:p w14:paraId="0DF1957C">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套</w:t>
            </w:r>
          </w:p>
        </w:tc>
        <w:tc>
          <w:tcPr>
            <w:tcW w:w="856" w:type="dxa"/>
            <w:tcBorders>
              <w:top w:val="nil"/>
              <w:left w:val="nil"/>
              <w:bottom w:val="single" w:color="auto" w:sz="4" w:space="0"/>
              <w:right w:val="single" w:color="auto" w:sz="4" w:space="0"/>
            </w:tcBorders>
            <w:shd w:val="clear" w:color="000000" w:fill="FFFFFF"/>
            <w:vAlign w:val="center"/>
          </w:tcPr>
          <w:p w14:paraId="42A90CB6">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2</w:t>
            </w:r>
          </w:p>
        </w:tc>
        <w:tc>
          <w:tcPr>
            <w:tcW w:w="1641" w:type="dxa"/>
            <w:tcBorders>
              <w:top w:val="nil"/>
              <w:left w:val="nil"/>
              <w:bottom w:val="single" w:color="auto" w:sz="4" w:space="0"/>
              <w:right w:val="single" w:color="auto" w:sz="4" w:space="0"/>
            </w:tcBorders>
            <w:shd w:val="clear" w:color="000000" w:fill="FFFFFF"/>
            <w:noWrap/>
            <w:vAlign w:val="center"/>
          </w:tcPr>
          <w:p w14:paraId="7E8940A4">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1A964257">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vAlign w:val="center"/>
          </w:tcPr>
          <w:p w14:paraId="58EA92FE">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5113CAF6">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3BAD55ED">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（四）</w:t>
            </w:r>
          </w:p>
        </w:tc>
        <w:tc>
          <w:tcPr>
            <w:tcW w:w="1961" w:type="dxa"/>
            <w:tcBorders>
              <w:top w:val="nil"/>
              <w:left w:val="nil"/>
              <w:bottom w:val="single" w:color="auto" w:sz="4" w:space="0"/>
              <w:right w:val="single" w:color="auto" w:sz="4" w:space="0"/>
            </w:tcBorders>
            <w:shd w:val="clear" w:color="000000" w:fill="FFFFFF"/>
            <w:noWrap/>
            <w:vAlign w:val="center"/>
          </w:tcPr>
          <w:p w14:paraId="46881216">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网络监控运维区</w:t>
            </w:r>
          </w:p>
        </w:tc>
        <w:tc>
          <w:tcPr>
            <w:tcW w:w="4996" w:type="dxa"/>
            <w:tcBorders>
              <w:top w:val="nil"/>
              <w:left w:val="nil"/>
              <w:bottom w:val="single" w:color="auto" w:sz="4" w:space="0"/>
              <w:right w:val="single" w:color="auto" w:sz="4" w:space="0"/>
            </w:tcBorders>
            <w:shd w:val="clear" w:color="000000" w:fill="FFFFFF"/>
          </w:tcPr>
          <w:p w14:paraId="0FAAC869">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c>
          <w:tcPr>
            <w:tcW w:w="872" w:type="dxa"/>
            <w:tcBorders>
              <w:top w:val="nil"/>
              <w:left w:val="nil"/>
              <w:bottom w:val="single" w:color="auto" w:sz="4" w:space="0"/>
              <w:right w:val="single" w:color="auto" w:sz="4" w:space="0"/>
            </w:tcBorders>
            <w:shd w:val="clear" w:color="000000" w:fill="FFFFFF"/>
            <w:vAlign w:val="center"/>
          </w:tcPr>
          <w:p w14:paraId="69C66DB1">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c>
          <w:tcPr>
            <w:tcW w:w="856" w:type="dxa"/>
            <w:tcBorders>
              <w:top w:val="nil"/>
              <w:left w:val="nil"/>
              <w:bottom w:val="single" w:color="auto" w:sz="4" w:space="0"/>
              <w:right w:val="single" w:color="auto" w:sz="4" w:space="0"/>
            </w:tcBorders>
            <w:shd w:val="clear" w:color="000000" w:fill="FFFFFF"/>
            <w:vAlign w:val="center"/>
          </w:tcPr>
          <w:p w14:paraId="624F9769">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c>
          <w:tcPr>
            <w:tcW w:w="1641" w:type="dxa"/>
            <w:tcBorders>
              <w:top w:val="nil"/>
              <w:left w:val="nil"/>
              <w:bottom w:val="single" w:color="auto" w:sz="4" w:space="0"/>
              <w:right w:val="single" w:color="auto" w:sz="4" w:space="0"/>
            </w:tcBorders>
            <w:shd w:val="clear" w:color="000000" w:fill="FFFFFF"/>
            <w:noWrap/>
            <w:vAlign w:val="center"/>
          </w:tcPr>
          <w:p w14:paraId="4DEBCE3E">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4DCBBA5E">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vAlign w:val="center"/>
          </w:tcPr>
          <w:p w14:paraId="1E8792F8">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477DC708">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vAlign w:val="center"/>
          </w:tcPr>
          <w:p w14:paraId="13DBE0B4">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4.1</w:t>
            </w:r>
          </w:p>
        </w:tc>
        <w:tc>
          <w:tcPr>
            <w:tcW w:w="1961" w:type="dxa"/>
            <w:tcBorders>
              <w:top w:val="nil"/>
              <w:left w:val="nil"/>
              <w:bottom w:val="single" w:color="auto" w:sz="4" w:space="0"/>
              <w:right w:val="single" w:color="auto" w:sz="4" w:space="0"/>
            </w:tcBorders>
            <w:shd w:val="clear" w:color="000000" w:fill="FFFFFF"/>
            <w:vAlign w:val="center"/>
          </w:tcPr>
          <w:p w14:paraId="18E00789">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操作台（含工位椅）</w:t>
            </w:r>
          </w:p>
        </w:tc>
        <w:tc>
          <w:tcPr>
            <w:tcW w:w="4996" w:type="dxa"/>
            <w:tcBorders>
              <w:top w:val="nil"/>
              <w:left w:val="nil"/>
              <w:bottom w:val="single" w:color="auto" w:sz="4" w:space="0"/>
              <w:right w:val="single" w:color="auto" w:sz="4" w:space="0"/>
            </w:tcBorders>
            <w:shd w:val="clear" w:color="000000" w:fill="FFFFFF"/>
          </w:tcPr>
          <w:p w14:paraId="1EEECF73">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简易办公操控台及配套座椅。</w:t>
            </w:r>
          </w:p>
        </w:tc>
        <w:tc>
          <w:tcPr>
            <w:tcW w:w="872" w:type="dxa"/>
            <w:tcBorders>
              <w:top w:val="nil"/>
              <w:left w:val="nil"/>
              <w:bottom w:val="single" w:color="auto" w:sz="4" w:space="0"/>
              <w:right w:val="single" w:color="auto" w:sz="4" w:space="0"/>
            </w:tcBorders>
            <w:shd w:val="clear" w:color="000000" w:fill="FFFFFF"/>
            <w:vAlign w:val="center"/>
          </w:tcPr>
          <w:p w14:paraId="6E553055">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套</w:t>
            </w:r>
          </w:p>
        </w:tc>
        <w:tc>
          <w:tcPr>
            <w:tcW w:w="856" w:type="dxa"/>
            <w:tcBorders>
              <w:top w:val="nil"/>
              <w:left w:val="nil"/>
              <w:bottom w:val="single" w:color="auto" w:sz="4" w:space="0"/>
              <w:right w:val="single" w:color="auto" w:sz="4" w:space="0"/>
            </w:tcBorders>
            <w:shd w:val="clear" w:color="000000" w:fill="FFFFFF"/>
            <w:vAlign w:val="center"/>
          </w:tcPr>
          <w:p w14:paraId="0489B87A">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3</w:t>
            </w:r>
          </w:p>
        </w:tc>
        <w:tc>
          <w:tcPr>
            <w:tcW w:w="1641" w:type="dxa"/>
            <w:tcBorders>
              <w:top w:val="nil"/>
              <w:left w:val="nil"/>
              <w:bottom w:val="single" w:color="auto" w:sz="4" w:space="0"/>
              <w:right w:val="single" w:color="auto" w:sz="4" w:space="0"/>
            </w:tcBorders>
            <w:shd w:val="clear" w:color="000000" w:fill="FFFFFF"/>
            <w:noWrap/>
            <w:vAlign w:val="center"/>
          </w:tcPr>
          <w:p w14:paraId="4D9A9083">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0C92C97B">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vAlign w:val="center"/>
          </w:tcPr>
          <w:p w14:paraId="4CBCB6E2">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7885CA73">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vAlign w:val="center"/>
          </w:tcPr>
          <w:p w14:paraId="5C8E07F1">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4.2</w:t>
            </w:r>
          </w:p>
        </w:tc>
        <w:tc>
          <w:tcPr>
            <w:tcW w:w="1961" w:type="dxa"/>
            <w:tcBorders>
              <w:top w:val="nil"/>
              <w:left w:val="nil"/>
              <w:bottom w:val="single" w:color="auto" w:sz="4" w:space="0"/>
              <w:right w:val="single" w:color="auto" w:sz="4" w:space="0"/>
            </w:tcBorders>
            <w:shd w:val="clear" w:color="000000" w:fill="FFFFFF"/>
            <w:vAlign w:val="center"/>
          </w:tcPr>
          <w:p w14:paraId="66732BC6">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维修工作台</w:t>
            </w:r>
          </w:p>
        </w:tc>
        <w:tc>
          <w:tcPr>
            <w:tcW w:w="4996" w:type="dxa"/>
            <w:tcBorders>
              <w:top w:val="nil"/>
              <w:left w:val="nil"/>
              <w:bottom w:val="single" w:color="auto" w:sz="4" w:space="0"/>
              <w:right w:val="single" w:color="auto" w:sz="4" w:space="0"/>
            </w:tcBorders>
            <w:shd w:val="clear" w:color="000000" w:fill="FFFFFF"/>
          </w:tcPr>
          <w:p w14:paraId="5BE59C64">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简易维修工作台（桌面耐高温防腐蚀）及配套桌椅</w:t>
            </w:r>
          </w:p>
        </w:tc>
        <w:tc>
          <w:tcPr>
            <w:tcW w:w="872" w:type="dxa"/>
            <w:tcBorders>
              <w:top w:val="nil"/>
              <w:left w:val="nil"/>
              <w:bottom w:val="single" w:color="auto" w:sz="4" w:space="0"/>
              <w:right w:val="single" w:color="auto" w:sz="4" w:space="0"/>
            </w:tcBorders>
            <w:shd w:val="clear" w:color="000000" w:fill="FFFFFF"/>
            <w:vAlign w:val="center"/>
          </w:tcPr>
          <w:p w14:paraId="180AB550">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套</w:t>
            </w:r>
          </w:p>
        </w:tc>
        <w:tc>
          <w:tcPr>
            <w:tcW w:w="856" w:type="dxa"/>
            <w:tcBorders>
              <w:top w:val="nil"/>
              <w:left w:val="nil"/>
              <w:bottom w:val="single" w:color="auto" w:sz="4" w:space="0"/>
              <w:right w:val="single" w:color="auto" w:sz="4" w:space="0"/>
            </w:tcBorders>
            <w:shd w:val="clear" w:color="000000" w:fill="FFFFFF"/>
            <w:vAlign w:val="center"/>
          </w:tcPr>
          <w:p w14:paraId="398FAC76">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w:t>
            </w:r>
          </w:p>
        </w:tc>
        <w:tc>
          <w:tcPr>
            <w:tcW w:w="1641" w:type="dxa"/>
            <w:tcBorders>
              <w:top w:val="nil"/>
              <w:left w:val="nil"/>
              <w:bottom w:val="single" w:color="auto" w:sz="4" w:space="0"/>
              <w:right w:val="single" w:color="auto" w:sz="4" w:space="0"/>
            </w:tcBorders>
            <w:shd w:val="clear" w:color="000000" w:fill="FFFFFF"/>
            <w:noWrap/>
            <w:vAlign w:val="center"/>
          </w:tcPr>
          <w:p w14:paraId="0706FDE2">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5F9950F4">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vAlign w:val="center"/>
          </w:tcPr>
          <w:p w14:paraId="62798273">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4D21033F">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vAlign w:val="center"/>
          </w:tcPr>
          <w:p w14:paraId="77114B19">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4.3</w:t>
            </w:r>
          </w:p>
        </w:tc>
        <w:tc>
          <w:tcPr>
            <w:tcW w:w="1961" w:type="dxa"/>
            <w:tcBorders>
              <w:top w:val="nil"/>
              <w:left w:val="nil"/>
              <w:bottom w:val="single" w:color="auto" w:sz="4" w:space="0"/>
              <w:right w:val="single" w:color="auto" w:sz="4" w:space="0"/>
            </w:tcBorders>
            <w:shd w:val="clear" w:color="000000" w:fill="FFFFFF"/>
            <w:vAlign w:val="center"/>
          </w:tcPr>
          <w:p w14:paraId="05DE62FD">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网络机柜</w:t>
            </w:r>
          </w:p>
        </w:tc>
        <w:tc>
          <w:tcPr>
            <w:tcW w:w="4996" w:type="dxa"/>
            <w:tcBorders>
              <w:top w:val="nil"/>
              <w:left w:val="nil"/>
              <w:bottom w:val="single" w:color="auto" w:sz="4" w:space="0"/>
              <w:right w:val="single" w:color="auto" w:sz="4" w:space="0"/>
            </w:tcBorders>
            <w:shd w:val="clear" w:color="000000" w:fill="FFFFFF"/>
          </w:tcPr>
          <w:p w14:paraId="2350425D">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42U标准机柜，600*1000*42U 含挡板、托盘、托条、侧板、双PDU、扎线板、扎线杆、接地铜条并满足使用。</w:t>
            </w:r>
          </w:p>
        </w:tc>
        <w:tc>
          <w:tcPr>
            <w:tcW w:w="872" w:type="dxa"/>
            <w:tcBorders>
              <w:top w:val="nil"/>
              <w:left w:val="nil"/>
              <w:bottom w:val="single" w:color="auto" w:sz="4" w:space="0"/>
              <w:right w:val="single" w:color="auto" w:sz="4" w:space="0"/>
            </w:tcBorders>
            <w:shd w:val="clear" w:color="000000" w:fill="FFFFFF"/>
            <w:vAlign w:val="center"/>
          </w:tcPr>
          <w:p w14:paraId="71522AA5">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24008F3C">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4</w:t>
            </w:r>
          </w:p>
        </w:tc>
        <w:tc>
          <w:tcPr>
            <w:tcW w:w="1641" w:type="dxa"/>
            <w:tcBorders>
              <w:top w:val="nil"/>
              <w:left w:val="nil"/>
              <w:bottom w:val="single" w:color="auto" w:sz="4" w:space="0"/>
              <w:right w:val="single" w:color="auto" w:sz="4" w:space="0"/>
            </w:tcBorders>
            <w:shd w:val="clear" w:color="000000" w:fill="FFFFFF"/>
            <w:noWrap/>
            <w:vAlign w:val="center"/>
          </w:tcPr>
          <w:p w14:paraId="06CE3025">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149A91D4">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vAlign w:val="center"/>
          </w:tcPr>
          <w:p w14:paraId="09783C5F">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76DA05FA">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vAlign w:val="center"/>
          </w:tcPr>
          <w:p w14:paraId="54636D14">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4.4</w:t>
            </w:r>
          </w:p>
        </w:tc>
        <w:tc>
          <w:tcPr>
            <w:tcW w:w="1961" w:type="dxa"/>
            <w:tcBorders>
              <w:top w:val="nil"/>
              <w:left w:val="nil"/>
              <w:bottom w:val="single" w:color="auto" w:sz="4" w:space="0"/>
              <w:right w:val="single" w:color="auto" w:sz="4" w:space="0"/>
            </w:tcBorders>
            <w:shd w:val="clear" w:color="000000" w:fill="FFFFFF"/>
            <w:vAlign w:val="center"/>
          </w:tcPr>
          <w:p w14:paraId="16021A3E">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监控运维管理电脑</w:t>
            </w:r>
          </w:p>
        </w:tc>
        <w:tc>
          <w:tcPr>
            <w:tcW w:w="4996" w:type="dxa"/>
            <w:tcBorders>
              <w:top w:val="nil"/>
              <w:left w:val="nil"/>
              <w:bottom w:val="single" w:color="auto" w:sz="4" w:space="0"/>
              <w:right w:val="single" w:color="auto" w:sz="4" w:space="0"/>
            </w:tcBorders>
            <w:shd w:val="clear" w:color="000000" w:fill="FFFFFF"/>
          </w:tcPr>
          <w:p w14:paraId="335F6ABD">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14代I3 CPU，16G内存，512G SSD和1T机械盘、键鼠套装、双联支架</w:t>
            </w:r>
          </w:p>
        </w:tc>
        <w:tc>
          <w:tcPr>
            <w:tcW w:w="872" w:type="dxa"/>
            <w:tcBorders>
              <w:top w:val="nil"/>
              <w:left w:val="nil"/>
              <w:bottom w:val="single" w:color="auto" w:sz="4" w:space="0"/>
              <w:right w:val="single" w:color="auto" w:sz="4" w:space="0"/>
            </w:tcBorders>
            <w:shd w:val="clear" w:color="000000" w:fill="FFFFFF"/>
            <w:vAlign w:val="center"/>
          </w:tcPr>
          <w:p w14:paraId="357973C7">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5FFBF4A1">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2</w:t>
            </w:r>
          </w:p>
        </w:tc>
        <w:tc>
          <w:tcPr>
            <w:tcW w:w="1641" w:type="dxa"/>
            <w:tcBorders>
              <w:top w:val="nil"/>
              <w:left w:val="nil"/>
              <w:bottom w:val="single" w:color="auto" w:sz="4" w:space="0"/>
              <w:right w:val="single" w:color="auto" w:sz="4" w:space="0"/>
            </w:tcBorders>
            <w:shd w:val="clear" w:color="000000" w:fill="FFFFFF"/>
            <w:noWrap/>
            <w:vAlign w:val="center"/>
          </w:tcPr>
          <w:p w14:paraId="7FF0742F">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72624486">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vAlign w:val="center"/>
          </w:tcPr>
          <w:p w14:paraId="33A920A1">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666F0A25">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vAlign w:val="center"/>
          </w:tcPr>
          <w:p w14:paraId="0E2C1B3D">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4.5</w:t>
            </w:r>
          </w:p>
        </w:tc>
        <w:tc>
          <w:tcPr>
            <w:tcW w:w="1961" w:type="dxa"/>
            <w:tcBorders>
              <w:top w:val="nil"/>
              <w:left w:val="nil"/>
              <w:bottom w:val="single" w:color="auto" w:sz="4" w:space="0"/>
              <w:right w:val="single" w:color="auto" w:sz="4" w:space="0"/>
            </w:tcBorders>
            <w:shd w:val="clear" w:color="000000" w:fill="FFFFFF"/>
            <w:vAlign w:val="center"/>
          </w:tcPr>
          <w:p w14:paraId="27FDBC28">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显示器</w:t>
            </w:r>
          </w:p>
        </w:tc>
        <w:tc>
          <w:tcPr>
            <w:tcW w:w="4996" w:type="dxa"/>
            <w:tcBorders>
              <w:top w:val="nil"/>
              <w:left w:val="nil"/>
              <w:bottom w:val="single" w:color="auto" w:sz="4" w:space="0"/>
              <w:right w:val="single" w:color="auto" w:sz="4" w:space="0"/>
            </w:tcBorders>
            <w:shd w:val="clear" w:color="000000" w:fill="FFFFFF"/>
          </w:tcPr>
          <w:p w14:paraId="60F11EB2">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24寸高清显示器。</w:t>
            </w:r>
          </w:p>
        </w:tc>
        <w:tc>
          <w:tcPr>
            <w:tcW w:w="872" w:type="dxa"/>
            <w:tcBorders>
              <w:top w:val="nil"/>
              <w:left w:val="nil"/>
              <w:bottom w:val="single" w:color="auto" w:sz="4" w:space="0"/>
              <w:right w:val="single" w:color="auto" w:sz="4" w:space="0"/>
            </w:tcBorders>
            <w:shd w:val="clear" w:color="000000" w:fill="FFFFFF"/>
            <w:vAlign w:val="center"/>
          </w:tcPr>
          <w:p w14:paraId="02B9118C">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856" w:type="dxa"/>
            <w:tcBorders>
              <w:top w:val="nil"/>
              <w:left w:val="nil"/>
              <w:bottom w:val="single" w:color="auto" w:sz="4" w:space="0"/>
              <w:right w:val="single" w:color="auto" w:sz="4" w:space="0"/>
            </w:tcBorders>
            <w:shd w:val="clear" w:color="000000" w:fill="FFFFFF"/>
            <w:vAlign w:val="center"/>
          </w:tcPr>
          <w:p w14:paraId="16B7985D">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4</w:t>
            </w:r>
          </w:p>
        </w:tc>
        <w:tc>
          <w:tcPr>
            <w:tcW w:w="1641" w:type="dxa"/>
            <w:tcBorders>
              <w:top w:val="nil"/>
              <w:left w:val="nil"/>
              <w:bottom w:val="single" w:color="auto" w:sz="4" w:space="0"/>
              <w:right w:val="single" w:color="auto" w:sz="4" w:space="0"/>
            </w:tcBorders>
            <w:shd w:val="clear" w:color="000000" w:fill="FFFFFF"/>
            <w:noWrap/>
            <w:vAlign w:val="center"/>
          </w:tcPr>
          <w:p w14:paraId="43121A67">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68B9493F">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vAlign w:val="center"/>
          </w:tcPr>
          <w:p w14:paraId="328CD5AA">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24DD61A1">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vAlign w:val="center"/>
          </w:tcPr>
          <w:p w14:paraId="551DF5CD">
            <w:pPr>
              <w:widowControl/>
              <w:jc w:val="center"/>
              <w:rPr>
                <w:rFonts w:hint="default" w:ascii="宋体" w:hAnsi="宋体" w:eastAsia="宋体" w:cs="宋体"/>
                <w:color w:val="000000"/>
                <w:kern w:val="0"/>
                <w:sz w:val="24"/>
                <w:szCs w:val="24"/>
                <w:lang w:val="en-US" w:eastAsia="zh-CN"/>
                <w14:ligatures w14:val="none"/>
              </w:rPr>
            </w:pPr>
            <w:r>
              <w:rPr>
                <w:rFonts w:hint="eastAsia" w:ascii="宋体" w:hAnsi="宋体" w:eastAsia="宋体" w:cs="宋体"/>
                <w:color w:val="000000"/>
                <w:kern w:val="0"/>
                <w:sz w:val="24"/>
                <w:szCs w:val="24"/>
                <w:lang w:val="en-US" w:eastAsia="zh-CN"/>
                <w14:ligatures w14:val="none"/>
              </w:rPr>
              <w:t>4.6</w:t>
            </w:r>
          </w:p>
        </w:tc>
        <w:tc>
          <w:tcPr>
            <w:tcW w:w="1961" w:type="dxa"/>
            <w:tcBorders>
              <w:top w:val="nil"/>
              <w:left w:val="nil"/>
              <w:bottom w:val="single" w:color="auto" w:sz="4" w:space="0"/>
              <w:right w:val="single" w:color="auto" w:sz="4" w:space="0"/>
            </w:tcBorders>
            <w:shd w:val="clear" w:color="000000" w:fill="FFFFFF"/>
            <w:vAlign w:val="center"/>
          </w:tcPr>
          <w:p w14:paraId="3E0B61F1">
            <w:pPr>
              <w:keepNext w:val="0"/>
              <w:keepLines w:val="0"/>
              <w:widowControl/>
              <w:suppressLineNumbers w:val="0"/>
              <w:jc w:val="center"/>
              <w:textAlignment w:val="center"/>
              <w:rPr>
                <w:rFonts w:hint="eastAsia" w:ascii="宋体" w:hAnsi="宋体" w:eastAsia="宋体" w:cs="宋体"/>
                <w:color w:val="000000"/>
                <w:kern w:val="0"/>
                <w:sz w:val="24"/>
                <w:szCs w:val="24"/>
                <w14:ligatures w14:val="none"/>
              </w:rPr>
            </w:pPr>
            <w:r>
              <w:rPr>
                <w:rFonts w:hint="eastAsia" w:ascii="宋体" w:hAnsi="宋体" w:eastAsia="宋体" w:cs="宋体"/>
                <w:i w:val="0"/>
                <w:iCs w:val="0"/>
                <w:color w:val="000000"/>
                <w:kern w:val="0"/>
                <w:sz w:val="24"/>
                <w:szCs w:val="24"/>
                <w:u w:val="none"/>
                <w:lang w:val="en-US" w:eastAsia="zh-CN" w:bidi="ar"/>
                <w14:ligatures w14:val="standardContextual"/>
              </w:rPr>
              <w:t>移动式KVM（移动式运维推车）</w:t>
            </w:r>
          </w:p>
        </w:tc>
        <w:tc>
          <w:tcPr>
            <w:tcW w:w="4996" w:type="dxa"/>
            <w:tcBorders>
              <w:top w:val="nil"/>
              <w:left w:val="nil"/>
              <w:bottom w:val="single" w:color="auto" w:sz="4" w:space="0"/>
              <w:right w:val="single" w:color="auto" w:sz="4" w:space="0"/>
            </w:tcBorders>
            <w:shd w:val="clear" w:color="000000" w:fill="FFFFFF"/>
            <w:vAlign w:val="center"/>
          </w:tcPr>
          <w:p w14:paraId="533C1508">
            <w:pPr>
              <w:keepNext w:val="0"/>
              <w:keepLines w:val="0"/>
              <w:widowControl/>
              <w:suppressLineNumbers w:val="0"/>
              <w:jc w:val="left"/>
              <w:textAlignment w:val="center"/>
              <w:rPr>
                <w:rFonts w:hint="eastAsia" w:ascii="宋体" w:hAnsi="宋体" w:eastAsia="宋体" w:cs="宋体"/>
                <w:color w:val="000000"/>
                <w:kern w:val="0"/>
                <w:sz w:val="24"/>
                <w:szCs w:val="24"/>
                <w14:ligatures w14:val="none"/>
              </w:rPr>
            </w:pPr>
            <w:r>
              <w:rPr>
                <w:rFonts w:hint="eastAsia" w:ascii="宋体" w:hAnsi="宋体" w:eastAsia="宋体" w:cs="宋体"/>
                <w:i w:val="0"/>
                <w:iCs w:val="0"/>
                <w:color w:val="000000"/>
                <w:kern w:val="0"/>
                <w:sz w:val="24"/>
                <w:szCs w:val="24"/>
                <w:u w:val="none"/>
                <w:lang w:val="en-US" w:eastAsia="zh-CN" w:bidi="ar"/>
                <w14:ligatures w14:val="standardContextual"/>
              </w:rPr>
              <w:t>八合一 USB&amp;PS/2 控制台,带 KVMP 功能,可操作八台电脑,机架带LCD,OSD 菜单选择（17"）；</w:t>
            </w:r>
            <w:r>
              <w:rPr>
                <w:rFonts w:hint="eastAsia" w:ascii="宋体" w:hAnsi="宋体" w:eastAsia="宋体" w:cs="宋体"/>
                <w:i w:val="0"/>
                <w:iCs w:val="0"/>
                <w:color w:val="000000"/>
                <w:kern w:val="0"/>
                <w:sz w:val="24"/>
                <w:szCs w:val="24"/>
                <w:u w:val="none"/>
                <w:lang w:val="en-US" w:eastAsia="zh-CN" w:bidi="ar"/>
                <w14:ligatures w14:val="standardContextual"/>
              </w:rPr>
              <w:br w:type="textWrapping"/>
            </w:r>
            <w:r>
              <w:rPr>
                <w:rFonts w:hint="eastAsia" w:ascii="宋体" w:hAnsi="宋体" w:eastAsia="宋体" w:cs="宋体"/>
                <w:i w:val="0"/>
                <w:iCs w:val="0"/>
                <w:color w:val="000000"/>
                <w:kern w:val="0"/>
                <w:sz w:val="24"/>
                <w:szCs w:val="24"/>
                <w:u w:val="none"/>
                <w:lang w:val="en-US" w:eastAsia="zh-CN" w:bidi="ar"/>
                <w14:ligatures w14:val="standardContextual"/>
              </w:rPr>
              <w:t>移动式运维推车设计精密、结构稳定，包含但不限于以下组件：操作台、显示器卡位、品牌标识、键盘托盘、推车把手、鼠标托盘、底座、双面脚轮、排插。</w:t>
            </w:r>
          </w:p>
        </w:tc>
        <w:tc>
          <w:tcPr>
            <w:tcW w:w="872" w:type="dxa"/>
            <w:tcBorders>
              <w:top w:val="nil"/>
              <w:left w:val="nil"/>
              <w:bottom w:val="single" w:color="auto" w:sz="4" w:space="0"/>
              <w:right w:val="single" w:color="auto" w:sz="4" w:space="0"/>
            </w:tcBorders>
            <w:shd w:val="clear" w:color="000000" w:fill="FFFFFF"/>
            <w:vAlign w:val="center"/>
          </w:tcPr>
          <w:p w14:paraId="0ECFDEB2">
            <w:pPr>
              <w:keepNext w:val="0"/>
              <w:keepLines w:val="0"/>
              <w:widowControl/>
              <w:suppressLineNumbers w:val="0"/>
              <w:jc w:val="center"/>
              <w:textAlignment w:val="center"/>
              <w:rPr>
                <w:rFonts w:hint="eastAsia" w:ascii="宋体" w:hAnsi="宋体" w:eastAsia="宋体" w:cs="宋体"/>
                <w:color w:val="000000"/>
                <w:kern w:val="0"/>
                <w:sz w:val="24"/>
                <w:szCs w:val="24"/>
                <w14:ligatures w14:val="none"/>
              </w:rPr>
            </w:pPr>
            <w:r>
              <w:rPr>
                <w:rFonts w:hint="eastAsia" w:ascii="宋体" w:hAnsi="宋体" w:eastAsia="宋体" w:cs="宋体"/>
                <w:i w:val="0"/>
                <w:iCs w:val="0"/>
                <w:color w:val="000000"/>
                <w:kern w:val="0"/>
                <w:sz w:val="24"/>
                <w:szCs w:val="24"/>
                <w:u w:val="none"/>
                <w:lang w:val="en-US" w:eastAsia="zh-CN" w:bidi="ar"/>
                <w14:ligatures w14:val="standardContextual"/>
              </w:rPr>
              <w:t>台</w:t>
            </w:r>
          </w:p>
        </w:tc>
        <w:tc>
          <w:tcPr>
            <w:tcW w:w="856" w:type="dxa"/>
            <w:tcBorders>
              <w:top w:val="nil"/>
              <w:left w:val="nil"/>
              <w:bottom w:val="single" w:color="auto" w:sz="4" w:space="0"/>
              <w:right w:val="single" w:color="auto" w:sz="4" w:space="0"/>
            </w:tcBorders>
            <w:shd w:val="clear" w:color="000000" w:fill="FFFFFF"/>
            <w:vAlign w:val="center"/>
          </w:tcPr>
          <w:p w14:paraId="737CEBBF">
            <w:pPr>
              <w:keepNext w:val="0"/>
              <w:keepLines w:val="0"/>
              <w:widowControl/>
              <w:suppressLineNumbers w:val="0"/>
              <w:jc w:val="center"/>
              <w:textAlignment w:val="center"/>
              <w:rPr>
                <w:rFonts w:hint="eastAsia" w:ascii="宋体" w:hAnsi="宋体" w:eastAsia="宋体" w:cs="宋体"/>
                <w:color w:val="000000"/>
                <w:kern w:val="0"/>
                <w:sz w:val="24"/>
                <w:szCs w:val="24"/>
                <w14:ligatures w14:val="none"/>
              </w:rPr>
            </w:pPr>
            <w:r>
              <w:rPr>
                <w:rFonts w:hint="eastAsia" w:ascii="宋体" w:hAnsi="宋体" w:eastAsia="宋体" w:cs="宋体"/>
                <w:i w:val="0"/>
                <w:iCs w:val="0"/>
                <w:color w:val="000000"/>
                <w:kern w:val="0"/>
                <w:sz w:val="24"/>
                <w:szCs w:val="24"/>
                <w:u w:val="none"/>
                <w:lang w:val="en-US" w:eastAsia="zh-CN" w:bidi="ar"/>
                <w14:ligatures w14:val="standardContextual"/>
              </w:rPr>
              <w:t>2</w:t>
            </w:r>
          </w:p>
        </w:tc>
        <w:tc>
          <w:tcPr>
            <w:tcW w:w="1641" w:type="dxa"/>
            <w:tcBorders>
              <w:top w:val="nil"/>
              <w:left w:val="nil"/>
              <w:bottom w:val="single" w:color="auto" w:sz="4" w:space="0"/>
              <w:right w:val="single" w:color="auto" w:sz="4" w:space="0"/>
            </w:tcBorders>
            <w:shd w:val="clear" w:color="000000" w:fill="FFFFFF"/>
            <w:noWrap/>
            <w:vAlign w:val="center"/>
          </w:tcPr>
          <w:p w14:paraId="318F0502">
            <w:pPr>
              <w:keepNext w:val="0"/>
              <w:keepLines w:val="0"/>
              <w:widowControl/>
              <w:suppressLineNumbers w:val="0"/>
              <w:jc w:val="right"/>
              <w:textAlignment w:val="center"/>
              <w:rPr>
                <w:rFonts w:hint="eastAsia" w:ascii="宋体" w:hAnsi="宋体" w:eastAsia="宋体" w:cs="宋体"/>
                <w:color w:val="000000"/>
                <w:kern w:val="0"/>
                <w:sz w:val="24"/>
                <w:szCs w:val="24"/>
                <w14:ligatures w14:val="none"/>
              </w:rPr>
            </w:pPr>
          </w:p>
        </w:tc>
        <w:tc>
          <w:tcPr>
            <w:tcW w:w="1756" w:type="dxa"/>
            <w:tcBorders>
              <w:top w:val="nil"/>
              <w:left w:val="nil"/>
              <w:bottom w:val="single" w:color="auto" w:sz="4" w:space="0"/>
              <w:right w:val="single" w:color="auto" w:sz="4" w:space="0"/>
            </w:tcBorders>
            <w:shd w:val="clear" w:color="000000" w:fill="FFFFFF"/>
            <w:noWrap/>
            <w:vAlign w:val="center"/>
          </w:tcPr>
          <w:p w14:paraId="5E010930">
            <w:pPr>
              <w:keepNext w:val="0"/>
              <w:keepLines w:val="0"/>
              <w:widowControl/>
              <w:suppressLineNumbers w:val="0"/>
              <w:jc w:val="right"/>
              <w:textAlignment w:val="center"/>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vAlign w:val="center"/>
          </w:tcPr>
          <w:p w14:paraId="22699A1B">
            <w:pPr>
              <w:widowControl/>
              <w:jc w:val="left"/>
              <w:rPr>
                <w:rFonts w:hint="eastAsia" w:ascii="宋体" w:hAnsi="宋体" w:eastAsia="宋体" w:cs="宋体"/>
                <w:color w:val="000000"/>
                <w:kern w:val="0"/>
                <w:sz w:val="24"/>
                <w:szCs w:val="24"/>
                <w14:ligatures w14:val="none"/>
              </w:rPr>
            </w:pPr>
          </w:p>
        </w:tc>
      </w:tr>
      <w:tr w14:paraId="1F197426">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02CADF34">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（五）</w:t>
            </w:r>
          </w:p>
        </w:tc>
        <w:tc>
          <w:tcPr>
            <w:tcW w:w="1961" w:type="dxa"/>
            <w:tcBorders>
              <w:top w:val="nil"/>
              <w:left w:val="nil"/>
              <w:bottom w:val="single" w:color="auto" w:sz="4" w:space="0"/>
              <w:right w:val="single" w:color="auto" w:sz="4" w:space="0"/>
            </w:tcBorders>
            <w:shd w:val="clear" w:color="000000" w:fill="FFFFFF"/>
            <w:vAlign w:val="center"/>
          </w:tcPr>
          <w:p w14:paraId="03AE9192">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备用维修区</w:t>
            </w:r>
          </w:p>
        </w:tc>
        <w:tc>
          <w:tcPr>
            <w:tcW w:w="4996" w:type="dxa"/>
            <w:tcBorders>
              <w:top w:val="nil"/>
              <w:left w:val="nil"/>
              <w:bottom w:val="single" w:color="auto" w:sz="4" w:space="0"/>
              <w:right w:val="single" w:color="auto" w:sz="4" w:space="0"/>
            </w:tcBorders>
            <w:shd w:val="clear" w:color="000000" w:fill="FFFFFF"/>
          </w:tcPr>
          <w:p w14:paraId="014CE349">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c>
          <w:tcPr>
            <w:tcW w:w="872" w:type="dxa"/>
            <w:tcBorders>
              <w:top w:val="nil"/>
              <w:left w:val="nil"/>
              <w:bottom w:val="single" w:color="auto" w:sz="4" w:space="0"/>
              <w:right w:val="single" w:color="auto" w:sz="4" w:space="0"/>
            </w:tcBorders>
            <w:shd w:val="clear" w:color="000000" w:fill="FFFFFF"/>
            <w:vAlign w:val="center"/>
          </w:tcPr>
          <w:p w14:paraId="10DC61F8">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c>
          <w:tcPr>
            <w:tcW w:w="856" w:type="dxa"/>
            <w:tcBorders>
              <w:top w:val="nil"/>
              <w:left w:val="nil"/>
              <w:bottom w:val="single" w:color="auto" w:sz="4" w:space="0"/>
              <w:right w:val="single" w:color="auto" w:sz="4" w:space="0"/>
            </w:tcBorders>
            <w:shd w:val="clear" w:color="000000" w:fill="FFFFFF"/>
            <w:vAlign w:val="center"/>
          </w:tcPr>
          <w:p w14:paraId="69A48416">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c>
          <w:tcPr>
            <w:tcW w:w="1641" w:type="dxa"/>
            <w:tcBorders>
              <w:top w:val="nil"/>
              <w:left w:val="nil"/>
              <w:bottom w:val="single" w:color="auto" w:sz="4" w:space="0"/>
              <w:right w:val="single" w:color="auto" w:sz="4" w:space="0"/>
            </w:tcBorders>
            <w:shd w:val="clear" w:color="000000" w:fill="FFFFFF"/>
            <w:noWrap/>
            <w:vAlign w:val="center"/>
          </w:tcPr>
          <w:p w14:paraId="7FF6DCDD">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c>
          <w:tcPr>
            <w:tcW w:w="0" w:type="auto"/>
            <w:tcBorders>
              <w:top w:val="nil"/>
              <w:left w:val="nil"/>
              <w:bottom w:val="single" w:color="auto" w:sz="4" w:space="0"/>
              <w:right w:val="single" w:color="auto" w:sz="4" w:space="0"/>
            </w:tcBorders>
            <w:shd w:val="clear" w:color="000000" w:fill="FFFFFF"/>
            <w:noWrap/>
            <w:vAlign w:val="center"/>
          </w:tcPr>
          <w:p w14:paraId="68725DAA">
            <w:pPr>
              <w:widowControl/>
              <w:jc w:val="righ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c>
          <w:tcPr>
            <w:tcW w:w="0" w:type="auto"/>
            <w:tcBorders>
              <w:top w:val="nil"/>
              <w:left w:val="nil"/>
              <w:bottom w:val="single" w:color="auto" w:sz="4" w:space="0"/>
              <w:right w:val="single" w:color="auto" w:sz="4" w:space="0"/>
            </w:tcBorders>
            <w:shd w:val="clear" w:color="000000" w:fill="FFFFFF"/>
            <w:vAlign w:val="center"/>
          </w:tcPr>
          <w:p w14:paraId="19CA5523">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2DB3C68C">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vAlign w:val="center"/>
          </w:tcPr>
          <w:p w14:paraId="39AD8476">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5.1</w:t>
            </w:r>
          </w:p>
        </w:tc>
        <w:tc>
          <w:tcPr>
            <w:tcW w:w="1961" w:type="dxa"/>
            <w:tcBorders>
              <w:top w:val="nil"/>
              <w:left w:val="nil"/>
              <w:bottom w:val="single" w:color="auto" w:sz="4" w:space="0"/>
              <w:right w:val="single" w:color="auto" w:sz="4" w:space="0"/>
            </w:tcBorders>
            <w:shd w:val="clear" w:color="000000" w:fill="FFFFFF"/>
            <w:vAlign w:val="center"/>
          </w:tcPr>
          <w:p w14:paraId="2AA1EB21">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货物架</w:t>
            </w:r>
          </w:p>
        </w:tc>
        <w:tc>
          <w:tcPr>
            <w:tcW w:w="4996" w:type="dxa"/>
            <w:tcBorders>
              <w:top w:val="nil"/>
              <w:left w:val="nil"/>
              <w:bottom w:val="single" w:color="auto" w:sz="4" w:space="0"/>
              <w:right w:val="single" w:color="auto" w:sz="4" w:space="0"/>
            </w:tcBorders>
            <w:shd w:val="clear" w:color="000000" w:fill="FFFFFF"/>
          </w:tcPr>
          <w:p w14:paraId="052FC6E8">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立柱厚度≧0.8mm，横梁厚度≧0.8mm；</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铝合金材质，焊接工艺；</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载重≧150kg，四层-主架 ；</w:t>
            </w:r>
          </w:p>
        </w:tc>
        <w:tc>
          <w:tcPr>
            <w:tcW w:w="872" w:type="dxa"/>
            <w:tcBorders>
              <w:top w:val="nil"/>
              <w:left w:val="nil"/>
              <w:bottom w:val="single" w:color="auto" w:sz="4" w:space="0"/>
              <w:right w:val="single" w:color="auto" w:sz="4" w:space="0"/>
            </w:tcBorders>
            <w:shd w:val="clear" w:color="000000" w:fill="FFFFFF"/>
            <w:vAlign w:val="center"/>
          </w:tcPr>
          <w:p w14:paraId="155E454F">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个</w:t>
            </w:r>
          </w:p>
        </w:tc>
        <w:tc>
          <w:tcPr>
            <w:tcW w:w="856" w:type="dxa"/>
            <w:tcBorders>
              <w:top w:val="nil"/>
              <w:left w:val="nil"/>
              <w:bottom w:val="single" w:color="auto" w:sz="4" w:space="0"/>
              <w:right w:val="single" w:color="auto" w:sz="4" w:space="0"/>
            </w:tcBorders>
            <w:shd w:val="clear" w:color="000000" w:fill="FFFFFF"/>
            <w:vAlign w:val="center"/>
          </w:tcPr>
          <w:p w14:paraId="0AD2EF32">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8</w:t>
            </w:r>
          </w:p>
        </w:tc>
        <w:tc>
          <w:tcPr>
            <w:tcW w:w="1641" w:type="dxa"/>
            <w:tcBorders>
              <w:top w:val="nil"/>
              <w:left w:val="nil"/>
              <w:bottom w:val="single" w:color="auto" w:sz="4" w:space="0"/>
              <w:right w:val="single" w:color="auto" w:sz="4" w:space="0"/>
            </w:tcBorders>
            <w:shd w:val="clear" w:color="000000" w:fill="FFFFFF"/>
            <w:noWrap/>
            <w:vAlign w:val="center"/>
          </w:tcPr>
          <w:p w14:paraId="0ABF6EFF">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2098F539">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vAlign w:val="center"/>
          </w:tcPr>
          <w:p w14:paraId="4E7FB2AB">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7BA2FDC9">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vAlign w:val="center"/>
          </w:tcPr>
          <w:p w14:paraId="44D9E53B">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5.2</w:t>
            </w:r>
          </w:p>
        </w:tc>
        <w:tc>
          <w:tcPr>
            <w:tcW w:w="1961" w:type="dxa"/>
            <w:tcBorders>
              <w:top w:val="nil"/>
              <w:left w:val="nil"/>
              <w:bottom w:val="single" w:color="auto" w:sz="4" w:space="0"/>
              <w:right w:val="single" w:color="auto" w:sz="4" w:space="0"/>
            </w:tcBorders>
            <w:shd w:val="clear" w:color="000000" w:fill="FFFFFF"/>
            <w:vAlign w:val="center"/>
          </w:tcPr>
          <w:p w14:paraId="52AB0E16">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维修工作台</w:t>
            </w:r>
          </w:p>
        </w:tc>
        <w:tc>
          <w:tcPr>
            <w:tcW w:w="4996" w:type="dxa"/>
            <w:tcBorders>
              <w:top w:val="nil"/>
              <w:left w:val="nil"/>
              <w:bottom w:val="single" w:color="auto" w:sz="4" w:space="0"/>
              <w:right w:val="single" w:color="auto" w:sz="4" w:space="0"/>
            </w:tcBorders>
            <w:shd w:val="clear" w:color="000000" w:fill="FFFFFF"/>
          </w:tcPr>
          <w:p w14:paraId="1895336A">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简易维修工作台（桌面耐高温防腐蚀）及配套桌椅</w:t>
            </w:r>
          </w:p>
        </w:tc>
        <w:tc>
          <w:tcPr>
            <w:tcW w:w="872" w:type="dxa"/>
            <w:tcBorders>
              <w:top w:val="nil"/>
              <w:left w:val="nil"/>
              <w:bottom w:val="single" w:color="auto" w:sz="4" w:space="0"/>
              <w:right w:val="single" w:color="auto" w:sz="4" w:space="0"/>
            </w:tcBorders>
            <w:shd w:val="clear" w:color="000000" w:fill="FFFFFF"/>
            <w:vAlign w:val="center"/>
          </w:tcPr>
          <w:p w14:paraId="7E092EA5">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套</w:t>
            </w:r>
          </w:p>
        </w:tc>
        <w:tc>
          <w:tcPr>
            <w:tcW w:w="856" w:type="dxa"/>
            <w:tcBorders>
              <w:top w:val="nil"/>
              <w:left w:val="nil"/>
              <w:bottom w:val="single" w:color="auto" w:sz="4" w:space="0"/>
              <w:right w:val="single" w:color="auto" w:sz="4" w:space="0"/>
            </w:tcBorders>
            <w:shd w:val="clear" w:color="000000" w:fill="FFFFFF"/>
            <w:vAlign w:val="center"/>
          </w:tcPr>
          <w:p w14:paraId="487A093C">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w:t>
            </w:r>
          </w:p>
        </w:tc>
        <w:tc>
          <w:tcPr>
            <w:tcW w:w="1641" w:type="dxa"/>
            <w:tcBorders>
              <w:top w:val="nil"/>
              <w:left w:val="nil"/>
              <w:bottom w:val="single" w:color="auto" w:sz="4" w:space="0"/>
              <w:right w:val="single" w:color="auto" w:sz="4" w:space="0"/>
            </w:tcBorders>
            <w:shd w:val="clear" w:color="000000" w:fill="FFFFFF"/>
            <w:noWrap/>
            <w:vAlign w:val="center"/>
          </w:tcPr>
          <w:p w14:paraId="33E0A19C">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0FF5AA76">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vAlign w:val="center"/>
          </w:tcPr>
          <w:p w14:paraId="1B242ADD">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779A51E8">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vAlign w:val="center"/>
          </w:tcPr>
          <w:p w14:paraId="2C29415D">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5.3</w:t>
            </w:r>
          </w:p>
        </w:tc>
        <w:tc>
          <w:tcPr>
            <w:tcW w:w="1961" w:type="dxa"/>
            <w:tcBorders>
              <w:top w:val="nil"/>
              <w:left w:val="nil"/>
              <w:bottom w:val="single" w:color="auto" w:sz="4" w:space="0"/>
              <w:right w:val="single" w:color="auto" w:sz="4" w:space="0"/>
            </w:tcBorders>
            <w:shd w:val="clear" w:color="000000" w:fill="FFFFFF"/>
            <w:vAlign w:val="center"/>
          </w:tcPr>
          <w:p w14:paraId="3CD11DC0">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配套维修工具</w:t>
            </w:r>
          </w:p>
        </w:tc>
        <w:tc>
          <w:tcPr>
            <w:tcW w:w="4996" w:type="dxa"/>
            <w:tcBorders>
              <w:top w:val="nil"/>
              <w:left w:val="nil"/>
              <w:bottom w:val="single" w:color="auto" w:sz="4" w:space="0"/>
              <w:right w:val="single" w:color="auto" w:sz="4" w:space="0"/>
            </w:tcBorders>
            <w:shd w:val="clear" w:color="000000" w:fill="FFFFFF"/>
          </w:tcPr>
          <w:p w14:paraId="7E99A1AC">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包含但不限于光纤全自动熔接机、光纤跳线端面检测仪、OTDR多功能综合测试仪、光缆工具套装、网络测试仪（测线器）、6P/8P网线钳、打线刀套装。</w:t>
            </w:r>
          </w:p>
        </w:tc>
        <w:tc>
          <w:tcPr>
            <w:tcW w:w="872" w:type="dxa"/>
            <w:tcBorders>
              <w:top w:val="nil"/>
              <w:left w:val="nil"/>
              <w:bottom w:val="single" w:color="auto" w:sz="4" w:space="0"/>
              <w:right w:val="single" w:color="auto" w:sz="4" w:space="0"/>
            </w:tcBorders>
            <w:shd w:val="clear" w:color="000000" w:fill="FFFFFF"/>
            <w:vAlign w:val="center"/>
          </w:tcPr>
          <w:p w14:paraId="6ED0CAC2">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套</w:t>
            </w:r>
          </w:p>
        </w:tc>
        <w:tc>
          <w:tcPr>
            <w:tcW w:w="856" w:type="dxa"/>
            <w:tcBorders>
              <w:top w:val="nil"/>
              <w:left w:val="nil"/>
              <w:bottom w:val="single" w:color="auto" w:sz="4" w:space="0"/>
              <w:right w:val="single" w:color="auto" w:sz="4" w:space="0"/>
            </w:tcBorders>
            <w:shd w:val="clear" w:color="000000" w:fill="FFFFFF"/>
            <w:vAlign w:val="center"/>
          </w:tcPr>
          <w:p w14:paraId="28FE7953">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w:t>
            </w:r>
          </w:p>
        </w:tc>
        <w:tc>
          <w:tcPr>
            <w:tcW w:w="1641" w:type="dxa"/>
            <w:tcBorders>
              <w:top w:val="nil"/>
              <w:left w:val="nil"/>
              <w:bottom w:val="single" w:color="auto" w:sz="4" w:space="0"/>
              <w:right w:val="single" w:color="auto" w:sz="4" w:space="0"/>
            </w:tcBorders>
            <w:shd w:val="clear" w:color="000000" w:fill="FFFFFF"/>
            <w:noWrap/>
            <w:vAlign w:val="center"/>
          </w:tcPr>
          <w:p w14:paraId="5FBBC94F">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54645FF9">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vAlign w:val="center"/>
          </w:tcPr>
          <w:p w14:paraId="388EDFA4">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6BF01E12">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noWrap/>
            <w:vAlign w:val="center"/>
          </w:tcPr>
          <w:p w14:paraId="5251DA1A">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（六）</w:t>
            </w:r>
          </w:p>
        </w:tc>
        <w:tc>
          <w:tcPr>
            <w:tcW w:w="1961" w:type="dxa"/>
            <w:tcBorders>
              <w:top w:val="nil"/>
              <w:left w:val="nil"/>
              <w:bottom w:val="single" w:color="auto" w:sz="4" w:space="0"/>
              <w:right w:val="single" w:color="auto" w:sz="4" w:space="0"/>
            </w:tcBorders>
            <w:shd w:val="clear" w:color="000000" w:fill="FFFFFF"/>
            <w:noWrap/>
            <w:vAlign w:val="center"/>
          </w:tcPr>
          <w:p w14:paraId="4F06485B">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时钟系统</w:t>
            </w:r>
          </w:p>
        </w:tc>
        <w:tc>
          <w:tcPr>
            <w:tcW w:w="4996" w:type="dxa"/>
            <w:tcBorders>
              <w:top w:val="nil"/>
              <w:left w:val="nil"/>
              <w:bottom w:val="single" w:color="auto" w:sz="4" w:space="0"/>
              <w:right w:val="single" w:color="auto" w:sz="4" w:space="0"/>
            </w:tcBorders>
            <w:shd w:val="clear" w:color="000000" w:fill="FFFFFF"/>
          </w:tcPr>
          <w:p w14:paraId="46AA51F2">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　</w:t>
            </w:r>
          </w:p>
        </w:tc>
        <w:tc>
          <w:tcPr>
            <w:tcW w:w="872" w:type="dxa"/>
            <w:tcBorders>
              <w:top w:val="nil"/>
              <w:left w:val="nil"/>
              <w:bottom w:val="single" w:color="auto" w:sz="4" w:space="0"/>
              <w:right w:val="single" w:color="auto" w:sz="4" w:space="0"/>
            </w:tcBorders>
            <w:shd w:val="clear" w:color="000000" w:fill="FFFFFF"/>
            <w:vAlign w:val="center"/>
          </w:tcPr>
          <w:p w14:paraId="642A90D8">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c>
          <w:tcPr>
            <w:tcW w:w="856" w:type="dxa"/>
            <w:tcBorders>
              <w:top w:val="nil"/>
              <w:left w:val="nil"/>
              <w:bottom w:val="single" w:color="auto" w:sz="4" w:space="0"/>
              <w:right w:val="single" w:color="auto" w:sz="4" w:space="0"/>
            </w:tcBorders>
            <w:shd w:val="clear" w:color="000000" w:fill="FFFFFF"/>
            <w:vAlign w:val="center"/>
          </w:tcPr>
          <w:p w14:paraId="2EC4B45C">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c>
          <w:tcPr>
            <w:tcW w:w="1641" w:type="dxa"/>
            <w:tcBorders>
              <w:top w:val="nil"/>
              <w:left w:val="nil"/>
              <w:bottom w:val="single" w:color="auto" w:sz="4" w:space="0"/>
              <w:right w:val="single" w:color="auto" w:sz="4" w:space="0"/>
            </w:tcBorders>
            <w:shd w:val="clear" w:color="000000" w:fill="FFFFFF"/>
            <w:noWrap/>
            <w:vAlign w:val="center"/>
          </w:tcPr>
          <w:p w14:paraId="5E462876">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1E95525A">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vAlign w:val="center"/>
          </w:tcPr>
          <w:p w14:paraId="66C5AB0E">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30CB80C9">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vAlign w:val="center"/>
          </w:tcPr>
          <w:p w14:paraId="14283C41">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6.1</w:t>
            </w:r>
          </w:p>
        </w:tc>
        <w:tc>
          <w:tcPr>
            <w:tcW w:w="1961" w:type="dxa"/>
            <w:tcBorders>
              <w:top w:val="nil"/>
              <w:left w:val="nil"/>
              <w:bottom w:val="single" w:color="auto" w:sz="4" w:space="0"/>
              <w:right w:val="single" w:color="auto" w:sz="4" w:space="0"/>
            </w:tcBorders>
            <w:shd w:val="clear" w:color="000000" w:fill="FFFFFF"/>
            <w:vAlign w:val="center"/>
          </w:tcPr>
          <w:p w14:paraId="3B4DB010">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子钟（正计时/倒计时/区间）</w:t>
            </w:r>
          </w:p>
        </w:tc>
        <w:tc>
          <w:tcPr>
            <w:tcW w:w="4996" w:type="dxa"/>
            <w:tcBorders>
              <w:top w:val="nil"/>
              <w:left w:val="nil"/>
              <w:bottom w:val="single" w:color="auto" w:sz="4" w:space="0"/>
              <w:right w:val="single" w:color="auto" w:sz="4" w:space="0"/>
            </w:tcBorders>
            <w:shd w:val="clear" w:color="000000" w:fill="FFFFFF"/>
          </w:tcPr>
          <w:p w14:paraId="36C9B59E">
            <w:pPr>
              <w:widowControl/>
              <w:jc w:val="left"/>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8寸数字时钟,可与外信号同步，无信号时靠内晶体维持自运行</w:t>
            </w:r>
            <w:r>
              <w:rPr>
                <w:rFonts w:hint="eastAsia" w:ascii="宋体" w:hAnsi="宋体" w:eastAsia="宋体" w:cs="宋体"/>
                <w:color w:val="000000"/>
                <w:kern w:val="0"/>
                <w:sz w:val="24"/>
                <w:szCs w:val="24"/>
                <w14:ligatures w14:val="none"/>
              </w:rPr>
              <w:br w:type="textWrapping"/>
            </w:r>
            <w:r>
              <w:rPr>
                <w:rFonts w:hint="eastAsia" w:ascii="宋体" w:hAnsi="宋体" w:eastAsia="宋体" w:cs="宋体"/>
                <w:color w:val="000000"/>
                <w:kern w:val="0"/>
                <w:sz w:val="24"/>
                <w:szCs w:val="24"/>
                <w14:ligatures w14:val="none"/>
              </w:rPr>
              <w:t>数显式子钟采用全静态显示、无闪烁。具有高性能复位电路，抗死机。钟面为抗老化防眩光板</w:t>
            </w:r>
          </w:p>
        </w:tc>
        <w:tc>
          <w:tcPr>
            <w:tcW w:w="872" w:type="dxa"/>
            <w:tcBorders>
              <w:top w:val="nil"/>
              <w:left w:val="nil"/>
              <w:bottom w:val="single" w:color="auto" w:sz="4" w:space="0"/>
              <w:right w:val="single" w:color="auto" w:sz="4" w:space="0"/>
            </w:tcBorders>
            <w:shd w:val="clear" w:color="000000" w:fill="FFFFFF"/>
            <w:vAlign w:val="center"/>
          </w:tcPr>
          <w:p w14:paraId="577110A2">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1</w:t>
            </w:r>
          </w:p>
        </w:tc>
        <w:tc>
          <w:tcPr>
            <w:tcW w:w="856" w:type="dxa"/>
            <w:tcBorders>
              <w:top w:val="nil"/>
              <w:left w:val="nil"/>
              <w:bottom w:val="single" w:color="auto" w:sz="4" w:space="0"/>
              <w:right w:val="single" w:color="auto" w:sz="4" w:space="0"/>
            </w:tcBorders>
            <w:shd w:val="clear" w:color="000000" w:fill="FFFFFF"/>
            <w:vAlign w:val="center"/>
          </w:tcPr>
          <w:p w14:paraId="036832F3">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台</w:t>
            </w:r>
          </w:p>
        </w:tc>
        <w:tc>
          <w:tcPr>
            <w:tcW w:w="1641" w:type="dxa"/>
            <w:tcBorders>
              <w:top w:val="nil"/>
              <w:left w:val="nil"/>
              <w:bottom w:val="single" w:color="auto" w:sz="4" w:space="0"/>
              <w:right w:val="single" w:color="auto" w:sz="4" w:space="0"/>
            </w:tcBorders>
            <w:shd w:val="clear" w:color="000000" w:fill="FFFFFF"/>
            <w:noWrap/>
            <w:vAlign w:val="center"/>
          </w:tcPr>
          <w:p w14:paraId="706BDB94">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noWrap/>
            <w:vAlign w:val="center"/>
          </w:tcPr>
          <w:p w14:paraId="42326B84">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000000" w:fill="FFFFFF"/>
            <w:vAlign w:val="center"/>
          </w:tcPr>
          <w:p w14:paraId="252ABE8C">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　</w:t>
            </w:r>
          </w:p>
        </w:tc>
      </w:tr>
      <w:tr w14:paraId="29A68D08">
        <w:tblPrEx>
          <w:tblCellMar>
            <w:top w:w="0" w:type="dxa"/>
            <w:left w:w="108" w:type="dxa"/>
            <w:bottom w:w="0" w:type="dxa"/>
            <w:right w:w="108" w:type="dxa"/>
          </w:tblCellMar>
        </w:tblPrEx>
        <w:trPr>
          <w:trHeight w:val="567" w:hRule="atLeast"/>
        </w:trPr>
        <w:tc>
          <w:tcPr>
            <w:tcW w:w="1091" w:type="dxa"/>
            <w:tcBorders>
              <w:top w:val="nil"/>
              <w:left w:val="single" w:color="auto" w:sz="4" w:space="0"/>
              <w:bottom w:val="single" w:color="auto" w:sz="4" w:space="0"/>
              <w:right w:val="single" w:color="auto" w:sz="4" w:space="0"/>
            </w:tcBorders>
            <w:shd w:val="clear" w:color="000000" w:fill="FFFFFF"/>
            <w:vAlign w:val="center"/>
          </w:tcPr>
          <w:p w14:paraId="30EAA722">
            <w:pPr>
              <w:widowControl/>
              <w:jc w:val="center"/>
              <w:rPr>
                <w:rFonts w:hint="eastAsia" w:ascii="宋体" w:hAnsi="宋体" w:eastAsia="宋体" w:cs="宋体"/>
                <w:color w:val="000000"/>
                <w:kern w:val="0"/>
                <w:sz w:val="24"/>
                <w:szCs w:val="24"/>
                <w14:ligatures w14:val="none"/>
              </w:rPr>
            </w:pPr>
            <w:r>
              <w:rPr>
                <w:rFonts w:hint="eastAsia" w:ascii="宋体" w:hAnsi="宋体" w:eastAsia="宋体" w:cs="宋体"/>
                <w:color w:val="000000"/>
                <w:kern w:val="0"/>
                <w:sz w:val="24"/>
                <w:szCs w:val="24"/>
                <w14:ligatures w14:val="none"/>
              </w:rPr>
              <w:t>合计</w:t>
            </w:r>
          </w:p>
        </w:tc>
        <w:tc>
          <w:tcPr>
            <w:tcW w:w="1961" w:type="dxa"/>
            <w:tcBorders>
              <w:top w:val="nil"/>
              <w:left w:val="nil"/>
              <w:bottom w:val="single" w:color="auto" w:sz="4" w:space="0"/>
              <w:right w:val="single" w:color="auto" w:sz="4" w:space="0"/>
            </w:tcBorders>
            <w:shd w:val="clear" w:color="auto" w:fill="auto"/>
            <w:noWrap/>
            <w:vAlign w:val="center"/>
          </w:tcPr>
          <w:p w14:paraId="4CBE19C5">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　</w:t>
            </w:r>
          </w:p>
        </w:tc>
        <w:tc>
          <w:tcPr>
            <w:tcW w:w="4996" w:type="dxa"/>
            <w:tcBorders>
              <w:top w:val="nil"/>
              <w:left w:val="nil"/>
              <w:bottom w:val="single" w:color="auto" w:sz="4" w:space="0"/>
              <w:right w:val="single" w:color="auto" w:sz="4" w:space="0"/>
            </w:tcBorders>
            <w:shd w:val="clear" w:color="auto" w:fill="auto"/>
            <w:vAlign w:val="center"/>
          </w:tcPr>
          <w:p w14:paraId="625F59D2">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　</w:t>
            </w:r>
          </w:p>
        </w:tc>
        <w:tc>
          <w:tcPr>
            <w:tcW w:w="872" w:type="dxa"/>
            <w:tcBorders>
              <w:top w:val="nil"/>
              <w:left w:val="nil"/>
              <w:bottom w:val="single" w:color="auto" w:sz="4" w:space="0"/>
              <w:right w:val="single" w:color="auto" w:sz="4" w:space="0"/>
            </w:tcBorders>
            <w:shd w:val="clear" w:color="auto" w:fill="auto"/>
            <w:noWrap/>
            <w:vAlign w:val="center"/>
          </w:tcPr>
          <w:p w14:paraId="7583BF4E">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　</w:t>
            </w:r>
          </w:p>
        </w:tc>
        <w:tc>
          <w:tcPr>
            <w:tcW w:w="856" w:type="dxa"/>
            <w:tcBorders>
              <w:top w:val="nil"/>
              <w:left w:val="nil"/>
              <w:bottom w:val="single" w:color="auto" w:sz="4" w:space="0"/>
              <w:right w:val="single" w:color="auto" w:sz="4" w:space="0"/>
            </w:tcBorders>
            <w:shd w:val="clear" w:color="auto" w:fill="auto"/>
            <w:noWrap/>
            <w:vAlign w:val="center"/>
          </w:tcPr>
          <w:p w14:paraId="47E13F64">
            <w:pPr>
              <w:widowControl/>
              <w:jc w:val="center"/>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　</w:t>
            </w:r>
          </w:p>
        </w:tc>
        <w:tc>
          <w:tcPr>
            <w:tcW w:w="1641" w:type="dxa"/>
            <w:tcBorders>
              <w:top w:val="nil"/>
              <w:left w:val="nil"/>
              <w:bottom w:val="single" w:color="auto" w:sz="4" w:space="0"/>
              <w:right w:val="single" w:color="auto" w:sz="4" w:space="0"/>
            </w:tcBorders>
            <w:shd w:val="clear" w:color="auto" w:fill="auto"/>
            <w:noWrap/>
            <w:vAlign w:val="center"/>
          </w:tcPr>
          <w:p w14:paraId="157A4963">
            <w:pPr>
              <w:widowControl/>
              <w:jc w:val="left"/>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　</w:t>
            </w:r>
          </w:p>
        </w:tc>
        <w:tc>
          <w:tcPr>
            <w:tcW w:w="0" w:type="auto"/>
            <w:tcBorders>
              <w:top w:val="nil"/>
              <w:left w:val="nil"/>
              <w:bottom w:val="single" w:color="auto" w:sz="4" w:space="0"/>
              <w:right w:val="single" w:color="auto" w:sz="4" w:space="0"/>
            </w:tcBorders>
            <w:shd w:val="clear" w:color="000000" w:fill="FFFFFF"/>
            <w:noWrap/>
            <w:vAlign w:val="center"/>
          </w:tcPr>
          <w:p w14:paraId="6F4BE266">
            <w:pPr>
              <w:widowControl/>
              <w:jc w:val="right"/>
              <w:rPr>
                <w:rFonts w:hint="eastAsia" w:ascii="宋体" w:hAnsi="宋体" w:eastAsia="宋体" w:cs="宋体"/>
                <w:color w:val="000000"/>
                <w:kern w:val="0"/>
                <w:sz w:val="24"/>
                <w:szCs w:val="24"/>
                <w14:ligatures w14:val="none"/>
              </w:rPr>
            </w:pPr>
          </w:p>
        </w:tc>
        <w:tc>
          <w:tcPr>
            <w:tcW w:w="0" w:type="auto"/>
            <w:tcBorders>
              <w:top w:val="nil"/>
              <w:left w:val="nil"/>
              <w:bottom w:val="single" w:color="auto" w:sz="4" w:space="0"/>
              <w:right w:val="single" w:color="auto" w:sz="4" w:space="0"/>
            </w:tcBorders>
            <w:shd w:val="clear" w:color="auto" w:fill="auto"/>
            <w:noWrap/>
            <w:vAlign w:val="center"/>
          </w:tcPr>
          <w:p w14:paraId="6AE637B9">
            <w:pPr>
              <w:widowControl/>
              <w:jc w:val="left"/>
              <w:rPr>
                <w:rFonts w:hint="eastAsia" w:ascii="宋体" w:hAnsi="宋体" w:eastAsia="宋体" w:cs="宋体"/>
                <w:kern w:val="0"/>
                <w:sz w:val="24"/>
                <w:szCs w:val="24"/>
                <w14:ligatures w14:val="none"/>
              </w:rPr>
            </w:pPr>
          </w:p>
        </w:tc>
      </w:tr>
    </w:tbl>
    <w:p w14:paraId="404290B9">
      <w:pPr>
        <w:pBdr>
          <w:top w:val="none" w:color="auto" w:sz="0" w:space="0"/>
          <w:left w:val="none" w:color="auto" w:sz="0" w:space="0"/>
          <w:bottom w:val="none" w:color="auto" w:sz="0" w:space="0"/>
          <w:right w:val="none" w:color="auto" w:sz="0" w:space="0"/>
          <w:between w:val="none" w:color="auto" w:sz="0" w:space="0"/>
        </w:pBdr>
        <w:snapToGrid w:val="0"/>
        <w:spacing w:line="400" w:lineRule="exact"/>
        <w:rPr>
          <w:rFonts w:hint="eastAsia" w:asciiTheme="minorEastAsia" w:hAnsiTheme="minorEastAsia" w:eastAsiaTheme="minorEastAsia" w:cstheme="minorEastAsia"/>
          <w:b/>
          <w:bCs/>
          <w:color w:val="auto"/>
          <w:szCs w:val="21"/>
          <w:lang w:eastAsia="zh-CN"/>
        </w:rPr>
      </w:pPr>
    </w:p>
    <w:p w14:paraId="4979A3F6">
      <w:pPr>
        <w:pBdr>
          <w:top w:val="none" w:color="auto" w:sz="0" w:space="0"/>
          <w:left w:val="none" w:color="auto" w:sz="0" w:space="0"/>
          <w:bottom w:val="none" w:color="auto" w:sz="0" w:space="0"/>
          <w:right w:val="none" w:color="auto" w:sz="0" w:space="0"/>
          <w:between w:val="none" w:color="auto" w:sz="0" w:space="0"/>
        </w:pBdr>
        <w:snapToGrid w:val="0"/>
        <w:spacing w:line="400" w:lineRule="exact"/>
        <w:outlineLvl w:val="9"/>
        <w:rPr>
          <w:rFonts w:hint="eastAsia" w:asciiTheme="minorEastAsia" w:hAnsiTheme="minorEastAsia" w:eastAsiaTheme="minorEastAsia" w:cstheme="minorEastAsia"/>
          <w:b/>
          <w:bCs/>
          <w:color w:val="auto"/>
          <w:sz w:val="18"/>
          <w:szCs w:val="18"/>
          <w:lang w:eastAsia="zh-CN"/>
        </w:rPr>
      </w:pPr>
      <w:r>
        <w:rPr>
          <w:rFonts w:hint="eastAsia" w:asciiTheme="minorEastAsia" w:hAnsiTheme="minorEastAsia" w:eastAsiaTheme="minorEastAsia" w:cstheme="minorEastAsia"/>
          <w:b/>
          <w:bCs/>
          <w:color w:val="auto"/>
          <w:sz w:val="18"/>
          <w:szCs w:val="18"/>
          <w:lang w:eastAsia="zh-CN"/>
        </w:rPr>
        <w:t>注：1)质保期：三年（如采购参数另有约定的从其约定）；</w:t>
      </w:r>
    </w:p>
    <w:p w14:paraId="5A9402A9">
      <w:pPr>
        <w:pBdr>
          <w:top w:val="none" w:color="auto" w:sz="0" w:space="0"/>
          <w:left w:val="none" w:color="auto" w:sz="0" w:space="0"/>
          <w:bottom w:val="none" w:color="auto" w:sz="0" w:space="0"/>
          <w:right w:val="none" w:color="auto" w:sz="0" w:space="0"/>
          <w:between w:val="none" w:color="auto" w:sz="0" w:space="0"/>
        </w:pBdr>
        <w:snapToGrid w:val="0"/>
        <w:spacing w:line="400" w:lineRule="exact"/>
        <w:ind w:firstLine="361" w:firstLineChars="200"/>
        <w:rPr>
          <w:rFonts w:hint="eastAsia" w:asciiTheme="minorEastAsia" w:hAnsiTheme="minorEastAsia" w:eastAsiaTheme="minorEastAsia" w:cstheme="minorEastAsia"/>
          <w:b/>
          <w:bCs/>
          <w:color w:val="auto"/>
          <w:sz w:val="18"/>
          <w:szCs w:val="18"/>
          <w:lang w:eastAsia="zh-CN"/>
        </w:rPr>
      </w:pPr>
      <w:r>
        <w:rPr>
          <w:rFonts w:hint="eastAsia" w:asciiTheme="minorEastAsia" w:hAnsiTheme="minorEastAsia" w:eastAsiaTheme="minorEastAsia" w:cstheme="minorEastAsia"/>
          <w:b/>
          <w:bCs/>
          <w:color w:val="auto"/>
          <w:sz w:val="18"/>
          <w:szCs w:val="18"/>
          <w:lang w:eastAsia="zh-CN"/>
        </w:rPr>
        <w:t>2</w:t>
      </w:r>
      <w:bookmarkStart w:id="91" w:name="_Toc340225294"/>
      <w:bookmarkStart w:id="92" w:name="_Toc267320052"/>
      <w:bookmarkStart w:id="93" w:name="OLE_LINK4"/>
      <w:r>
        <w:rPr>
          <w:rFonts w:hint="eastAsia" w:asciiTheme="minorEastAsia" w:hAnsiTheme="minorEastAsia" w:eastAsiaTheme="minorEastAsia" w:cstheme="minorEastAsia"/>
          <w:b/>
          <w:bCs/>
          <w:color w:val="auto"/>
          <w:sz w:val="18"/>
          <w:szCs w:val="18"/>
          <w:lang w:eastAsia="zh-CN"/>
        </w:rPr>
        <w:t>）参数中提及的参考图片、标准、工艺、尺寸、材料及型号时仅起说明作用，并没有任何限制性。</w:t>
      </w:r>
    </w:p>
    <w:p w14:paraId="76BF87E5">
      <w:pPr>
        <w:keepNext w:val="0"/>
        <w:keepLines w:val="0"/>
        <w:widowControl/>
        <w:suppressLineNumbers w:val="0"/>
        <w:ind w:firstLine="361" w:firstLineChars="200"/>
        <w:jc w:val="left"/>
        <w:rPr>
          <w:rFonts w:hint="eastAsia" w:asciiTheme="minorEastAsia" w:hAnsiTheme="minorEastAsia" w:eastAsiaTheme="minorEastAsia" w:cstheme="minorEastAsia"/>
          <w:b/>
          <w:bCs/>
          <w:color w:val="auto"/>
          <w:sz w:val="18"/>
          <w:szCs w:val="18"/>
          <w:lang w:eastAsia="zh-CN"/>
        </w:rPr>
      </w:pPr>
      <w:r>
        <w:rPr>
          <w:rFonts w:hint="eastAsia" w:asciiTheme="minorEastAsia" w:hAnsiTheme="minorEastAsia" w:eastAsiaTheme="minorEastAsia" w:cstheme="minorEastAsia"/>
          <w:b/>
          <w:bCs/>
          <w:color w:val="auto"/>
          <w:sz w:val="18"/>
          <w:szCs w:val="18"/>
          <w:lang w:val="en-US" w:eastAsia="zh-CN"/>
        </w:rPr>
        <w:t>3</w:t>
      </w:r>
      <w:r>
        <w:rPr>
          <w:rFonts w:hint="eastAsia" w:asciiTheme="minorEastAsia" w:hAnsiTheme="minorEastAsia" w:eastAsiaTheme="minorEastAsia" w:cstheme="minorEastAsia"/>
          <w:b/>
          <w:bCs/>
          <w:color w:val="auto"/>
          <w:sz w:val="18"/>
          <w:szCs w:val="18"/>
          <w:lang w:eastAsia="zh-CN"/>
        </w:rPr>
        <w:t>）参数中“</w:t>
      </w:r>
      <w:r>
        <w:rPr>
          <w:rFonts w:ascii="仿宋_GB2312" w:hAnsi="宋体" w:eastAsia="仿宋_GB2312" w:cs="仿宋_GB2312"/>
          <w:color w:val="000000"/>
          <w:kern w:val="0"/>
          <w:sz w:val="18"/>
          <w:szCs w:val="18"/>
          <w:lang w:val="en-US" w:eastAsia="zh-CN" w:bidi="ar"/>
        </w:rPr>
        <w:t>★</w:t>
      </w:r>
      <w:r>
        <w:rPr>
          <w:rFonts w:hint="eastAsia" w:asciiTheme="minorEastAsia" w:hAnsiTheme="minorEastAsia" w:eastAsiaTheme="minorEastAsia" w:cstheme="minorEastAsia"/>
          <w:b/>
          <w:bCs/>
          <w:color w:val="auto"/>
          <w:sz w:val="18"/>
          <w:szCs w:val="18"/>
          <w:lang w:eastAsia="zh-CN"/>
        </w:rPr>
        <w:t>”为核心产品，核心产品参数不允许偏离，对其中任何一条的负偏离，在评审时将被视为无效响应。</w:t>
      </w:r>
    </w:p>
    <w:p w14:paraId="3E89FEF5">
      <w:pPr>
        <w:pBdr>
          <w:top w:val="none" w:color="auto" w:sz="0" w:space="0"/>
          <w:left w:val="none" w:color="auto" w:sz="0" w:space="0"/>
          <w:bottom w:val="none" w:color="auto" w:sz="0" w:space="0"/>
          <w:right w:val="none" w:color="auto" w:sz="0" w:space="0"/>
          <w:between w:val="none" w:color="auto" w:sz="0" w:space="0"/>
        </w:pBdr>
        <w:spacing w:line="240" w:lineRule="auto"/>
        <w:jc w:val="center"/>
        <w:outlineLvl w:val="9"/>
        <w:rPr>
          <w:rFonts w:hint="eastAsia" w:asciiTheme="minorEastAsia" w:hAnsiTheme="minorEastAsia" w:eastAsiaTheme="minorEastAsia" w:cstheme="minorEastAsia"/>
          <w:b/>
          <w:bCs/>
          <w:color w:val="auto"/>
          <w:sz w:val="20"/>
          <w:szCs w:val="20"/>
          <w:lang w:eastAsia="zh-CN"/>
        </w:rPr>
      </w:pPr>
    </w:p>
    <w:p w14:paraId="17B25B36">
      <w:pPr>
        <w:pBdr>
          <w:top w:val="none" w:color="auto" w:sz="0" w:space="0"/>
          <w:left w:val="none" w:color="auto" w:sz="0" w:space="0"/>
          <w:bottom w:val="none" w:color="auto" w:sz="0" w:space="0"/>
          <w:right w:val="none" w:color="auto" w:sz="0" w:space="0"/>
          <w:between w:val="none" w:color="auto" w:sz="0" w:space="0"/>
        </w:pBdr>
        <w:spacing w:line="240" w:lineRule="auto"/>
        <w:jc w:val="center"/>
        <w:outlineLvl w:val="9"/>
        <w:rPr>
          <w:rFonts w:hint="eastAsia" w:asciiTheme="minorEastAsia" w:hAnsiTheme="minorEastAsia" w:eastAsiaTheme="minorEastAsia" w:cstheme="minorEastAsia"/>
          <w:b/>
          <w:bCs/>
          <w:color w:val="auto"/>
          <w:sz w:val="20"/>
          <w:szCs w:val="20"/>
          <w:lang w:eastAsia="zh-CN"/>
        </w:rPr>
      </w:pPr>
    </w:p>
    <w:p w14:paraId="05449EB4">
      <w:pPr>
        <w:pBdr>
          <w:top w:val="none" w:color="auto" w:sz="0" w:space="0"/>
          <w:left w:val="none" w:color="auto" w:sz="0" w:space="0"/>
          <w:bottom w:val="none" w:color="auto" w:sz="0" w:space="0"/>
          <w:right w:val="none" w:color="auto" w:sz="0" w:space="0"/>
          <w:between w:val="none" w:color="auto" w:sz="0" w:space="0"/>
        </w:pBdr>
        <w:spacing w:line="240" w:lineRule="auto"/>
        <w:jc w:val="center"/>
        <w:outlineLvl w:val="9"/>
        <w:rPr>
          <w:rFonts w:hint="eastAsia" w:asciiTheme="minorEastAsia" w:hAnsiTheme="minorEastAsia" w:eastAsiaTheme="minorEastAsia" w:cstheme="minorEastAsia"/>
          <w:b/>
          <w:bCs/>
          <w:color w:val="auto"/>
          <w:sz w:val="20"/>
          <w:szCs w:val="20"/>
          <w:lang w:eastAsia="zh-CN"/>
        </w:rPr>
      </w:pPr>
    </w:p>
    <w:p w14:paraId="77441EF5">
      <w:pPr>
        <w:pBdr>
          <w:top w:val="none" w:color="auto" w:sz="0" w:space="0"/>
          <w:left w:val="none" w:color="auto" w:sz="0" w:space="0"/>
          <w:bottom w:val="none" w:color="auto" w:sz="0" w:space="0"/>
          <w:right w:val="none" w:color="auto" w:sz="0" w:space="0"/>
          <w:between w:val="none" w:color="auto" w:sz="0" w:space="0"/>
        </w:pBdr>
        <w:spacing w:line="240" w:lineRule="auto"/>
        <w:jc w:val="center"/>
        <w:outlineLvl w:val="9"/>
        <w:rPr>
          <w:rFonts w:hint="eastAsia" w:asciiTheme="minorEastAsia" w:hAnsiTheme="minorEastAsia" w:eastAsiaTheme="minorEastAsia" w:cstheme="minorEastAsia"/>
          <w:b/>
          <w:bCs/>
          <w:color w:val="auto"/>
          <w:sz w:val="20"/>
          <w:szCs w:val="20"/>
          <w:lang w:eastAsia="zh-CN"/>
        </w:rPr>
      </w:pPr>
    </w:p>
    <w:p w14:paraId="66E044CE">
      <w:pPr>
        <w:pBdr>
          <w:top w:val="none" w:color="auto" w:sz="0" w:space="0"/>
          <w:left w:val="none" w:color="auto" w:sz="0" w:space="0"/>
          <w:bottom w:val="none" w:color="auto" w:sz="0" w:space="0"/>
          <w:right w:val="none" w:color="auto" w:sz="0" w:space="0"/>
          <w:between w:val="none" w:color="auto" w:sz="0" w:space="0"/>
        </w:pBdr>
        <w:spacing w:line="240" w:lineRule="auto"/>
        <w:jc w:val="center"/>
        <w:outlineLvl w:val="9"/>
        <w:rPr>
          <w:rFonts w:hint="eastAsia" w:asciiTheme="minorEastAsia" w:hAnsiTheme="minorEastAsia" w:eastAsiaTheme="minorEastAsia" w:cstheme="minorEastAsia"/>
          <w:b/>
          <w:bCs/>
          <w:color w:val="auto"/>
          <w:sz w:val="20"/>
          <w:szCs w:val="20"/>
          <w:lang w:eastAsia="zh-CN"/>
        </w:rPr>
      </w:pPr>
    </w:p>
    <w:p w14:paraId="6C23B5FA">
      <w:pPr>
        <w:pBdr>
          <w:top w:val="none" w:color="auto" w:sz="0" w:space="0"/>
          <w:left w:val="none" w:color="auto" w:sz="0" w:space="0"/>
          <w:bottom w:val="none" w:color="auto" w:sz="0" w:space="0"/>
          <w:right w:val="none" w:color="auto" w:sz="0" w:space="0"/>
          <w:between w:val="none" w:color="auto" w:sz="0" w:space="0"/>
        </w:pBdr>
        <w:spacing w:line="240" w:lineRule="auto"/>
        <w:jc w:val="center"/>
        <w:outlineLvl w:val="9"/>
        <w:rPr>
          <w:rFonts w:hint="eastAsia" w:asciiTheme="minorEastAsia" w:hAnsiTheme="minorEastAsia" w:eastAsiaTheme="minorEastAsia" w:cstheme="minorEastAsia"/>
          <w:b/>
          <w:bCs/>
          <w:color w:val="auto"/>
          <w:sz w:val="20"/>
          <w:szCs w:val="20"/>
          <w:lang w:eastAsia="zh-CN"/>
        </w:rPr>
      </w:pPr>
    </w:p>
    <w:p w14:paraId="378224AA">
      <w:pPr>
        <w:pBdr>
          <w:top w:val="none" w:color="auto" w:sz="0" w:space="0"/>
          <w:left w:val="none" w:color="auto" w:sz="0" w:space="0"/>
          <w:bottom w:val="none" w:color="auto" w:sz="0" w:space="0"/>
          <w:right w:val="none" w:color="auto" w:sz="0" w:space="0"/>
          <w:between w:val="none" w:color="auto" w:sz="0" w:space="0"/>
        </w:pBdr>
        <w:spacing w:line="240" w:lineRule="auto"/>
        <w:jc w:val="center"/>
        <w:outlineLvl w:val="9"/>
        <w:rPr>
          <w:rFonts w:hint="eastAsia" w:asciiTheme="minorEastAsia" w:hAnsiTheme="minorEastAsia" w:eastAsiaTheme="minorEastAsia" w:cstheme="minorEastAsia"/>
          <w:b/>
          <w:bCs/>
          <w:color w:val="auto"/>
          <w:sz w:val="20"/>
          <w:szCs w:val="20"/>
          <w:lang w:eastAsia="zh-CN"/>
        </w:rPr>
      </w:pPr>
    </w:p>
    <w:p w14:paraId="1A296969">
      <w:pPr>
        <w:pBdr>
          <w:top w:val="none" w:color="auto" w:sz="0" w:space="0"/>
          <w:left w:val="none" w:color="auto" w:sz="0" w:space="0"/>
          <w:bottom w:val="none" w:color="auto" w:sz="0" w:space="0"/>
          <w:right w:val="none" w:color="auto" w:sz="0" w:space="0"/>
          <w:between w:val="none" w:color="auto" w:sz="0" w:space="0"/>
        </w:pBdr>
        <w:spacing w:line="240" w:lineRule="auto"/>
        <w:jc w:val="center"/>
        <w:outlineLvl w:val="1"/>
        <w:rPr>
          <w:rFonts w:hint="eastAsia" w:asciiTheme="minorEastAsia" w:hAnsiTheme="minorEastAsia" w:eastAsiaTheme="minorEastAsia" w:cstheme="minorEastAsia"/>
          <w:b/>
          <w:bCs/>
          <w:color w:val="auto"/>
          <w:sz w:val="20"/>
          <w:szCs w:val="20"/>
          <w:lang w:eastAsia="zh-CN"/>
        </w:rPr>
        <w:sectPr>
          <w:pgSz w:w="16838" w:h="11906" w:orient="landscape"/>
          <w:pgMar w:top="1800" w:right="1440" w:bottom="1800" w:left="1440" w:header="851" w:footer="992" w:gutter="0"/>
          <w:cols w:space="425" w:num="1"/>
          <w:docGrid w:type="lines" w:linePitch="312" w:charSpace="0"/>
        </w:sectPr>
      </w:pPr>
    </w:p>
    <w:p w14:paraId="23870EE4">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1"/>
        <w:rPr>
          <w:rFonts w:hint="default"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eastAsia="zh-CN"/>
        </w:rPr>
        <w:t>二、商务要求</w:t>
      </w:r>
    </w:p>
    <w:p w14:paraId="0679A1A4">
      <w:pPr>
        <w:keepNext w:val="0"/>
        <w:keepLines w:val="0"/>
        <w:pageBreakBefore w:val="0"/>
        <w:widowControl w:val="0"/>
        <w:kinsoku/>
        <w:wordWrap/>
        <w:overflowPunct/>
        <w:topLinePunct w:val="0"/>
        <w:autoSpaceDE/>
        <w:autoSpaceDN/>
        <w:bidi w:val="0"/>
        <w:adjustRightInd/>
        <w:snapToGrid w:val="0"/>
        <w:spacing w:line="312" w:lineRule="auto"/>
        <w:ind w:firstLine="480" w:firstLineChars="200"/>
        <w:textAlignment w:val="auto"/>
        <w:rPr>
          <w:rFonts w:hint="eastAsia" w:asciiTheme="minorEastAsia" w:hAnsiTheme="minorEastAsia" w:eastAsiaTheme="minorEastAsia" w:cstheme="minorEastAsia"/>
          <w:color w:val="000000"/>
          <w:kern w:val="0"/>
          <w:sz w:val="24"/>
          <w:szCs w:val="24"/>
          <w:lang w:eastAsia="zh-CN"/>
        </w:rPr>
      </w:pPr>
      <w:r>
        <w:rPr>
          <w:rFonts w:hint="eastAsia" w:asciiTheme="minorEastAsia" w:hAnsiTheme="minorEastAsia" w:eastAsiaTheme="minorEastAsia" w:cstheme="minorEastAsia"/>
          <w:color w:val="000000"/>
          <w:kern w:val="0"/>
          <w:sz w:val="24"/>
          <w:szCs w:val="24"/>
          <w:lang w:eastAsia="zh-CN"/>
        </w:rPr>
        <w:t>（一）实施（供货）期 ：自合同签订之日起45日历天内交付使用。</w:t>
      </w:r>
    </w:p>
    <w:p w14:paraId="033AD225">
      <w:pPr>
        <w:keepNext w:val="0"/>
        <w:keepLines w:val="0"/>
        <w:pageBreakBefore w:val="0"/>
        <w:widowControl w:val="0"/>
        <w:kinsoku/>
        <w:wordWrap/>
        <w:overflowPunct/>
        <w:topLinePunct w:val="0"/>
        <w:autoSpaceDE/>
        <w:autoSpaceDN/>
        <w:bidi w:val="0"/>
        <w:adjustRightInd/>
        <w:snapToGrid w:val="0"/>
        <w:spacing w:line="312" w:lineRule="auto"/>
        <w:ind w:firstLine="480" w:firstLineChars="200"/>
        <w:textAlignment w:val="auto"/>
        <w:rPr>
          <w:rFonts w:hint="eastAsia" w:asciiTheme="minorEastAsia" w:hAnsiTheme="minorEastAsia" w:eastAsiaTheme="minorEastAsia" w:cstheme="minorEastAsia"/>
          <w:color w:val="000000"/>
          <w:kern w:val="0"/>
          <w:sz w:val="24"/>
          <w:szCs w:val="24"/>
          <w:lang w:eastAsia="zh-CN"/>
        </w:rPr>
      </w:pPr>
      <w:r>
        <w:rPr>
          <w:rFonts w:hint="eastAsia" w:asciiTheme="minorEastAsia" w:hAnsiTheme="minorEastAsia" w:eastAsiaTheme="minorEastAsia" w:cstheme="minorEastAsia"/>
          <w:color w:val="000000"/>
          <w:kern w:val="0"/>
          <w:sz w:val="24"/>
          <w:szCs w:val="24"/>
          <w:lang w:eastAsia="zh-CN"/>
        </w:rPr>
        <w:t>（二）实施（交货）地点 ：采购人指定地点。</w:t>
      </w:r>
    </w:p>
    <w:p w14:paraId="029C8673">
      <w:pPr>
        <w:keepNext w:val="0"/>
        <w:keepLines w:val="0"/>
        <w:pageBreakBefore w:val="0"/>
        <w:widowControl w:val="0"/>
        <w:kinsoku/>
        <w:wordWrap/>
        <w:overflowPunct/>
        <w:topLinePunct w:val="0"/>
        <w:autoSpaceDE/>
        <w:autoSpaceDN/>
        <w:bidi w:val="0"/>
        <w:adjustRightInd/>
        <w:snapToGrid w:val="0"/>
        <w:spacing w:line="312" w:lineRule="auto"/>
        <w:ind w:firstLine="480" w:firstLineChars="200"/>
        <w:textAlignment w:val="auto"/>
        <w:rPr>
          <w:rFonts w:hint="eastAsia" w:asciiTheme="minorEastAsia" w:hAnsiTheme="minorEastAsia" w:eastAsiaTheme="minorEastAsia" w:cstheme="minorEastAsia"/>
          <w:color w:val="000000"/>
          <w:kern w:val="0"/>
          <w:sz w:val="24"/>
          <w:szCs w:val="24"/>
          <w:lang w:eastAsia="zh-CN"/>
        </w:rPr>
      </w:pPr>
      <w:r>
        <w:rPr>
          <w:rFonts w:hint="eastAsia" w:asciiTheme="minorEastAsia" w:hAnsiTheme="minorEastAsia" w:eastAsiaTheme="minorEastAsia" w:cstheme="minorEastAsia"/>
          <w:color w:val="000000"/>
          <w:kern w:val="0"/>
          <w:sz w:val="24"/>
          <w:szCs w:val="24"/>
          <w:lang w:eastAsia="zh-CN"/>
        </w:rPr>
        <w:t>（三）报价要求</w:t>
      </w:r>
    </w:p>
    <w:p w14:paraId="49DE9550">
      <w:pPr>
        <w:keepNext w:val="0"/>
        <w:keepLines w:val="0"/>
        <w:pageBreakBefore w:val="0"/>
        <w:widowControl w:val="0"/>
        <w:kinsoku/>
        <w:wordWrap/>
        <w:overflowPunct/>
        <w:topLinePunct w:val="0"/>
        <w:autoSpaceDE/>
        <w:autoSpaceDN/>
        <w:bidi w:val="0"/>
        <w:adjustRightInd/>
        <w:snapToGrid w:val="0"/>
        <w:spacing w:line="312" w:lineRule="auto"/>
        <w:ind w:firstLine="480" w:firstLineChars="200"/>
        <w:textAlignment w:val="auto"/>
        <w:rPr>
          <w:rFonts w:hint="eastAsia" w:asciiTheme="minorEastAsia" w:hAnsiTheme="minorEastAsia" w:eastAsiaTheme="minorEastAsia" w:cstheme="minorEastAsia"/>
          <w:color w:val="000000"/>
          <w:kern w:val="0"/>
          <w:sz w:val="24"/>
          <w:szCs w:val="24"/>
          <w:lang w:eastAsia="zh-CN"/>
        </w:rPr>
      </w:pPr>
      <w:r>
        <w:rPr>
          <w:rFonts w:hint="eastAsia" w:asciiTheme="minorEastAsia" w:hAnsiTheme="minorEastAsia" w:eastAsiaTheme="minorEastAsia" w:cstheme="minorEastAsia"/>
          <w:color w:val="000000"/>
          <w:kern w:val="0"/>
          <w:sz w:val="24"/>
          <w:szCs w:val="24"/>
          <w:lang w:eastAsia="zh-CN"/>
        </w:rPr>
        <w:t>本次报价为人民币报价，投标报价应包括：货物本身价格、保险费用、培训费、养护费、包装费、运输费用、二次搬运费、装卸费、损耗、税金费用、自检费、人工费、其他配件费及验收合格前和质保期内发生的一切费用、应当提供的伴随服务/售后服务费用。</w:t>
      </w:r>
    </w:p>
    <w:p w14:paraId="7B12FCFD">
      <w:pPr>
        <w:keepNext w:val="0"/>
        <w:keepLines w:val="0"/>
        <w:pageBreakBefore w:val="0"/>
        <w:widowControl w:val="0"/>
        <w:kinsoku/>
        <w:wordWrap/>
        <w:overflowPunct/>
        <w:topLinePunct w:val="0"/>
        <w:autoSpaceDE/>
        <w:autoSpaceDN/>
        <w:bidi w:val="0"/>
        <w:adjustRightInd/>
        <w:snapToGrid w:val="0"/>
        <w:spacing w:line="312" w:lineRule="auto"/>
        <w:ind w:firstLine="480" w:firstLineChars="200"/>
        <w:textAlignment w:val="auto"/>
        <w:rPr>
          <w:rFonts w:hint="eastAsia" w:asciiTheme="minorEastAsia" w:hAnsiTheme="minorEastAsia" w:eastAsiaTheme="minorEastAsia" w:cstheme="minorEastAsia"/>
          <w:color w:val="000000"/>
          <w:kern w:val="0"/>
          <w:sz w:val="24"/>
          <w:szCs w:val="24"/>
          <w:lang w:eastAsia="zh-CN"/>
        </w:rPr>
      </w:pPr>
      <w:r>
        <w:rPr>
          <w:rFonts w:hint="eastAsia" w:asciiTheme="minorEastAsia" w:hAnsiTheme="minorEastAsia" w:eastAsiaTheme="minorEastAsia" w:cstheme="minorEastAsia"/>
          <w:color w:val="000000"/>
          <w:kern w:val="0"/>
          <w:sz w:val="24"/>
          <w:szCs w:val="24"/>
          <w:lang w:eastAsia="zh-CN"/>
        </w:rPr>
        <w:t>（四）质保要求</w:t>
      </w:r>
    </w:p>
    <w:p w14:paraId="228073CB">
      <w:pPr>
        <w:keepNext w:val="0"/>
        <w:keepLines w:val="0"/>
        <w:pageBreakBefore w:val="0"/>
        <w:widowControl w:val="0"/>
        <w:kinsoku/>
        <w:wordWrap/>
        <w:overflowPunct/>
        <w:topLinePunct w:val="0"/>
        <w:autoSpaceDE/>
        <w:autoSpaceDN/>
        <w:bidi w:val="0"/>
        <w:adjustRightInd/>
        <w:snapToGrid w:val="0"/>
        <w:spacing w:line="312" w:lineRule="auto"/>
        <w:ind w:firstLine="480" w:firstLineChars="200"/>
        <w:textAlignment w:val="auto"/>
        <w:rPr>
          <w:rFonts w:hint="eastAsia" w:asciiTheme="minorEastAsia" w:hAnsiTheme="minorEastAsia" w:eastAsiaTheme="minorEastAsia" w:cstheme="minorEastAsia"/>
          <w:color w:val="000000"/>
          <w:kern w:val="0"/>
          <w:sz w:val="24"/>
          <w:szCs w:val="24"/>
          <w:lang w:eastAsia="zh-CN"/>
        </w:rPr>
      </w:pPr>
      <w:r>
        <w:rPr>
          <w:rFonts w:hint="eastAsia" w:asciiTheme="minorEastAsia" w:hAnsiTheme="minorEastAsia" w:eastAsiaTheme="minorEastAsia" w:cstheme="minorEastAsia"/>
          <w:color w:val="000000"/>
          <w:kern w:val="0"/>
          <w:sz w:val="24"/>
          <w:szCs w:val="24"/>
          <w:lang w:eastAsia="zh-CN"/>
        </w:rPr>
        <w:t>质保期内乙方负责设备免费维修及抢修。</w:t>
      </w:r>
    </w:p>
    <w:p w14:paraId="34E6EC38">
      <w:pPr>
        <w:keepNext w:val="0"/>
        <w:keepLines w:val="0"/>
        <w:pageBreakBefore w:val="0"/>
        <w:widowControl w:val="0"/>
        <w:kinsoku/>
        <w:wordWrap/>
        <w:overflowPunct/>
        <w:topLinePunct w:val="0"/>
        <w:autoSpaceDE/>
        <w:autoSpaceDN/>
        <w:bidi w:val="0"/>
        <w:adjustRightInd/>
        <w:snapToGrid w:val="0"/>
        <w:spacing w:line="312" w:lineRule="auto"/>
        <w:ind w:firstLine="480" w:firstLineChars="200"/>
        <w:textAlignment w:val="auto"/>
        <w:rPr>
          <w:rFonts w:hint="eastAsia" w:asciiTheme="minorEastAsia" w:hAnsiTheme="minorEastAsia" w:eastAsiaTheme="minorEastAsia" w:cstheme="minorEastAsia"/>
          <w:color w:val="000000"/>
          <w:kern w:val="0"/>
          <w:sz w:val="24"/>
          <w:szCs w:val="24"/>
          <w:lang w:eastAsia="zh-CN"/>
        </w:rPr>
      </w:pPr>
      <w:r>
        <w:rPr>
          <w:rFonts w:hint="eastAsia" w:asciiTheme="minorEastAsia" w:hAnsiTheme="minorEastAsia" w:eastAsiaTheme="minorEastAsia" w:cstheme="minorEastAsia"/>
          <w:color w:val="000000"/>
          <w:kern w:val="0"/>
          <w:sz w:val="24"/>
          <w:szCs w:val="24"/>
          <w:lang w:eastAsia="zh-CN"/>
        </w:rPr>
        <w:t>（五）售后服务、理赔、质量技术及验收保证的承诺</w:t>
      </w:r>
    </w:p>
    <w:p w14:paraId="1A00E009">
      <w:pPr>
        <w:keepNext w:val="0"/>
        <w:keepLines w:val="0"/>
        <w:pageBreakBefore w:val="0"/>
        <w:widowControl w:val="0"/>
        <w:kinsoku/>
        <w:wordWrap/>
        <w:overflowPunct/>
        <w:topLinePunct w:val="0"/>
        <w:autoSpaceDE/>
        <w:autoSpaceDN/>
        <w:bidi w:val="0"/>
        <w:adjustRightInd/>
        <w:snapToGrid w:val="0"/>
        <w:spacing w:line="312" w:lineRule="auto"/>
        <w:ind w:firstLine="480" w:firstLineChars="200"/>
        <w:textAlignment w:val="auto"/>
        <w:rPr>
          <w:rFonts w:hint="eastAsia" w:asciiTheme="minorEastAsia" w:hAnsiTheme="minorEastAsia" w:eastAsiaTheme="minorEastAsia" w:cstheme="minorEastAsia"/>
          <w:color w:val="000000"/>
          <w:kern w:val="0"/>
          <w:sz w:val="24"/>
          <w:szCs w:val="24"/>
          <w:lang w:eastAsia="zh-CN"/>
        </w:rPr>
      </w:pPr>
      <w:r>
        <w:rPr>
          <w:rFonts w:hint="eastAsia" w:asciiTheme="minorEastAsia" w:hAnsiTheme="minorEastAsia" w:eastAsiaTheme="minorEastAsia" w:cstheme="minorEastAsia"/>
          <w:color w:val="000000"/>
          <w:kern w:val="0"/>
          <w:sz w:val="24"/>
          <w:szCs w:val="24"/>
          <w:lang w:eastAsia="zh-CN"/>
        </w:rPr>
        <w:t>1、售后服务</w:t>
      </w:r>
    </w:p>
    <w:p w14:paraId="2E9F7BE2">
      <w:pPr>
        <w:keepNext w:val="0"/>
        <w:keepLines w:val="0"/>
        <w:pageBreakBefore w:val="0"/>
        <w:widowControl w:val="0"/>
        <w:kinsoku/>
        <w:wordWrap/>
        <w:overflowPunct/>
        <w:topLinePunct w:val="0"/>
        <w:autoSpaceDE/>
        <w:autoSpaceDN/>
        <w:bidi w:val="0"/>
        <w:adjustRightInd/>
        <w:snapToGrid w:val="0"/>
        <w:spacing w:line="312" w:lineRule="auto"/>
        <w:ind w:firstLine="480" w:firstLineChars="200"/>
        <w:textAlignment w:val="auto"/>
        <w:rPr>
          <w:rFonts w:hint="eastAsia" w:asciiTheme="minorEastAsia" w:hAnsiTheme="minorEastAsia" w:eastAsiaTheme="minorEastAsia" w:cstheme="minorEastAsia"/>
          <w:color w:val="000000"/>
          <w:kern w:val="0"/>
          <w:sz w:val="24"/>
          <w:szCs w:val="24"/>
          <w:lang w:eastAsia="zh-CN"/>
        </w:rPr>
      </w:pPr>
      <w:r>
        <w:rPr>
          <w:rFonts w:hint="eastAsia" w:asciiTheme="minorEastAsia" w:hAnsiTheme="minorEastAsia" w:eastAsiaTheme="minorEastAsia" w:cstheme="minorEastAsia"/>
          <w:color w:val="000000"/>
          <w:kern w:val="0"/>
          <w:sz w:val="24"/>
          <w:szCs w:val="24"/>
          <w:lang w:eastAsia="zh-CN"/>
        </w:rPr>
        <w:t xml:space="preserve">质保期内，设备出现故障，须在30分钟内响应，每年提供不少于2次回访。  </w:t>
      </w:r>
    </w:p>
    <w:p w14:paraId="376052F0">
      <w:pPr>
        <w:keepNext w:val="0"/>
        <w:keepLines w:val="0"/>
        <w:pageBreakBefore w:val="0"/>
        <w:widowControl w:val="0"/>
        <w:kinsoku/>
        <w:wordWrap/>
        <w:overflowPunct/>
        <w:topLinePunct w:val="0"/>
        <w:autoSpaceDE/>
        <w:autoSpaceDN/>
        <w:bidi w:val="0"/>
        <w:adjustRightInd/>
        <w:snapToGrid w:val="0"/>
        <w:spacing w:line="312" w:lineRule="auto"/>
        <w:ind w:firstLine="480" w:firstLineChars="200"/>
        <w:textAlignment w:val="auto"/>
        <w:rPr>
          <w:rFonts w:hint="eastAsia" w:asciiTheme="minorEastAsia" w:hAnsiTheme="minorEastAsia" w:eastAsiaTheme="minorEastAsia" w:cstheme="minorEastAsia"/>
          <w:color w:val="000000"/>
          <w:kern w:val="0"/>
          <w:sz w:val="24"/>
          <w:szCs w:val="24"/>
          <w:lang w:eastAsia="zh-CN"/>
        </w:rPr>
      </w:pPr>
      <w:r>
        <w:rPr>
          <w:rFonts w:hint="eastAsia" w:asciiTheme="minorEastAsia" w:hAnsiTheme="minorEastAsia" w:eastAsiaTheme="minorEastAsia" w:cstheme="minorEastAsia"/>
          <w:color w:val="000000"/>
          <w:kern w:val="0"/>
          <w:sz w:val="24"/>
          <w:szCs w:val="24"/>
          <w:lang w:eastAsia="zh-CN"/>
        </w:rPr>
        <w:t>2、交货时应提供以下技术或培训资料（如涉及）</w:t>
      </w:r>
    </w:p>
    <w:p w14:paraId="055A7FC2">
      <w:pPr>
        <w:keepNext w:val="0"/>
        <w:keepLines w:val="0"/>
        <w:pageBreakBefore w:val="0"/>
        <w:widowControl w:val="0"/>
        <w:kinsoku/>
        <w:wordWrap/>
        <w:overflowPunct/>
        <w:topLinePunct w:val="0"/>
        <w:autoSpaceDE/>
        <w:autoSpaceDN/>
        <w:bidi w:val="0"/>
        <w:adjustRightInd/>
        <w:snapToGrid w:val="0"/>
        <w:spacing w:line="312" w:lineRule="auto"/>
        <w:ind w:firstLine="480" w:firstLineChars="200"/>
        <w:textAlignment w:val="auto"/>
        <w:rPr>
          <w:rFonts w:hint="eastAsia" w:asciiTheme="minorEastAsia" w:hAnsiTheme="minorEastAsia" w:eastAsiaTheme="minorEastAsia" w:cstheme="minorEastAsia"/>
          <w:color w:val="000000"/>
          <w:kern w:val="0"/>
          <w:sz w:val="24"/>
          <w:szCs w:val="24"/>
          <w:lang w:eastAsia="zh-CN"/>
        </w:rPr>
      </w:pPr>
      <w:r>
        <w:rPr>
          <w:rFonts w:hint="eastAsia" w:asciiTheme="minorEastAsia" w:hAnsiTheme="minorEastAsia" w:eastAsiaTheme="minorEastAsia" w:cstheme="minorEastAsia"/>
          <w:color w:val="000000"/>
          <w:kern w:val="0"/>
          <w:sz w:val="24"/>
          <w:szCs w:val="24"/>
          <w:lang w:eastAsia="zh-CN"/>
        </w:rPr>
        <w:t>2.1原产地证明书(由制造厂签发)；</w:t>
      </w:r>
    </w:p>
    <w:p w14:paraId="7BE3DC49">
      <w:pPr>
        <w:keepNext w:val="0"/>
        <w:keepLines w:val="0"/>
        <w:pageBreakBefore w:val="0"/>
        <w:widowControl w:val="0"/>
        <w:kinsoku/>
        <w:wordWrap/>
        <w:overflowPunct/>
        <w:topLinePunct w:val="0"/>
        <w:autoSpaceDE/>
        <w:autoSpaceDN/>
        <w:bidi w:val="0"/>
        <w:adjustRightInd/>
        <w:snapToGrid w:val="0"/>
        <w:spacing w:line="312" w:lineRule="auto"/>
        <w:ind w:firstLine="480" w:firstLineChars="200"/>
        <w:textAlignment w:val="auto"/>
        <w:rPr>
          <w:rFonts w:hint="eastAsia" w:asciiTheme="minorEastAsia" w:hAnsiTheme="minorEastAsia" w:eastAsiaTheme="minorEastAsia" w:cstheme="minorEastAsia"/>
          <w:color w:val="000000"/>
          <w:kern w:val="0"/>
          <w:sz w:val="24"/>
          <w:szCs w:val="24"/>
          <w:lang w:eastAsia="zh-CN"/>
        </w:rPr>
      </w:pPr>
      <w:r>
        <w:rPr>
          <w:rFonts w:hint="eastAsia" w:asciiTheme="minorEastAsia" w:hAnsiTheme="minorEastAsia" w:eastAsiaTheme="minorEastAsia" w:cstheme="minorEastAsia"/>
          <w:color w:val="000000"/>
          <w:kern w:val="0"/>
          <w:sz w:val="24"/>
          <w:szCs w:val="24"/>
          <w:lang w:eastAsia="zh-CN"/>
        </w:rPr>
        <w:t>2.2提供主机及配套设备的安装图纸及说明；</w:t>
      </w:r>
    </w:p>
    <w:p w14:paraId="6F86E02A">
      <w:pPr>
        <w:keepNext w:val="0"/>
        <w:keepLines w:val="0"/>
        <w:pageBreakBefore w:val="0"/>
        <w:widowControl w:val="0"/>
        <w:kinsoku/>
        <w:wordWrap/>
        <w:overflowPunct/>
        <w:topLinePunct w:val="0"/>
        <w:autoSpaceDE/>
        <w:autoSpaceDN/>
        <w:bidi w:val="0"/>
        <w:adjustRightInd/>
        <w:snapToGrid w:val="0"/>
        <w:spacing w:line="312" w:lineRule="auto"/>
        <w:ind w:firstLine="480" w:firstLineChars="200"/>
        <w:textAlignment w:val="auto"/>
        <w:rPr>
          <w:rFonts w:hint="eastAsia" w:asciiTheme="minorEastAsia" w:hAnsiTheme="minorEastAsia" w:eastAsiaTheme="minorEastAsia" w:cstheme="minorEastAsia"/>
          <w:color w:val="000000"/>
          <w:kern w:val="0"/>
          <w:sz w:val="24"/>
          <w:szCs w:val="24"/>
          <w:lang w:eastAsia="zh-CN"/>
        </w:rPr>
      </w:pPr>
      <w:r>
        <w:rPr>
          <w:rFonts w:hint="eastAsia" w:asciiTheme="minorEastAsia" w:hAnsiTheme="minorEastAsia" w:eastAsiaTheme="minorEastAsia" w:cstheme="minorEastAsia"/>
          <w:color w:val="000000"/>
          <w:kern w:val="0"/>
          <w:sz w:val="24"/>
          <w:szCs w:val="24"/>
          <w:lang w:eastAsia="zh-CN"/>
        </w:rPr>
        <w:t>2.3提供主机及配套设备使用说明书、维护手册；</w:t>
      </w:r>
    </w:p>
    <w:p w14:paraId="2452B102">
      <w:pPr>
        <w:keepNext w:val="0"/>
        <w:keepLines w:val="0"/>
        <w:pageBreakBefore w:val="0"/>
        <w:widowControl w:val="0"/>
        <w:kinsoku/>
        <w:wordWrap/>
        <w:overflowPunct/>
        <w:topLinePunct w:val="0"/>
        <w:autoSpaceDE/>
        <w:autoSpaceDN/>
        <w:bidi w:val="0"/>
        <w:adjustRightInd/>
        <w:snapToGrid w:val="0"/>
        <w:spacing w:line="312" w:lineRule="auto"/>
        <w:ind w:firstLine="480" w:firstLineChars="200"/>
        <w:textAlignment w:val="auto"/>
        <w:rPr>
          <w:rFonts w:hint="eastAsia" w:asciiTheme="minorEastAsia" w:hAnsiTheme="minorEastAsia" w:eastAsiaTheme="minorEastAsia" w:cstheme="minorEastAsia"/>
          <w:color w:val="000000"/>
          <w:kern w:val="0"/>
          <w:sz w:val="24"/>
          <w:szCs w:val="24"/>
          <w:lang w:eastAsia="zh-CN"/>
        </w:rPr>
      </w:pPr>
      <w:r>
        <w:rPr>
          <w:rFonts w:hint="eastAsia" w:asciiTheme="minorEastAsia" w:hAnsiTheme="minorEastAsia" w:eastAsiaTheme="minorEastAsia" w:cstheme="minorEastAsia"/>
          <w:color w:val="000000"/>
          <w:kern w:val="0"/>
          <w:sz w:val="24"/>
          <w:szCs w:val="24"/>
          <w:lang w:eastAsia="zh-CN"/>
        </w:rPr>
        <w:t>2.4备件手册、零件及易损件的图纸及相关资料；</w:t>
      </w:r>
    </w:p>
    <w:p w14:paraId="135D560C">
      <w:pPr>
        <w:keepNext w:val="0"/>
        <w:keepLines w:val="0"/>
        <w:pageBreakBefore w:val="0"/>
        <w:widowControl w:val="0"/>
        <w:kinsoku/>
        <w:wordWrap/>
        <w:overflowPunct/>
        <w:topLinePunct w:val="0"/>
        <w:autoSpaceDE/>
        <w:autoSpaceDN/>
        <w:bidi w:val="0"/>
        <w:adjustRightInd/>
        <w:snapToGrid w:val="0"/>
        <w:spacing w:line="312" w:lineRule="auto"/>
        <w:ind w:firstLine="480" w:firstLineChars="200"/>
        <w:textAlignment w:val="auto"/>
        <w:rPr>
          <w:rFonts w:hint="eastAsia" w:asciiTheme="minorEastAsia" w:hAnsiTheme="minorEastAsia" w:eastAsiaTheme="minorEastAsia" w:cstheme="minorEastAsia"/>
          <w:color w:val="000000"/>
          <w:kern w:val="0"/>
          <w:sz w:val="24"/>
          <w:szCs w:val="24"/>
          <w:lang w:eastAsia="zh-CN"/>
        </w:rPr>
      </w:pPr>
      <w:r>
        <w:rPr>
          <w:rFonts w:hint="eastAsia" w:asciiTheme="minorEastAsia" w:hAnsiTheme="minorEastAsia" w:eastAsiaTheme="minorEastAsia" w:cstheme="minorEastAsia"/>
          <w:color w:val="000000"/>
          <w:kern w:val="0"/>
          <w:sz w:val="24"/>
          <w:szCs w:val="24"/>
          <w:lang w:eastAsia="zh-CN"/>
        </w:rPr>
        <w:t>2.5其它相关技术资料。</w:t>
      </w:r>
    </w:p>
    <w:p w14:paraId="7EBAC64C">
      <w:pPr>
        <w:keepNext w:val="0"/>
        <w:keepLines w:val="0"/>
        <w:pageBreakBefore w:val="0"/>
        <w:widowControl w:val="0"/>
        <w:kinsoku/>
        <w:wordWrap/>
        <w:overflowPunct/>
        <w:topLinePunct w:val="0"/>
        <w:autoSpaceDE/>
        <w:autoSpaceDN/>
        <w:bidi w:val="0"/>
        <w:adjustRightInd/>
        <w:snapToGrid w:val="0"/>
        <w:spacing w:line="312" w:lineRule="auto"/>
        <w:ind w:firstLine="480" w:firstLineChars="200"/>
        <w:textAlignment w:val="auto"/>
        <w:rPr>
          <w:rFonts w:hint="eastAsia" w:asciiTheme="minorEastAsia" w:hAnsiTheme="minorEastAsia" w:eastAsiaTheme="minorEastAsia" w:cstheme="minorEastAsia"/>
          <w:color w:val="000000"/>
          <w:kern w:val="0"/>
          <w:sz w:val="24"/>
          <w:szCs w:val="24"/>
          <w:lang w:eastAsia="zh-CN"/>
        </w:rPr>
      </w:pPr>
      <w:r>
        <w:rPr>
          <w:rFonts w:hint="eastAsia" w:asciiTheme="minorEastAsia" w:hAnsiTheme="minorEastAsia" w:eastAsiaTheme="minorEastAsia" w:cstheme="minorEastAsia"/>
          <w:color w:val="000000"/>
          <w:kern w:val="0"/>
          <w:sz w:val="24"/>
          <w:szCs w:val="24"/>
          <w:lang w:eastAsia="zh-CN"/>
        </w:rPr>
        <w:t>3、投标人设有健全的售后服务机构网点，终端售后服务机构网点有明细以便监督（包括电话、地址、店名、联系人）(附有效的证明资料；如房屋租赁合同或产权证)。如发生以下情况，及时响应并解决故障。</w:t>
      </w:r>
    </w:p>
    <w:p w14:paraId="5E565DCC">
      <w:pPr>
        <w:keepNext w:val="0"/>
        <w:keepLines w:val="0"/>
        <w:pageBreakBefore w:val="0"/>
        <w:widowControl w:val="0"/>
        <w:kinsoku/>
        <w:wordWrap/>
        <w:overflowPunct/>
        <w:topLinePunct w:val="0"/>
        <w:autoSpaceDE/>
        <w:autoSpaceDN/>
        <w:bidi w:val="0"/>
        <w:adjustRightInd/>
        <w:snapToGrid w:val="0"/>
        <w:spacing w:line="312" w:lineRule="auto"/>
        <w:ind w:firstLine="480" w:firstLineChars="200"/>
        <w:textAlignment w:val="auto"/>
        <w:rPr>
          <w:rFonts w:hint="eastAsia" w:asciiTheme="minorEastAsia" w:hAnsiTheme="minorEastAsia" w:eastAsiaTheme="minorEastAsia" w:cstheme="minorEastAsia"/>
          <w:color w:val="000000"/>
          <w:kern w:val="0"/>
          <w:sz w:val="24"/>
          <w:szCs w:val="24"/>
          <w:lang w:eastAsia="zh-CN"/>
        </w:rPr>
      </w:pPr>
      <w:r>
        <w:rPr>
          <w:rFonts w:hint="eastAsia" w:asciiTheme="minorEastAsia" w:hAnsiTheme="minorEastAsia" w:eastAsiaTheme="minorEastAsia" w:cstheme="minorEastAsia"/>
          <w:color w:val="000000"/>
          <w:kern w:val="0"/>
          <w:sz w:val="24"/>
          <w:szCs w:val="24"/>
          <w:lang w:eastAsia="zh-CN"/>
        </w:rPr>
        <w:t>4、在质保期内，如果投标人的产品技术升级，投标人应及时通知采购人，如采购人有相应要求，投标人应对采购人购买的产品进行升级服务。</w:t>
      </w:r>
    </w:p>
    <w:p w14:paraId="3259559E">
      <w:pPr>
        <w:keepNext w:val="0"/>
        <w:keepLines w:val="0"/>
        <w:pageBreakBefore w:val="0"/>
        <w:widowControl w:val="0"/>
        <w:kinsoku/>
        <w:wordWrap/>
        <w:overflowPunct/>
        <w:topLinePunct w:val="0"/>
        <w:autoSpaceDE/>
        <w:autoSpaceDN/>
        <w:bidi w:val="0"/>
        <w:adjustRightInd/>
        <w:snapToGrid w:val="0"/>
        <w:spacing w:line="312" w:lineRule="auto"/>
        <w:ind w:firstLine="480" w:firstLineChars="200"/>
        <w:textAlignment w:val="auto"/>
        <w:rPr>
          <w:rFonts w:hint="eastAsia" w:asciiTheme="minorEastAsia" w:hAnsiTheme="minorEastAsia" w:eastAsiaTheme="minorEastAsia" w:cstheme="minorEastAsia"/>
          <w:color w:val="000000"/>
          <w:kern w:val="0"/>
          <w:sz w:val="24"/>
          <w:szCs w:val="24"/>
          <w:lang w:eastAsia="zh-CN"/>
        </w:rPr>
      </w:pPr>
      <w:r>
        <w:rPr>
          <w:rFonts w:hint="eastAsia" w:asciiTheme="minorEastAsia" w:hAnsiTheme="minorEastAsia" w:eastAsiaTheme="minorEastAsia" w:cstheme="minorEastAsia"/>
          <w:color w:val="000000"/>
          <w:kern w:val="0"/>
          <w:sz w:val="24"/>
          <w:szCs w:val="24"/>
          <w:lang w:eastAsia="zh-CN"/>
        </w:rPr>
        <w:t>5、质保期过后，投标人应同样提供免费电话咨询服务，并应承诺提供该产品上门维护服务。</w:t>
      </w:r>
    </w:p>
    <w:p w14:paraId="28366791">
      <w:pPr>
        <w:keepNext w:val="0"/>
        <w:keepLines w:val="0"/>
        <w:pageBreakBefore w:val="0"/>
        <w:widowControl w:val="0"/>
        <w:kinsoku/>
        <w:wordWrap/>
        <w:overflowPunct/>
        <w:topLinePunct w:val="0"/>
        <w:autoSpaceDE/>
        <w:autoSpaceDN/>
        <w:bidi w:val="0"/>
        <w:adjustRightInd/>
        <w:snapToGrid w:val="0"/>
        <w:spacing w:line="312" w:lineRule="auto"/>
        <w:ind w:firstLine="480" w:firstLineChars="200"/>
        <w:textAlignment w:val="auto"/>
        <w:rPr>
          <w:rFonts w:hint="eastAsia" w:asciiTheme="minorEastAsia" w:hAnsiTheme="minorEastAsia" w:eastAsiaTheme="minorEastAsia" w:cstheme="minorEastAsia"/>
          <w:color w:val="000000"/>
          <w:kern w:val="0"/>
          <w:sz w:val="24"/>
          <w:szCs w:val="24"/>
          <w:lang w:eastAsia="zh-CN"/>
        </w:rPr>
      </w:pPr>
      <w:r>
        <w:rPr>
          <w:rFonts w:hint="eastAsia" w:asciiTheme="minorEastAsia" w:hAnsiTheme="minorEastAsia" w:eastAsiaTheme="minorEastAsia" w:cstheme="minorEastAsia"/>
          <w:color w:val="000000"/>
          <w:kern w:val="0"/>
          <w:sz w:val="24"/>
          <w:szCs w:val="24"/>
          <w:lang w:eastAsia="zh-CN"/>
        </w:rPr>
        <w:t>（六）验收</w:t>
      </w:r>
    </w:p>
    <w:p w14:paraId="4A2FDEFF">
      <w:pPr>
        <w:keepNext w:val="0"/>
        <w:keepLines w:val="0"/>
        <w:pageBreakBefore w:val="0"/>
        <w:widowControl w:val="0"/>
        <w:kinsoku/>
        <w:wordWrap/>
        <w:overflowPunct/>
        <w:topLinePunct w:val="0"/>
        <w:autoSpaceDE/>
        <w:autoSpaceDN/>
        <w:bidi w:val="0"/>
        <w:adjustRightInd/>
        <w:snapToGrid w:val="0"/>
        <w:spacing w:line="312" w:lineRule="auto"/>
        <w:ind w:firstLine="480" w:firstLineChars="200"/>
        <w:textAlignment w:val="auto"/>
        <w:rPr>
          <w:rFonts w:hint="eastAsia" w:asciiTheme="minorEastAsia" w:hAnsiTheme="minorEastAsia" w:eastAsiaTheme="minorEastAsia" w:cstheme="minorEastAsia"/>
          <w:color w:val="000000"/>
          <w:kern w:val="0"/>
          <w:sz w:val="24"/>
          <w:szCs w:val="24"/>
          <w:lang w:eastAsia="zh-CN"/>
        </w:rPr>
      </w:pPr>
      <w:r>
        <w:rPr>
          <w:rFonts w:hint="eastAsia" w:asciiTheme="minorEastAsia" w:hAnsiTheme="minorEastAsia" w:eastAsiaTheme="minorEastAsia" w:cstheme="minorEastAsia"/>
          <w:color w:val="000000"/>
          <w:kern w:val="0"/>
          <w:sz w:val="24"/>
          <w:szCs w:val="24"/>
          <w:lang w:eastAsia="zh-CN"/>
        </w:rPr>
        <w:t>1、供应商提供的产品为全新未使用且符合相关法律法规要求的合格产品；</w:t>
      </w:r>
    </w:p>
    <w:p w14:paraId="298AB4C1">
      <w:pPr>
        <w:keepNext w:val="0"/>
        <w:keepLines w:val="0"/>
        <w:pageBreakBefore w:val="0"/>
        <w:widowControl w:val="0"/>
        <w:kinsoku/>
        <w:wordWrap/>
        <w:overflowPunct/>
        <w:topLinePunct w:val="0"/>
        <w:autoSpaceDE/>
        <w:autoSpaceDN/>
        <w:bidi w:val="0"/>
        <w:adjustRightInd/>
        <w:snapToGrid w:val="0"/>
        <w:spacing w:line="312" w:lineRule="auto"/>
        <w:ind w:firstLine="480" w:firstLineChars="200"/>
        <w:textAlignment w:val="auto"/>
        <w:rPr>
          <w:rFonts w:hint="eastAsia" w:asciiTheme="minorEastAsia" w:hAnsiTheme="minorEastAsia" w:eastAsiaTheme="minorEastAsia" w:cstheme="minorEastAsia"/>
          <w:color w:val="000000"/>
          <w:kern w:val="0"/>
          <w:sz w:val="24"/>
          <w:szCs w:val="24"/>
          <w:lang w:eastAsia="zh-CN"/>
        </w:rPr>
      </w:pPr>
      <w:r>
        <w:rPr>
          <w:rFonts w:hint="eastAsia" w:asciiTheme="minorEastAsia" w:hAnsiTheme="minorEastAsia" w:eastAsiaTheme="minorEastAsia" w:cstheme="minorEastAsia"/>
          <w:color w:val="000000"/>
          <w:kern w:val="0"/>
          <w:sz w:val="24"/>
          <w:szCs w:val="24"/>
          <w:lang w:eastAsia="zh-CN"/>
        </w:rPr>
        <w:t>2、供应商提供的产品型号、规格等特性需与投标文件、合同规定内容完全一致，且满足采购方提出的采购需求。</w:t>
      </w:r>
    </w:p>
    <w:p w14:paraId="49451AF7">
      <w:pPr>
        <w:keepNext w:val="0"/>
        <w:keepLines w:val="0"/>
        <w:pageBreakBefore w:val="0"/>
        <w:widowControl w:val="0"/>
        <w:kinsoku/>
        <w:wordWrap/>
        <w:overflowPunct/>
        <w:topLinePunct w:val="0"/>
        <w:autoSpaceDE/>
        <w:autoSpaceDN/>
        <w:bidi w:val="0"/>
        <w:adjustRightInd/>
        <w:snapToGrid w:val="0"/>
        <w:spacing w:line="312" w:lineRule="auto"/>
        <w:ind w:firstLine="480" w:firstLineChars="200"/>
        <w:textAlignment w:val="auto"/>
        <w:rPr>
          <w:rFonts w:hint="eastAsia" w:asciiTheme="minorEastAsia" w:hAnsiTheme="minorEastAsia" w:eastAsiaTheme="minorEastAsia" w:cstheme="minorEastAsia"/>
          <w:color w:val="000000"/>
          <w:kern w:val="0"/>
          <w:sz w:val="24"/>
          <w:szCs w:val="24"/>
          <w:lang w:eastAsia="zh-CN"/>
        </w:rPr>
      </w:pPr>
      <w:r>
        <w:rPr>
          <w:rFonts w:hint="eastAsia" w:asciiTheme="minorEastAsia" w:hAnsiTheme="minorEastAsia" w:eastAsiaTheme="minorEastAsia" w:cstheme="minorEastAsia"/>
          <w:color w:val="000000"/>
          <w:kern w:val="0"/>
          <w:sz w:val="24"/>
          <w:szCs w:val="24"/>
          <w:lang w:eastAsia="zh-CN"/>
        </w:rPr>
        <w:t>3、供应商提供的产品需经采购人验收小组验收，进行试验检测，按照技术要求逐项进行测试，测试结果应满足相关要求，试验通过并满足要求为验收合格。</w:t>
      </w:r>
    </w:p>
    <w:p w14:paraId="7B28612D">
      <w:pPr>
        <w:keepNext w:val="0"/>
        <w:keepLines w:val="0"/>
        <w:pageBreakBefore w:val="0"/>
        <w:widowControl w:val="0"/>
        <w:kinsoku/>
        <w:wordWrap/>
        <w:overflowPunct/>
        <w:topLinePunct w:val="0"/>
        <w:autoSpaceDE/>
        <w:autoSpaceDN/>
        <w:bidi w:val="0"/>
        <w:adjustRightInd/>
        <w:snapToGrid w:val="0"/>
        <w:spacing w:line="312" w:lineRule="auto"/>
        <w:ind w:firstLine="480" w:firstLineChars="200"/>
        <w:textAlignment w:val="auto"/>
        <w:rPr>
          <w:rFonts w:hint="eastAsia" w:asciiTheme="minorEastAsia" w:hAnsiTheme="minorEastAsia" w:eastAsiaTheme="minorEastAsia" w:cstheme="minorEastAsia"/>
          <w:color w:val="000000"/>
          <w:kern w:val="0"/>
          <w:sz w:val="24"/>
          <w:szCs w:val="24"/>
          <w:lang w:eastAsia="zh-CN"/>
        </w:rPr>
      </w:pPr>
      <w:r>
        <w:rPr>
          <w:rFonts w:hint="eastAsia" w:asciiTheme="minorEastAsia" w:hAnsiTheme="minorEastAsia" w:eastAsiaTheme="minorEastAsia" w:cstheme="minorEastAsia"/>
          <w:color w:val="000000"/>
          <w:kern w:val="0"/>
          <w:sz w:val="24"/>
          <w:szCs w:val="24"/>
          <w:lang w:eastAsia="zh-CN"/>
        </w:rPr>
        <w:t>（七）付款方式</w:t>
      </w:r>
    </w:p>
    <w:p w14:paraId="76E36508">
      <w:pPr>
        <w:keepNext w:val="0"/>
        <w:keepLines w:val="0"/>
        <w:pageBreakBefore w:val="0"/>
        <w:widowControl w:val="0"/>
        <w:kinsoku/>
        <w:wordWrap/>
        <w:overflowPunct/>
        <w:topLinePunct w:val="0"/>
        <w:autoSpaceDE/>
        <w:autoSpaceDN/>
        <w:bidi w:val="0"/>
        <w:adjustRightInd/>
        <w:snapToGrid w:val="0"/>
        <w:spacing w:line="312" w:lineRule="auto"/>
        <w:ind w:firstLine="480" w:firstLineChars="200"/>
        <w:textAlignment w:val="auto"/>
        <w:rPr>
          <w:rFonts w:hint="eastAsia" w:asciiTheme="minorEastAsia" w:hAnsiTheme="minorEastAsia" w:eastAsiaTheme="minorEastAsia" w:cstheme="minorEastAsia"/>
          <w:color w:val="000000"/>
          <w:kern w:val="0"/>
          <w:sz w:val="24"/>
          <w:szCs w:val="24"/>
          <w:lang w:eastAsia="zh-CN"/>
        </w:rPr>
      </w:pPr>
      <w:r>
        <w:rPr>
          <w:rFonts w:hint="eastAsia" w:asciiTheme="minorEastAsia" w:hAnsiTheme="minorEastAsia" w:eastAsiaTheme="minorEastAsia" w:cstheme="minorEastAsia"/>
          <w:color w:val="000000"/>
          <w:kern w:val="0"/>
          <w:sz w:val="24"/>
          <w:szCs w:val="24"/>
          <w:lang w:eastAsia="zh-CN"/>
        </w:rPr>
        <w:t>合同签订后支付百分之80%，货到验收合格后支付百分之15%，一年内支付剩余百分之5%（具体以合同签订为准）。</w:t>
      </w:r>
    </w:p>
    <w:p w14:paraId="3DCB04E3">
      <w:pPr>
        <w:keepNext w:val="0"/>
        <w:keepLines w:val="0"/>
        <w:pageBreakBefore w:val="0"/>
        <w:widowControl w:val="0"/>
        <w:kinsoku/>
        <w:wordWrap/>
        <w:overflowPunct/>
        <w:topLinePunct w:val="0"/>
        <w:autoSpaceDE/>
        <w:autoSpaceDN/>
        <w:bidi w:val="0"/>
        <w:adjustRightInd/>
        <w:snapToGrid w:val="0"/>
        <w:spacing w:line="312" w:lineRule="auto"/>
        <w:ind w:firstLine="480" w:firstLineChars="200"/>
        <w:textAlignment w:val="auto"/>
        <w:rPr>
          <w:rFonts w:hint="eastAsia" w:asciiTheme="minorEastAsia" w:hAnsiTheme="minorEastAsia" w:eastAsiaTheme="minorEastAsia" w:cstheme="minorEastAsia"/>
          <w:color w:val="000000"/>
          <w:kern w:val="0"/>
          <w:sz w:val="24"/>
          <w:szCs w:val="24"/>
          <w:lang w:eastAsia="zh-CN"/>
        </w:rPr>
      </w:pPr>
      <w:r>
        <w:rPr>
          <w:rFonts w:hint="eastAsia" w:asciiTheme="minorEastAsia" w:hAnsiTheme="minorEastAsia" w:eastAsiaTheme="minorEastAsia" w:cstheme="minorEastAsia"/>
          <w:color w:val="000000"/>
          <w:kern w:val="0"/>
          <w:sz w:val="24"/>
          <w:szCs w:val="24"/>
          <w:lang w:eastAsia="zh-CN"/>
        </w:rPr>
        <w:t>（八）知识产权</w:t>
      </w:r>
    </w:p>
    <w:p w14:paraId="308758F9">
      <w:pPr>
        <w:keepNext w:val="0"/>
        <w:keepLines w:val="0"/>
        <w:pageBreakBefore w:val="0"/>
        <w:widowControl w:val="0"/>
        <w:kinsoku/>
        <w:wordWrap/>
        <w:overflowPunct/>
        <w:topLinePunct w:val="0"/>
        <w:autoSpaceDE/>
        <w:autoSpaceDN/>
        <w:bidi w:val="0"/>
        <w:adjustRightInd/>
        <w:snapToGrid w:val="0"/>
        <w:spacing w:line="312" w:lineRule="auto"/>
        <w:ind w:firstLine="480" w:firstLineChars="200"/>
        <w:textAlignment w:val="auto"/>
        <w:rPr>
          <w:rFonts w:hint="eastAsia" w:asciiTheme="minorEastAsia" w:hAnsiTheme="minorEastAsia" w:eastAsiaTheme="minorEastAsia" w:cstheme="minorEastAsia"/>
          <w:color w:val="000000"/>
          <w:kern w:val="0"/>
          <w:sz w:val="24"/>
          <w:szCs w:val="24"/>
          <w:lang w:eastAsia="zh-CN"/>
        </w:rPr>
      </w:pPr>
      <w:r>
        <w:rPr>
          <w:rFonts w:hint="eastAsia" w:asciiTheme="minorEastAsia" w:hAnsiTheme="minorEastAsia" w:eastAsiaTheme="minorEastAsia" w:cstheme="minorEastAsia"/>
          <w:color w:val="000000"/>
          <w:kern w:val="0"/>
          <w:sz w:val="24"/>
          <w:szCs w:val="24"/>
          <w:lang w:eastAsia="zh-CN"/>
        </w:rPr>
        <w:t>采购人在中华人民共和国境内使用投标人提供的货物及服务时免受第三方提出的侵犯其专利权或其它知识产权的起诉。如果第三方提出侵权指控，中标人应承担由此而引起的一切法律责任和费用。</w:t>
      </w:r>
    </w:p>
    <w:bookmarkEnd w:id="91"/>
    <w:bookmarkEnd w:id="92"/>
    <w:bookmarkEnd w:id="93"/>
    <w:p w14:paraId="536D207F">
      <w:pPr>
        <w:keepNext w:val="0"/>
        <w:keepLines w:val="0"/>
        <w:pageBreakBefore w:val="0"/>
        <w:widowControl w:val="0"/>
        <w:kinsoku/>
        <w:wordWrap/>
        <w:overflowPunct/>
        <w:topLinePunct w:val="0"/>
        <w:autoSpaceDE/>
        <w:autoSpaceDN/>
        <w:bidi w:val="0"/>
        <w:adjustRightInd/>
        <w:snapToGrid w:val="0"/>
        <w:spacing w:line="312" w:lineRule="auto"/>
        <w:ind w:firstLine="480" w:firstLineChars="200"/>
        <w:textAlignment w:val="auto"/>
        <w:rPr>
          <w:rFonts w:hint="eastAsia" w:asciiTheme="minorEastAsia" w:hAnsiTheme="minorEastAsia" w:eastAsiaTheme="minorEastAsia" w:cstheme="minorEastAsia"/>
          <w:color w:val="000000"/>
          <w:kern w:val="0"/>
          <w:sz w:val="24"/>
          <w:szCs w:val="24"/>
          <w:lang w:eastAsia="zh-CN"/>
        </w:rPr>
      </w:pPr>
      <w:bookmarkStart w:id="94" w:name="_Toc12239"/>
      <w:bookmarkStart w:id="95" w:name="_Toc7598"/>
      <w:bookmarkStart w:id="96" w:name="_Toc20832"/>
      <w:bookmarkStart w:id="97" w:name="_Toc439255252"/>
      <w:bookmarkStart w:id="98" w:name="_Toc267320054"/>
      <w:bookmarkStart w:id="99" w:name="_Toc12840_WPSOffice_Level1"/>
      <w:bookmarkStart w:id="100" w:name="_Toc469495740"/>
      <w:r>
        <w:rPr>
          <w:rFonts w:hint="eastAsia" w:asciiTheme="minorEastAsia" w:hAnsiTheme="minorEastAsia" w:eastAsiaTheme="minorEastAsia" w:cstheme="minorEastAsia"/>
          <w:color w:val="000000"/>
          <w:kern w:val="0"/>
          <w:sz w:val="24"/>
          <w:szCs w:val="24"/>
          <w:lang w:eastAsia="zh-CN"/>
        </w:rPr>
        <w:t>（九）其他</w:t>
      </w:r>
      <w:bookmarkEnd w:id="94"/>
      <w:bookmarkEnd w:id="95"/>
      <w:bookmarkEnd w:id="96"/>
    </w:p>
    <w:bookmarkEnd w:id="97"/>
    <w:bookmarkEnd w:id="98"/>
    <w:bookmarkEnd w:id="99"/>
    <w:p w14:paraId="1C849263">
      <w:pPr>
        <w:keepNext w:val="0"/>
        <w:keepLines w:val="0"/>
        <w:pageBreakBefore w:val="0"/>
        <w:widowControl w:val="0"/>
        <w:kinsoku/>
        <w:wordWrap/>
        <w:overflowPunct/>
        <w:topLinePunct w:val="0"/>
        <w:autoSpaceDE/>
        <w:autoSpaceDN/>
        <w:bidi w:val="0"/>
        <w:adjustRightInd/>
        <w:snapToGrid w:val="0"/>
        <w:spacing w:line="312" w:lineRule="auto"/>
        <w:ind w:firstLine="480" w:firstLineChars="200"/>
        <w:textAlignment w:val="auto"/>
        <w:rPr>
          <w:rFonts w:hint="eastAsia" w:asciiTheme="minorEastAsia" w:hAnsiTheme="minorEastAsia" w:eastAsiaTheme="minorEastAsia" w:cstheme="minorEastAsia"/>
          <w:color w:val="000000"/>
          <w:kern w:val="0"/>
          <w:sz w:val="24"/>
          <w:szCs w:val="24"/>
          <w:lang w:eastAsia="zh-CN"/>
        </w:rPr>
      </w:pPr>
      <w:r>
        <w:rPr>
          <w:rFonts w:hint="eastAsia" w:asciiTheme="minorEastAsia" w:hAnsiTheme="minorEastAsia" w:eastAsiaTheme="minorEastAsia" w:cstheme="minorEastAsia"/>
          <w:color w:val="000000"/>
          <w:kern w:val="0"/>
          <w:sz w:val="24"/>
          <w:szCs w:val="24"/>
          <w:lang w:eastAsia="zh-CN"/>
        </w:rPr>
        <w:t>1、投标人必须在投标文件中对以上条款和服务承诺明确列出，承诺内容必须达到本篇及招标文件其他条款的要求。</w:t>
      </w:r>
    </w:p>
    <w:p w14:paraId="24F0A92C">
      <w:pPr>
        <w:keepNext w:val="0"/>
        <w:keepLines w:val="0"/>
        <w:pageBreakBefore w:val="0"/>
        <w:widowControl w:val="0"/>
        <w:kinsoku/>
        <w:wordWrap/>
        <w:overflowPunct/>
        <w:topLinePunct w:val="0"/>
        <w:autoSpaceDE/>
        <w:autoSpaceDN/>
        <w:bidi w:val="0"/>
        <w:adjustRightInd/>
        <w:snapToGrid w:val="0"/>
        <w:spacing w:line="312" w:lineRule="auto"/>
        <w:ind w:firstLine="480" w:firstLineChars="200"/>
        <w:textAlignment w:val="auto"/>
        <w:rPr>
          <w:rFonts w:hint="eastAsia" w:asciiTheme="minorEastAsia" w:hAnsiTheme="minorEastAsia" w:eastAsiaTheme="minorEastAsia" w:cstheme="minorEastAsia"/>
          <w:color w:val="000000"/>
          <w:kern w:val="0"/>
          <w:sz w:val="24"/>
          <w:szCs w:val="24"/>
          <w:lang w:eastAsia="zh-CN"/>
        </w:rPr>
      </w:pPr>
      <w:r>
        <w:rPr>
          <w:rFonts w:hint="eastAsia" w:asciiTheme="minorEastAsia" w:hAnsiTheme="minorEastAsia" w:eastAsiaTheme="minorEastAsia" w:cstheme="minorEastAsia"/>
          <w:color w:val="000000"/>
          <w:kern w:val="0"/>
          <w:sz w:val="24"/>
          <w:szCs w:val="24"/>
          <w:lang w:eastAsia="zh-CN"/>
        </w:rPr>
        <w:t>2、中标人与采购人签订《协议》后，须与用户方签订《货物采购供应合同》（包括供货范围、需求数量、单价等），明确具体供货数量、供货时间、送达地点等内容。</w:t>
      </w:r>
    </w:p>
    <w:p w14:paraId="3F96C238">
      <w:pPr>
        <w:keepNext w:val="0"/>
        <w:keepLines w:val="0"/>
        <w:pageBreakBefore w:val="0"/>
        <w:widowControl w:val="0"/>
        <w:kinsoku/>
        <w:wordWrap/>
        <w:overflowPunct/>
        <w:topLinePunct w:val="0"/>
        <w:autoSpaceDE/>
        <w:autoSpaceDN/>
        <w:bidi w:val="0"/>
        <w:adjustRightInd/>
        <w:snapToGrid w:val="0"/>
        <w:spacing w:line="312" w:lineRule="auto"/>
        <w:ind w:firstLine="480" w:firstLineChars="200"/>
        <w:textAlignment w:val="auto"/>
        <w:rPr>
          <w:rFonts w:hint="eastAsia" w:asciiTheme="minorEastAsia" w:hAnsiTheme="minorEastAsia" w:eastAsiaTheme="minorEastAsia" w:cstheme="minorEastAsia"/>
          <w:color w:val="000000"/>
          <w:kern w:val="0"/>
          <w:sz w:val="24"/>
          <w:szCs w:val="24"/>
          <w:lang w:eastAsia="zh-CN"/>
        </w:rPr>
      </w:pPr>
      <w:r>
        <w:rPr>
          <w:rFonts w:hint="eastAsia" w:asciiTheme="minorEastAsia" w:hAnsiTheme="minorEastAsia" w:eastAsiaTheme="minorEastAsia" w:cstheme="minorEastAsia"/>
          <w:color w:val="000000"/>
          <w:kern w:val="0"/>
          <w:sz w:val="24"/>
          <w:szCs w:val="24"/>
          <w:lang w:eastAsia="zh-CN"/>
        </w:rPr>
        <w:t>3、其他未尽事宜由供需双方在采购合同中详细约定。</w:t>
      </w:r>
    </w:p>
    <w:p w14:paraId="15A5B1E4">
      <w:pPr>
        <w:keepNext w:val="0"/>
        <w:keepLines w:val="0"/>
        <w:pageBreakBefore w:val="0"/>
        <w:widowControl w:val="0"/>
        <w:kinsoku/>
        <w:wordWrap/>
        <w:overflowPunct/>
        <w:topLinePunct w:val="0"/>
        <w:autoSpaceDE/>
        <w:autoSpaceDN/>
        <w:bidi w:val="0"/>
        <w:adjustRightInd/>
        <w:snapToGrid w:val="0"/>
        <w:spacing w:line="312" w:lineRule="auto"/>
        <w:ind w:firstLine="480" w:firstLineChars="200"/>
        <w:textAlignment w:val="auto"/>
        <w:rPr>
          <w:rFonts w:hint="eastAsia" w:asciiTheme="minorEastAsia" w:hAnsiTheme="minorEastAsia" w:eastAsiaTheme="minorEastAsia" w:cstheme="minorEastAsia"/>
          <w:color w:val="000000"/>
          <w:kern w:val="0"/>
          <w:sz w:val="24"/>
          <w:szCs w:val="24"/>
          <w:lang w:eastAsia="zh-CN"/>
        </w:rPr>
      </w:pPr>
      <w:r>
        <w:rPr>
          <w:rFonts w:hint="eastAsia" w:asciiTheme="minorEastAsia" w:hAnsiTheme="minorEastAsia" w:eastAsiaTheme="minorEastAsia" w:cstheme="minorEastAsia"/>
          <w:color w:val="000000"/>
          <w:kern w:val="0"/>
          <w:sz w:val="24"/>
          <w:szCs w:val="24"/>
          <w:lang w:eastAsia="zh-CN"/>
        </w:rPr>
        <w:t>4、 若供应商不能按招标文件规定的交货期正常交货，采购方有权终止采购合同，并将相关情况上报给采购计划主管部门，取消其中标资格。</w:t>
      </w:r>
    </w:p>
    <w:p w14:paraId="2A3EBB04">
      <w:pPr>
        <w:keepNext w:val="0"/>
        <w:keepLines w:val="0"/>
        <w:pageBreakBefore w:val="0"/>
        <w:widowControl w:val="0"/>
        <w:kinsoku/>
        <w:wordWrap/>
        <w:overflowPunct/>
        <w:topLinePunct w:val="0"/>
        <w:autoSpaceDE/>
        <w:autoSpaceDN/>
        <w:bidi w:val="0"/>
        <w:adjustRightInd/>
        <w:snapToGrid w:val="0"/>
        <w:spacing w:line="312" w:lineRule="auto"/>
        <w:ind w:firstLine="480" w:firstLineChars="200"/>
        <w:textAlignment w:val="auto"/>
        <w:rPr>
          <w:rFonts w:hint="eastAsia" w:asciiTheme="minorEastAsia" w:hAnsiTheme="minorEastAsia" w:eastAsiaTheme="minorEastAsia" w:cstheme="minorEastAsia"/>
          <w:color w:val="000000"/>
          <w:kern w:val="0"/>
          <w:sz w:val="24"/>
          <w:szCs w:val="24"/>
          <w:lang w:eastAsia="zh-CN"/>
        </w:rPr>
      </w:pPr>
      <w:r>
        <w:rPr>
          <w:rFonts w:hint="eastAsia" w:asciiTheme="minorEastAsia" w:hAnsiTheme="minorEastAsia" w:eastAsiaTheme="minorEastAsia" w:cstheme="minorEastAsia"/>
          <w:color w:val="000000"/>
          <w:kern w:val="0"/>
          <w:sz w:val="24"/>
          <w:szCs w:val="24"/>
          <w:lang w:eastAsia="zh-CN"/>
        </w:rPr>
        <w:t>5、其他未尽事宜由供需双方在采购合同中详细约定。</w:t>
      </w:r>
      <w:bookmarkStart w:id="101" w:name="_Toc3423"/>
    </w:p>
    <w:p w14:paraId="087434E9">
      <w:pPr>
        <w:snapToGrid w:val="0"/>
        <w:spacing w:line="240" w:lineRule="auto"/>
        <w:ind w:firstLine="0" w:firstLineChars="0"/>
        <w:rPr>
          <w:rFonts w:hint="eastAsia" w:asciiTheme="minorEastAsia" w:hAnsiTheme="minorEastAsia" w:eastAsiaTheme="minorEastAsia" w:cstheme="minorEastAsia"/>
          <w:color w:val="000000"/>
          <w:kern w:val="0"/>
          <w:sz w:val="18"/>
          <w:szCs w:val="18"/>
          <w:lang w:eastAsia="zh-CN"/>
        </w:rPr>
      </w:pPr>
    </w:p>
    <w:p w14:paraId="466F67B5">
      <w:pPr>
        <w:spacing w:line="360" w:lineRule="auto"/>
        <w:jc w:val="center"/>
        <w:outlineLvl w:val="1"/>
        <w:rPr>
          <w:rFonts w:hint="eastAsia" w:ascii="宋体" w:hAnsi="宋体" w:eastAsia="宋体" w:cs="宋体"/>
          <w:b/>
          <w:bCs/>
          <w:kern w:val="2"/>
          <w:sz w:val="24"/>
          <w:szCs w:val="24"/>
          <w:lang w:eastAsia="zh-CN" w:bidi="ar-SA"/>
        </w:rPr>
      </w:pPr>
      <w:r>
        <w:rPr>
          <w:rFonts w:hint="eastAsia" w:ascii="宋体" w:hAnsi="宋体" w:eastAsia="宋体" w:cs="宋体"/>
          <w:b/>
          <w:bCs/>
          <w:kern w:val="2"/>
          <w:sz w:val="24"/>
          <w:szCs w:val="24"/>
          <w:lang w:eastAsia="zh-CN" w:bidi="ar-SA"/>
        </w:rPr>
        <w:t>三、技术需求</w:t>
      </w:r>
    </w:p>
    <w:p w14:paraId="31B8AADA">
      <w:pPr>
        <w:snapToGrid w:val="0"/>
        <w:spacing w:line="240" w:lineRule="auto"/>
        <w:ind w:firstLine="0" w:firstLineChars="0"/>
        <w:rPr>
          <w:rFonts w:hint="eastAsia" w:asciiTheme="minorEastAsia" w:hAnsiTheme="minorEastAsia" w:eastAsiaTheme="minorEastAsia" w:cstheme="minorEastAsia"/>
          <w:color w:val="000000"/>
          <w:kern w:val="0"/>
          <w:sz w:val="18"/>
          <w:szCs w:val="18"/>
          <w:lang w:eastAsia="zh-CN"/>
        </w:rPr>
      </w:pPr>
    </w:p>
    <w:p w14:paraId="293E8FCA">
      <w:pPr>
        <w:keepNext/>
        <w:keepLines/>
        <w:widowControl w:val="0"/>
        <w:numPr>
          <w:ilvl w:val="0"/>
          <w:numId w:val="0"/>
        </w:numPr>
        <w:spacing w:before="0" w:after="0" w:line="360" w:lineRule="auto"/>
        <w:ind w:left="425" w:leftChars="0" w:hanging="425" w:firstLineChars="0"/>
        <w:jc w:val="left"/>
        <w:outlineLvl w:val="0"/>
        <w:rPr>
          <w:rFonts w:hint="eastAsia" w:ascii="宋体" w:hAnsi="宋体" w:eastAsia="宋体" w:cs="宋体"/>
          <w:b/>
          <w:bCs/>
          <w:kern w:val="44"/>
          <w:sz w:val="21"/>
          <w:szCs w:val="21"/>
          <w:lang w:val="en-US" w:eastAsia="zh-CN" w:bidi="ar-SA"/>
        </w:rPr>
      </w:pPr>
      <w:r>
        <w:rPr>
          <w:rFonts w:hint="eastAsia" w:ascii="宋体" w:hAnsi="宋体" w:eastAsia="宋体" w:cs="宋体"/>
          <w:b/>
          <w:bCs/>
          <w:kern w:val="44"/>
          <w:sz w:val="21"/>
          <w:szCs w:val="21"/>
          <w:lang w:val="en-US" w:eastAsia="zh-CN" w:bidi="ar-SA"/>
        </w:rPr>
        <w:t>1总体建设需求</w:t>
      </w:r>
    </w:p>
    <w:p w14:paraId="2C2FD248">
      <w:pPr>
        <w:snapToGrid w:val="0"/>
        <w:spacing w:line="360" w:lineRule="auto"/>
        <w:ind w:firstLine="420" w:firstLineChars="20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伊犁融媒体中心深入贯彻落实党中央关于推动传统媒体与新兴媒体融合发展的指示精神，根据伊犁州党委、州党委宣传部的相关要求，建设一体化融媒体技术平台，支撑州融媒体中心报纸、电视、广播、新媒体业务的融合生产。与伊犁所辖县区形成联动机制，打造“技术一张网、宣传一张网、服务一张网”。</w:t>
      </w:r>
    </w:p>
    <w:p w14:paraId="6D4C5F6E">
      <w:pPr>
        <w:snapToGrid w:val="0"/>
        <w:spacing w:line="360" w:lineRule="auto"/>
        <w:ind w:firstLine="420" w:firstLineChars="20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总体目标的实现按照“总体规划，分步实施”的策略有序推进，本次项目采购内容主要包含：卫星接收及卫星收录、电视播出及总控、新闻非编及配套软件系统和配套服务、网络及网络安全建设、机房建设、机房基础配套设施的采购和集成服务。</w:t>
      </w:r>
    </w:p>
    <w:p w14:paraId="7463853F">
      <w:pPr>
        <w:snapToGrid w:val="0"/>
        <w:spacing w:line="360" w:lineRule="auto"/>
        <w:ind w:firstLine="420" w:firstLineChars="200"/>
        <w:jc w:val="both"/>
        <w:rPr>
          <w:rFonts w:hint="eastAsia" w:ascii="宋体" w:hAnsi="宋体" w:eastAsia="宋体" w:cs="宋体"/>
          <w:kern w:val="2"/>
          <w:sz w:val="21"/>
          <w:szCs w:val="21"/>
          <w:lang w:eastAsia="zh-CN" w:bidi="ar-SA"/>
        </w:rPr>
      </w:pPr>
      <w:r>
        <w:rPr>
          <w:rFonts w:hint="eastAsia" w:ascii="宋体" w:hAnsi="宋体" w:eastAsia="宋体" w:cs="宋体"/>
          <w:color w:val="000000"/>
          <w:kern w:val="0"/>
          <w:sz w:val="21"/>
          <w:szCs w:val="21"/>
          <w:lang w:eastAsia="zh-CN" w:bidi="ar-SA"/>
        </w:rPr>
        <w:t>供应商所完成内容包括项目的深化设计，设备采购、运输、安装施工，系统调试及售后维护工作。投标人须根据招标文件要求详细评估本项目建设过程中的设备种类和数量，须根据招标文件要求详细评估本项目的具体工作量，所有功能必须能满足采购项目整体性能的实现</w:t>
      </w:r>
      <w:r>
        <w:rPr>
          <w:rFonts w:hint="eastAsia" w:ascii="宋体" w:hAnsi="宋体" w:eastAsia="宋体" w:cs="宋体"/>
          <w:kern w:val="2"/>
          <w:sz w:val="21"/>
          <w:szCs w:val="21"/>
          <w:lang w:eastAsia="zh-CN" w:bidi="ar-SA"/>
        </w:rPr>
        <w:t>。</w:t>
      </w:r>
    </w:p>
    <w:p w14:paraId="05F2D079">
      <w:pPr>
        <w:keepNext/>
        <w:keepLines/>
        <w:widowControl w:val="0"/>
        <w:numPr>
          <w:ilvl w:val="1"/>
          <w:numId w:val="0"/>
        </w:numPr>
        <w:spacing w:before="0" w:beforeLines="0" w:after="0" w:afterLines="0" w:line="360" w:lineRule="auto"/>
        <w:ind w:left="567" w:leftChars="0" w:hanging="567" w:firstLineChars="0"/>
        <w:jc w:val="left"/>
        <w:outlineLvl w:val="1"/>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1.1建设标准</w:t>
      </w:r>
    </w:p>
    <w:p w14:paraId="31F3D63F">
      <w:pPr>
        <w:snapToGrid w:val="0"/>
        <w:spacing w:line="360" w:lineRule="auto"/>
        <w:ind w:firstLine="420" w:firstLineChars="20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以下技术规范标准由投标人自备，如有不足之处或未能达到国家最新标准时，投标人应按照国家最新规范、标准执行。参见以下有关标准：</w:t>
      </w:r>
    </w:p>
    <w:p w14:paraId="643542E4">
      <w:pPr>
        <w:spacing w:line="360" w:lineRule="auto"/>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《市级融媒体中心总体技术规范》</w:t>
      </w:r>
    </w:p>
    <w:p w14:paraId="04E69D12">
      <w:pPr>
        <w:spacing w:line="360" w:lineRule="auto"/>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《市级融媒体中心数据规范》</w:t>
      </w:r>
    </w:p>
    <w:p w14:paraId="711BB6FF">
      <w:pPr>
        <w:spacing w:line="360" w:lineRule="auto"/>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《市级融媒体中心接口规范》</w:t>
      </w:r>
    </w:p>
    <w:p w14:paraId="42A0B219">
      <w:pPr>
        <w:spacing w:line="360" w:lineRule="auto"/>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《市级融媒体中心网络安全防护基本要求》</w:t>
      </w:r>
    </w:p>
    <w:p w14:paraId="3B72EFF2">
      <w:pPr>
        <w:spacing w:line="360" w:lineRule="auto"/>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《市级融媒体中心技术系统合规性评估方法》</w:t>
      </w:r>
    </w:p>
    <w:p w14:paraId="75852213">
      <w:pPr>
        <w:spacing w:line="360" w:lineRule="auto"/>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《信息安全技术网络安全等级保护基本要求》 GB/T 22239</w:t>
      </w:r>
    </w:p>
    <w:p w14:paraId="1778E2BA">
      <w:pPr>
        <w:spacing w:line="360" w:lineRule="auto"/>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《中文新闻信息置标语言》 GB/T 20092—2013</w:t>
      </w:r>
    </w:p>
    <w:p w14:paraId="5E22FF78">
      <w:pPr>
        <w:spacing w:line="360" w:lineRule="auto"/>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《中文新闻信息分类与代码》 GB/T 20093—2013</w:t>
      </w:r>
    </w:p>
    <w:p w14:paraId="091A190E">
      <w:pPr>
        <w:spacing w:line="360" w:lineRule="auto"/>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《基于以太网技术的局域网系统验收测评规范》 GB/T 21671—2018</w:t>
      </w:r>
    </w:p>
    <w:p w14:paraId="59893478">
      <w:pPr>
        <w:spacing w:line="360" w:lineRule="auto"/>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《电视广播声音和图像的相对定时》 GB/T 22150—2008</w:t>
      </w:r>
    </w:p>
    <w:p w14:paraId="3F5F4A9C">
      <w:pPr>
        <w:spacing w:line="360" w:lineRule="auto"/>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《中文新闻图片内容描述元数据规范》 GB/T 35311—2017</w:t>
      </w:r>
    </w:p>
    <w:p w14:paraId="6F0468E2">
      <w:pPr>
        <w:spacing w:line="360" w:lineRule="auto"/>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《报道策划及新闻事件置标语言》 GB/T 35314—2017</w:t>
      </w:r>
    </w:p>
    <w:p w14:paraId="5045E7F5">
      <w:pPr>
        <w:spacing w:line="360" w:lineRule="auto"/>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《数据中心设计规范》 GB 50174—2017</w:t>
      </w:r>
    </w:p>
    <w:p w14:paraId="5FF40CEA">
      <w:pPr>
        <w:spacing w:line="360" w:lineRule="auto"/>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《综合布线系统工程验收规范》 GB/T 50312—2016</w:t>
      </w:r>
    </w:p>
    <w:p w14:paraId="5F9CCC86">
      <w:pPr>
        <w:spacing w:line="360" w:lineRule="auto"/>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《高清晰度电视节目制作及交换用视频参数值》 GY/T 155—2000</w:t>
      </w:r>
    </w:p>
    <w:p w14:paraId="740EF09B">
      <w:pPr>
        <w:spacing w:line="360" w:lineRule="auto"/>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《演播室高清晰度电视数字视频信号接口》 GY/T 157—2000</w:t>
      </w:r>
    </w:p>
    <w:p w14:paraId="799BDF4E">
      <w:pPr>
        <w:spacing w:line="360" w:lineRule="auto"/>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《电视中心播控系统数字播出通路技术指标和测量方法》 GY/T 165—2000</w:t>
      </w:r>
    </w:p>
    <w:p w14:paraId="40F398A7">
      <w:pPr>
        <w:spacing w:line="360" w:lineRule="auto"/>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《数字分量演播室的同步基准信号》 GY/T 167—2000</w:t>
      </w:r>
    </w:p>
    <w:p w14:paraId="6D9B39DF">
      <w:pPr>
        <w:spacing w:line="360" w:lineRule="auto"/>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《广播电视播音（演播）室混响时间测量规范》 GY 5022—2007</w:t>
      </w:r>
    </w:p>
    <w:p w14:paraId="72807A0C">
      <w:pPr>
        <w:spacing w:line="360" w:lineRule="auto"/>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《广播电视中心技术用房室内环境要求》 GY/T 5043—2013</w:t>
      </w:r>
    </w:p>
    <w:p w14:paraId="6E3460DB">
      <w:pPr>
        <w:spacing w:line="360" w:lineRule="auto"/>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《电视演播室灯光系统设计规范》 GY 5045—2006</w:t>
      </w:r>
    </w:p>
    <w:p w14:paraId="66005D2C">
      <w:pPr>
        <w:spacing w:line="360" w:lineRule="auto"/>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《广播电视录（播）音室、演播室声学设计规范》 GY/T 5086—2012</w:t>
      </w:r>
    </w:p>
    <w:p w14:paraId="783C2F38">
      <w:pPr>
        <w:spacing w:line="360" w:lineRule="auto"/>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《广播电视相关信息系统安全等级保护定级指南》 GD/J 037—2011</w:t>
      </w:r>
    </w:p>
    <w:p w14:paraId="037F5095">
      <w:pPr>
        <w:spacing w:line="360" w:lineRule="auto"/>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《广播电视相关信息系统安全等级保护基本要求》 GD/J 038—2011</w:t>
      </w:r>
    </w:p>
    <w:p w14:paraId="4DDE21A9">
      <w:pPr>
        <w:spacing w:line="360" w:lineRule="auto"/>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《电视中心制作系统运行维护规程》GY/T 152-2000</w:t>
      </w:r>
    </w:p>
    <w:p w14:paraId="5B52C6D3">
      <w:pPr>
        <w:spacing w:line="360" w:lineRule="auto"/>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国家广电总局《安全播出管理规定》及《电视中心实施细则》相关要求</w:t>
      </w:r>
    </w:p>
    <w:p w14:paraId="730BF398">
      <w:pPr>
        <w:spacing w:line="360" w:lineRule="auto"/>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中华人民共和国其他关于电器设备使用的有关电气标准</w:t>
      </w:r>
    </w:p>
    <w:p w14:paraId="70FE30F3">
      <w:pPr>
        <w:spacing w:line="360" w:lineRule="auto"/>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《民用建筑电气设计规范》JGJ 16-2008；</w:t>
      </w:r>
    </w:p>
    <w:p w14:paraId="22104330">
      <w:pPr>
        <w:spacing w:line="360" w:lineRule="auto"/>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《电气装置安装工程低压电器施工及验收规范》GB50254-1996；</w:t>
      </w:r>
    </w:p>
    <w:p w14:paraId="4176214D">
      <w:pPr>
        <w:spacing w:line="360" w:lineRule="auto"/>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《视频显示系统工程技术规范》 GB50464-2008；</w:t>
      </w:r>
    </w:p>
    <w:p w14:paraId="76E39281">
      <w:pPr>
        <w:spacing w:line="360" w:lineRule="auto"/>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《视听系统设备互连用连接器的应用》GB/T 15644-1995；</w:t>
      </w:r>
    </w:p>
    <w:p w14:paraId="3BB692D2">
      <w:pPr>
        <w:spacing w:line="360" w:lineRule="auto"/>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《电子计算机房设计规范》GB 50174-2008；</w:t>
      </w:r>
    </w:p>
    <w:p w14:paraId="4AC2618D">
      <w:pPr>
        <w:spacing w:line="360" w:lineRule="auto"/>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《综合布线系统工程设计规范》GB/T50311-2007；</w:t>
      </w:r>
    </w:p>
    <w:p w14:paraId="5081B19A">
      <w:pPr>
        <w:spacing w:line="360" w:lineRule="auto"/>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《有线电视广播系统技术规范》GY/T106-1999；</w:t>
      </w:r>
    </w:p>
    <w:p w14:paraId="2022FB1A">
      <w:pPr>
        <w:spacing w:line="360" w:lineRule="auto"/>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《智能建筑设计标准》GB/T 50314-2006；</w:t>
      </w:r>
    </w:p>
    <w:p w14:paraId="70B637CB">
      <w:pPr>
        <w:spacing w:line="360" w:lineRule="auto"/>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《建筑物防雷设计规范》GB50057-2010；</w:t>
      </w:r>
    </w:p>
    <w:p w14:paraId="094EBDE4">
      <w:pPr>
        <w:spacing w:line="360" w:lineRule="auto"/>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《建筑物电子信息系统防雷技术规范》GB50343-2012；</w:t>
      </w:r>
    </w:p>
    <w:p w14:paraId="16A5145C">
      <w:pPr>
        <w:spacing w:line="360" w:lineRule="auto"/>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《安全防范工程技术规范》GB50348-2004；</w:t>
      </w:r>
    </w:p>
    <w:p w14:paraId="769D650C">
      <w:pPr>
        <w:spacing w:line="360" w:lineRule="auto"/>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《民用闭路监视电视系统工程技术规范》GB50198-2011；</w:t>
      </w:r>
    </w:p>
    <w:p w14:paraId="597C178B">
      <w:pPr>
        <w:spacing w:line="360" w:lineRule="auto"/>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《国家电气设备安全技术规范》GB 19517-2009；</w:t>
      </w:r>
    </w:p>
    <w:p w14:paraId="18EFF1A5">
      <w:pPr>
        <w:spacing w:line="360" w:lineRule="auto"/>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《电子信息系统机房施工及验收规范》GB 50462-2008；</w:t>
      </w:r>
    </w:p>
    <w:p w14:paraId="4FC6558D">
      <w:pPr>
        <w:spacing w:line="360" w:lineRule="auto"/>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《大楼通信综合布线系统 第1部分：总规范》YD/T 926.1-2009；</w:t>
      </w:r>
    </w:p>
    <w:p w14:paraId="703A6033">
      <w:pPr>
        <w:spacing w:line="360" w:lineRule="auto"/>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《厅堂扩声系统设计规范》GB 50371-2006；</w:t>
      </w:r>
    </w:p>
    <w:p w14:paraId="2847C7FC">
      <w:pPr>
        <w:spacing w:line="360" w:lineRule="auto"/>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《厅堂扩声特性测量方法》GB/T 4959-2011；</w:t>
      </w:r>
    </w:p>
    <w:p w14:paraId="412EF5D5">
      <w:pPr>
        <w:spacing w:line="360" w:lineRule="auto"/>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《客观评价厅堂语言可懂度的RASTI法》GB/T 14476-1993；</w:t>
      </w:r>
    </w:p>
    <w:p w14:paraId="1EC5E7EA">
      <w:pPr>
        <w:spacing w:line="360" w:lineRule="auto"/>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《厅堂混响时间测量规范》 GB/T 50076-2013；</w:t>
      </w:r>
    </w:p>
    <w:p w14:paraId="185AB98C">
      <w:pPr>
        <w:spacing w:line="360" w:lineRule="auto"/>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《语言清晰度指数的设计方法》GB/T15485-1995；</w:t>
      </w:r>
      <w:r>
        <w:rPr>
          <w:rFonts w:hint="eastAsia" w:ascii="宋体" w:hAnsi="宋体" w:eastAsia="宋体" w:cs="宋体"/>
          <w:color w:val="000000"/>
          <w:kern w:val="0"/>
          <w:sz w:val="21"/>
          <w:szCs w:val="21"/>
          <w:lang w:eastAsia="zh-CN" w:bidi="ar-SA"/>
        </w:rPr>
        <w:tab/>
      </w:r>
    </w:p>
    <w:p w14:paraId="3838D8CD">
      <w:pPr>
        <w:spacing w:line="360" w:lineRule="auto"/>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《声学语言清晰度测试方法》GB/T 15508-1995。</w:t>
      </w:r>
    </w:p>
    <w:p w14:paraId="6AECC867">
      <w:pPr>
        <w:spacing w:line="360" w:lineRule="auto"/>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《电视演播室灯光系统设计规范》GY5045-2006</w:t>
      </w:r>
    </w:p>
    <w:p w14:paraId="4DE2C1A1">
      <w:pPr>
        <w:spacing w:line="360" w:lineRule="auto"/>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《建筑设计防火规范》GBJ16—2014</w:t>
      </w:r>
    </w:p>
    <w:p w14:paraId="2974139F">
      <w:pPr>
        <w:spacing w:line="360" w:lineRule="auto"/>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《电视中心制作系统运行维护规程》GY/T 152-2000</w:t>
      </w:r>
    </w:p>
    <w:p w14:paraId="48330517">
      <w:pPr>
        <w:spacing w:line="360" w:lineRule="auto"/>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《舞台灯光、电视、电影及摄影场所（室内外）用灯具安全要求》GB 7000.15-2000</w:t>
      </w:r>
    </w:p>
    <w:p w14:paraId="28BF32C5">
      <w:pPr>
        <w:spacing w:line="360" w:lineRule="auto"/>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《灯具一般安全要求与试验》GB7000.1-2015</w:t>
      </w:r>
    </w:p>
    <w:p w14:paraId="6B1AA134">
      <w:pPr>
        <w:spacing w:line="360" w:lineRule="auto"/>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《电视中心制作系统运行维护规程》GY/T152-2000</w:t>
      </w:r>
    </w:p>
    <w:p w14:paraId="20475ABD">
      <w:pPr>
        <w:spacing w:line="360" w:lineRule="auto"/>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《电视演播室灯光系统施工及验收规范》GY5070-2013</w:t>
      </w:r>
    </w:p>
    <w:p w14:paraId="0CE27550">
      <w:pPr>
        <w:spacing w:line="360" w:lineRule="auto"/>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《电气装置安装工程盘、柜及二次回路结线施工及验收规范》GB50171-2012</w:t>
      </w:r>
    </w:p>
    <w:p w14:paraId="77C45A0E">
      <w:pPr>
        <w:spacing w:line="360" w:lineRule="auto"/>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《安全防范工程程序与要求》GAT75-94</w:t>
      </w:r>
    </w:p>
    <w:p w14:paraId="4827E9FA">
      <w:pPr>
        <w:spacing w:line="360" w:lineRule="auto"/>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《供配电系统设计规范》GB50052-2009</w:t>
      </w:r>
    </w:p>
    <w:p w14:paraId="69E1C96E">
      <w:pPr>
        <w:spacing w:line="360" w:lineRule="auto"/>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《低压配电设计规范》GB50054-2011</w:t>
      </w:r>
    </w:p>
    <w:p w14:paraId="2CFD6382">
      <w:pPr>
        <w:spacing w:line="360" w:lineRule="auto"/>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《建筑照明设计标准》GB50034-2013</w:t>
      </w:r>
    </w:p>
    <w:p w14:paraId="6E726F9A">
      <w:pPr>
        <w:spacing w:line="360" w:lineRule="auto"/>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《民用建筑电气设计规范》JGJ16-2008</w:t>
      </w:r>
    </w:p>
    <w:p w14:paraId="38B9BB30">
      <w:pPr>
        <w:spacing w:line="360" w:lineRule="auto"/>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《民用建筑电气设计标准》GB51348-2019</w:t>
      </w:r>
    </w:p>
    <w:p w14:paraId="644EA623">
      <w:pPr>
        <w:snapToGrid w:val="0"/>
        <w:spacing w:line="360" w:lineRule="auto"/>
        <w:ind w:firstLine="420" w:firstLineChars="20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其它与本项目相关的国家标准。</w:t>
      </w:r>
    </w:p>
    <w:p w14:paraId="24993358">
      <w:pPr>
        <w:snapToGrid w:val="0"/>
        <w:spacing w:line="360" w:lineRule="auto"/>
        <w:ind w:firstLine="420" w:firstLineChars="20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注：如以上所有设计规范、规程、标准的文件版本出现更新的，应采用最新版本。</w:t>
      </w:r>
    </w:p>
    <w:p w14:paraId="771B8E73">
      <w:pPr>
        <w:snapToGrid w:val="0"/>
        <w:spacing w:line="360" w:lineRule="auto"/>
        <w:ind w:firstLine="420" w:firstLineChars="20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工艺系统设备总体要求:</w:t>
      </w:r>
    </w:p>
    <w:p w14:paraId="37CBF300">
      <w:pPr>
        <w:snapToGrid w:val="0"/>
        <w:spacing w:line="360" w:lineRule="auto"/>
        <w:ind w:firstLine="420" w:firstLineChars="20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招标人提供的配置清单仅为最少配置，投标人应根据自行现场勘查的结果结合招标人的需求进行投标人案和配置清单的编制，并提供相应的设施设备。投标人还需综合考虑本项目建设期间可能涉及的其他费用，以及保证整体项目顺利通过相关主管单位验收所必需的设备设施和配品配件及必要的整改措施，招标人不再支付与本项目相关的其他费用。</w:t>
      </w:r>
    </w:p>
    <w:p w14:paraId="3A62FCBE">
      <w:pPr>
        <w:snapToGrid w:val="0"/>
        <w:spacing w:line="360" w:lineRule="auto"/>
        <w:ind w:firstLine="420" w:firstLineChars="20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投标人提供的设备及相关产品必须满足以下要求：</w:t>
      </w:r>
    </w:p>
    <w:p w14:paraId="3B7704CB">
      <w:pPr>
        <w:snapToGrid w:val="0"/>
        <w:spacing w:line="360" w:lineRule="auto"/>
        <w:ind w:firstLine="420" w:firstLineChars="20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必须满足本文所描述的设备及配置需求，投标人必须根据方案要求和系统运行的实际需求，列出合理的设备配置和报价的建议，并明确说明其用途和类型；</w:t>
      </w:r>
    </w:p>
    <w:p w14:paraId="5366C47C">
      <w:pPr>
        <w:snapToGrid w:val="0"/>
        <w:spacing w:line="360" w:lineRule="auto"/>
        <w:ind w:firstLine="420" w:firstLineChars="20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投标人所提供的所有设备需配备完整以构成一套实用的系统；</w:t>
      </w:r>
    </w:p>
    <w:p w14:paraId="14170B82">
      <w:pPr>
        <w:snapToGrid w:val="0"/>
        <w:spacing w:line="360" w:lineRule="auto"/>
        <w:ind w:firstLine="420" w:firstLineChars="20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所有设备必须满足国内和国际有关设备的安全、电磁学、质量等方面规范和标准；</w:t>
      </w:r>
    </w:p>
    <w:p w14:paraId="119402BF">
      <w:pPr>
        <w:snapToGrid w:val="0"/>
        <w:spacing w:line="360" w:lineRule="auto"/>
        <w:ind w:firstLine="420" w:firstLineChars="20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投标设备所要求的特别接头和插座由投标人提供；</w:t>
      </w:r>
    </w:p>
    <w:p w14:paraId="1355391D">
      <w:pPr>
        <w:snapToGrid w:val="0"/>
        <w:spacing w:line="360" w:lineRule="auto"/>
        <w:ind w:firstLine="420" w:firstLineChars="20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投标人必须保证所提供产品的相应软件为最新正式版本，且都具有在中国境内的正式合法使用权。</w:t>
      </w:r>
    </w:p>
    <w:p w14:paraId="542AE027">
      <w:pPr>
        <w:snapToGrid w:val="0"/>
        <w:spacing w:line="360" w:lineRule="auto"/>
        <w:ind w:firstLine="420" w:firstLineChars="20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投标人对本项目进行的点对点技术应答，与实际供货产品必须保持一致。</w:t>
      </w:r>
    </w:p>
    <w:p w14:paraId="0EDF34CD">
      <w:pPr>
        <w:snapToGrid w:val="0"/>
        <w:spacing w:line="360" w:lineRule="auto"/>
        <w:ind w:firstLine="420" w:firstLineChars="20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投标人必须对投标的各项产品，以及下述相关设备有关文字说明的技术性能指标要求给予明确响应：</w:t>
      </w:r>
    </w:p>
    <w:p w14:paraId="4827890A">
      <w:pPr>
        <w:snapToGrid w:val="0"/>
        <w:spacing w:line="360" w:lineRule="auto"/>
        <w:ind w:firstLine="420" w:firstLineChars="20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符合中国国内已经制定的国家及行业技术标准；</w:t>
      </w:r>
    </w:p>
    <w:p w14:paraId="51485D4A">
      <w:pPr>
        <w:snapToGrid w:val="0"/>
        <w:spacing w:line="360" w:lineRule="auto"/>
        <w:ind w:firstLine="420" w:firstLineChars="20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关键设备或系统核心通道上使用的设备要满足热插拔功能；</w:t>
      </w:r>
    </w:p>
    <w:p w14:paraId="698A67EF">
      <w:pPr>
        <w:snapToGrid w:val="0"/>
        <w:spacing w:line="360" w:lineRule="auto"/>
        <w:ind w:firstLine="420" w:firstLineChars="20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设备中使用的电路及机械装置，以能够长期稳定运行为首要条件，应该已经通过试运行、实验或者使用效果来确认其稳定性；</w:t>
      </w:r>
    </w:p>
    <w:p w14:paraId="773E4492">
      <w:pPr>
        <w:snapToGrid w:val="0"/>
        <w:spacing w:line="360" w:lineRule="auto"/>
        <w:ind w:firstLine="420" w:firstLineChars="20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系统设备结构简单易于维护，对于同种类型的设备及单元模块，应该在机械性电气性方面完全具有良好的互换性及兼容性；</w:t>
      </w:r>
    </w:p>
    <w:p w14:paraId="7E2E16B6">
      <w:pPr>
        <w:snapToGrid w:val="0"/>
        <w:spacing w:line="360" w:lineRule="auto"/>
        <w:ind w:firstLine="420" w:firstLineChars="20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使用的零部件，应该具有一定的通用性和可靠性。但是，如果不得不使用特殊零件时，要进行完善的质量管理，以便在出现故障时能够尽快解决；</w:t>
      </w:r>
    </w:p>
    <w:p w14:paraId="6E61B28D">
      <w:pPr>
        <w:snapToGrid w:val="0"/>
        <w:spacing w:line="360" w:lineRule="auto"/>
        <w:ind w:firstLine="420" w:firstLineChars="20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应该采用故障或者误操作不至于损伤装置的设计；</w:t>
      </w:r>
    </w:p>
    <w:p w14:paraId="379C2774">
      <w:pPr>
        <w:snapToGrid w:val="0"/>
        <w:spacing w:line="360" w:lineRule="auto"/>
        <w:ind w:firstLine="420" w:firstLineChars="20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各装置以及附属设备产生的噪音以及引起的震动应该尽量小；</w:t>
      </w:r>
    </w:p>
    <w:p w14:paraId="6FD04CC9">
      <w:pPr>
        <w:snapToGrid w:val="0"/>
        <w:spacing w:line="360" w:lineRule="auto"/>
        <w:ind w:firstLine="420" w:firstLineChars="20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作为耐震结构，在安装时，应该可以固定在地面、墙面或者天花板。机架、主机、操作面板等，应该可以通过底座、托架或者其他装置固定，并采取绝缘措施；</w:t>
      </w:r>
    </w:p>
    <w:p w14:paraId="67E7236D">
      <w:pPr>
        <w:snapToGrid w:val="0"/>
        <w:spacing w:line="360" w:lineRule="auto"/>
        <w:ind w:firstLine="420" w:firstLineChars="20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对于系统内的核心设备，中标人应提供设备厂家的现场调试及培训；</w:t>
      </w:r>
    </w:p>
    <w:p w14:paraId="730DF41D">
      <w:pPr>
        <w:snapToGrid w:val="0"/>
        <w:spacing w:line="360" w:lineRule="auto"/>
        <w:ind w:firstLine="420" w:firstLineChars="20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投标人应根据技术要求提交系统设备集成方案；提供完整的设备清单；提供设备材料的供应，系统安装调试、人员培训等进度计划；</w:t>
      </w:r>
    </w:p>
    <w:p w14:paraId="22A94AA5">
      <w:pPr>
        <w:snapToGrid w:val="0"/>
        <w:spacing w:line="360" w:lineRule="auto"/>
        <w:ind w:firstLine="420" w:firstLineChars="20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投标人在所提供的图纸资料和系统设计技术要求中未明确说明，但可以推断是整个系统安装和运行时不可缺少或必需的一切设备和工作，必须列出文字说明，总价中未见视为已含；</w:t>
      </w:r>
    </w:p>
    <w:p w14:paraId="6978080D">
      <w:pPr>
        <w:snapToGrid w:val="0"/>
        <w:spacing w:line="360" w:lineRule="auto"/>
        <w:ind w:firstLine="420" w:firstLineChars="20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投标人必须提供有关设备材料的合格书和技术说明书等资料，待确认后方可定货和安装；</w:t>
      </w:r>
    </w:p>
    <w:p w14:paraId="24F3A770">
      <w:pPr>
        <w:snapToGrid w:val="0"/>
        <w:spacing w:line="360" w:lineRule="auto"/>
        <w:ind w:firstLine="420" w:firstLineChars="20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本项目总体需求未提及的以分项需求为准。</w:t>
      </w:r>
    </w:p>
    <w:p w14:paraId="4E89A71E">
      <w:pPr>
        <w:snapToGrid w:val="0"/>
        <w:spacing w:line="360" w:lineRule="auto"/>
        <w:ind w:firstLine="420" w:firstLineChars="20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1.设备要求</w:t>
      </w:r>
    </w:p>
    <w:p w14:paraId="5C9C88D5">
      <w:pPr>
        <w:snapToGrid w:val="0"/>
        <w:spacing w:line="360" w:lineRule="auto"/>
        <w:ind w:firstLine="420" w:firstLineChars="20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1）符合中国国内已经制定的国家及行业技术标准；</w:t>
      </w:r>
    </w:p>
    <w:p w14:paraId="689B7BF4">
      <w:pPr>
        <w:snapToGrid w:val="0"/>
        <w:spacing w:line="360" w:lineRule="auto"/>
        <w:ind w:firstLine="420" w:firstLineChars="20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2）关键设备或系统核心通道上使用的设备要满足热插拔功能；</w:t>
      </w:r>
    </w:p>
    <w:p w14:paraId="582E64E6">
      <w:pPr>
        <w:snapToGrid w:val="0"/>
        <w:spacing w:line="360" w:lineRule="auto"/>
        <w:ind w:firstLine="420" w:firstLineChars="20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3）设备中使用的电路以及机械装置，以能够长期稳定运行为首要条件，应该已经通过试运行、实验或者使用效果来确认其稳定性；</w:t>
      </w:r>
    </w:p>
    <w:p w14:paraId="14ABDA92">
      <w:pPr>
        <w:snapToGrid w:val="0"/>
        <w:spacing w:line="360" w:lineRule="auto"/>
        <w:ind w:firstLine="420" w:firstLineChars="20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4）系统设备结构简单易于维护，对于同种类型的设备及单元模块，应该在机械性电气性方面完全具有良好的互换性及兼容性；</w:t>
      </w:r>
    </w:p>
    <w:p w14:paraId="4B5CAF21">
      <w:pPr>
        <w:snapToGrid w:val="0"/>
        <w:spacing w:line="360" w:lineRule="auto"/>
        <w:ind w:firstLine="420" w:firstLineChars="20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5）使用的零部件，应该具有一定的通用性和可靠性。但是，如果不得不使用特殊零件时，要进行完善的质量管理，以便在出现故障时能够尽快解决；</w:t>
      </w:r>
    </w:p>
    <w:p w14:paraId="357C2FF0">
      <w:pPr>
        <w:snapToGrid w:val="0"/>
        <w:spacing w:line="360" w:lineRule="auto"/>
        <w:ind w:firstLine="420" w:firstLineChars="20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6）应该采用故障或者误操作不至于损伤装置的设计；</w:t>
      </w:r>
    </w:p>
    <w:p w14:paraId="0DCF0F34">
      <w:pPr>
        <w:snapToGrid w:val="0"/>
        <w:spacing w:line="360" w:lineRule="auto"/>
        <w:ind w:firstLine="420" w:firstLineChars="20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7）各装置以及附属设备产生的噪音以及引起的震动应该尽量小；</w:t>
      </w:r>
    </w:p>
    <w:p w14:paraId="57CFD8A7">
      <w:pPr>
        <w:snapToGrid w:val="0"/>
        <w:spacing w:line="360" w:lineRule="auto"/>
        <w:ind w:firstLine="420" w:firstLineChars="20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8）应该采取防尘及防潮对策；</w:t>
      </w:r>
    </w:p>
    <w:p w14:paraId="2168FF00">
      <w:pPr>
        <w:snapToGrid w:val="0"/>
        <w:spacing w:line="360" w:lineRule="auto"/>
        <w:ind w:firstLine="420" w:firstLineChars="20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9）作为耐震结构，在安装时，应该可以固定在地面、墙面或者天花板。机架、主机、操作面板等，应该可以通过底座、托架或者其他装置固定，并采取绝缘措施；</w:t>
      </w:r>
    </w:p>
    <w:p w14:paraId="679576B5">
      <w:pPr>
        <w:snapToGrid w:val="0"/>
        <w:spacing w:line="360" w:lineRule="auto"/>
        <w:ind w:firstLine="420" w:firstLineChars="20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10）应该采用能够和其他设备整合的设计；</w:t>
      </w:r>
    </w:p>
    <w:p w14:paraId="3CE53FC6">
      <w:pPr>
        <w:snapToGrid w:val="0"/>
        <w:spacing w:line="360" w:lineRule="auto"/>
        <w:ind w:firstLine="420" w:firstLineChars="20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11）所有出入机房的信号通过接口板连接，在其它需要设置跳线板的地方设置跳线板；</w:t>
      </w:r>
    </w:p>
    <w:p w14:paraId="14D1864E">
      <w:pPr>
        <w:snapToGrid w:val="0"/>
        <w:spacing w:line="360" w:lineRule="auto"/>
        <w:ind w:firstLine="420" w:firstLineChars="20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12）相关设备厂商应提供设备的检测软件接口，以及对外控制接口。</w:t>
      </w:r>
    </w:p>
    <w:p w14:paraId="21DC11E8">
      <w:pPr>
        <w:snapToGrid w:val="0"/>
        <w:spacing w:line="360" w:lineRule="auto"/>
        <w:ind w:firstLine="420" w:firstLineChars="20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2.额定规格</w:t>
      </w:r>
    </w:p>
    <w:p w14:paraId="1EBBC37D">
      <w:pPr>
        <w:snapToGrid w:val="0"/>
        <w:spacing w:line="360" w:lineRule="auto"/>
        <w:ind w:firstLine="420" w:firstLineChars="20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除有特别规定的除外，一般规格按照以下规定。</w:t>
      </w:r>
    </w:p>
    <w:p w14:paraId="5F44A522">
      <w:pPr>
        <w:snapToGrid w:val="0"/>
        <w:spacing w:line="360" w:lineRule="auto"/>
        <w:ind w:firstLine="420" w:firstLineChars="20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1）电源电压：AC220V±10%,5OHz±10%；</w:t>
      </w:r>
    </w:p>
    <w:p w14:paraId="2C2F42EF">
      <w:pPr>
        <w:snapToGrid w:val="0"/>
        <w:spacing w:line="360" w:lineRule="auto"/>
        <w:ind w:firstLine="420" w:firstLineChars="20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2）环境温度：5℃--40℃（设备室以及操作室）；</w:t>
      </w:r>
    </w:p>
    <w:p w14:paraId="4D283AE2">
      <w:pPr>
        <w:snapToGrid w:val="0"/>
        <w:spacing w:line="360" w:lineRule="auto"/>
        <w:ind w:firstLine="420" w:firstLineChars="20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3）环境湿度：10%to90%（设备室以及操作室）；</w:t>
      </w:r>
    </w:p>
    <w:p w14:paraId="28115A1C">
      <w:pPr>
        <w:snapToGrid w:val="0"/>
        <w:spacing w:line="360" w:lineRule="auto"/>
        <w:ind w:firstLine="420" w:firstLineChars="20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4）使用情况：24小时连续不间断（对于工艺系统设备要求）。</w:t>
      </w:r>
    </w:p>
    <w:p w14:paraId="71EAD32A">
      <w:pPr>
        <w:snapToGrid w:val="0"/>
        <w:spacing w:line="360" w:lineRule="auto"/>
        <w:ind w:firstLine="420" w:firstLineChars="20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3.电缆敷设</w:t>
      </w:r>
    </w:p>
    <w:p w14:paraId="7FF5C27A">
      <w:pPr>
        <w:snapToGrid w:val="0"/>
        <w:spacing w:line="360" w:lineRule="auto"/>
        <w:ind w:firstLine="420" w:firstLineChars="20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1）布线电缆上必须附有编号，编号规则必须遵照统一规定；</w:t>
      </w:r>
    </w:p>
    <w:p w14:paraId="3E52AC23">
      <w:pPr>
        <w:snapToGrid w:val="0"/>
        <w:spacing w:line="360" w:lineRule="auto"/>
        <w:ind w:firstLine="420" w:firstLineChars="20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2）编号同时还应该反映在布线系统图上，必须提供视频、控制等的布线工程图纸；</w:t>
      </w:r>
    </w:p>
    <w:p w14:paraId="27DFC018">
      <w:pPr>
        <w:snapToGrid w:val="0"/>
        <w:spacing w:line="360" w:lineRule="auto"/>
        <w:ind w:firstLine="420" w:firstLineChars="20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3）同轴电缆根据信号的种类，应该分为不同颜色加以区分；</w:t>
      </w:r>
    </w:p>
    <w:p w14:paraId="5959E870">
      <w:pPr>
        <w:snapToGrid w:val="0"/>
        <w:spacing w:line="360" w:lineRule="auto"/>
        <w:ind w:firstLine="420" w:firstLineChars="20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4）系统安装时避免等距离扎线，以防止驻波产生；</w:t>
      </w:r>
    </w:p>
    <w:p w14:paraId="7B664904">
      <w:pPr>
        <w:snapToGrid w:val="0"/>
        <w:spacing w:line="360" w:lineRule="auto"/>
        <w:ind w:firstLine="420" w:firstLineChars="20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5）施工时在电缆的两端、装上线号和塑封标签；</w:t>
      </w:r>
    </w:p>
    <w:p w14:paraId="0C0187B3">
      <w:pPr>
        <w:snapToGrid w:val="0"/>
        <w:spacing w:line="360" w:lineRule="auto"/>
        <w:ind w:firstLine="420" w:firstLineChars="20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6）电缆标示符合耐磨、防水的要求，电缆标示使用荧光或其他色彩鲜艳的类似材料，根据电缆传输信号的特性可以设置分色管理。</w:t>
      </w:r>
    </w:p>
    <w:p w14:paraId="386F84E2">
      <w:pPr>
        <w:snapToGrid w:val="0"/>
        <w:spacing w:line="360" w:lineRule="auto"/>
        <w:ind w:firstLine="420" w:firstLineChars="20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4、配电改造</w:t>
      </w:r>
    </w:p>
    <w:p w14:paraId="31FA95FF">
      <w:pPr>
        <w:snapToGrid w:val="0"/>
        <w:spacing w:line="360" w:lineRule="auto"/>
        <w:ind w:firstLine="420" w:firstLineChars="20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1）机房提供主备两路工艺用电源（三相五线制），并配备主备电源主开关；</w:t>
      </w:r>
    </w:p>
    <w:p w14:paraId="30B1D4B6">
      <w:pPr>
        <w:snapToGrid w:val="0"/>
        <w:spacing w:line="360" w:lineRule="auto"/>
        <w:ind w:firstLine="420" w:firstLineChars="20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2）配备系统用电源柜，要求实现主备电源倒换，电源的电流、电压显示，电源故障显示及报警装置等功能；</w:t>
      </w:r>
    </w:p>
    <w:p w14:paraId="3312626A">
      <w:pPr>
        <w:snapToGrid w:val="0"/>
        <w:spacing w:line="360" w:lineRule="auto"/>
        <w:ind w:firstLine="420" w:firstLineChars="20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3）系统设计时主备电源的取得必须合理，配置必须平衡。一路供电出现故障时节目可以应急播出，不致产生严重的停播事故；</w:t>
      </w:r>
    </w:p>
    <w:p w14:paraId="5CCB7235">
      <w:pPr>
        <w:snapToGrid w:val="0"/>
        <w:spacing w:line="360" w:lineRule="auto"/>
        <w:ind w:firstLine="420" w:firstLineChars="20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4）系统主道内的设备须提供双电源模式，任一电源损坏不致于造成停播；</w:t>
      </w:r>
    </w:p>
    <w:p w14:paraId="565BF2DC">
      <w:pPr>
        <w:snapToGrid w:val="0"/>
        <w:spacing w:line="360" w:lineRule="auto"/>
        <w:ind w:firstLine="420" w:firstLineChars="20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5）机架设备供电应为双路冗余；</w:t>
      </w:r>
    </w:p>
    <w:p w14:paraId="38AA3A18">
      <w:pPr>
        <w:snapToGrid w:val="0"/>
        <w:spacing w:line="360" w:lineRule="auto"/>
        <w:ind w:firstLine="420" w:firstLineChars="20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6）设备集中接在本房间的工艺地线接入装置上，各房间工艺地线接入装置相互隔离，所有设备机柜必须接地。</w:t>
      </w:r>
    </w:p>
    <w:p w14:paraId="2EB2DD23">
      <w:pPr>
        <w:snapToGrid w:val="0"/>
        <w:spacing w:line="360" w:lineRule="auto"/>
        <w:ind w:firstLine="420" w:firstLineChars="20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5、系统接地</w:t>
      </w:r>
    </w:p>
    <w:p w14:paraId="16632304">
      <w:pPr>
        <w:snapToGrid w:val="0"/>
        <w:spacing w:line="360" w:lineRule="auto"/>
        <w:ind w:firstLine="420" w:firstLineChars="20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1）为规范工艺设备接地及综合接地施工，中标人应严格按国家相关接地要求进行相关接地施工（各楼层工艺接地应接入各楼层相应等电位体，等电位体设施由甲方协调提供）；</w:t>
      </w:r>
    </w:p>
    <w:p w14:paraId="36D3C868">
      <w:pPr>
        <w:snapToGrid w:val="0"/>
        <w:spacing w:line="360" w:lineRule="auto"/>
        <w:ind w:firstLine="420" w:firstLineChars="20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2）设备工艺电源进入演播机房后，一律将电源PE线换为工艺地线，形成新的PN-S系统。即各机房设备由配电箱下端口引出220V电源时，每路只需接零线及一根相线，PE线不接，换成工艺地线。零线不通过空气开关；</w:t>
      </w:r>
    </w:p>
    <w:p w14:paraId="439E4096">
      <w:pPr>
        <w:snapToGrid w:val="0"/>
        <w:spacing w:line="360" w:lineRule="auto"/>
        <w:ind w:firstLine="420" w:firstLineChars="20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3）技术机房工艺设备机柜、机架底部应通过绝缘材料与地面绝缘，绝缘材料的强度应能承载满载设备的机柜、机架的重量。技术机房工艺设备机柜、机架采用绝缘外层黄绿色相间35m㎡的绝缘多芯屏蔽铜线有效连接到机房工艺接地箱的接线端子上，工艺设备相邻机柜之间的上下部，各有一条不小于20×0.5㎜铜带（或铜编织带）将机柜互相连接。如电视墙、控制台底座不是直接接触楼层建筑钢筋，可不考虑绝缘；</w:t>
      </w:r>
    </w:p>
    <w:p w14:paraId="2F55DCB8">
      <w:pPr>
        <w:snapToGrid w:val="0"/>
        <w:spacing w:line="360" w:lineRule="auto"/>
        <w:ind w:firstLine="420" w:firstLineChars="20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4）设备机柜上设备应由以下路径接工艺地：由设备电源插件地端接至工艺地；同时由设备专用接地端或外壳通过绝缘外层黄绿色相间2.5㎜²的单根多芯铜线有效连接至工艺设备机柜上的工艺接地铜带；</w:t>
      </w:r>
    </w:p>
    <w:p w14:paraId="07167754">
      <w:pPr>
        <w:snapToGrid w:val="0"/>
        <w:spacing w:line="360" w:lineRule="auto"/>
        <w:ind w:firstLine="420" w:firstLineChars="20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5）机房内走线的桥架、穿线用的金属管外壳、防静电地板的金属支撑架等就近接至铺在机房地板上的综合接地环母上；</w:t>
      </w:r>
    </w:p>
    <w:p w14:paraId="2EC3A42F">
      <w:pPr>
        <w:keepNext/>
        <w:keepLines/>
        <w:widowControl w:val="0"/>
        <w:numPr>
          <w:ilvl w:val="1"/>
          <w:numId w:val="0"/>
        </w:numPr>
        <w:spacing w:before="0" w:beforeLines="0" w:after="0" w:afterLines="0" w:line="360" w:lineRule="auto"/>
        <w:ind w:left="567" w:leftChars="0" w:hanging="567" w:firstLineChars="0"/>
        <w:jc w:val="left"/>
        <w:outlineLvl w:val="1"/>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1.2卫星接收及收录系统总体要求</w:t>
      </w:r>
    </w:p>
    <w:p w14:paraId="20C543A7">
      <w:pPr>
        <w:snapToGrid w:val="0"/>
        <w:spacing w:line="360" w:lineRule="auto"/>
        <w:ind w:firstLine="420" w:firstLineChars="20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卫星接收系统由4个C波段卫星天线、2个Ku波段卫星天线、高频头、有源功分器等相关设备及配套设施组成，用于实时接收并解码来自卫星的信号，确保重要新闻、赛事等高清内容的及时收录与播出。</w:t>
      </w:r>
    </w:p>
    <w:p w14:paraId="40180285">
      <w:pPr>
        <w:snapToGrid w:val="0"/>
        <w:spacing w:line="360" w:lineRule="auto"/>
        <w:ind w:firstLine="420" w:firstLineChars="20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收录及监测系统由卫星解码器、有线解码器、收录系统存储、TS流收录系统、数字前端报警系统等设备组成用于实现卫星、有线节目的接收与存储，并对其进行监测。</w:t>
      </w:r>
    </w:p>
    <w:p w14:paraId="011B74C5">
      <w:pPr>
        <w:snapToGrid w:val="0"/>
        <w:spacing w:line="360" w:lineRule="auto"/>
        <w:ind w:firstLine="420" w:firstLineChars="20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卫星接收系统和收录系统要与现有播出系统形成一体化，减少或免除素材格式转换，最大程度地保证信号质量的同时，可以实现卫星节目接收、高清播出和内容收录的全链条高效协同。</w:t>
      </w:r>
    </w:p>
    <w:p w14:paraId="351E1706">
      <w:pPr>
        <w:keepNext/>
        <w:keepLines/>
        <w:widowControl w:val="0"/>
        <w:numPr>
          <w:ilvl w:val="1"/>
          <w:numId w:val="0"/>
        </w:numPr>
        <w:spacing w:before="0" w:beforeLines="0" w:after="0" w:afterLines="0" w:line="360" w:lineRule="auto"/>
        <w:ind w:left="567" w:leftChars="0" w:hanging="567" w:firstLineChars="0"/>
        <w:jc w:val="left"/>
        <w:outlineLvl w:val="1"/>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1.3电视播出及总控总体要求</w:t>
      </w:r>
    </w:p>
    <w:p w14:paraId="562B9A9A">
      <w:pPr>
        <w:snapToGrid w:val="0"/>
        <w:spacing w:line="360" w:lineRule="auto"/>
        <w:ind w:firstLine="420" w:firstLineChars="20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建设3个频道高清播出系统、信源收录及监测系统主要由服务器工作站、播出系统总控系统、播出分控系统、同步时钟系统、显示监看系统</w:t>
      </w:r>
      <w:bookmarkStart w:id="102" w:name="_Hlk166830477"/>
      <w:r>
        <w:rPr>
          <w:rFonts w:hint="eastAsia" w:ascii="宋体" w:hAnsi="宋体" w:eastAsia="宋体" w:cs="宋体"/>
          <w:color w:val="000000"/>
          <w:kern w:val="0"/>
          <w:sz w:val="21"/>
          <w:szCs w:val="21"/>
          <w:lang w:eastAsia="zh-CN" w:bidi="ar-SA"/>
        </w:rPr>
        <w:t>、</w:t>
      </w:r>
      <w:bookmarkEnd w:id="102"/>
      <w:r>
        <w:rPr>
          <w:rFonts w:hint="eastAsia" w:ascii="宋体" w:hAnsi="宋体" w:eastAsia="宋体" w:cs="宋体"/>
          <w:color w:val="000000"/>
          <w:kern w:val="0"/>
          <w:sz w:val="21"/>
          <w:szCs w:val="21"/>
          <w:lang w:eastAsia="zh-CN" w:bidi="ar-SA"/>
        </w:rPr>
        <w:t>信源收录与监测以及配套设施集成、调试、培训等部分组成。</w:t>
      </w:r>
    </w:p>
    <w:p w14:paraId="2427168B">
      <w:pPr>
        <w:snapToGrid w:val="0"/>
        <w:spacing w:line="360" w:lineRule="auto"/>
        <w:ind w:firstLine="420" w:firstLineChars="200"/>
        <w:jc w:val="both"/>
        <w:rPr>
          <w:rFonts w:hint="eastAsia" w:ascii="宋体" w:hAnsi="宋体" w:eastAsia="宋体" w:cs="宋体"/>
          <w:color w:val="000000"/>
          <w:kern w:val="2"/>
          <w:sz w:val="21"/>
          <w:szCs w:val="21"/>
          <w:lang w:eastAsia="zh-CN" w:bidi="ar-SA"/>
        </w:rPr>
      </w:pPr>
      <w:r>
        <w:rPr>
          <w:rFonts w:hint="eastAsia" w:ascii="宋体" w:hAnsi="宋体" w:eastAsia="宋体" w:cs="宋体"/>
          <w:color w:val="000000"/>
          <w:kern w:val="2"/>
          <w:sz w:val="21"/>
          <w:szCs w:val="21"/>
          <w:lang w:eastAsia="zh-CN" w:bidi="ar-SA"/>
        </w:rPr>
        <w:t>视频服务</w:t>
      </w:r>
      <w:r>
        <w:rPr>
          <w:rFonts w:hint="eastAsia" w:ascii="宋体" w:hAnsi="宋体" w:eastAsia="宋体" w:cs="宋体"/>
          <w:kern w:val="2"/>
          <w:sz w:val="21"/>
          <w:szCs w:val="21"/>
          <w:lang w:eastAsia="zh-CN" w:bidi="ar-SA"/>
        </w:rPr>
        <w:t>器按照主、备、第三备镜像设计</w:t>
      </w:r>
      <w:r>
        <w:rPr>
          <w:rFonts w:hint="eastAsia" w:ascii="宋体" w:hAnsi="宋体" w:eastAsia="宋体" w:cs="宋体"/>
          <w:color w:val="000000"/>
          <w:kern w:val="2"/>
          <w:sz w:val="21"/>
          <w:szCs w:val="21"/>
          <w:lang w:eastAsia="zh-CN" w:bidi="ar-SA"/>
        </w:rPr>
        <w:t>，采用播出与控制分离、上载与播出分离的原则进行。系统具备完善的节目技审体系，支持MD5校验，可实现自动技审+人工技审；系统要求在满足先进功能的同时，确保播出网络安全，做到系统无单一溃点设计，支持嵌入数字音频的SDI信号的播出，系统输出音视频技术指标要求能达到广播甲级。系统采用全数字化设计。</w:t>
      </w:r>
    </w:p>
    <w:p w14:paraId="48D75C21">
      <w:pPr>
        <w:numPr>
          <w:ilvl w:val="0"/>
          <w:numId w:val="8"/>
        </w:numPr>
        <w:snapToGrid w:val="0"/>
        <w:spacing w:line="360" w:lineRule="auto"/>
        <w:ind w:hanging="5"/>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具有方便扩充频道的能力。</w:t>
      </w:r>
    </w:p>
    <w:p w14:paraId="20730E72">
      <w:pPr>
        <w:numPr>
          <w:ilvl w:val="0"/>
          <w:numId w:val="8"/>
        </w:numPr>
        <w:tabs>
          <w:tab w:val="left" w:pos="0"/>
          <w:tab w:val="clear" w:pos="425"/>
        </w:tabs>
        <w:snapToGrid w:val="0"/>
        <w:spacing w:line="360" w:lineRule="auto"/>
        <w:ind w:left="0" w:firstLine="401" w:firstLineChars="191"/>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视频服务器要对各种高标清节目素材文件具有良好的兼容性，需具备高标清素材自动上下变换能力。</w:t>
      </w:r>
    </w:p>
    <w:p w14:paraId="552F4AC8">
      <w:pPr>
        <w:numPr>
          <w:ilvl w:val="0"/>
          <w:numId w:val="8"/>
        </w:numPr>
        <w:snapToGrid w:val="0"/>
        <w:spacing w:line="360" w:lineRule="auto"/>
        <w:ind w:hanging="5"/>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视频服务器、数据库服务器在工作中必须真正实现主备镜像作用。</w:t>
      </w:r>
    </w:p>
    <w:p w14:paraId="0E54BF91">
      <w:pPr>
        <w:numPr>
          <w:ilvl w:val="0"/>
          <w:numId w:val="8"/>
        </w:numPr>
        <w:snapToGrid w:val="0"/>
        <w:spacing w:line="360" w:lineRule="auto"/>
        <w:ind w:hanging="5"/>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视频服务器能够存储不少于30天的待播节目。</w:t>
      </w:r>
    </w:p>
    <w:p w14:paraId="434CF40B">
      <w:pPr>
        <w:numPr>
          <w:ilvl w:val="0"/>
          <w:numId w:val="8"/>
        </w:numPr>
        <w:snapToGrid w:val="0"/>
        <w:spacing w:line="360" w:lineRule="auto"/>
        <w:ind w:left="0" w:firstLine="42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系统可以灵活调度外来信号用于播出。节目可通过上载至二级存储，然后再迁移至视频服务器播出，也可直接上载迁移到视频服务器进行调用播出。</w:t>
      </w:r>
    </w:p>
    <w:p w14:paraId="4F4A5668">
      <w:pPr>
        <w:numPr>
          <w:ilvl w:val="0"/>
          <w:numId w:val="8"/>
        </w:numPr>
        <w:snapToGrid w:val="0"/>
        <w:spacing w:line="360" w:lineRule="auto"/>
        <w:ind w:left="0" w:firstLine="42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系统具有完善的安全和应急播出措施，各频道具有如：主备播出通道、主备切换设备、主备控制设备、应急播出设备和循环垫片或类似功能。</w:t>
      </w:r>
    </w:p>
    <w:p w14:paraId="67452A0E">
      <w:pPr>
        <w:numPr>
          <w:ilvl w:val="0"/>
          <w:numId w:val="8"/>
        </w:numPr>
        <w:snapToGrid w:val="0"/>
        <w:spacing w:line="360" w:lineRule="auto"/>
        <w:ind w:hanging="5"/>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系统能够实现定时、顺序、顺插、定插和触发播出，支持24小时不间断播出。</w:t>
      </w:r>
    </w:p>
    <w:p w14:paraId="3532C29E">
      <w:pPr>
        <w:numPr>
          <w:ilvl w:val="0"/>
          <w:numId w:val="8"/>
        </w:numPr>
        <w:snapToGrid w:val="0"/>
        <w:spacing w:line="360" w:lineRule="auto"/>
        <w:ind w:hanging="5"/>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系统的各种数据实时备份，具有详细完备的权限管理、日志管理和查询统计功能。</w:t>
      </w:r>
    </w:p>
    <w:p w14:paraId="4A123A12">
      <w:pPr>
        <w:numPr>
          <w:ilvl w:val="0"/>
          <w:numId w:val="8"/>
        </w:numPr>
        <w:snapToGrid w:val="0"/>
        <w:spacing w:line="360" w:lineRule="auto"/>
        <w:ind w:hanging="5"/>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系统支持自动和手动技审功能，可定义技审策略。</w:t>
      </w:r>
    </w:p>
    <w:p w14:paraId="0C6081FD">
      <w:pPr>
        <w:numPr>
          <w:ilvl w:val="0"/>
          <w:numId w:val="8"/>
        </w:numPr>
        <w:snapToGrid w:val="0"/>
        <w:spacing w:line="360" w:lineRule="auto"/>
        <w:ind w:hanging="5"/>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系统支持文件级、格式级、内容级技审功能。</w:t>
      </w:r>
    </w:p>
    <w:p w14:paraId="6BF86822">
      <w:pPr>
        <w:numPr>
          <w:ilvl w:val="0"/>
          <w:numId w:val="8"/>
        </w:numPr>
        <w:snapToGrid w:val="0"/>
        <w:spacing w:line="360" w:lineRule="auto"/>
        <w:ind w:hanging="5"/>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系统支持警告、错误、灾难等多种级别的错误检测和报警提示。</w:t>
      </w:r>
    </w:p>
    <w:p w14:paraId="489599B0">
      <w:pPr>
        <w:numPr>
          <w:ilvl w:val="0"/>
          <w:numId w:val="8"/>
        </w:numPr>
        <w:snapToGrid w:val="0"/>
        <w:spacing w:line="360" w:lineRule="auto"/>
        <w:ind w:left="0" w:firstLine="42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系统支持多种响度调整手段的文件级响度控制策略，有效解决播出系统中的响度忽高忽低，响度不统一的问题。</w:t>
      </w:r>
    </w:p>
    <w:p w14:paraId="54775CB6">
      <w:pPr>
        <w:numPr>
          <w:ilvl w:val="0"/>
          <w:numId w:val="8"/>
        </w:numPr>
        <w:snapToGrid w:val="0"/>
        <w:spacing w:line="360" w:lineRule="auto"/>
        <w:ind w:left="0" w:firstLine="42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系统要能够提供与全台网安全互联互通的接口，实现播出网和生产制作网文件级联通，外购节目、自办节目实现无带化文件级传输播出。</w:t>
      </w:r>
    </w:p>
    <w:p w14:paraId="3206B6AB">
      <w:pPr>
        <w:numPr>
          <w:ilvl w:val="0"/>
          <w:numId w:val="8"/>
        </w:numPr>
        <w:snapToGrid w:val="0"/>
        <w:spacing w:line="360" w:lineRule="auto"/>
        <w:ind w:left="0" w:firstLine="42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系统要能够对播出链路中重要节点进行信号监看监测，并且可以提供故障影响范围分析报警，帮助用户迅速定位故障点。</w:t>
      </w:r>
    </w:p>
    <w:p w14:paraId="02B6F5CA">
      <w:pPr>
        <w:numPr>
          <w:ilvl w:val="0"/>
          <w:numId w:val="8"/>
        </w:numPr>
        <w:snapToGrid w:val="0"/>
        <w:spacing w:line="360" w:lineRule="auto"/>
        <w:ind w:left="0" w:firstLine="42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系统具有完善的节目播出、节目上载、节目单编排、素材管理和提示报警功能。</w:t>
      </w:r>
    </w:p>
    <w:p w14:paraId="2A2815B0">
      <w:pPr>
        <w:numPr>
          <w:ilvl w:val="0"/>
          <w:numId w:val="8"/>
        </w:numPr>
        <w:snapToGrid w:val="0"/>
        <w:spacing w:line="360" w:lineRule="auto"/>
        <w:ind w:left="0" w:firstLine="42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系统具有播前审看功能。对不同长度的节目可以定义不同的审看策略。</w:t>
      </w:r>
    </w:p>
    <w:p w14:paraId="19BE6A89">
      <w:pPr>
        <w:numPr>
          <w:ilvl w:val="0"/>
          <w:numId w:val="8"/>
        </w:numPr>
        <w:snapToGrid w:val="0"/>
        <w:spacing w:line="360" w:lineRule="auto"/>
        <w:ind w:left="0" w:firstLine="420"/>
        <w:jc w:val="both"/>
        <w:rPr>
          <w:rFonts w:hint="eastAsia" w:ascii="宋体" w:hAnsi="宋体" w:eastAsia="宋体" w:cs="宋体"/>
          <w:color w:val="000000"/>
          <w:kern w:val="0"/>
          <w:sz w:val="21"/>
          <w:szCs w:val="21"/>
          <w:lang w:eastAsia="zh-CN" w:bidi="ar-SA"/>
        </w:rPr>
      </w:pPr>
      <w:r>
        <w:rPr>
          <w:rFonts w:hint="eastAsia" w:ascii="宋体" w:hAnsi="宋体" w:eastAsia="宋体" w:cs="宋体"/>
          <w:color w:val="000000"/>
          <w:kern w:val="0"/>
          <w:sz w:val="21"/>
          <w:szCs w:val="21"/>
          <w:lang w:eastAsia="zh-CN" w:bidi="ar-SA"/>
        </w:rPr>
        <w:t>系统实现播出和节目制作文件级互联互通，应配置广电级专业病毒隔离墙，能有效隔离病毒或非法音视频文件在网络间的扩散，确保全台网络安全。</w:t>
      </w:r>
    </w:p>
    <w:p w14:paraId="4E4B841A">
      <w:pPr>
        <w:keepNext/>
        <w:keepLines/>
        <w:widowControl w:val="0"/>
        <w:numPr>
          <w:ilvl w:val="0"/>
          <w:numId w:val="0"/>
        </w:numPr>
        <w:spacing w:before="0" w:beforeLines="0" w:after="0" w:afterLines="0" w:line="360" w:lineRule="auto"/>
        <w:ind w:left="567" w:leftChars="0" w:hanging="567" w:firstLineChars="0"/>
        <w:jc w:val="left"/>
        <w:outlineLvl w:val="1"/>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1.4</w:t>
      </w:r>
      <w:r>
        <w:rPr>
          <w:rFonts w:ascii="宋体" w:hAnsi="宋体" w:eastAsia="宋体" w:cs="宋体"/>
          <w:b/>
          <w:bCs/>
          <w:kern w:val="2"/>
          <w:sz w:val="21"/>
          <w:szCs w:val="21"/>
          <w:lang w:val="en-US" w:eastAsia="zh-CN" w:bidi="ar-SA"/>
        </w:rPr>
        <w:t>网络系统</w:t>
      </w:r>
      <w:r>
        <w:rPr>
          <w:rFonts w:hint="eastAsia" w:ascii="宋体" w:hAnsi="宋体" w:eastAsia="宋体" w:cs="宋体"/>
          <w:b/>
          <w:bCs/>
          <w:kern w:val="2"/>
          <w:sz w:val="21"/>
          <w:szCs w:val="21"/>
          <w:lang w:val="en-US" w:eastAsia="zh-CN" w:bidi="ar-SA"/>
        </w:rPr>
        <w:t>建设需求</w:t>
      </w:r>
    </w:p>
    <w:p w14:paraId="6E529524">
      <w:pPr>
        <w:widowControl w:val="0"/>
        <w:spacing w:line="360" w:lineRule="auto"/>
        <w:ind w:firstLine="420" w:firstLineChars="200"/>
        <w:jc w:val="both"/>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kern w:val="2"/>
          <w:sz w:val="21"/>
          <w:szCs w:val="21"/>
          <w:lang w:val="en-US" w:eastAsia="zh-CN" w:bidi="ar-SA"/>
        </w:rPr>
        <w:t>根据业务需求，网络系统共分为2种网络应用，分别为外网（含无线网）和内网（含无线网），两种网络之间通过网闸安全隔离。</w:t>
      </w:r>
    </w:p>
    <w:p w14:paraId="6330240D">
      <w:pPr>
        <w:widowControl w:val="0"/>
        <w:spacing w:line="360" w:lineRule="auto"/>
        <w:ind w:firstLine="420" w:firstLineChars="200"/>
        <w:jc w:val="both"/>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kern w:val="2"/>
          <w:sz w:val="21"/>
          <w:szCs w:val="21"/>
          <w:lang w:val="en-US" w:eastAsia="zh-CN" w:bidi="ar-SA"/>
        </w:rPr>
        <w:t>本项目的网络系统要求采用业界领先的成熟可靠技术，构建稳定、安全的网络系统，且要求网络层次清晰，支持长期平滑演进，整网统一规划，采用分层架构设计、链路备份、易扩展、网络数字化集中管控、满足业务长远发展需求，总体</w:t>
      </w:r>
      <w:r>
        <w:rPr>
          <w:rFonts w:ascii="宋体" w:hAnsi="宋体" w:eastAsia="宋体" w:cs="Times New Roman"/>
          <w:color w:val="000000"/>
          <w:kern w:val="2"/>
          <w:sz w:val="21"/>
          <w:szCs w:val="21"/>
          <w:lang w:val="en-US" w:eastAsia="zh-CN" w:bidi="ar-SA"/>
        </w:rPr>
        <w:t>网络</w:t>
      </w:r>
      <w:r>
        <w:rPr>
          <w:rFonts w:hint="eastAsia" w:ascii="宋体" w:hAnsi="宋体" w:eastAsia="宋体" w:cs="Times New Roman"/>
          <w:color w:val="000000"/>
          <w:kern w:val="2"/>
          <w:sz w:val="21"/>
          <w:szCs w:val="21"/>
          <w:lang w:val="en-US" w:eastAsia="zh-CN" w:bidi="ar-SA"/>
        </w:rPr>
        <w:t>系统架构</w:t>
      </w:r>
      <w:r>
        <w:rPr>
          <w:rFonts w:ascii="宋体" w:hAnsi="宋体" w:eastAsia="宋体" w:cs="Times New Roman"/>
          <w:color w:val="000000"/>
          <w:kern w:val="2"/>
          <w:sz w:val="21"/>
          <w:szCs w:val="21"/>
          <w:lang w:val="en-US" w:eastAsia="zh-CN" w:bidi="ar-SA"/>
        </w:rPr>
        <w:t>设计如下</w:t>
      </w:r>
      <w:r>
        <w:rPr>
          <w:rFonts w:hint="eastAsia" w:ascii="宋体" w:hAnsi="宋体" w:eastAsia="宋体" w:cs="Times New Roman"/>
          <w:color w:val="000000"/>
          <w:kern w:val="2"/>
          <w:sz w:val="21"/>
          <w:szCs w:val="21"/>
          <w:lang w:val="en-US" w:eastAsia="zh-CN" w:bidi="ar-SA"/>
        </w:rPr>
        <w:t>：</w:t>
      </w:r>
    </w:p>
    <w:p w14:paraId="47BF5C50">
      <w:pPr>
        <w:spacing w:line="360" w:lineRule="auto"/>
        <w:jc w:val="both"/>
        <w:rPr>
          <w:rFonts w:hint="eastAsia" w:ascii="宋体" w:hAnsi="宋体" w:eastAsia="宋体" w:cs="Times New Roman"/>
          <w:kern w:val="2"/>
          <w:sz w:val="21"/>
          <w:szCs w:val="21"/>
          <w:lang w:eastAsia="zh-CN" w:bidi="ar-SA"/>
        </w:rPr>
      </w:pPr>
    </w:p>
    <w:p w14:paraId="1008FCD1">
      <w:pPr>
        <w:spacing w:line="360" w:lineRule="auto"/>
        <w:jc w:val="both"/>
        <w:rPr>
          <w:rFonts w:hint="eastAsia" w:ascii="宋体" w:hAnsi="宋体" w:eastAsia="宋体" w:cs="Times New Roman"/>
          <w:kern w:val="2"/>
          <w:sz w:val="21"/>
          <w:szCs w:val="21"/>
          <w:lang w:eastAsia="zh-CN" w:bidi="ar-SA"/>
        </w:rPr>
      </w:pPr>
      <w:r>
        <w:rPr>
          <w:rFonts w:ascii="宋体" w:hAnsi="宋体" w:eastAsia="宋体" w:cs="Times New Roman"/>
          <w:color w:val="000000"/>
          <w:kern w:val="2"/>
          <w:sz w:val="21"/>
          <w:szCs w:val="21"/>
          <w:lang w:eastAsia="zh-CN" w:bidi="ar-SA"/>
        </w:rPr>
        <w:drawing>
          <wp:inline distT="0" distB="0" distL="0" distR="0">
            <wp:extent cx="5274310" cy="3361690"/>
            <wp:effectExtent l="0" t="0" r="2540" b="10160"/>
            <wp:docPr id="56" name="图形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形 3"/>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5274310" cy="3362273"/>
                    </a:xfrm>
                    <a:prstGeom prst="rect">
                      <a:avLst/>
                    </a:prstGeom>
                  </pic:spPr>
                </pic:pic>
              </a:graphicData>
            </a:graphic>
          </wp:inline>
        </w:drawing>
      </w:r>
    </w:p>
    <w:p w14:paraId="588E0D05">
      <w:pPr>
        <w:topLinePunct/>
        <w:spacing w:line="360" w:lineRule="auto"/>
        <w:ind w:firstLine="420" w:firstLineChars="200"/>
        <w:jc w:val="both"/>
        <w:rPr>
          <w:rFonts w:hint="eastAsia" w:ascii="宋体" w:hAnsi="宋体" w:eastAsia="宋体" w:cs="Times New Roman"/>
          <w:color w:val="000000"/>
          <w:kern w:val="2"/>
          <w:sz w:val="21"/>
          <w:szCs w:val="21"/>
          <w:lang w:eastAsia="zh-CN" w:bidi="ar-SA"/>
        </w:rPr>
      </w:pPr>
      <w:r>
        <w:rPr>
          <w:rFonts w:hint="eastAsia" w:ascii="宋体" w:hAnsi="宋体" w:eastAsia="宋体" w:cs="Times New Roman"/>
          <w:color w:val="000000"/>
          <w:kern w:val="2"/>
          <w:sz w:val="21"/>
          <w:szCs w:val="21"/>
          <w:lang w:eastAsia="zh-CN" w:bidi="ar-SA"/>
        </w:rPr>
        <w:t>如上图所示，网络系统采用三级架构的交换式以太网系统：核心层+汇聚+接入层，核心和汇聚之间的链路要支持10G/25G的链路带宽，接入和汇聚之间要支持1G/10G的链路带宽，网络应用主服务器及超融合系统集中设置于核心机房内，网络监控运维区布置运维管理设备及配套设施，同时在一些安全边界部署相应防火墙、网闸等安全设备，为业务系统提供安全防护。</w:t>
      </w:r>
    </w:p>
    <w:p w14:paraId="5CB1F66C">
      <w:pPr>
        <w:spacing w:before="0" w:beforeLines="0" w:after="0" w:afterLines="0" w:line="360" w:lineRule="auto"/>
        <w:rPr>
          <w:rFonts w:hint="eastAsia"/>
        </w:rPr>
        <w:sectPr>
          <w:pgSz w:w="11906" w:h="16838"/>
          <w:pgMar w:top="1797" w:right="1440" w:bottom="1797" w:left="1440" w:header="851" w:footer="992" w:gutter="0"/>
          <w:cols w:space="425" w:num="1"/>
          <w:docGrid w:linePitch="312" w:charSpace="0"/>
        </w:sectPr>
      </w:pPr>
    </w:p>
    <w:p w14:paraId="111F8FE8">
      <w:pPr>
        <w:keepNext/>
        <w:keepLines/>
        <w:widowControl w:val="0"/>
        <w:numPr>
          <w:ilvl w:val="0"/>
          <w:numId w:val="0"/>
        </w:numPr>
        <w:spacing w:before="0" w:beforeLines="0" w:after="0" w:afterLines="0" w:line="360" w:lineRule="auto"/>
        <w:ind w:left="567" w:leftChars="0" w:hanging="567" w:firstLineChars="0"/>
        <w:jc w:val="left"/>
        <w:outlineLvl w:val="1"/>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1.5网络安全系统建设需求</w:t>
      </w:r>
    </w:p>
    <w:p w14:paraId="5281CBCB">
      <w:pPr>
        <w:keepNext/>
        <w:keepLines/>
        <w:widowControl w:val="0"/>
        <w:numPr>
          <w:ilvl w:val="0"/>
          <w:numId w:val="0"/>
        </w:numPr>
        <w:spacing w:before="0" w:after="0" w:line="360" w:lineRule="auto"/>
        <w:ind w:left="567" w:leftChars="0" w:hanging="567" w:firstLineChars="0"/>
        <w:jc w:val="both"/>
        <w:outlineLvl w:val="2"/>
        <w:rPr>
          <w:rFonts w:hint="eastAsia" w:ascii="宋体" w:hAnsi="宋体" w:eastAsia="宋体" w:cs="宋体"/>
          <w:b/>
          <w:bCs/>
          <w:kern w:val="2"/>
          <w:sz w:val="21"/>
          <w:szCs w:val="21"/>
          <w:lang w:val="en-US" w:eastAsia="zh-CN" w:bidi="ar-SA"/>
        </w:rPr>
      </w:pPr>
      <w:bookmarkStart w:id="103" w:name="_Toc24285309"/>
      <w:bookmarkStart w:id="104" w:name="_Toc166571089"/>
      <w:bookmarkStart w:id="105" w:name="_Toc175264160"/>
      <w:bookmarkStart w:id="106" w:name="_Toc72243682"/>
      <w:bookmarkStart w:id="107" w:name="_Toc24285928"/>
      <w:bookmarkStart w:id="108" w:name="_Toc24285174"/>
      <w:r>
        <w:rPr>
          <w:rFonts w:hint="eastAsia" w:ascii="宋体" w:hAnsi="宋体" w:eastAsia="宋体" w:cs="宋体"/>
          <w:b/>
          <w:bCs/>
          <w:kern w:val="2"/>
          <w:sz w:val="21"/>
          <w:szCs w:val="21"/>
          <w:lang w:val="en-US" w:eastAsia="zh-CN" w:bidi="ar-SA"/>
        </w:rPr>
        <w:t>1.5.1总体拓扑图</w:t>
      </w:r>
      <w:bookmarkEnd w:id="103"/>
      <w:bookmarkEnd w:id="104"/>
      <w:bookmarkEnd w:id="105"/>
      <w:bookmarkEnd w:id="106"/>
      <w:bookmarkEnd w:id="107"/>
      <w:bookmarkEnd w:id="108"/>
    </w:p>
    <w:p w14:paraId="15388333">
      <w:pPr>
        <w:widowControl/>
        <w:jc w:val="left"/>
        <w:rPr>
          <w:rFonts w:hint="eastAsia" w:ascii="宋体" w:hAnsi="宋体" w:eastAsia="宋体" w:cs="Times New Roman"/>
          <w:kern w:val="2"/>
          <w:sz w:val="21"/>
          <w:szCs w:val="21"/>
          <w:lang w:eastAsia="zh-CN" w:bidi="ar-SA"/>
        </w:rPr>
      </w:pPr>
      <w:r>
        <w:rPr>
          <w:rFonts w:ascii="宋体" w:hAnsi="宋体" w:eastAsia="宋体" w:cs="Times New Roman"/>
          <w:kern w:val="2"/>
          <w:sz w:val="21"/>
          <w:szCs w:val="21"/>
          <w:lang w:eastAsia="zh-CN" w:bidi="ar-SA"/>
        </w:rPr>
        <w:drawing>
          <wp:inline distT="0" distB="0" distL="0" distR="0">
            <wp:extent cx="8109585" cy="4730115"/>
            <wp:effectExtent l="0" t="0" r="5715" b="13335"/>
            <wp:docPr id="217" name="图形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形 216"/>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8115830" cy="4733505"/>
                    </a:xfrm>
                    <a:prstGeom prst="rect">
                      <a:avLst/>
                    </a:prstGeom>
                  </pic:spPr>
                </pic:pic>
              </a:graphicData>
            </a:graphic>
          </wp:inline>
        </w:drawing>
      </w:r>
    </w:p>
    <w:p w14:paraId="4C98658D">
      <w:pPr>
        <w:widowControl/>
        <w:jc w:val="left"/>
        <w:rPr>
          <w:rFonts w:hint="eastAsia" w:ascii="宋体" w:hAnsi="宋体" w:eastAsia="宋体" w:cs="Times New Roman"/>
          <w:kern w:val="2"/>
          <w:sz w:val="16"/>
          <w:szCs w:val="16"/>
          <w:lang w:eastAsia="zh-CN" w:bidi="ar-SA"/>
        </w:rPr>
      </w:pPr>
      <w:r>
        <w:rPr>
          <w:rFonts w:hint="eastAsia" w:ascii="宋体" w:hAnsi="宋体" w:eastAsia="宋体" w:cs="Times New Roman"/>
          <w:kern w:val="2"/>
          <w:sz w:val="16"/>
          <w:szCs w:val="16"/>
          <w:lang w:eastAsia="zh-CN" w:bidi="ar-SA"/>
        </w:rPr>
        <w:t>注：标黄设备为业主利旧设备</w:t>
      </w:r>
    </w:p>
    <w:p w14:paraId="01E3D1DC">
      <w:pPr>
        <w:widowControl/>
        <w:jc w:val="left"/>
        <w:rPr>
          <w:rFonts w:hint="eastAsia" w:ascii="宋体" w:hAnsi="宋体" w:eastAsia="宋体" w:cs="Times New Roman"/>
          <w:kern w:val="2"/>
          <w:sz w:val="21"/>
          <w:szCs w:val="21"/>
          <w:lang w:eastAsia="zh-CN" w:bidi="ar-SA"/>
        </w:rPr>
      </w:pPr>
    </w:p>
    <w:p w14:paraId="13B5BB53">
      <w:pPr>
        <w:spacing w:line="360" w:lineRule="auto"/>
        <w:ind w:left="-3" w:leftChars="-608" w:hanging="1456" w:hangingChars="607"/>
        <w:rPr>
          <w:rFonts w:hint="eastAsia" w:ascii="宋体" w:hAnsi="宋体"/>
        </w:rPr>
        <w:sectPr>
          <w:pgSz w:w="16838" w:h="11906" w:orient="landscape"/>
          <w:pgMar w:top="1440" w:right="1797" w:bottom="1440" w:left="1797" w:header="851" w:footer="992" w:gutter="0"/>
          <w:cols w:space="425" w:num="1"/>
          <w:docGrid w:linePitch="312" w:charSpace="0"/>
        </w:sectPr>
      </w:pPr>
    </w:p>
    <w:p w14:paraId="79EE585D">
      <w:pPr>
        <w:keepNext/>
        <w:keepLines/>
        <w:widowControl w:val="0"/>
        <w:numPr>
          <w:ilvl w:val="0"/>
          <w:numId w:val="0"/>
        </w:numPr>
        <w:spacing w:before="0" w:after="0" w:line="360" w:lineRule="auto"/>
        <w:ind w:left="567" w:leftChars="0" w:hanging="567" w:firstLineChars="0"/>
        <w:jc w:val="both"/>
        <w:outlineLvl w:val="2"/>
        <w:rPr>
          <w:rFonts w:hint="eastAsia" w:ascii="宋体" w:hAnsi="宋体" w:eastAsia="宋体" w:cs="宋体"/>
          <w:b/>
          <w:bCs/>
          <w:kern w:val="2"/>
          <w:sz w:val="21"/>
          <w:szCs w:val="21"/>
          <w:lang w:val="en-US" w:eastAsia="zh-CN" w:bidi="ar-SA"/>
        </w:rPr>
      </w:pPr>
      <w:bookmarkStart w:id="109" w:name="_Toc175264161"/>
      <w:r>
        <w:rPr>
          <w:rFonts w:hint="eastAsia" w:ascii="宋体" w:hAnsi="宋体" w:eastAsia="宋体" w:cs="宋体"/>
          <w:b/>
          <w:bCs/>
          <w:kern w:val="2"/>
          <w:sz w:val="21"/>
          <w:szCs w:val="21"/>
          <w:lang w:val="en-US" w:eastAsia="zh-CN" w:bidi="ar-SA"/>
        </w:rPr>
        <w:t>1.5.2网络安全部署说明</w:t>
      </w:r>
      <w:bookmarkEnd w:id="109"/>
    </w:p>
    <w:p w14:paraId="22CC30F6">
      <w:pPr>
        <w:widowControl w:val="0"/>
        <w:numPr>
          <w:ilvl w:val="0"/>
          <w:numId w:val="9"/>
        </w:numPr>
        <w:spacing w:after="0" w:line="360" w:lineRule="auto"/>
        <w:ind w:left="0" w:leftChars="0" w:firstLine="420" w:firstLineChars="200"/>
        <w:jc w:val="both"/>
        <w:rPr>
          <w:rFonts w:hint="eastAsia" w:ascii="宋体" w:hAnsi="宋体" w:eastAsia="宋体" w:cs="宋体"/>
          <w:bCs/>
          <w:kern w:val="2"/>
          <w:sz w:val="21"/>
          <w:szCs w:val="21"/>
          <w:lang w:val="en-US" w:eastAsia="zh-CN" w:bidi="ar-SA"/>
        </w:rPr>
      </w:pPr>
      <w:r>
        <w:rPr>
          <w:rFonts w:hint="eastAsia" w:ascii="宋体" w:hAnsi="宋体" w:eastAsia="宋体" w:cs="宋体"/>
          <w:bCs/>
          <w:kern w:val="2"/>
          <w:sz w:val="21"/>
          <w:szCs w:val="21"/>
          <w:lang w:val="en-US" w:eastAsia="zh-CN" w:bidi="ar-SA"/>
        </w:rPr>
        <w:t>在互联网出口边界、播出系统边界、融媒体边界部署防火墙；防火墙是在不同安全域等级区域之间的保护屏障。依照特定的规则，允许或是限制传输的数据通过，从而保护内部网络免受非法用户的侵入，在保护内部网络安全的前提下，提供内外网络通信，提高网络安全和减少子网中主机的风险，提供对系统的访问控制；阻止攻击者获得攻击网络系统的有用信息，记录和统计网络利用数据以及非法使用数据、攻击和探测策略执行。</w:t>
      </w:r>
    </w:p>
    <w:p w14:paraId="4D98156E">
      <w:pPr>
        <w:widowControl w:val="0"/>
        <w:numPr>
          <w:ilvl w:val="0"/>
          <w:numId w:val="9"/>
        </w:numPr>
        <w:spacing w:after="0" w:line="360" w:lineRule="auto"/>
        <w:ind w:left="0" w:leftChars="0" w:firstLine="420" w:firstLineChars="200"/>
        <w:jc w:val="both"/>
        <w:rPr>
          <w:rFonts w:hint="eastAsia" w:ascii="宋体" w:hAnsi="宋体" w:eastAsia="宋体" w:cs="宋体"/>
          <w:bCs/>
          <w:kern w:val="2"/>
          <w:sz w:val="21"/>
          <w:szCs w:val="21"/>
          <w:lang w:val="en-US" w:eastAsia="zh-CN" w:bidi="ar-SA"/>
        </w:rPr>
      </w:pPr>
      <w:r>
        <w:rPr>
          <w:rFonts w:hint="eastAsia" w:ascii="宋体" w:hAnsi="宋体" w:eastAsia="宋体" w:cs="宋体"/>
          <w:bCs/>
          <w:kern w:val="2"/>
          <w:sz w:val="21"/>
          <w:szCs w:val="21"/>
          <w:lang w:val="en-US" w:eastAsia="zh-CN" w:bidi="ar-SA"/>
        </w:rPr>
        <w:t>在内外网边界部署单向/双向网闸；单向/双向网闸（单向/双向数据隔离与交换系统）在保持不同网络或不同安全域之间有效隔离的基础上，实现了两网间安全的、受控的数据交换。网闸采用多机系统结构，以软硬件结合的方式，有效地隔断内外网络间直接的连接，数据交换由发起方以客户机身份与网闸连接，网闸再以客户机身份与数据交换的另一方建立连接，保障信息可信的交换。</w:t>
      </w:r>
    </w:p>
    <w:p w14:paraId="5652222F">
      <w:pPr>
        <w:widowControl w:val="0"/>
        <w:numPr>
          <w:ilvl w:val="0"/>
          <w:numId w:val="9"/>
        </w:numPr>
        <w:spacing w:after="0" w:line="360" w:lineRule="auto"/>
        <w:ind w:left="0" w:leftChars="0" w:firstLine="420" w:firstLineChars="200"/>
        <w:jc w:val="both"/>
        <w:rPr>
          <w:rFonts w:hint="eastAsia" w:ascii="宋体" w:hAnsi="宋体" w:eastAsia="宋体" w:cs="宋体"/>
          <w:bCs/>
          <w:kern w:val="2"/>
          <w:sz w:val="21"/>
          <w:szCs w:val="21"/>
          <w:lang w:val="en-US" w:eastAsia="zh-CN" w:bidi="ar-SA"/>
        </w:rPr>
      </w:pPr>
      <w:r>
        <w:rPr>
          <w:rFonts w:hint="eastAsia" w:ascii="宋体" w:hAnsi="宋体" w:eastAsia="宋体" w:cs="宋体"/>
          <w:bCs/>
          <w:kern w:val="2"/>
          <w:sz w:val="21"/>
          <w:szCs w:val="21"/>
          <w:lang w:val="en-US" w:eastAsia="zh-CN" w:bidi="ar-SA"/>
        </w:rPr>
        <w:t>在互联网出口边界部署行为管理；对本地用户访问互联网的行为进行分析和审计，防止内部员工上班时间违规上网或在网上发表违规言论，同时保存至少6个月的访问日志，以便协助公安调查取证。</w:t>
      </w:r>
    </w:p>
    <w:p w14:paraId="2EE2E9B9">
      <w:pPr>
        <w:widowControl w:val="0"/>
        <w:numPr>
          <w:ilvl w:val="0"/>
          <w:numId w:val="9"/>
        </w:numPr>
        <w:spacing w:after="0" w:line="360" w:lineRule="auto"/>
        <w:ind w:left="0" w:leftChars="0" w:firstLine="420" w:firstLineChars="200"/>
        <w:jc w:val="both"/>
        <w:rPr>
          <w:rFonts w:hint="eastAsia" w:ascii="宋体" w:hAnsi="宋体" w:eastAsia="宋体" w:cs="Times New Roman"/>
          <w:bCs/>
          <w:kern w:val="2"/>
          <w:sz w:val="21"/>
          <w:szCs w:val="21"/>
          <w:lang w:val="en-US" w:eastAsia="zh-CN" w:bidi="ar-SA"/>
        </w:rPr>
      </w:pPr>
      <w:r>
        <w:rPr>
          <w:rFonts w:hint="eastAsia" w:ascii="宋体" w:hAnsi="宋体" w:eastAsia="宋体" w:cs="宋体"/>
          <w:bCs/>
          <w:kern w:val="2"/>
          <w:sz w:val="21"/>
          <w:szCs w:val="21"/>
          <w:lang w:val="en-US" w:eastAsia="zh-CN" w:bidi="ar-SA"/>
        </w:rPr>
        <w:t>在内网运维管理区部署堡垒机系统；堡垒机系统是一种被加固的可以防御进攻的安全设备，具备坚强的安全防护能力，通过切断终端计算机对网络设备、数据库和服务器资源的直接访问，而采用协议代理的方式，接管了终端计算机对网络和服务器的访问，能够拦截非法访问和恶意攻击，对不合法命令进行阻断、过滤掉所有对目标设备的非法访问行为。能够详细记录用户操作的每一条指令，而且具备审计回放功能，保证审计人员有据可查。</w:t>
      </w:r>
    </w:p>
    <w:p w14:paraId="16268097">
      <w:pPr>
        <w:widowControl w:val="0"/>
        <w:numPr>
          <w:ilvl w:val="0"/>
          <w:numId w:val="9"/>
        </w:numPr>
        <w:spacing w:after="0" w:line="360" w:lineRule="auto"/>
        <w:ind w:left="0" w:leftChars="0" w:firstLine="420" w:firstLineChars="200"/>
        <w:jc w:val="both"/>
        <w:rPr>
          <w:rFonts w:hint="eastAsia" w:ascii="宋体" w:hAnsi="宋体" w:eastAsia="宋体" w:cs="Times New Roman"/>
          <w:bCs/>
          <w:kern w:val="2"/>
          <w:sz w:val="21"/>
          <w:szCs w:val="21"/>
          <w:lang w:val="en-US" w:eastAsia="zh-CN" w:bidi="ar-SA"/>
        </w:rPr>
      </w:pPr>
      <w:r>
        <w:rPr>
          <w:rFonts w:hint="eastAsia" w:ascii="宋体" w:hAnsi="宋体" w:eastAsia="宋体" w:cs="宋体"/>
          <w:bCs/>
          <w:kern w:val="2"/>
          <w:sz w:val="21"/>
          <w:szCs w:val="21"/>
          <w:lang w:val="en-US" w:eastAsia="zh-CN" w:bidi="ar-SA"/>
        </w:rPr>
        <w:t>在内网运维管理区部署数据审计系统；网络审计是实时监控数据库的设备，能够直观地反映网络环境的安全状况，特别是网络流量、对数据库的操作等重要信息，使得用户可以直观的实时了解网络整体健康状况，且审计后的网络事件支持本地存储和在线存储功能，方便日后出现安全事件后随时回查。</w:t>
      </w:r>
    </w:p>
    <w:p w14:paraId="22999A63">
      <w:pPr>
        <w:widowControl w:val="0"/>
        <w:numPr>
          <w:ilvl w:val="0"/>
          <w:numId w:val="9"/>
        </w:numPr>
        <w:spacing w:after="0" w:line="360" w:lineRule="auto"/>
        <w:ind w:left="0" w:leftChars="0" w:firstLine="420" w:firstLineChars="200"/>
        <w:jc w:val="both"/>
        <w:rPr>
          <w:rFonts w:hint="eastAsia" w:ascii="宋体" w:hAnsi="宋体" w:eastAsia="宋体" w:cs="Times New Roman"/>
          <w:bCs/>
          <w:kern w:val="2"/>
          <w:sz w:val="21"/>
          <w:szCs w:val="21"/>
          <w:lang w:val="en-US" w:eastAsia="zh-CN" w:bidi="ar-SA"/>
        </w:rPr>
      </w:pPr>
      <w:r>
        <w:rPr>
          <w:rFonts w:hint="eastAsia" w:ascii="宋体" w:hAnsi="宋体" w:eastAsia="宋体" w:cs="宋体"/>
          <w:bCs/>
          <w:kern w:val="2"/>
          <w:sz w:val="21"/>
          <w:szCs w:val="21"/>
          <w:lang w:val="en-US" w:eastAsia="zh-CN" w:bidi="ar-SA"/>
        </w:rPr>
        <w:t>在内网运维管理区部署日志审计；所有网络设备和新增的边界安全设备上均开启完整的日志记录功能，对重要的用户行为和重要安全事件进行审计，并将审计记录实时发送给集中的日志服务器，便于长期存储保护和分析使用。</w:t>
      </w:r>
    </w:p>
    <w:p w14:paraId="10222FC1">
      <w:pPr>
        <w:widowControl w:val="0"/>
        <w:numPr>
          <w:ilvl w:val="0"/>
          <w:numId w:val="9"/>
        </w:numPr>
        <w:spacing w:after="0" w:line="360" w:lineRule="auto"/>
        <w:ind w:left="0" w:leftChars="0" w:firstLine="420" w:firstLineChars="200"/>
        <w:jc w:val="both"/>
        <w:rPr>
          <w:rFonts w:hint="eastAsia" w:ascii="宋体" w:hAnsi="宋体" w:eastAsia="宋体" w:cs="宋体"/>
          <w:bCs/>
          <w:kern w:val="2"/>
          <w:sz w:val="21"/>
          <w:szCs w:val="21"/>
          <w:lang w:val="en-US" w:eastAsia="zh-CN" w:bidi="ar-SA"/>
        </w:rPr>
      </w:pPr>
      <w:r>
        <w:rPr>
          <w:rFonts w:hint="eastAsia" w:ascii="宋体" w:hAnsi="宋体" w:eastAsia="宋体" w:cs="宋体"/>
          <w:bCs/>
          <w:kern w:val="2"/>
          <w:sz w:val="21"/>
          <w:szCs w:val="21"/>
          <w:lang w:val="en-US" w:eastAsia="zh-CN" w:bidi="ar-SA"/>
        </w:rPr>
        <w:t>在内网运维管理区部署漏洞扫描；接在核心交换机上，或根据需要连接到各网络区域中，以本地扫描或远程扫描的方式，对各台重要的网络设备、主机系统及相应的操作系统、应用系统等进行全面的漏洞扫描和安全评估。通过从不同角度对网络进行扫描，可以发现网络结构和配置方面的漏洞，以及各个设备和系统的各种端口分配、提供的服务、服务软件版本等存在的安全弱点。系统提供详尽的扫描分析报告和漏洞修补建议，帮助管理员实现对伊犁州融媒体中心系统网络，尤其是其中的重要服务器主机系统的安全加固，提升安全等级。</w:t>
      </w:r>
    </w:p>
    <w:p w14:paraId="613C484C">
      <w:pPr>
        <w:widowControl w:val="0"/>
        <w:numPr>
          <w:ilvl w:val="0"/>
          <w:numId w:val="9"/>
        </w:numPr>
        <w:spacing w:line="360" w:lineRule="auto"/>
        <w:ind w:left="0" w:firstLine="400" w:firstLineChars="0"/>
        <w:jc w:val="both"/>
        <w:rPr>
          <w:rFonts w:hint="eastAsia" w:ascii="宋体" w:hAnsi="宋体" w:eastAsia="宋体" w:cs="宋体"/>
          <w:bCs/>
          <w:kern w:val="2"/>
          <w:sz w:val="21"/>
          <w:szCs w:val="21"/>
          <w:lang w:val="en-US" w:eastAsia="zh-CN" w:bidi="ar-SA"/>
        </w:rPr>
      </w:pPr>
      <w:r>
        <w:rPr>
          <w:rFonts w:hint="eastAsia" w:ascii="宋体" w:hAnsi="宋体" w:eastAsia="宋体" w:cs="宋体"/>
          <w:bCs/>
          <w:kern w:val="2"/>
          <w:sz w:val="21"/>
          <w:szCs w:val="21"/>
          <w:lang w:val="en-US" w:eastAsia="zh-CN" w:bidi="ar-SA"/>
        </w:rPr>
        <w:t>在内网运维管理区部署网管认证平台；</w:t>
      </w:r>
      <w:r>
        <w:rPr>
          <w:rFonts w:ascii="宋体" w:hAnsi="宋体" w:eastAsia="宋体" w:cs="宋体"/>
          <w:bCs/>
          <w:kern w:val="2"/>
          <w:sz w:val="21"/>
          <w:szCs w:val="21"/>
          <w:lang w:val="en-US" w:eastAsia="zh-CN" w:bidi="ar-SA"/>
        </w:rPr>
        <w:t xml:space="preserve"> </w:t>
      </w:r>
      <w:r>
        <w:rPr>
          <w:rFonts w:hint="eastAsia" w:ascii="宋体" w:hAnsi="宋体" w:eastAsia="宋体" w:cs="宋体"/>
          <w:bCs/>
          <w:kern w:val="2"/>
          <w:sz w:val="21"/>
          <w:szCs w:val="21"/>
          <w:lang w:val="en-US" w:eastAsia="zh-CN" w:bidi="ar-SA"/>
        </w:rPr>
        <w:t>功能支持标准802.1x协议，通过对支持此协议的交换机进行管理，实现有线局域网网络准入。认证方式支持MD5准入和TNC准入，认证模式支持用户模式和计算机模式。终端管理系统可与网络内防火墙进行联动，基于防火墙策略实现网络准入，禁止未安装代理软件的终端访问受控网络。</w:t>
      </w:r>
    </w:p>
    <w:p w14:paraId="6874D325">
      <w:pPr>
        <w:widowControl w:val="0"/>
        <w:numPr>
          <w:ilvl w:val="0"/>
          <w:numId w:val="9"/>
        </w:numPr>
        <w:spacing w:after="0" w:line="360" w:lineRule="auto"/>
        <w:ind w:left="0" w:leftChars="0" w:firstLine="420" w:firstLineChars="200"/>
        <w:jc w:val="both"/>
        <w:rPr>
          <w:rFonts w:hint="eastAsia" w:ascii="宋体" w:hAnsi="宋体" w:eastAsia="宋体" w:cs="宋体"/>
          <w:bCs/>
          <w:kern w:val="2"/>
          <w:sz w:val="21"/>
          <w:szCs w:val="21"/>
          <w:lang w:val="en-US" w:eastAsia="zh-CN" w:bidi="ar-SA"/>
        </w:rPr>
      </w:pPr>
      <w:r>
        <w:rPr>
          <w:rFonts w:hint="eastAsia" w:ascii="宋体" w:hAnsi="宋体" w:eastAsia="宋体" w:cs="宋体"/>
          <w:bCs/>
          <w:kern w:val="2"/>
          <w:sz w:val="21"/>
          <w:szCs w:val="21"/>
          <w:lang w:val="en-US" w:eastAsia="zh-CN" w:bidi="ar-SA"/>
        </w:rPr>
        <w:t>在内网运维管理区部署终端及服务器杀毒：系统网络中所有服务器、终端系统上部署终端威胁防御系统（EDR），实现的统一病毒查杀、漏洞管理、系统加固、软件管理、流量监控、资产管理等安全功能，有效地保护计算环境内用户计算机系统安全和信息数据安全。在安全管理区部署统一的终端威胁防御系统管理服务器和病毒库升级服务器，确保全网终端具有一致的威胁防御策略和最新的病毒查杀能力。</w:t>
      </w:r>
    </w:p>
    <w:p w14:paraId="2A17587F">
      <w:pPr>
        <w:widowControl w:val="0"/>
        <w:spacing w:after="0" w:line="360" w:lineRule="auto"/>
        <w:ind w:left="0" w:leftChars="0" w:firstLine="200" w:firstLineChars="0"/>
        <w:jc w:val="both"/>
        <w:rPr>
          <w:rFonts w:hint="eastAsia" w:ascii="宋体" w:hAnsi="宋体" w:eastAsia="宋体" w:cs="宋体"/>
          <w:bCs/>
          <w:kern w:val="2"/>
          <w:sz w:val="21"/>
          <w:szCs w:val="21"/>
          <w:lang w:val="en-US" w:eastAsia="zh-CN" w:bidi="ar-SA"/>
        </w:rPr>
      </w:pPr>
    </w:p>
    <w:p w14:paraId="7DD61048">
      <w:pPr>
        <w:keepNext/>
        <w:keepLines/>
        <w:widowControl w:val="0"/>
        <w:numPr>
          <w:ilvl w:val="0"/>
          <w:numId w:val="0"/>
        </w:numPr>
        <w:spacing w:before="0" w:after="0" w:line="360" w:lineRule="auto"/>
        <w:ind w:left="567" w:leftChars="0" w:hanging="567" w:firstLineChars="0"/>
        <w:jc w:val="both"/>
        <w:outlineLvl w:val="2"/>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1.5.3外网区安全设备利旧部署说明</w:t>
      </w:r>
    </w:p>
    <w:p w14:paraId="204CD613">
      <w:pPr>
        <w:widowControl w:val="0"/>
        <w:spacing w:after="0" w:line="360" w:lineRule="auto"/>
        <w:ind w:left="0" w:leftChars="0" w:firstLine="20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从整个网络的安全性和成本性价比出发，需要在网络迁移中，将伊犁州融媒体中心老数据中心的安全设备，迁移至外网区使用，加强外网的整体安全防护，且满足等保的要求，计划利旧设备如下：</w:t>
      </w:r>
    </w:p>
    <w:p w14:paraId="5CD9CA35">
      <w:pPr>
        <w:widowControl w:val="0"/>
        <w:numPr>
          <w:ilvl w:val="0"/>
          <w:numId w:val="10"/>
        </w:numPr>
        <w:spacing w:after="0" w:line="360" w:lineRule="auto"/>
        <w:ind w:left="640" w:leftChars="0" w:hanging="440" w:firstLineChars="0"/>
        <w:jc w:val="both"/>
        <w:rPr>
          <w:rFonts w:hint="eastAsia" w:ascii="宋体" w:hAnsi="宋体" w:eastAsia="宋体" w:cs="宋体"/>
          <w:kern w:val="2"/>
          <w:sz w:val="21"/>
          <w:szCs w:val="21"/>
          <w:lang w:val="en-US" w:eastAsia="zh-CN" w:bidi="ar-SA"/>
        </w:rPr>
      </w:pPr>
      <w:r>
        <w:rPr>
          <w:rFonts w:ascii="宋体" w:hAnsi="宋体" w:eastAsia="宋体" w:cs="宋体"/>
          <w:kern w:val="2"/>
          <w:sz w:val="21"/>
          <w:szCs w:val="21"/>
          <w:lang w:val="en-US" w:eastAsia="zh-CN" w:bidi="ar-SA"/>
        </w:rPr>
        <w:t>网络入侵防护系统</w:t>
      </w:r>
      <w:r>
        <w:rPr>
          <w:rFonts w:hint="eastAsia" w:ascii="宋体" w:hAnsi="宋体" w:eastAsia="宋体" w:cs="宋体"/>
          <w:kern w:val="2"/>
          <w:sz w:val="21"/>
          <w:szCs w:val="21"/>
          <w:lang w:val="en-US" w:eastAsia="zh-CN" w:bidi="ar-SA"/>
        </w:rPr>
        <w:t>1台；</w:t>
      </w:r>
    </w:p>
    <w:p w14:paraId="1D5AD903">
      <w:pPr>
        <w:widowControl w:val="0"/>
        <w:numPr>
          <w:ilvl w:val="0"/>
          <w:numId w:val="10"/>
        </w:numPr>
        <w:spacing w:after="0" w:line="360" w:lineRule="auto"/>
        <w:ind w:left="640" w:leftChars="0" w:hanging="440" w:firstLineChars="0"/>
        <w:jc w:val="both"/>
        <w:rPr>
          <w:rFonts w:hint="eastAsia" w:ascii="宋体" w:hAnsi="宋体" w:eastAsia="宋体" w:cs="宋体"/>
          <w:kern w:val="2"/>
          <w:sz w:val="21"/>
          <w:szCs w:val="21"/>
          <w:lang w:val="en-US" w:eastAsia="zh-CN" w:bidi="ar-SA"/>
        </w:rPr>
      </w:pPr>
      <w:r>
        <w:rPr>
          <w:rFonts w:ascii="宋体" w:hAnsi="宋体" w:eastAsia="宋体" w:cs="宋体"/>
          <w:kern w:val="2"/>
          <w:sz w:val="21"/>
          <w:szCs w:val="21"/>
          <w:lang w:val="en-US" w:eastAsia="zh-CN" w:bidi="ar-SA"/>
        </w:rPr>
        <w:t>WEB应用防护系统</w:t>
      </w:r>
      <w:r>
        <w:rPr>
          <w:rFonts w:hint="eastAsia" w:ascii="宋体" w:hAnsi="宋体" w:eastAsia="宋体" w:cs="宋体"/>
          <w:kern w:val="2"/>
          <w:sz w:val="21"/>
          <w:szCs w:val="21"/>
          <w:lang w:val="en-US" w:eastAsia="zh-CN" w:bidi="ar-SA"/>
        </w:rPr>
        <w:t>1台；</w:t>
      </w:r>
    </w:p>
    <w:p w14:paraId="5A984AA3">
      <w:pPr>
        <w:widowControl w:val="0"/>
        <w:numPr>
          <w:ilvl w:val="0"/>
          <w:numId w:val="10"/>
        </w:numPr>
        <w:spacing w:after="0" w:line="360" w:lineRule="auto"/>
        <w:ind w:left="640" w:leftChars="0" w:hanging="440" w:firstLineChars="0"/>
        <w:jc w:val="both"/>
        <w:rPr>
          <w:rFonts w:hint="eastAsia" w:ascii="宋体" w:hAnsi="宋体" w:eastAsia="宋体" w:cs="宋体"/>
          <w:kern w:val="2"/>
          <w:sz w:val="21"/>
          <w:szCs w:val="21"/>
          <w:lang w:val="en-US" w:eastAsia="zh-CN" w:bidi="ar-SA"/>
        </w:rPr>
      </w:pPr>
      <w:r>
        <w:rPr>
          <w:rFonts w:ascii="宋体" w:hAnsi="宋体" w:eastAsia="宋体" w:cs="宋体"/>
          <w:kern w:val="2"/>
          <w:sz w:val="21"/>
          <w:szCs w:val="21"/>
          <w:lang w:val="en-US" w:eastAsia="zh-CN" w:bidi="ar-SA"/>
        </w:rPr>
        <w:t>数据库审计系统</w:t>
      </w:r>
      <w:r>
        <w:rPr>
          <w:rFonts w:hint="eastAsia" w:ascii="宋体" w:hAnsi="宋体" w:eastAsia="宋体" w:cs="宋体"/>
          <w:kern w:val="2"/>
          <w:sz w:val="21"/>
          <w:szCs w:val="21"/>
          <w:lang w:val="en-US" w:eastAsia="zh-CN" w:bidi="ar-SA"/>
        </w:rPr>
        <w:t>1台；</w:t>
      </w:r>
    </w:p>
    <w:p w14:paraId="067C3E88">
      <w:pPr>
        <w:widowControl w:val="0"/>
        <w:numPr>
          <w:ilvl w:val="0"/>
          <w:numId w:val="10"/>
        </w:numPr>
        <w:spacing w:after="0" w:line="360" w:lineRule="auto"/>
        <w:ind w:left="640" w:leftChars="0" w:hanging="440" w:firstLineChars="0"/>
        <w:jc w:val="both"/>
        <w:rPr>
          <w:rFonts w:hint="eastAsia" w:ascii="宋体" w:hAnsi="宋体" w:eastAsia="宋体" w:cs="宋体"/>
          <w:kern w:val="2"/>
          <w:sz w:val="21"/>
          <w:szCs w:val="21"/>
          <w:lang w:val="en-US" w:eastAsia="zh-CN" w:bidi="ar-SA"/>
        </w:rPr>
      </w:pPr>
      <w:r>
        <w:rPr>
          <w:rFonts w:ascii="宋体" w:hAnsi="宋体" w:eastAsia="宋体" w:cs="宋体"/>
          <w:kern w:val="2"/>
          <w:sz w:val="21"/>
          <w:szCs w:val="21"/>
          <w:lang w:val="en-US" w:eastAsia="zh-CN" w:bidi="ar-SA"/>
        </w:rPr>
        <w:t>运维安全管理系统</w:t>
      </w:r>
      <w:r>
        <w:rPr>
          <w:rFonts w:hint="eastAsia" w:ascii="宋体" w:hAnsi="宋体" w:eastAsia="宋体" w:cs="宋体"/>
          <w:kern w:val="2"/>
          <w:sz w:val="21"/>
          <w:szCs w:val="21"/>
          <w:lang w:val="en-US" w:eastAsia="zh-CN" w:bidi="ar-SA"/>
        </w:rPr>
        <w:t>1台；</w:t>
      </w:r>
    </w:p>
    <w:p w14:paraId="6C6E07D1">
      <w:pPr>
        <w:widowControl w:val="0"/>
        <w:numPr>
          <w:ilvl w:val="0"/>
          <w:numId w:val="10"/>
        </w:numPr>
        <w:spacing w:after="0" w:line="360" w:lineRule="auto"/>
        <w:ind w:left="640" w:leftChars="0" w:hanging="440" w:firstLineChars="0"/>
        <w:jc w:val="both"/>
        <w:rPr>
          <w:rFonts w:hint="eastAsia" w:ascii="宋体" w:hAnsi="宋体" w:eastAsia="宋体" w:cs="宋体"/>
          <w:kern w:val="2"/>
          <w:sz w:val="21"/>
          <w:szCs w:val="21"/>
          <w:lang w:val="en-US" w:eastAsia="zh-CN" w:bidi="ar-SA"/>
        </w:rPr>
      </w:pPr>
      <w:r>
        <w:rPr>
          <w:rFonts w:ascii="宋体" w:hAnsi="宋体" w:eastAsia="宋体" w:cs="宋体"/>
          <w:kern w:val="2"/>
          <w:sz w:val="21"/>
          <w:szCs w:val="21"/>
          <w:lang w:val="en-US" w:eastAsia="zh-CN" w:bidi="ar-SA"/>
        </w:rPr>
        <w:t>日志审计系统</w:t>
      </w:r>
      <w:r>
        <w:rPr>
          <w:rFonts w:hint="eastAsia" w:ascii="宋体" w:hAnsi="宋体" w:eastAsia="宋体" w:cs="宋体"/>
          <w:kern w:val="2"/>
          <w:sz w:val="21"/>
          <w:szCs w:val="21"/>
          <w:lang w:val="en-US" w:eastAsia="zh-CN" w:bidi="ar-SA"/>
        </w:rPr>
        <w:t>1台；</w:t>
      </w:r>
    </w:p>
    <w:p w14:paraId="3A0C6AF9">
      <w:pPr>
        <w:widowControl w:val="0"/>
        <w:numPr>
          <w:ilvl w:val="0"/>
          <w:numId w:val="10"/>
        </w:numPr>
        <w:spacing w:after="0" w:line="360" w:lineRule="auto"/>
        <w:ind w:left="640" w:leftChars="0" w:hanging="440" w:firstLineChars="0"/>
        <w:jc w:val="both"/>
        <w:rPr>
          <w:rFonts w:hint="eastAsia" w:ascii="宋体" w:hAnsi="宋体" w:eastAsia="宋体" w:cs="宋体"/>
          <w:kern w:val="2"/>
          <w:sz w:val="21"/>
          <w:szCs w:val="21"/>
          <w:lang w:val="en-US" w:eastAsia="zh-CN" w:bidi="ar-SA"/>
        </w:rPr>
      </w:pPr>
      <w:r>
        <w:rPr>
          <w:rFonts w:ascii="宋体" w:hAnsi="宋体" w:eastAsia="宋体" w:cs="宋体"/>
          <w:kern w:val="2"/>
          <w:sz w:val="21"/>
          <w:szCs w:val="21"/>
          <w:lang w:val="en-US" w:eastAsia="zh-CN" w:bidi="ar-SA"/>
        </w:rPr>
        <w:t>企业安全中心系统</w:t>
      </w:r>
      <w:r>
        <w:rPr>
          <w:rFonts w:hint="eastAsia" w:ascii="宋体" w:hAnsi="宋体" w:eastAsia="宋体" w:cs="宋体"/>
          <w:kern w:val="2"/>
          <w:sz w:val="21"/>
          <w:szCs w:val="21"/>
          <w:lang w:val="en-US" w:eastAsia="zh-CN" w:bidi="ar-SA"/>
        </w:rPr>
        <w:t>1台；</w:t>
      </w:r>
    </w:p>
    <w:p w14:paraId="793F2651">
      <w:pPr>
        <w:widowControl w:val="0"/>
        <w:numPr>
          <w:ilvl w:val="0"/>
          <w:numId w:val="10"/>
        </w:numPr>
        <w:spacing w:after="0" w:line="360" w:lineRule="auto"/>
        <w:ind w:left="640" w:leftChars="0" w:hanging="440" w:firstLineChars="0"/>
        <w:jc w:val="both"/>
        <w:rPr>
          <w:rFonts w:hint="eastAsia" w:ascii="宋体" w:hAnsi="宋体" w:eastAsia="宋体" w:cs="宋体"/>
          <w:kern w:val="2"/>
          <w:sz w:val="21"/>
          <w:szCs w:val="21"/>
          <w:lang w:val="en-US" w:eastAsia="zh-CN" w:bidi="ar-SA"/>
        </w:rPr>
      </w:pPr>
      <w:r>
        <w:rPr>
          <w:rFonts w:ascii="宋体" w:hAnsi="宋体" w:eastAsia="宋体" w:cs="宋体"/>
          <w:kern w:val="2"/>
          <w:sz w:val="21"/>
          <w:szCs w:val="21"/>
          <w:lang w:val="en-US" w:eastAsia="zh-CN" w:bidi="ar-SA"/>
        </w:rPr>
        <w:t>安全审计系统</w:t>
      </w:r>
      <w:r>
        <w:rPr>
          <w:rFonts w:hint="eastAsia" w:ascii="宋体" w:hAnsi="宋体" w:eastAsia="宋体" w:cs="宋体"/>
          <w:kern w:val="2"/>
          <w:sz w:val="21"/>
          <w:szCs w:val="21"/>
          <w:lang w:val="en-US" w:eastAsia="zh-CN" w:bidi="ar-SA"/>
        </w:rPr>
        <w:t>1台；</w:t>
      </w:r>
    </w:p>
    <w:p w14:paraId="55EA2186">
      <w:pPr>
        <w:widowControl w:val="0"/>
        <w:numPr>
          <w:ilvl w:val="0"/>
          <w:numId w:val="10"/>
        </w:numPr>
        <w:spacing w:after="0" w:line="360" w:lineRule="auto"/>
        <w:ind w:left="640" w:leftChars="0" w:hanging="440" w:firstLineChars="0"/>
        <w:jc w:val="both"/>
        <w:rPr>
          <w:rFonts w:hint="eastAsia" w:ascii="宋体" w:hAnsi="宋体" w:eastAsia="宋体" w:cs="宋体"/>
          <w:kern w:val="2"/>
          <w:sz w:val="21"/>
          <w:szCs w:val="21"/>
          <w:lang w:val="en-US" w:eastAsia="zh-CN" w:bidi="ar-SA"/>
        </w:rPr>
      </w:pPr>
      <w:r>
        <w:rPr>
          <w:rFonts w:ascii="宋体" w:hAnsi="宋体" w:eastAsia="宋体" w:cs="宋体"/>
          <w:kern w:val="2"/>
          <w:sz w:val="21"/>
          <w:szCs w:val="21"/>
          <w:lang w:val="en-US" w:eastAsia="zh-CN" w:bidi="ar-SA"/>
        </w:rPr>
        <w:t>防火墙系统</w:t>
      </w:r>
      <w:r>
        <w:rPr>
          <w:rFonts w:hint="eastAsia" w:ascii="宋体" w:hAnsi="宋体" w:eastAsia="宋体" w:cs="宋体"/>
          <w:kern w:val="2"/>
          <w:sz w:val="21"/>
          <w:szCs w:val="21"/>
          <w:lang w:val="en-US" w:eastAsia="zh-CN" w:bidi="ar-SA"/>
        </w:rPr>
        <w:t>1台；</w:t>
      </w:r>
    </w:p>
    <w:p w14:paraId="575BF61C">
      <w:pPr>
        <w:widowControl w:val="0"/>
        <w:numPr>
          <w:ilvl w:val="0"/>
          <w:numId w:val="10"/>
        </w:numPr>
        <w:spacing w:after="0" w:line="360" w:lineRule="auto"/>
        <w:ind w:left="640" w:leftChars="0" w:hanging="44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交换机若干台；</w:t>
      </w:r>
    </w:p>
    <w:p w14:paraId="355CD578">
      <w:pPr>
        <w:widowControl w:val="0"/>
        <w:spacing w:after="0" w:line="360" w:lineRule="auto"/>
        <w:ind w:left="0" w:leftChars="0" w:firstLine="20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注：以上技术需求中的功能描述不要求投标人做实质性响应，投标人可根据描述的内容进行调整，满足采购人的实际使用需求即可。</w:t>
      </w:r>
    </w:p>
    <w:p w14:paraId="0C44CFD0">
      <w:pPr>
        <w:pStyle w:val="69"/>
        <w:numPr>
          <w:ilvl w:val="1"/>
          <w:numId w:val="0"/>
        </w:numPr>
        <w:spacing w:before="120" w:after="120"/>
        <w:rPr>
          <w:rFonts w:hint="eastAsia"/>
        </w:rPr>
      </w:pPr>
      <w:r>
        <w:rPr>
          <w:rFonts w:hint="eastAsia" w:ascii="宋体" w:hAnsi="宋体" w:eastAsia="宋体" w:cs="宋体"/>
          <w:b/>
          <w:bCs/>
          <w:kern w:val="2"/>
          <w:sz w:val="21"/>
          <w:szCs w:val="21"/>
          <w:lang w:val="en-US" w:eastAsia="zh-CN" w:bidi="ar-SA"/>
        </w:rPr>
        <w:t>1.6</w:t>
      </w:r>
      <w:r>
        <w:rPr>
          <w:rFonts w:hint="eastAsia"/>
        </w:rPr>
        <w:t>附图</w:t>
      </w:r>
    </w:p>
    <w:p w14:paraId="0B2B5528">
      <w:pPr>
        <w:snapToGrid w:val="0"/>
        <w:spacing w:line="240" w:lineRule="auto"/>
        <w:ind w:firstLine="0" w:firstLineChars="0"/>
        <w:rPr>
          <w:rFonts w:hint="eastAsia" w:asciiTheme="minorEastAsia" w:hAnsiTheme="minorEastAsia" w:eastAsiaTheme="minorEastAsia" w:cstheme="minorEastAsia"/>
          <w:color w:val="000000"/>
          <w:kern w:val="0"/>
          <w:sz w:val="18"/>
          <w:szCs w:val="18"/>
          <w:lang w:eastAsia="zh-CN"/>
        </w:rPr>
        <w:sectPr>
          <w:pgSz w:w="11906" w:h="16838"/>
          <w:pgMar w:top="1440" w:right="1800" w:bottom="1440" w:left="1800" w:header="851" w:footer="992" w:gutter="0"/>
          <w:cols w:space="425" w:num="1"/>
          <w:docGrid w:type="lines" w:linePitch="312" w:charSpace="0"/>
        </w:sectPr>
      </w:pPr>
      <w:bookmarkStart w:id="134" w:name="_GoBack"/>
      <w:bookmarkEnd w:id="134"/>
    </w:p>
    <w:p w14:paraId="153B076A">
      <w:pPr>
        <w:jc w:val="both"/>
        <w:rPr>
          <w:rFonts w:hint="eastAsia" w:ascii="Calibri" w:hAnsi="Calibri" w:eastAsia="宋体" w:cs="Times New Roman"/>
          <w:kern w:val="2"/>
          <w:sz w:val="21"/>
          <w:szCs w:val="21"/>
          <w:lang w:eastAsia="zh-CN" w:bidi="ar-SA"/>
        </w:rPr>
      </w:pPr>
    </w:p>
    <w:p w14:paraId="59A4360F">
      <w:pPr>
        <w:widowControl/>
        <w:jc w:val="left"/>
        <w:rPr>
          <w:rFonts w:hint="eastAsia" w:ascii="宋体" w:hAnsi="宋体" w:eastAsia="宋体" w:cs="Times New Roman"/>
          <w:kern w:val="2"/>
          <w:sz w:val="21"/>
          <w:szCs w:val="21"/>
          <w:lang w:eastAsia="zh-CN" w:bidi="ar-SA"/>
        </w:rPr>
      </w:pPr>
    </w:p>
    <w:p w14:paraId="2B3451FF">
      <w:pPr>
        <w:jc w:val="left"/>
        <w:rPr>
          <w:rFonts w:hint="eastAsia"/>
        </w:rPr>
      </w:pPr>
      <w:r>
        <w:drawing>
          <wp:inline distT="0" distB="0" distL="0" distR="0">
            <wp:extent cx="8138160" cy="5308600"/>
            <wp:effectExtent l="0" t="0" r="15240" b="6350"/>
            <wp:docPr id="17448719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871939" name="图片 1"/>
                    <pic:cNvPicPr>
                      <a:picLocks noChangeAspect="1"/>
                    </pic:cNvPicPr>
                  </pic:nvPicPr>
                  <pic:blipFill>
                    <a:blip r:embed="rId15"/>
                    <a:stretch>
                      <a:fillRect/>
                    </a:stretch>
                  </pic:blipFill>
                  <pic:spPr>
                    <a:xfrm>
                      <a:off x="0" y="0"/>
                      <a:ext cx="8158364" cy="5322227"/>
                    </a:xfrm>
                    <a:prstGeom prst="rect">
                      <a:avLst/>
                    </a:prstGeom>
                  </pic:spPr>
                </pic:pic>
              </a:graphicData>
            </a:graphic>
          </wp:inline>
        </w:drawing>
      </w:r>
    </w:p>
    <w:p w14:paraId="47E37C74">
      <w:pPr>
        <w:rPr>
          <w:rFonts w:hint="eastAsia"/>
        </w:rPr>
      </w:pPr>
      <w:r>
        <w:drawing>
          <wp:inline distT="0" distB="0" distL="0" distR="0">
            <wp:extent cx="8197215" cy="5344160"/>
            <wp:effectExtent l="0" t="0" r="13335" b="8890"/>
            <wp:docPr id="20258361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836165" name="图片 1"/>
                    <pic:cNvPicPr>
                      <a:picLocks noChangeAspect="1"/>
                    </pic:cNvPicPr>
                  </pic:nvPicPr>
                  <pic:blipFill>
                    <a:blip r:embed="rId16"/>
                    <a:stretch>
                      <a:fillRect/>
                    </a:stretch>
                  </pic:blipFill>
                  <pic:spPr>
                    <a:xfrm>
                      <a:off x="0" y="0"/>
                      <a:ext cx="8270109" cy="5391379"/>
                    </a:xfrm>
                    <a:prstGeom prst="rect">
                      <a:avLst/>
                    </a:prstGeom>
                  </pic:spPr>
                </pic:pic>
              </a:graphicData>
            </a:graphic>
          </wp:inline>
        </w:drawing>
      </w:r>
    </w:p>
    <w:p w14:paraId="6428D9B9">
      <w:pPr>
        <w:rPr>
          <w:rFonts w:hint="eastAsia"/>
        </w:rPr>
      </w:pPr>
      <w:r>
        <w:drawing>
          <wp:inline distT="0" distB="0" distL="0" distR="0">
            <wp:extent cx="8158480" cy="5301615"/>
            <wp:effectExtent l="0" t="0" r="13970" b="13335"/>
            <wp:docPr id="14212743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274357" name="图片 1"/>
                    <pic:cNvPicPr>
                      <a:picLocks noChangeAspect="1"/>
                    </pic:cNvPicPr>
                  </pic:nvPicPr>
                  <pic:blipFill>
                    <a:blip r:embed="rId17"/>
                    <a:stretch>
                      <a:fillRect/>
                    </a:stretch>
                  </pic:blipFill>
                  <pic:spPr>
                    <a:xfrm>
                      <a:off x="0" y="0"/>
                      <a:ext cx="8207027" cy="5333512"/>
                    </a:xfrm>
                    <a:prstGeom prst="rect">
                      <a:avLst/>
                    </a:prstGeom>
                  </pic:spPr>
                </pic:pic>
              </a:graphicData>
            </a:graphic>
          </wp:inline>
        </w:drawing>
      </w:r>
    </w:p>
    <w:p w14:paraId="26323DEE">
      <w:pPr>
        <w:rPr>
          <w:rFonts w:hint="eastAsia"/>
        </w:rPr>
      </w:pPr>
      <w:r>
        <w:drawing>
          <wp:inline distT="0" distB="0" distL="0" distR="0">
            <wp:extent cx="8153400" cy="5329555"/>
            <wp:effectExtent l="0" t="0" r="0" b="4445"/>
            <wp:docPr id="1877590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59072" name="图片 1"/>
                    <pic:cNvPicPr>
                      <a:picLocks noChangeAspect="1"/>
                    </pic:cNvPicPr>
                  </pic:nvPicPr>
                  <pic:blipFill>
                    <a:blip r:embed="rId18"/>
                    <a:stretch>
                      <a:fillRect/>
                    </a:stretch>
                  </pic:blipFill>
                  <pic:spPr>
                    <a:xfrm>
                      <a:off x="0" y="0"/>
                      <a:ext cx="8173241" cy="5343046"/>
                    </a:xfrm>
                    <a:prstGeom prst="rect">
                      <a:avLst/>
                    </a:prstGeom>
                  </pic:spPr>
                </pic:pic>
              </a:graphicData>
            </a:graphic>
          </wp:inline>
        </w:drawing>
      </w:r>
    </w:p>
    <w:p w14:paraId="22A95798">
      <w:pPr>
        <w:widowControl/>
        <w:jc w:val="left"/>
        <w:rPr>
          <w:rFonts w:hint="eastAsia" w:ascii="宋体" w:hAnsi="宋体"/>
        </w:rPr>
        <w:sectPr>
          <w:pgSz w:w="16838" w:h="11906" w:orient="landscape"/>
          <w:pgMar w:top="1440" w:right="1797" w:bottom="1440" w:left="1797" w:header="851" w:footer="992" w:gutter="0"/>
          <w:cols w:space="425" w:num="1"/>
          <w:docGrid w:linePitch="312" w:charSpace="0"/>
        </w:sectPr>
      </w:pPr>
      <w:r>
        <w:drawing>
          <wp:inline distT="0" distB="0" distL="0" distR="0">
            <wp:extent cx="8305800" cy="5413375"/>
            <wp:effectExtent l="0" t="0" r="0" b="15875"/>
            <wp:docPr id="1226275101"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275101" name="图片 2" descr="图示&#10;&#10;描述已自动生成"/>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8323331" cy="5425011"/>
                    </a:xfrm>
                    <a:prstGeom prst="rect">
                      <a:avLst/>
                    </a:prstGeom>
                    <a:noFill/>
                    <a:ln>
                      <a:noFill/>
                    </a:ln>
                  </pic:spPr>
                </pic:pic>
              </a:graphicData>
            </a:graphic>
          </wp:inline>
        </w:drawing>
      </w:r>
    </w:p>
    <w:p w14:paraId="000F87EF">
      <w:pPr>
        <w:jc w:val="both"/>
        <w:rPr>
          <w:rFonts w:hint="eastAsia" w:ascii="Calibri" w:hAnsi="Calibri" w:eastAsia="宋体" w:cs="Times New Roman"/>
          <w:kern w:val="2"/>
          <w:sz w:val="21"/>
          <w:szCs w:val="21"/>
          <w:lang w:eastAsia="zh-CN" w:bidi="ar-SA"/>
        </w:rPr>
      </w:pPr>
    </w:p>
    <w:p w14:paraId="07E99033">
      <w:pPr>
        <w:jc w:val="both"/>
        <w:rPr>
          <w:rFonts w:ascii="Calibri" w:hAnsi="Calibri" w:eastAsia="宋体" w:cs="Times New Roman"/>
          <w:kern w:val="2"/>
          <w:sz w:val="21"/>
          <w:szCs w:val="21"/>
          <w:lang w:eastAsia="zh-CN" w:bidi="ar-SA"/>
        </w:rPr>
      </w:pPr>
    </w:p>
    <w:p w14:paraId="5253EB13">
      <w:pPr>
        <w:pBdr>
          <w:top w:val="none" w:color="auto" w:sz="0" w:space="0"/>
          <w:left w:val="none" w:color="auto" w:sz="0" w:space="0"/>
          <w:bottom w:val="none" w:color="auto" w:sz="0" w:space="0"/>
          <w:right w:val="none" w:color="auto" w:sz="0" w:space="0"/>
          <w:between w:val="none" w:color="auto" w:sz="0" w:space="0"/>
        </w:pBdr>
        <w:spacing w:line="480" w:lineRule="exact"/>
        <w:jc w:val="center"/>
        <w:outlineLvl w:val="0"/>
        <w:rPr>
          <w:rFonts w:hint="eastAsia" w:asciiTheme="minorEastAsia" w:hAnsiTheme="minorEastAsia" w:eastAsiaTheme="minorEastAsia" w:cstheme="minorEastAsia"/>
          <w:b/>
          <w:bCs w:val="0"/>
          <w:color w:val="auto"/>
          <w:sz w:val="32"/>
          <w:szCs w:val="32"/>
          <w:lang w:eastAsia="zh-CN"/>
        </w:rPr>
      </w:pPr>
      <w:bookmarkStart w:id="110" w:name="_Toc11863"/>
      <w:r>
        <w:rPr>
          <w:rFonts w:hint="eastAsia" w:asciiTheme="minorEastAsia" w:hAnsiTheme="minorEastAsia" w:eastAsiaTheme="minorEastAsia" w:cstheme="minorEastAsia"/>
          <w:b/>
          <w:bCs w:val="0"/>
          <w:color w:val="auto"/>
          <w:sz w:val="32"/>
          <w:szCs w:val="32"/>
          <w:lang w:eastAsia="zh-CN"/>
        </w:rPr>
        <w:t>第五部分  合同条款及格式</w:t>
      </w:r>
      <w:bookmarkEnd w:id="101"/>
      <w:bookmarkEnd w:id="110"/>
      <w:bookmarkStart w:id="111" w:name="_Toc20669"/>
    </w:p>
    <w:bookmarkEnd w:id="100"/>
    <w:bookmarkEnd w:id="111"/>
    <w:p w14:paraId="4D0717BF">
      <w:pPr>
        <w:adjustRightInd w:val="0"/>
        <w:snapToGrid w:val="0"/>
        <w:spacing w:beforeLines="0" w:line="400" w:lineRule="exact"/>
        <w:jc w:val="center"/>
        <w:outlineLvl w:val="9"/>
        <w:rPr>
          <w:rFonts w:hint="eastAsia" w:asciiTheme="minorEastAsia" w:hAnsiTheme="minorEastAsia" w:eastAsiaTheme="minorEastAsia" w:cstheme="minorEastAsia"/>
          <w:b w:val="0"/>
          <w:bCs/>
          <w:color w:val="auto"/>
          <w:sz w:val="22"/>
          <w:szCs w:val="22"/>
          <w:lang w:val="en-US" w:eastAsia="zh-CN" w:bidi="en-US"/>
        </w:rPr>
      </w:pPr>
      <w:r>
        <w:rPr>
          <w:rFonts w:hint="eastAsia" w:asciiTheme="minorEastAsia" w:hAnsiTheme="minorEastAsia" w:eastAsiaTheme="minorEastAsia" w:cstheme="minorEastAsia"/>
          <w:b w:val="0"/>
          <w:bCs/>
          <w:color w:val="auto"/>
          <w:sz w:val="22"/>
          <w:szCs w:val="22"/>
          <w:lang w:val="en-US" w:eastAsia="zh-CN" w:bidi="en-US"/>
        </w:rPr>
        <w:t>（仅供参考，具体以最终签订合同为准）</w:t>
      </w:r>
    </w:p>
    <w:p w14:paraId="7C768E4E">
      <w:pPr>
        <w:pStyle w:val="12"/>
        <w:numPr>
          <w:ilvl w:val="0"/>
          <w:numId w:val="0"/>
        </w:numPr>
        <w:spacing w:after="0"/>
        <w:ind w:leftChars="0"/>
        <w:jc w:val="both"/>
        <w:rPr>
          <w:rFonts w:hint="eastAsia" w:asciiTheme="minorEastAsia" w:hAnsiTheme="minorEastAsia" w:eastAsiaTheme="minorEastAsia" w:cstheme="minorEastAsia"/>
          <w:b/>
          <w:bCs/>
          <w:spacing w:val="-20"/>
          <w:kern w:val="44"/>
          <w:sz w:val="48"/>
          <w:szCs w:val="48"/>
        </w:rPr>
      </w:pPr>
    </w:p>
    <w:p w14:paraId="3C9FF9F3">
      <w:pPr>
        <w:pStyle w:val="12"/>
        <w:numPr>
          <w:ilvl w:val="0"/>
          <w:numId w:val="0"/>
        </w:numPr>
        <w:spacing w:after="0"/>
        <w:ind w:leftChars="0"/>
        <w:jc w:val="both"/>
        <w:rPr>
          <w:rFonts w:hint="eastAsia" w:asciiTheme="minorEastAsia" w:hAnsiTheme="minorEastAsia" w:eastAsiaTheme="minorEastAsia" w:cstheme="minorEastAsia"/>
          <w:b/>
          <w:bCs/>
          <w:spacing w:val="-20"/>
          <w:kern w:val="44"/>
          <w:sz w:val="48"/>
          <w:szCs w:val="48"/>
        </w:rPr>
      </w:pPr>
    </w:p>
    <w:p w14:paraId="5EB93297">
      <w:pPr>
        <w:pStyle w:val="12"/>
        <w:numPr>
          <w:ilvl w:val="0"/>
          <w:numId w:val="0"/>
        </w:numPr>
        <w:spacing w:after="0"/>
        <w:ind w:leftChars="0"/>
        <w:jc w:val="center"/>
        <w:rPr>
          <w:rFonts w:hint="eastAsia" w:asciiTheme="minorEastAsia" w:hAnsiTheme="minorEastAsia" w:eastAsiaTheme="minorEastAsia" w:cstheme="minorEastAsia"/>
          <w:b/>
          <w:bCs/>
          <w:spacing w:val="-20"/>
          <w:kern w:val="44"/>
          <w:sz w:val="48"/>
          <w:szCs w:val="48"/>
        </w:rPr>
      </w:pPr>
      <w:r>
        <w:rPr>
          <w:rFonts w:hint="eastAsia" w:asciiTheme="minorEastAsia" w:hAnsiTheme="minorEastAsia" w:eastAsiaTheme="minorEastAsia" w:cstheme="minorEastAsia"/>
          <w:b/>
          <w:bCs/>
          <w:spacing w:val="-20"/>
          <w:kern w:val="44"/>
          <w:sz w:val="48"/>
          <w:szCs w:val="48"/>
        </w:rPr>
        <w:t>政府采购</w:t>
      </w:r>
      <w:r>
        <w:rPr>
          <w:rFonts w:hint="eastAsia" w:asciiTheme="minorEastAsia" w:hAnsiTheme="minorEastAsia" w:eastAsiaTheme="minorEastAsia" w:cstheme="minorEastAsia"/>
          <w:b/>
          <w:bCs/>
          <w:spacing w:val="-20"/>
          <w:kern w:val="44"/>
          <w:sz w:val="48"/>
          <w:szCs w:val="48"/>
          <w:lang w:eastAsia="zh-CN"/>
        </w:rPr>
        <w:t>货物买卖</w:t>
      </w:r>
      <w:r>
        <w:rPr>
          <w:rFonts w:hint="eastAsia" w:asciiTheme="minorEastAsia" w:hAnsiTheme="minorEastAsia" w:eastAsiaTheme="minorEastAsia" w:cstheme="minorEastAsia"/>
          <w:b/>
          <w:bCs/>
          <w:spacing w:val="-20"/>
          <w:kern w:val="44"/>
          <w:sz w:val="48"/>
          <w:szCs w:val="48"/>
        </w:rPr>
        <w:t>合同</w:t>
      </w:r>
    </w:p>
    <w:p w14:paraId="2A486070">
      <w:pPr>
        <w:pStyle w:val="12"/>
        <w:numPr>
          <w:ilvl w:val="0"/>
          <w:numId w:val="0"/>
        </w:numPr>
        <w:spacing w:after="0"/>
        <w:ind w:leftChars="0"/>
        <w:jc w:val="center"/>
        <w:rPr>
          <w:rFonts w:hint="eastAsia" w:asciiTheme="minorEastAsia" w:hAnsiTheme="minorEastAsia" w:eastAsiaTheme="minorEastAsia" w:cstheme="minorEastAsia"/>
          <w:b/>
          <w:bCs/>
          <w:spacing w:val="-20"/>
          <w:kern w:val="44"/>
          <w:sz w:val="48"/>
          <w:szCs w:val="48"/>
          <w:lang w:eastAsia="zh-CN"/>
        </w:rPr>
      </w:pPr>
      <w:r>
        <w:rPr>
          <w:rFonts w:hint="eastAsia" w:asciiTheme="minorEastAsia" w:hAnsiTheme="minorEastAsia" w:eastAsiaTheme="minorEastAsia" w:cstheme="minorEastAsia"/>
          <w:b/>
          <w:bCs/>
          <w:spacing w:val="-20"/>
          <w:kern w:val="44"/>
          <w:sz w:val="48"/>
          <w:szCs w:val="48"/>
          <w:lang w:eastAsia="zh-CN"/>
        </w:rPr>
        <w:t>（试行）</w:t>
      </w:r>
    </w:p>
    <w:p w14:paraId="47672434">
      <w:pPr>
        <w:rPr>
          <w:rFonts w:hint="eastAsia" w:asciiTheme="minorEastAsia" w:hAnsiTheme="minorEastAsia" w:eastAsiaTheme="minorEastAsia" w:cstheme="minorEastAsia"/>
          <w:b/>
          <w:bCs/>
          <w:spacing w:val="-20"/>
          <w:kern w:val="44"/>
          <w:sz w:val="40"/>
          <w:szCs w:val="40"/>
        </w:rPr>
      </w:pPr>
    </w:p>
    <w:p w14:paraId="1748302C">
      <w:pPr>
        <w:rPr>
          <w:rFonts w:hint="eastAsia" w:asciiTheme="minorEastAsia" w:hAnsiTheme="minorEastAsia" w:eastAsiaTheme="minorEastAsia" w:cstheme="minorEastAsia"/>
          <w:b/>
          <w:bCs/>
          <w:spacing w:val="-20"/>
          <w:kern w:val="44"/>
          <w:sz w:val="40"/>
          <w:szCs w:val="40"/>
        </w:rPr>
      </w:pPr>
    </w:p>
    <w:p w14:paraId="0D004366">
      <w:pPr>
        <w:rPr>
          <w:rFonts w:hint="eastAsia" w:asciiTheme="minorEastAsia" w:hAnsiTheme="minorEastAsia" w:eastAsiaTheme="minorEastAsia" w:cstheme="minorEastAsia"/>
          <w:b/>
          <w:bCs/>
          <w:spacing w:val="-20"/>
          <w:kern w:val="44"/>
          <w:sz w:val="40"/>
          <w:szCs w:val="40"/>
        </w:rPr>
      </w:pPr>
    </w:p>
    <w:p w14:paraId="41D6CC0E">
      <w:pPr>
        <w:spacing w:line="360" w:lineRule="auto"/>
        <w:ind w:left="480" w:leftChars="200"/>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kern w:val="0"/>
          <w:sz w:val="32"/>
          <w:szCs w:val="32"/>
        </w:rPr>
        <w:t>项目名称：</w:t>
      </w:r>
      <w:r>
        <w:rPr>
          <w:rFonts w:hint="eastAsia" w:asciiTheme="minorEastAsia" w:hAnsiTheme="minorEastAsia" w:eastAsiaTheme="minorEastAsia" w:cstheme="minorEastAsia"/>
          <w:sz w:val="32"/>
          <w:szCs w:val="32"/>
          <w:u w:val="single"/>
        </w:rPr>
        <w:t xml:space="preserve">                             </w:t>
      </w:r>
    </w:p>
    <w:p w14:paraId="586FC219">
      <w:pPr>
        <w:spacing w:line="360" w:lineRule="auto"/>
        <w:ind w:left="480" w:leftChars="200"/>
        <w:rPr>
          <w:rFonts w:hint="eastAsia" w:asciiTheme="minorEastAsia" w:hAnsiTheme="minorEastAsia" w:eastAsiaTheme="minorEastAsia" w:cstheme="minorEastAsia"/>
          <w:sz w:val="32"/>
          <w:szCs w:val="32"/>
          <w:u w:val="single"/>
        </w:rPr>
      </w:pPr>
      <w:r>
        <w:rPr>
          <w:rFonts w:hint="eastAsia" w:asciiTheme="minorEastAsia" w:hAnsiTheme="minorEastAsia" w:eastAsiaTheme="minorEastAsia" w:cstheme="minorEastAsia"/>
          <w:sz w:val="32"/>
          <w:szCs w:val="32"/>
        </w:rPr>
        <w:t>合同编号：</w:t>
      </w:r>
      <w:r>
        <w:rPr>
          <w:rFonts w:hint="eastAsia" w:asciiTheme="minorEastAsia" w:hAnsiTheme="minorEastAsia" w:eastAsiaTheme="minorEastAsia" w:cstheme="minorEastAsia"/>
          <w:sz w:val="32"/>
          <w:szCs w:val="32"/>
          <w:u w:val="single"/>
        </w:rPr>
        <w:t xml:space="preserve">                             </w:t>
      </w:r>
    </w:p>
    <w:p w14:paraId="31E6488A">
      <w:pPr>
        <w:spacing w:line="360" w:lineRule="auto"/>
        <w:ind w:left="480" w:leftChars="200"/>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甲    方：</w:t>
      </w:r>
      <w:r>
        <w:rPr>
          <w:rFonts w:hint="eastAsia" w:asciiTheme="minorEastAsia" w:hAnsiTheme="minorEastAsia" w:eastAsiaTheme="minorEastAsia" w:cstheme="minorEastAsia"/>
          <w:sz w:val="32"/>
          <w:szCs w:val="32"/>
          <w:u w:val="single"/>
        </w:rPr>
        <w:t xml:space="preserve">                             </w:t>
      </w:r>
    </w:p>
    <w:p w14:paraId="615F06B3">
      <w:pPr>
        <w:spacing w:line="360" w:lineRule="auto"/>
        <w:ind w:left="480" w:leftChars="200"/>
        <w:rPr>
          <w:rFonts w:hint="eastAsia" w:asciiTheme="minorEastAsia" w:hAnsiTheme="minorEastAsia" w:eastAsiaTheme="minorEastAsia" w:cstheme="minorEastAsia"/>
          <w:sz w:val="32"/>
          <w:szCs w:val="32"/>
          <w:u w:val="single"/>
        </w:rPr>
      </w:pPr>
      <w:r>
        <w:rPr>
          <w:rFonts w:hint="eastAsia" w:asciiTheme="minorEastAsia" w:hAnsiTheme="minorEastAsia" w:eastAsiaTheme="minorEastAsia" w:cstheme="minorEastAsia"/>
          <w:sz w:val="32"/>
          <w:szCs w:val="32"/>
        </w:rPr>
        <w:t>乙    方：</w:t>
      </w:r>
      <w:r>
        <w:rPr>
          <w:rFonts w:hint="eastAsia" w:asciiTheme="minorEastAsia" w:hAnsiTheme="minorEastAsia" w:eastAsiaTheme="minorEastAsia" w:cstheme="minorEastAsia"/>
          <w:sz w:val="32"/>
          <w:szCs w:val="32"/>
          <w:u w:val="single"/>
        </w:rPr>
        <w:t xml:space="preserve">                             </w:t>
      </w:r>
    </w:p>
    <w:p w14:paraId="7DBCA056">
      <w:pPr>
        <w:spacing w:line="360" w:lineRule="auto"/>
        <w:ind w:left="480" w:leftChars="200"/>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签订时间：</w:t>
      </w:r>
      <w:r>
        <w:rPr>
          <w:rFonts w:hint="eastAsia" w:asciiTheme="minorEastAsia" w:hAnsiTheme="minorEastAsia" w:eastAsiaTheme="minorEastAsia" w:cstheme="minorEastAsia"/>
          <w:sz w:val="32"/>
          <w:szCs w:val="32"/>
          <w:u w:val="single"/>
        </w:rPr>
        <w:t xml:space="preserve">                             </w:t>
      </w:r>
    </w:p>
    <w:p w14:paraId="2F998500">
      <w:pPr>
        <w:rPr>
          <w:rFonts w:hint="eastAsia" w:asciiTheme="minorEastAsia" w:hAnsiTheme="minorEastAsia" w:eastAsiaTheme="minorEastAsia" w:cstheme="minorEastAsia"/>
        </w:rPr>
      </w:pPr>
    </w:p>
    <w:p w14:paraId="1301E5C8">
      <w:pPr>
        <w:rPr>
          <w:rFonts w:hint="eastAsia" w:asciiTheme="minorEastAsia" w:hAnsiTheme="minorEastAsia" w:eastAsiaTheme="minorEastAsia" w:cstheme="minorEastAsia"/>
          <w:sz w:val="44"/>
          <w:szCs w:val="44"/>
        </w:rPr>
      </w:pPr>
      <w:r>
        <w:rPr>
          <w:rFonts w:hint="eastAsia" w:asciiTheme="minorEastAsia" w:hAnsiTheme="minorEastAsia" w:eastAsiaTheme="minorEastAsia" w:cstheme="minorEastAsia"/>
          <w:sz w:val="44"/>
          <w:szCs w:val="44"/>
        </w:rPr>
        <w:br w:type="page"/>
      </w:r>
    </w:p>
    <w:p w14:paraId="2E2542B2">
      <w:pPr>
        <w:jc w:val="center"/>
        <w:rPr>
          <w:rFonts w:hint="eastAsia" w:asciiTheme="minorEastAsia" w:hAnsiTheme="minorEastAsia" w:eastAsiaTheme="minorEastAsia" w:cstheme="minorEastAsia"/>
          <w:sz w:val="44"/>
          <w:szCs w:val="44"/>
          <w:lang w:eastAsia="zh-CN"/>
        </w:rPr>
      </w:pPr>
      <w:r>
        <w:rPr>
          <w:rFonts w:hint="eastAsia" w:asciiTheme="minorEastAsia" w:hAnsiTheme="minorEastAsia" w:eastAsiaTheme="minorEastAsia" w:cstheme="minorEastAsia"/>
          <w:sz w:val="44"/>
          <w:szCs w:val="44"/>
          <w:lang w:eastAsia="zh-CN"/>
        </w:rPr>
        <w:t>使</w:t>
      </w:r>
      <w:r>
        <w:rPr>
          <w:rFonts w:hint="eastAsia" w:asciiTheme="minorEastAsia" w:hAnsiTheme="minorEastAsia" w:eastAsiaTheme="minorEastAsia" w:cstheme="minorEastAsia"/>
          <w:sz w:val="44"/>
          <w:szCs w:val="44"/>
          <w:lang w:val="en-US" w:eastAsia="zh-CN"/>
        </w:rPr>
        <w:t xml:space="preserve"> </w:t>
      </w:r>
      <w:r>
        <w:rPr>
          <w:rFonts w:hint="eastAsia" w:asciiTheme="minorEastAsia" w:hAnsiTheme="minorEastAsia" w:eastAsiaTheme="minorEastAsia" w:cstheme="minorEastAsia"/>
          <w:sz w:val="44"/>
          <w:szCs w:val="44"/>
          <w:lang w:eastAsia="zh-CN"/>
        </w:rPr>
        <w:t>用</w:t>
      </w:r>
      <w:r>
        <w:rPr>
          <w:rFonts w:hint="eastAsia" w:asciiTheme="minorEastAsia" w:hAnsiTheme="minorEastAsia" w:eastAsiaTheme="minorEastAsia" w:cstheme="minorEastAsia"/>
          <w:sz w:val="44"/>
          <w:szCs w:val="44"/>
          <w:lang w:val="en-US" w:eastAsia="zh-CN"/>
        </w:rPr>
        <w:t xml:space="preserve"> </w:t>
      </w:r>
      <w:r>
        <w:rPr>
          <w:rFonts w:hint="eastAsia" w:asciiTheme="minorEastAsia" w:hAnsiTheme="minorEastAsia" w:eastAsiaTheme="minorEastAsia" w:cstheme="minorEastAsia"/>
          <w:sz w:val="44"/>
          <w:szCs w:val="44"/>
          <w:lang w:eastAsia="zh-CN"/>
        </w:rPr>
        <w:t>说</w:t>
      </w:r>
      <w:r>
        <w:rPr>
          <w:rFonts w:hint="eastAsia" w:asciiTheme="minorEastAsia" w:hAnsiTheme="minorEastAsia" w:eastAsiaTheme="minorEastAsia" w:cstheme="minorEastAsia"/>
          <w:sz w:val="44"/>
          <w:szCs w:val="44"/>
          <w:lang w:val="en-US" w:eastAsia="zh-CN"/>
        </w:rPr>
        <w:t xml:space="preserve"> </w:t>
      </w:r>
      <w:r>
        <w:rPr>
          <w:rFonts w:hint="eastAsia" w:asciiTheme="minorEastAsia" w:hAnsiTheme="minorEastAsia" w:eastAsiaTheme="minorEastAsia" w:cstheme="minorEastAsia"/>
          <w:sz w:val="44"/>
          <w:szCs w:val="44"/>
          <w:lang w:eastAsia="zh-CN"/>
        </w:rPr>
        <w:t>明</w:t>
      </w:r>
    </w:p>
    <w:p w14:paraId="5E7F2B23">
      <w:pPr>
        <w:ind w:firstLine="640" w:firstLineChars="200"/>
        <w:rPr>
          <w:rFonts w:hint="eastAsia" w:asciiTheme="minorEastAsia" w:hAnsiTheme="minorEastAsia" w:eastAsiaTheme="minorEastAsia" w:cstheme="minorEastAsia"/>
          <w:sz w:val="32"/>
          <w:szCs w:val="32"/>
          <w:lang w:val="en-US" w:eastAsia="zh-CN"/>
        </w:rPr>
      </w:pPr>
    </w:p>
    <w:p w14:paraId="1B809E7A">
      <w:pPr>
        <w:ind w:firstLine="640" w:firstLineChars="200"/>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1.本合同标准文本适用于购买现成货物的采购项目，不包括需要供应商定制开发、创新研发的货物采购项目。</w:t>
      </w:r>
    </w:p>
    <w:p w14:paraId="0123C1C7">
      <w:pPr>
        <w:ind w:firstLine="0" w:firstLineChars="0"/>
        <w:rPr>
          <w:rFonts w:hint="eastAsia" w:asciiTheme="minorEastAsia" w:hAnsiTheme="minorEastAsia" w:eastAsiaTheme="minorEastAsia" w:cstheme="minorEastAsia"/>
          <w:sz w:val="44"/>
          <w:szCs w:val="44"/>
          <w:lang w:val="en-US" w:eastAsia="zh-CN"/>
        </w:rPr>
      </w:pPr>
      <w:r>
        <w:rPr>
          <w:rFonts w:hint="eastAsia" w:asciiTheme="minorEastAsia" w:hAnsiTheme="minorEastAsia" w:eastAsiaTheme="minorEastAsia" w:cstheme="minorEastAsia"/>
          <w:sz w:val="44"/>
          <w:szCs w:val="44"/>
          <w:lang w:val="en-US" w:eastAsia="zh-CN"/>
        </w:rPr>
        <w:t xml:space="preserve">   </w:t>
      </w:r>
      <w:r>
        <w:rPr>
          <w:rFonts w:hint="eastAsia" w:asciiTheme="minorEastAsia" w:hAnsiTheme="minorEastAsia" w:eastAsiaTheme="minorEastAsia" w:cstheme="minorEastAsia"/>
          <w:sz w:val="32"/>
          <w:szCs w:val="32"/>
          <w:lang w:val="en-US" w:eastAsia="zh-CN"/>
        </w:rPr>
        <w:t>2.本合同标准文本为政府采购货物买卖合同编制提供参考，可以结合采购项目具体情况，对文本作必要的调整修订后使用。</w:t>
      </w:r>
    </w:p>
    <w:p w14:paraId="6B7F9CBC">
      <w:pPr>
        <w:ind w:firstLine="640" w:firstLineChars="200"/>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3.本合同标准文本各条款中，如涉及填写多家供应商、制造商，多种采购标的、分包主要内容等信息的，可根据采购项目具体情况添加信息项。</w:t>
      </w:r>
    </w:p>
    <w:p w14:paraId="793A8ED0">
      <w:pPr>
        <w:ind w:firstLine="880" w:firstLineChars="200"/>
        <w:jc w:val="both"/>
        <w:rPr>
          <w:rFonts w:eastAsia="黑体"/>
          <w:sz w:val="44"/>
          <w:szCs w:val="44"/>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09D05F5">
      <w:pPr>
        <w:pStyle w:val="3"/>
        <w:adjustRightInd w:val="0"/>
        <w:snapToGrid w:val="0"/>
        <w:spacing w:beforeLines="0" w:line="400" w:lineRule="exact"/>
        <w:jc w:val="center"/>
        <w:rPr>
          <w:rFonts w:hint="eastAsia" w:ascii="黑体" w:hAnsi="华文中宋" w:eastAsia="黑体"/>
          <w:b w:val="0"/>
          <w:bCs w:val="0"/>
          <w:sz w:val="28"/>
          <w:szCs w:val="28"/>
        </w:rPr>
      </w:pPr>
      <w:r>
        <w:rPr>
          <w:rFonts w:hint="eastAsia" w:ascii="黑体" w:hAnsi="黑体" w:eastAsia="黑体"/>
          <w:b w:val="0"/>
          <w:bCs w:val="0"/>
          <w:sz w:val="28"/>
          <w:szCs w:val="28"/>
        </w:rPr>
        <w:t xml:space="preserve">第一节 </w:t>
      </w:r>
      <w:r>
        <w:rPr>
          <w:rFonts w:hint="eastAsia" w:ascii="黑体" w:hAnsi="华文中宋" w:eastAsia="黑体"/>
          <w:b w:val="0"/>
          <w:bCs w:val="0"/>
          <w:sz w:val="28"/>
          <w:szCs w:val="28"/>
        </w:rPr>
        <w:t>政府采购合同协议书</w:t>
      </w:r>
    </w:p>
    <w:p w14:paraId="2F1E50F3">
      <w:pPr>
        <w:adjustRightInd w:val="0"/>
        <w:snapToGrid w:val="0"/>
        <w:spacing w:before="0" w:beforeLines="0" w:line="400" w:lineRule="exact"/>
        <w:rPr>
          <w:rFonts w:ascii="宋体" w:hAnsi="宋体"/>
          <w:szCs w:val="21"/>
        </w:rPr>
      </w:pPr>
      <w:r>
        <w:rPr>
          <w:rFonts w:hint="eastAsia" w:ascii="宋体" w:hAnsi="宋体"/>
          <w:szCs w:val="21"/>
        </w:rPr>
        <w:t>甲方（全称）：</w:t>
      </w:r>
      <w:r>
        <w:rPr>
          <w:rFonts w:hint="eastAsia" w:ascii="宋体" w:hAnsi="宋体"/>
          <w:szCs w:val="21"/>
          <w:u w:val="single"/>
        </w:rPr>
        <w:t xml:space="preserve">                        </w:t>
      </w:r>
      <w:r>
        <w:rPr>
          <w:rFonts w:hint="eastAsia" w:ascii="宋体" w:hAnsi="宋体"/>
          <w:szCs w:val="21"/>
        </w:rPr>
        <w:t>（采购人</w:t>
      </w:r>
      <w:r>
        <w:rPr>
          <w:rFonts w:hint="eastAsia" w:ascii="宋体" w:hAnsi="宋体"/>
          <w:szCs w:val="21"/>
          <w:lang w:eastAsia="zh-CN"/>
        </w:rPr>
        <w:t>、受采购人委托签订合同的单位</w:t>
      </w:r>
      <w:r>
        <w:rPr>
          <w:rFonts w:hint="eastAsia" w:ascii="宋体" w:hAnsi="宋体"/>
          <w:szCs w:val="21"/>
        </w:rPr>
        <w:t>或采购文件约定的合同甲方）</w:t>
      </w:r>
    </w:p>
    <w:p w14:paraId="11F0666E">
      <w:pPr>
        <w:adjustRightInd w:val="0"/>
        <w:snapToGrid w:val="0"/>
        <w:spacing w:before="0" w:beforeLines="0" w:line="400" w:lineRule="exact"/>
        <w:rPr>
          <w:rFonts w:ascii="宋体" w:hAnsi="宋体"/>
          <w:szCs w:val="21"/>
        </w:rPr>
      </w:pPr>
      <w:r>
        <w:rPr>
          <w:rFonts w:hint="eastAsia" w:ascii="宋体" w:hAnsi="宋体"/>
          <w:szCs w:val="21"/>
        </w:rPr>
        <w:t>乙方</w:t>
      </w:r>
      <w:r>
        <w:rPr>
          <w:rFonts w:hint="eastAsia" w:ascii="宋体" w:hAnsi="宋体"/>
          <w:szCs w:val="21"/>
          <w:lang w:val="en-US" w:eastAsia="zh-CN"/>
        </w:rPr>
        <w:t>1</w:t>
      </w:r>
      <w:r>
        <w:rPr>
          <w:rFonts w:hint="eastAsia" w:ascii="宋体" w:hAnsi="宋体"/>
          <w:szCs w:val="21"/>
        </w:rPr>
        <w:t>（全称）：</w:t>
      </w:r>
      <w:r>
        <w:rPr>
          <w:rFonts w:hint="eastAsia" w:ascii="宋体" w:hAnsi="宋体"/>
          <w:szCs w:val="21"/>
          <w:u w:val="single"/>
        </w:rPr>
        <w:t xml:space="preserve">                       </w:t>
      </w:r>
      <w:r>
        <w:rPr>
          <w:rFonts w:hint="eastAsia" w:ascii="宋体" w:hAnsi="宋体"/>
          <w:szCs w:val="21"/>
        </w:rPr>
        <w:t>（供应商）</w:t>
      </w:r>
    </w:p>
    <w:p w14:paraId="7A6922F8">
      <w:pPr>
        <w:adjustRightInd w:val="0"/>
        <w:snapToGrid w:val="0"/>
        <w:spacing w:before="0" w:beforeLines="0" w:line="400" w:lineRule="exact"/>
        <w:rPr>
          <w:rFonts w:hint="eastAsia" w:ascii="宋体" w:hAnsi="宋体"/>
          <w:szCs w:val="21"/>
        </w:rPr>
      </w:pPr>
      <w:r>
        <w:rPr>
          <w:rFonts w:hint="eastAsia" w:ascii="宋体" w:hAnsi="宋体"/>
          <w:szCs w:val="21"/>
        </w:rPr>
        <w:t>乙方2（全称）：</w:t>
      </w:r>
      <w:r>
        <w:rPr>
          <w:rFonts w:hint="eastAsia" w:ascii="宋体" w:hAnsi="宋体"/>
          <w:szCs w:val="21"/>
          <w:u w:val="single"/>
        </w:rPr>
        <w:t xml:space="preserve">                        </w:t>
      </w:r>
      <w:r>
        <w:rPr>
          <w:rFonts w:hint="eastAsia" w:ascii="宋体" w:hAnsi="宋体"/>
          <w:szCs w:val="21"/>
        </w:rPr>
        <w:t>（联合体成员供应商或其他合同主体）（如有）</w:t>
      </w:r>
    </w:p>
    <w:p w14:paraId="29860723">
      <w:pPr>
        <w:adjustRightInd w:val="0"/>
        <w:snapToGrid w:val="0"/>
        <w:spacing w:before="0" w:beforeLines="0" w:line="400" w:lineRule="exact"/>
        <w:rPr>
          <w:rFonts w:hint="eastAsia" w:ascii="宋体" w:hAnsi="宋体"/>
          <w:szCs w:val="21"/>
        </w:rPr>
      </w:pPr>
      <w:r>
        <w:rPr>
          <w:rFonts w:hint="eastAsia"/>
          <w:lang w:eastAsia="zh-CN"/>
        </w:rPr>
        <w:t>乙方</w:t>
      </w:r>
      <w:r>
        <w:rPr>
          <w:rFonts w:hint="eastAsia" w:ascii="宋体" w:hAnsi="宋体"/>
          <w:szCs w:val="21"/>
          <w:lang w:val="en-US" w:eastAsia="zh-CN"/>
        </w:rPr>
        <w:t>3</w:t>
      </w:r>
      <w:r>
        <w:rPr>
          <w:rFonts w:hint="eastAsia"/>
          <w:lang w:val="en-US" w:eastAsia="zh-CN"/>
        </w:rPr>
        <w:t>（全称）</w:t>
      </w:r>
      <w:r>
        <w:rPr>
          <w:rFonts w:hint="eastAsia" w:ascii="宋体" w:hAnsi="宋体"/>
          <w:szCs w:val="21"/>
          <w:u w:val="single"/>
        </w:rPr>
        <w:t xml:space="preserve">                          </w:t>
      </w:r>
      <w:r>
        <w:rPr>
          <w:rFonts w:hint="eastAsia" w:ascii="宋体" w:hAnsi="宋体"/>
          <w:szCs w:val="21"/>
        </w:rPr>
        <w:t>（联合体成员供应商或其他合同主体）（如有）</w:t>
      </w:r>
    </w:p>
    <w:p w14:paraId="2484F210">
      <w:pPr>
        <w:spacing w:beforeLines="0" w:line="400" w:lineRule="exact"/>
        <w:rPr>
          <w:rFonts w:hint="default" w:eastAsia="宋体"/>
          <w:lang w:val="en-US" w:eastAsia="zh-CN"/>
        </w:rPr>
      </w:pPr>
    </w:p>
    <w:p w14:paraId="3A3D7706">
      <w:pPr>
        <w:pStyle w:val="13"/>
        <w:adjustRightInd w:val="0"/>
        <w:snapToGrid w:val="0"/>
        <w:spacing w:before="0" w:beforeLines="0" w:after="0" w:line="400" w:lineRule="exact"/>
        <w:ind w:left="0" w:leftChars="0" w:firstLine="480" w:firstLineChars="200"/>
        <w:rPr>
          <w:rFonts w:ascii="宋体" w:hAnsi="宋体"/>
          <w:szCs w:val="21"/>
        </w:rPr>
      </w:pPr>
      <w:r>
        <w:rPr>
          <w:rFonts w:hint="eastAsia" w:ascii="宋体" w:hAnsi="宋体"/>
          <w:szCs w:val="21"/>
        </w:rPr>
        <w:t>依据《中华人民共和国民法典》</w:t>
      </w:r>
      <w:r>
        <w:rPr>
          <w:rFonts w:hint="eastAsia" w:ascii="宋体" w:hAnsi="宋体"/>
          <w:szCs w:val="21"/>
          <w:lang w:eastAsia="zh-CN"/>
        </w:rPr>
        <w:t>、</w:t>
      </w:r>
      <w:r>
        <w:rPr>
          <w:rFonts w:hint="eastAsia" w:ascii="宋体" w:hAnsi="宋体"/>
          <w:szCs w:val="21"/>
        </w:rPr>
        <w:t>《中华人民共和国政府采购法》等有关的法律法规，以及</w:t>
      </w:r>
      <w:r>
        <w:rPr>
          <w:rFonts w:hint="eastAsia" w:ascii="宋体" w:hAnsi="宋体"/>
          <w:i w:val="0"/>
          <w:iCs w:val="0"/>
          <w:szCs w:val="21"/>
          <w:u w:val="none"/>
          <w:lang w:eastAsia="zh-CN"/>
        </w:rPr>
        <w:t>本采购项目</w:t>
      </w:r>
      <w:r>
        <w:rPr>
          <w:rFonts w:hint="eastAsia" w:ascii="宋体" w:hAnsi="宋体"/>
          <w:szCs w:val="21"/>
        </w:rPr>
        <w:t>的</w:t>
      </w:r>
      <w:r>
        <w:rPr>
          <w:rFonts w:hint="eastAsia" w:ascii="宋体" w:hAnsi="宋体"/>
          <w:szCs w:val="21"/>
          <w:lang w:eastAsia="zh-CN"/>
        </w:rPr>
        <w:t>招标</w:t>
      </w:r>
      <w:r>
        <w:rPr>
          <w:rFonts w:hint="eastAsia" w:ascii="宋体" w:hAnsi="宋体"/>
          <w:szCs w:val="21"/>
          <w:lang w:val="en-US" w:eastAsia="zh-CN"/>
        </w:rPr>
        <w:t>/谈判</w:t>
      </w:r>
      <w:r>
        <w:rPr>
          <w:rFonts w:hint="eastAsia" w:ascii="宋体" w:hAnsi="宋体"/>
          <w:szCs w:val="21"/>
          <w:lang w:eastAsia="zh-CN"/>
        </w:rPr>
        <w:t>文件等</w:t>
      </w:r>
      <w:r>
        <w:rPr>
          <w:rFonts w:hint="eastAsia" w:ascii="宋体" w:hAnsi="宋体"/>
          <w:szCs w:val="21"/>
        </w:rPr>
        <w:t>采购文件</w:t>
      </w:r>
      <w:r>
        <w:rPr>
          <w:rFonts w:hint="eastAsia" w:ascii="宋体" w:hAnsi="宋体"/>
          <w:szCs w:val="21"/>
          <w:lang w:eastAsia="zh-CN"/>
        </w:rPr>
        <w:t>、</w:t>
      </w:r>
      <w:r>
        <w:rPr>
          <w:rFonts w:hint="eastAsia" w:ascii="宋体" w:hAnsi="宋体"/>
          <w:szCs w:val="21"/>
        </w:rPr>
        <w:t xml:space="preserve">乙方的《投标（响应）文件》及《中标（成交）通知书》，甲乙双方同意签订本合同。具体情况及要求如下：     </w:t>
      </w:r>
    </w:p>
    <w:p w14:paraId="0BB8E2AD">
      <w:pPr>
        <w:numPr>
          <w:ilvl w:val="0"/>
          <w:numId w:val="11"/>
        </w:numPr>
        <w:adjustRightInd w:val="0"/>
        <w:snapToGrid w:val="0"/>
        <w:spacing w:before="0" w:beforeLines="0" w:line="400" w:lineRule="exact"/>
        <w:ind w:firstLine="480" w:firstLineChars="200"/>
        <w:rPr>
          <w:rFonts w:ascii="宋体" w:hAnsi="宋体"/>
          <w:b/>
          <w:szCs w:val="21"/>
        </w:rPr>
      </w:pPr>
      <w:r>
        <w:rPr>
          <w:rFonts w:hint="eastAsia" w:ascii="宋体" w:hAnsi="宋体"/>
          <w:b/>
          <w:szCs w:val="21"/>
        </w:rPr>
        <w:t>项目信息</w:t>
      </w:r>
    </w:p>
    <w:p w14:paraId="57D8BD50">
      <w:pPr>
        <w:pStyle w:val="13"/>
        <w:numPr>
          <w:ilvl w:val="0"/>
          <w:numId w:val="12"/>
        </w:numPr>
        <w:adjustRightInd w:val="0"/>
        <w:snapToGrid w:val="0"/>
        <w:spacing w:before="0" w:beforeLines="0" w:after="0" w:line="400" w:lineRule="exact"/>
        <w:ind w:left="0" w:leftChars="0" w:firstLine="480" w:firstLineChars="200"/>
        <w:rPr>
          <w:rFonts w:ascii="宋体" w:hAnsi="宋体"/>
          <w:szCs w:val="21"/>
          <w:u w:val="single"/>
        </w:rPr>
      </w:pPr>
      <w:r>
        <w:rPr>
          <w:rFonts w:hint="eastAsia" w:ascii="宋体" w:hAnsi="宋体"/>
          <w:szCs w:val="21"/>
        </w:rPr>
        <w:t>采购项目名称：</w:t>
      </w:r>
      <w:r>
        <w:rPr>
          <w:rFonts w:ascii="宋体" w:hAnsi="宋体"/>
          <w:szCs w:val="21"/>
          <w:u w:val="single"/>
        </w:rPr>
        <w:t xml:space="preserve">                                          </w:t>
      </w:r>
    </w:p>
    <w:p w14:paraId="2AB09D45">
      <w:pPr>
        <w:pStyle w:val="13"/>
        <w:numPr>
          <w:ilvl w:val="-1"/>
          <w:numId w:val="0"/>
        </w:numPr>
        <w:tabs>
          <w:tab w:val="left" w:pos="999"/>
        </w:tabs>
        <w:adjustRightInd w:val="0"/>
        <w:snapToGrid w:val="0"/>
        <w:spacing w:before="0" w:beforeLines="0" w:after="0" w:line="400" w:lineRule="exact"/>
        <w:ind w:left="0" w:leftChars="0" w:firstLine="0" w:firstLineChars="0"/>
        <w:rPr>
          <w:rFonts w:hint="default" w:ascii="宋体" w:hAnsi="宋体" w:eastAsia="宋体"/>
          <w:szCs w:val="21"/>
          <w:u w:val="none"/>
          <w:lang w:val="en-US" w:eastAsia="zh-CN"/>
        </w:rPr>
      </w:pPr>
      <w:r>
        <w:rPr>
          <w:rFonts w:hint="eastAsia" w:ascii="宋体" w:hAnsi="宋体"/>
          <w:szCs w:val="21"/>
          <w:u w:val="none"/>
          <w:lang w:val="en-US" w:eastAsia="zh-CN"/>
        </w:rPr>
        <w:t xml:space="preserve">         采购项目编号：</w:t>
      </w:r>
      <w:r>
        <w:rPr>
          <w:rFonts w:ascii="宋体" w:hAnsi="宋体"/>
          <w:szCs w:val="21"/>
          <w:u w:val="single"/>
        </w:rPr>
        <w:t xml:space="preserve">                                          </w:t>
      </w:r>
    </w:p>
    <w:p w14:paraId="3033DDB5">
      <w:pPr>
        <w:pStyle w:val="13"/>
        <w:adjustRightInd w:val="0"/>
        <w:snapToGrid w:val="0"/>
        <w:spacing w:before="0" w:beforeLines="0" w:after="0" w:line="400" w:lineRule="exact"/>
        <w:ind w:left="0" w:leftChars="0" w:firstLine="480" w:firstLineChars="200"/>
        <w:rPr>
          <w:rFonts w:ascii="宋体" w:hAnsi="宋体"/>
          <w:szCs w:val="21"/>
        </w:rPr>
      </w:pPr>
      <w:r>
        <w:rPr>
          <w:rFonts w:hint="eastAsia" w:ascii="宋体" w:hAnsi="宋体"/>
          <w:szCs w:val="21"/>
        </w:rPr>
        <w:t>（2）采购计划编号：</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 xml:space="preserve"> </w:t>
      </w:r>
    </w:p>
    <w:p w14:paraId="24C363D6">
      <w:pPr>
        <w:adjustRightInd w:val="0"/>
        <w:snapToGrid w:val="0"/>
        <w:spacing w:before="0" w:beforeLines="0" w:line="400" w:lineRule="exact"/>
        <w:ind w:firstLine="480" w:firstLineChars="200"/>
        <w:rPr>
          <w:rFonts w:hint="eastAsia" w:ascii="宋体" w:hAnsi="宋体"/>
          <w:szCs w:val="21"/>
        </w:rPr>
      </w:pPr>
      <w:r>
        <w:rPr>
          <w:rFonts w:hint="eastAsia" w:ascii="宋体" w:hAnsi="宋体"/>
          <w:szCs w:val="21"/>
        </w:rPr>
        <w:t>（3）项目内容：</w:t>
      </w:r>
    </w:p>
    <w:p w14:paraId="5C4E3AD4">
      <w:pPr>
        <w:adjustRightInd w:val="0"/>
        <w:snapToGrid w:val="0"/>
        <w:spacing w:before="0" w:beforeLines="0" w:line="400" w:lineRule="exact"/>
        <w:ind w:firstLine="480" w:firstLineChars="200"/>
        <w:rPr>
          <w:rFonts w:hint="eastAsia" w:ascii="宋体" w:hAnsi="宋体"/>
          <w:szCs w:val="21"/>
          <w:lang w:val="en-US" w:eastAsia="zh-CN"/>
        </w:rPr>
      </w:pPr>
      <w:r>
        <w:rPr>
          <w:rFonts w:hint="eastAsia" w:ascii="宋体" w:hAnsi="宋体"/>
          <w:szCs w:val="21"/>
          <w:lang w:val="en-US" w:eastAsia="zh-CN"/>
        </w:rPr>
        <w:t xml:space="preserve">     </w:t>
      </w:r>
      <w:r>
        <w:rPr>
          <w:rFonts w:hint="eastAsia" w:ascii="宋体" w:hAnsi="宋体"/>
          <w:szCs w:val="21"/>
          <w:lang w:eastAsia="zh-CN"/>
        </w:rPr>
        <w:t>采购标的及数量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szCs w:val="21"/>
          <w:u w:val="single"/>
          <w:lang w:val="en-US" w:eastAsia="zh-CN"/>
        </w:rPr>
        <w:t xml:space="preserve">                       </w:t>
      </w:r>
      <w:r>
        <w:rPr>
          <w:rFonts w:hint="eastAsia" w:ascii="宋体" w:hAnsi="宋体"/>
          <w:szCs w:val="21"/>
          <w:u w:val="none"/>
          <w:lang w:val="en-US" w:eastAsia="zh-CN"/>
        </w:rPr>
        <w:t xml:space="preserve">            </w:t>
      </w:r>
      <w:r>
        <w:rPr>
          <w:rFonts w:hint="eastAsia" w:ascii="宋体" w:hAnsi="宋体"/>
          <w:szCs w:val="21"/>
          <w:u w:val="single"/>
          <w:lang w:val="en-US" w:eastAsia="zh-CN"/>
        </w:rPr>
        <w:t xml:space="preserve">                  </w:t>
      </w:r>
      <w:r>
        <w:rPr>
          <w:rFonts w:hint="eastAsia" w:ascii="宋体" w:hAnsi="宋体"/>
          <w:szCs w:val="21"/>
          <w:lang w:val="en-US" w:eastAsia="zh-CN"/>
        </w:rPr>
        <w:t xml:space="preserve"> </w:t>
      </w:r>
    </w:p>
    <w:p w14:paraId="51D2A0AB">
      <w:pPr>
        <w:numPr>
          <w:ilvl w:val="-1"/>
          <w:numId w:val="0"/>
        </w:numPr>
        <w:adjustRightInd w:val="0"/>
        <w:snapToGrid w:val="0"/>
        <w:spacing w:before="0" w:beforeLines="0" w:line="400" w:lineRule="exact"/>
        <w:ind w:firstLine="480" w:firstLineChars="200"/>
        <w:rPr>
          <w:rFonts w:hint="default" w:ascii="宋体" w:hAnsi="宋体" w:cs="宋体"/>
          <w:szCs w:val="21"/>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7D739D17">
      <w:pPr>
        <w:adjustRightInd w:val="0"/>
        <w:snapToGrid w:val="0"/>
        <w:spacing w:before="0" w:beforeLines="0" w:line="400" w:lineRule="exact"/>
        <w:ind w:firstLine="1080" w:firstLineChars="450"/>
        <w:rPr>
          <w:rFonts w:ascii="宋体" w:hAnsi="宋体"/>
          <w:szCs w:val="21"/>
          <w:highlight w:val="none"/>
          <w:u w:val="single"/>
        </w:rPr>
      </w:pPr>
      <w:r>
        <w:rPr>
          <w:rFonts w:hint="eastAsia" w:ascii="宋体" w:hAnsi="宋体"/>
          <w:szCs w:val="21"/>
          <w:highlight w:val="none"/>
          <w:u w:val="none"/>
          <w:lang w:val="en-US" w:eastAsia="zh-CN"/>
        </w:rPr>
        <w:t>采购标的的技术要求、商务要求具体见附件。</w:t>
      </w:r>
    </w:p>
    <w:p w14:paraId="2DD2772B">
      <w:pPr>
        <w:numPr>
          <w:ilvl w:val="-1"/>
          <w:numId w:val="0"/>
        </w:numPr>
        <w:adjustRightInd w:val="0"/>
        <w:snapToGrid w:val="0"/>
        <w:spacing w:before="0" w:beforeLines="0" w:line="400" w:lineRule="exact"/>
        <w:ind w:firstLine="1080" w:firstLineChars="450"/>
        <w:rPr>
          <w:rFonts w:hint="eastAsia" w:ascii="宋体" w:hAnsi="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cs="宋体"/>
          <w:szCs w:val="21"/>
          <w:lang w:val="en-US" w:eastAsia="zh-CN"/>
        </w:rPr>
        <w:t>涉及信息类产品，请填写该产品关键部件的品牌、型号：</w:t>
      </w:r>
    </w:p>
    <w:p w14:paraId="72A9A075">
      <w:pPr>
        <w:numPr>
          <w:ilvl w:val="-1"/>
          <w:numId w:val="0"/>
        </w:numPr>
        <w:adjustRightInd w:val="0"/>
        <w:snapToGrid w:val="0"/>
        <w:spacing w:before="0" w:beforeLines="0" w:line="400" w:lineRule="exact"/>
        <w:ind w:firstLine="480" w:firstLineChars="200"/>
        <w:rPr>
          <w:rFonts w:hint="eastAsia" w:ascii="宋体" w:hAnsi="宋体" w:cs="宋体"/>
          <w:kern w:val="0"/>
          <w:szCs w:val="21"/>
          <w:u w:val="single"/>
          <w:lang w:val="en-US" w:eastAsia="zh-CN"/>
        </w:rPr>
      </w:pPr>
      <w:r>
        <w:rPr>
          <w:rFonts w:hint="eastAsia" w:ascii="宋体" w:hAnsi="宋体" w:cs="宋体"/>
          <w:szCs w:val="21"/>
          <w:lang w:val="en-US" w:eastAsia="zh-CN"/>
        </w:rPr>
        <w:t xml:space="preserve">     标的名称：</w:t>
      </w:r>
      <w:r>
        <w:rPr>
          <w:rFonts w:hint="eastAsia" w:ascii="宋体" w:hAnsi="宋体" w:cs="宋体"/>
          <w:kern w:val="0"/>
          <w:szCs w:val="21"/>
          <w:u w:val="single"/>
          <w:lang w:val="en-US" w:eastAsia="zh-CN"/>
        </w:rPr>
        <w:t xml:space="preserve">      </w:t>
      </w:r>
      <w:r>
        <w:rPr>
          <w:rFonts w:hint="default" w:ascii="宋体" w:hAnsi="宋体" w:cs="宋体"/>
          <w:kern w:val="0"/>
          <w:szCs w:val="21"/>
          <w:u w:val="single"/>
          <w:lang w:val="en" w:eastAsia="zh-CN"/>
        </w:rPr>
        <w:t xml:space="preserve">               </w:t>
      </w:r>
      <w:r>
        <w:rPr>
          <w:rFonts w:hint="eastAsia" w:ascii="宋体" w:hAnsi="宋体" w:cs="宋体"/>
          <w:kern w:val="0"/>
          <w:szCs w:val="21"/>
          <w:u w:val="single"/>
          <w:lang w:val="en-US" w:eastAsia="zh-CN"/>
        </w:rPr>
        <w:t xml:space="preserve">    </w:t>
      </w:r>
    </w:p>
    <w:p w14:paraId="7836B614">
      <w:pPr>
        <w:numPr>
          <w:ilvl w:val="-1"/>
          <w:numId w:val="0"/>
        </w:numPr>
        <w:adjustRightInd w:val="0"/>
        <w:snapToGrid w:val="0"/>
        <w:spacing w:before="0" w:beforeLines="0" w:line="400" w:lineRule="exact"/>
        <w:ind w:firstLine="480" w:firstLineChars="200"/>
        <w:rPr>
          <w:rFonts w:hint="eastAsia" w:ascii="宋体" w:hAnsi="宋体" w:cs="宋体"/>
          <w:szCs w:val="21"/>
          <w:lang w:val="en-US" w:eastAsia="zh-CN"/>
        </w:rPr>
      </w:pPr>
      <w:r>
        <w:rPr>
          <w:rFonts w:hint="eastAsia" w:ascii="宋体" w:hAnsi="宋体" w:cs="宋体"/>
          <w:szCs w:val="21"/>
          <w:lang w:val="en-US" w:eastAsia="zh-CN"/>
        </w:rPr>
        <w:t xml:space="preserve">     关键部件：</w:t>
      </w:r>
      <w:r>
        <w:rPr>
          <w:rFonts w:hint="eastAsia" w:ascii="宋体" w:hAnsi="宋体" w:cs="宋体"/>
          <w:kern w:val="0"/>
          <w:szCs w:val="21"/>
          <w:u w:val="single"/>
          <w:lang w:val="en-US" w:eastAsia="zh-CN"/>
        </w:rPr>
        <w:t xml:space="preserve">          </w:t>
      </w:r>
      <w:r>
        <w:rPr>
          <w:rFonts w:hint="eastAsia" w:ascii="宋体" w:hAnsi="宋体" w:cs="宋体"/>
          <w:kern w:val="0"/>
          <w:szCs w:val="21"/>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eastAsia" w:ascii="宋体" w:hAnsi="宋体" w:cs="宋体"/>
          <w:szCs w:val="21"/>
          <w:u w:val="none"/>
          <w:lang w:val="en-US" w:eastAsia="zh-CN"/>
        </w:rPr>
        <w:t xml:space="preserve"> </w:t>
      </w:r>
      <w:r>
        <w:rPr>
          <w:rFonts w:hint="eastAsia" w:ascii="宋体" w:hAnsi="宋体" w:cs="宋体"/>
          <w:szCs w:val="21"/>
          <w:lang w:val="en-US" w:eastAsia="zh-CN"/>
        </w:rPr>
        <w:t>型号：</w:t>
      </w:r>
      <w:r>
        <w:rPr>
          <w:rFonts w:hint="eastAsia" w:ascii="宋体" w:hAnsi="宋体" w:cs="宋体"/>
          <w:szCs w:val="21"/>
          <w:u w:val="single"/>
          <w:lang w:val="en-US" w:eastAsia="zh-CN"/>
        </w:rPr>
        <w:t xml:space="preserve">       </w:t>
      </w:r>
      <w:r>
        <w:rPr>
          <w:rFonts w:hint="eastAsia" w:ascii="宋体" w:hAnsi="宋体" w:cs="宋体"/>
          <w:szCs w:val="21"/>
          <w:lang w:val="en-US" w:eastAsia="zh-CN"/>
        </w:rPr>
        <w:t xml:space="preserve"> </w:t>
      </w:r>
    </w:p>
    <w:p w14:paraId="224C6210">
      <w:pPr>
        <w:pStyle w:val="66"/>
        <w:spacing w:beforeLine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kern w:val="2"/>
          <w:sz w:val="21"/>
          <w:szCs w:val="21"/>
          <w:lang w:val="en-US" w:eastAsia="zh-CN"/>
        </w:rPr>
        <w:t>关键部件</w:t>
      </w:r>
      <w:r>
        <w:rPr>
          <w:rFonts w:hint="eastAsia" w:ascii="宋体" w:hAnsi="宋体" w:eastAsia="宋体" w:cs="宋体"/>
          <w:sz w:val="21"/>
          <w:szCs w:val="21"/>
          <w:lang w:val="en-US" w:eastAsia="zh-CN"/>
        </w:rPr>
        <w:t>：</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品牌：</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型号：</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val="en-US" w:eastAsia="zh-CN"/>
        </w:rPr>
        <w:t xml:space="preserve"> </w:t>
      </w:r>
    </w:p>
    <w:p w14:paraId="5871E3F7">
      <w:pPr>
        <w:pStyle w:val="66"/>
        <w:spacing w:beforeLine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关键部件：</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品牌：</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型号：</w:t>
      </w:r>
      <w:r>
        <w:rPr>
          <w:rFonts w:hint="eastAsia" w:ascii="宋体" w:hAnsi="宋体" w:eastAsia="宋体" w:cs="宋体"/>
          <w:sz w:val="21"/>
          <w:szCs w:val="21"/>
          <w:u w:val="single"/>
          <w:lang w:val="en-US" w:eastAsia="zh-CN"/>
        </w:rPr>
        <w:t xml:space="preserve">       </w:t>
      </w:r>
    </w:p>
    <w:p w14:paraId="024BAF6F">
      <w:pPr>
        <w:pStyle w:val="66"/>
        <w:numPr>
          <w:ilvl w:val="-1"/>
          <w:numId w:val="0"/>
        </w:numPr>
        <w:adjustRightInd w:val="0"/>
        <w:snapToGrid w:val="0"/>
        <w:spacing w:before="0" w:beforeLines="0" w:line="400" w:lineRule="exact"/>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4EED3C25">
      <w:pPr>
        <w:pStyle w:val="66"/>
        <w:numPr>
          <w:ilvl w:val="-1"/>
          <w:numId w:val="0"/>
        </w:numPr>
        <w:adjustRightInd w:val="0"/>
        <w:snapToGrid w:val="0"/>
        <w:spacing w:before="0" w:beforeLines="0" w:line="400" w:lineRule="exact"/>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汉仪书宋二S" w:hAnsi="汉仪书宋二S" w:eastAsia="汉仪书宋二S" w:cs="汉仪书宋二S"/>
          <w:sz w:val="21"/>
          <w:szCs w:val="21"/>
          <w:lang w:val="en-US" w:eastAsia="zh-CN"/>
        </w:rPr>
        <w:t>②</w:t>
      </w:r>
      <w:r>
        <w:rPr>
          <w:rFonts w:hint="eastAsia" w:ascii="宋体" w:hAnsi="宋体" w:eastAsia="宋体" w:cs="宋体"/>
          <w:sz w:val="21"/>
          <w:szCs w:val="21"/>
          <w:lang w:val="en-US" w:eastAsia="zh-CN"/>
        </w:rPr>
        <w:t>涉及车辆采购，请填写是否属于新能源汽车：</w:t>
      </w:r>
    </w:p>
    <w:p w14:paraId="7B5A075B">
      <w:pPr>
        <w:pStyle w:val="66"/>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sz w:val="21"/>
          <w:szCs w:val="21"/>
          <w:lang w:val="en-US" w:eastAsia="zh-CN"/>
        </w:rPr>
      </w:pP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rPr>
        <w:t>是</w:t>
      </w:r>
      <w:r>
        <w:rPr>
          <w:rFonts w:hint="eastAsia" w:asciiTheme="minorEastAsia" w:hAnsiTheme="minorEastAsia" w:eastAsiaTheme="minorEastAsia" w:cstheme="minorEastAsia"/>
          <w:iCs w:val="0"/>
          <w:sz w:val="21"/>
          <w:szCs w:val="21"/>
          <w:lang w:eastAsia="zh-CN"/>
        </w:rPr>
        <w:t>，《政府采购品目分类目录》底级品目名称</w:t>
      </w:r>
      <w:r>
        <w:rPr>
          <w:rFonts w:hint="eastAsia" w:asciiTheme="minorEastAsia" w:hAnsiTheme="minorEastAsia" w:eastAsiaTheme="minorEastAsia" w:cstheme="minorEastAsia"/>
          <w:sz w:val="21"/>
          <w:szCs w:val="21"/>
          <w:lang w:val="en-US" w:eastAsia="zh-CN"/>
        </w:rPr>
        <w:t>：</w:t>
      </w:r>
      <w:r>
        <w:rPr>
          <w:rFonts w:hint="eastAsia" w:ascii="宋体" w:hAnsi="宋体" w:eastAsia="宋体" w:cs="宋体"/>
          <w:sz w:val="21"/>
          <w:szCs w:val="21"/>
          <w:u w:val="single"/>
          <w:lang w:val="en-US" w:eastAsia="zh-CN"/>
        </w:rPr>
        <w:t xml:space="preserve">     </w:t>
      </w:r>
      <w:r>
        <w:rPr>
          <w:rFonts w:hint="eastAsia" w:asciiTheme="minorEastAsia" w:hAnsiTheme="minorEastAsia" w:eastAsiaTheme="minorEastAsia" w:cstheme="minorEastAsia"/>
          <w:sz w:val="21"/>
          <w:szCs w:val="21"/>
          <w:lang w:val="en-US" w:eastAsia="zh-CN"/>
        </w:rPr>
        <w:t xml:space="preserve"> 数量：</w:t>
      </w:r>
      <w:r>
        <w:rPr>
          <w:rFonts w:hint="eastAsia" w:asciiTheme="minorEastAsia" w:hAnsiTheme="minorEastAsia" w:eastAsiaTheme="minorEastAsia" w:cstheme="minorEastAsia"/>
          <w:sz w:val="21"/>
          <w:szCs w:val="21"/>
          <w:u w:val="single"/>
          <w:lang w:val="en-US" w:eastAsia="zh-CN"/>
        </w:rPr>
        <w:t xml:space="preserve"> </w:t>
      </w:r>
      <w:r>
        <w:rPr>
          <w:rFonts w:hint="eastAsia" w:ascii="宋体" w:hAnsi="宋体" w:eastAsia="宋体" w:cs="宋体"/>
          <w:sz w:val="21"/>
          <w:szCs w:val="21"/>
          <w:u w:val="single"/>
          <w:lang w:val="en-US" w:eastAsia="zh-CN"/>
        </w:rPr>
        <w:t xml:space="preserve">   </w:t>
      </w:r>
      <w:r>
        <w:rPr>
          <w:rFonts w:hint="eastAsia" w:asciiTheme="minorEastAsia" w:hAnsiTheme="minorEastAsia" w:eastAsiaTheme="minorEastAsia" w:cstheme="minorEastAsia"/>
          <w:sz w:val="21"/>
          <w:szCs w:val="21"/>
          <w:lang w:val="en-US" w:eastAsia="zh-CN"/>
        </w:rPr>
        <w:t xml:space="preserve"> 金额：</w:t>
      </w:r>
      <w:r>
        <w:rPr>
          <w:rFonts w:hint="eastAsia" w:ascii="宋体" w:hAnsi="宋体" w:eastAsia="宋体" w:cs="宋体"/>
          <w:sz w:val="21"/>
          <w:szCs w:val="21"/>
          <w:u w:val="single"/>
          <w:lang w:val="en-US" w:eastAsia="zh-CN"/>
        </w:rPr>
        <w:t xml:space="preserve">     </w:t>
      </w:r>
      <w:r>
        <w:rPr>
          <w:rFonts w:hint="eastAsia" w:asciiTheme="minorEastAsia" w:hAnsiTheme="minorEastAsia" w:eastAsiaTheme="minorEastAsia" w:cstheme="minorEastAsia"/>
          <w:iCs w:val="0"/>
          <w:sz w:val="21"/>
          <w:szCs w:val="21"/>
          <w:lang w:val="en-US" w:eastAsia="zh-CN"/>
        </w:rPr>
        <w:t xml:space="preserve"> </w:t>
      </w:r>
    </w:p>
    <w:p w14:paraId="21D5414A">
      <w:pPr>
        <w:pStyle w:val="66"/>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sz w:val="21"/>
          <w:szCs w:val="21"/>
          <w:lang w:eastAsia="zh-CN"/>
        </w:rPr>
      </w:pP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否</w:t>
      </w:r>
    </w:p>
    <w:p w14:paraId="46F3DCBB">
      <w:pPr>
        <w:pStyle w:val="66"/>
        <w:numPr>
          <w:ilvl w:val="-1"/>
          <w:numId w:val="0"/>
        </w:numPr>
        <w:adjustRightInd w:val="0"/>
        <w:snapToGrid w:val="0"/>
        <w:spacing w:before="0" w:beforeLines="0" w:line="400" w:lineRule="exact"/>
        <w:ind w:left="0" w:firstLine="0" w:firstLineChars="0"/>
        <w:rPr>
          <w:rFonts w:hint="eastAsia" w:asciiTheme="minorEastAsia" w:hAnsiTheme="minorEastAsia" w:eastAsiaTheme="minorEastAsia" w:cstheme="minorEastAsia"/>
          <w:iCs w:val="0"/>
          <w:sz w:val="21"/>
          <w:szCs w:val="21"/>
          <w:lang w:val="en-US" w:eastAsia="zh-CN"/>
        </w:rPr>
      </w:pPr>
      <w:r>
        <w:rPr>
          <w:rFonts w:hint="eastAsia" w:asciiTheme="minorEastAsia" w:hAnsiTheme="minorEastAsia" w:eastAsiaTheme="minorEastAsia" w:cstheme="minorEastAsia"/>
          <w:iCs w:val="0"/>
          <w:sz w:val="21"/>
          <w:szCs w:val="21"/>
          <w:lang w:val="en-US" w:eastAsia="zh-CN"/>
        </w:rPr>
        <w:t xml:space="preserve">    （</w:t>
      </w:r>
      <w:r>
        <w:rPr>
          <w:rFonts w:hint="default" w:asciiTheme="minorEastAsia" w:hAnsiTheme="minorEastAsia" w:eastAsiaTheme="minorEastAsia" w:cstheme="minorEastAsia"/>
          <w:iCs w:val="0"/>
          <w:sz w:val="21"/>
          <w:szCs w:val="21"/>
          <w:lang w:val="en" w:eastAsia="zh-CN"/>
        </w:rPr>
        <w:t>4</w:t>
      </w:r>
      <w:r>
        <w:rPr>
          <w:rFonts w:hint="eastAsia" w:asciiTheme="minorEastAsia" w:hAnsiTheme="minorEastAsia" w:eastAsiaTheme="minorEastAsia" w:cstheme="minorEastAsia"/>
          <w:iCs w:val="0"/>
          <w:sz w:val="21"/>
          <w:szCs w:val="21"/>
          <w:lang w:val="en-US" w:eastAsia="zh-CN"/>
        </w:rPr>
        <w:t>）政府采购组织形式：</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政府集中采购</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val="en-US" w:eastAsia="zh-CN"/>
        </w:rPr>
        <w:t xml:space="preserve">部门集中采购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val="en-US" w:eastAsia="zh-CN"/>
        </w:rPr>
        <w:t>分散采购</w:t>
      </w:r>
    </w:p>
    <w:p w14:paraId="0DEEC7B6">
      <w:pPr>
        <w:pStyle w:val="66"/>
        <w:numPr>
          <w:ilvl w:val="-1"/>
          <w:numId w:val="0"/>
        </w:numPr>
        <w:adjustRightInd w:val="0"/>
        <w:snapToGrid w:val="0"/>
        <w:spacing w:before="0" w:beforeLines="0" w:line="400" w:lineRule="exact"/>
        <w:ind w:left="0" w:firstLine="420" w:firstLineChars="0"/>
        <w:rPr>
          <w:rFonts w:hint="eastAsia" w:asciiTheme="minorEastAsia" w:hAnsiTheme="minorEastAsia" w:eastAsiaTheme="minorEastAsia" w:cstheme="minorEastAsia"/>
          <w:iCs w:val="0"/>
          <w:sz w:val="21"/>
          <w:szCs w:val="21"/>
          <w:lang w:eastAsia="zh-CN"/>
        </w:rPr>
      </w:pPr>
      <w:r>
        <w:rPr>
          <w:rFonts w:hint="eastAsia" w:asciiTheme="minorEastAsia" w:hAnsiTheme="minorEastAsia" w:eastAsiaTheme="minorEastAsia" w:cstheme="minorEastAsia"/>
          <w:iCs w:val="0"/>
          <w:sz w:val="21"/>
          <w:szCs w:val="21"/>
          <w:lang w:val="en-US" w:eastAsia="zh-CN"/>
        </w:rPr>
        <w:t>（</w:t>
      </w:r>
      <w:r>
        <w:rPr>
          <w:rFonts w:hint="default" w:asciiTheme="minorEastAsia" w:hAnsiTheme="minorEastAsia" w:eastAsiaTheme="minorEastAsia" w:cstheme="minorEastAsia"/>
          <w:iCs w:val="0"/>
          <w:sz w:val="21"/>
          <w:szCs w:val="21"/>
          <w:lang w:val="en" w:eastAsia="zh-CN"/>
        </w:rPr>
        <w:t>5</w:t>
      </w:r>
      <w:r>
        <w:rPr>
          <w:rFonts w:hint="eastAsia" w:asciiTheme="minorEastAsia" w:hAnsiTheme="minorEastAsia" w:eastAsiaTheme="minorEastAsia" w:cstheme="minorEastAsia"/>
          <w:iCs w:val="0"/>
          <w:sz w:val="21"/>
          <w:szCs w:val="21"/>
          <w:lang w:val="en-US" w:eastAsia="zh-CN"/>
        </w:rPr>
        <w:t>）政府采购方式：</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公开招标</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邀请招标</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竞争性谈判</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竞争性磋商</w:t>
      </w:r>
    </w:p>
    <w:p w14:paraId="2F303ACD">
      <w:pPr>
        <w:pStyle w:val="66"/>
        <w:numPr>
          <w:ilvl w:val="-1"/>
          <w:numId w:val="0"/>
        </w:numPr>
        <w:adjustRightInd w:val="0"/>
        <w:snapToGrid w:val="0"/>
        <w:spacing w:before="0" w:beforeLines="0" w:line="400" w:lineRule="exact"/>
        <w:ind w:left="0" w:firstLine="420" w:firstLineChars="0"/>
        <w:rPr>
          <w:rFonts w:hint="eastAsia" w:ascii="宋体" w:hAnsi="宋体" w:eastAsia="宋体" w:cs="宋体"/>
          <w:iCs w:val="0"/>
          <w:sz w:val="21"/>
          <w:szCs w:val="21"/>
          <w:u w:val="single"/>
          <w:lang w:val="en-US" w:eastAsia="zh-CN"/>
        </w:rPr>
      </w:pPr>
      <w:r>
        <w:rPr>
          <w:rFonts w:hint="eastAsia" w:ascii="宋体" w:hAnsi="宋体" w:cs="宋体"/>
          <w:szCs w:val="21"/>
          <w:u w:val="none"/>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询价</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单一来源</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框架协议</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其他：</w:t>
      </w:r>
      <w:r>
        <w:rPr>
          <w:rFonts w:hint="eastAsia" w:ascii="宋体" w:hAnsi="宋体" w:eastAsia="宋体" w:cs="宋体"/>
          <w:iCs w:val="0"/>
          <w:sz w:val="21"/>
          <w:szCs w:val="21"/>
          <w:u w:val="single"/>
          <w:lang w:val="en-US" w:eastAsia="zh-CN"/>
        </w:rPr>
        <w:t xml:space="preserve">          </w:t>
      </w:r>
    </w:p>
    <w:p w14:paraId="543ADD30">
      <w:pPr>
        <w:pStyle w:val="66"/>
        <w:numPr>
          <w:ilvl w:val="-1"/>
          <w:numId w:val="0"/>
        </w:numPr>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rPr>
      </w:pPr>
      <w:r>
        <w:rPr>
          <w:rFonts w:hint="eastAsia" w:ascii="宋体" w:hAnsi="宋体" w:eastAsia="宋体" w:cs="宋体"/>
          <w:iCs w:val="0"/>
          <w:sz w:val="21"/>
          <w:szCs w:val="21"/>
          <w:u w:val="none"/>
          <w:lang w:val="en-US" w:eastAsia="zh-CN"/>
        </w:rPr>
        <w:t>（注：在框架协议采购的第二阶段，可选择使用该合同文本）</w:t>
      </w:r>
    </w:p>
    <w:p w14:paraId="58C3B908">
      <w:pPr>
        <w:pStyle w:val="66"/>
        <w:numPr>
          <w:ilvl w:val="-1"/>
          <w:numId w:val="0"/>
        </w:numPr>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szCs w:val="21"/>
          <w:lang w:val="en-US" w:eastAsia="zh-CN"/>
        </w:rPr>
        <w:t xml:space="preserve"> （</w:t>
      </w:r>
      <w:r>
        <w:rPr>
          <w:rFonts w:hint="default" w:ascii="宋体" w:hAnsi="宋体"/>
          <w:szCs w:val="21"/>
          <w:lang w:val="en" w:eastAsia="zh-CN"/>
        </w:rPr>
        <w:t>6</w:t>
      </w:r>
      <w:r>
        <w:rPr>
          <w:rFonts w:hint="eastAsia" w:ascii="宋体" w:hAnsi="宋体"/>
          <w:szCs w:val="21"/>
          <w:lang w:val="en-US" w:eastAsia="zh-CN"/>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14:paraId="30F426B8">
      <w:pPr>
        <w:numPr>
          <w:ilvl w:val="-1"/>
          <w:numId w:val="0"/>
        </w:numPr>
        <w:adjustRightInd w:val="0"/>
        <w:snapToGrid w:val="0"/>
        <w:spacing w:before="0" w:beforeLines="0" w:line="400" w:lineRule="exact"/>
        <w:ind w:left="0" w:leftChars="0" w:firstLine="0" w:firstLineChars="0"/>
        <w:rPr>
          <w:rFonts w:hint="eastAsia" w:ascii="宋体" w:hAnsi="宋体"/>
          <w:iCs/>
          <w:szCs w:val="21"/>
        </w:rPr>
      </w:pPr>
      <w:r>
        <w:rPr>
          <w:rFonts w:hint="eastAsia" w:ascii="宋体" w:hAnsi="宋体"/>
          <w:w w:val="100"/>
          <w:szCs w:val="21"/>
          <w:lang w:val="en-US" w:eastAsia="zh-CN"/>
        </w:rPr>
        <w:t xml:space="preserve">         本合同</w:t>
      </w:r>
      <w:r>
        <w:rPr>
          <w:rFonts w:hint="eastAsia" w:ascii="宋体" w:hAnsi="宋体"/>
          <w:w w:val="100"/>
          <w:szCs w:val="21"/>
        </w:rPr>
        <w:t>是否</w:t>
      </w:r>
      <w:r>
        <w:rPr>
          <w:rFonts w:hint="eastAsia" w:ascii="宋体" w:hAnsi="宋体"/>
          <w:w w:val="100"/>
          <w:szCs w:val="21"/>
          <w:lang w:eastAsia="zh-CN"/>
        </w:rPr>
        <w:t>为专门面向</w:t>
      </w:r>
      <w:r>
        <w:rPr>
          <w:rFonts w:hint="eastAsia" w:ascii="宋体" w:hAnsi="宋体"/>
          <w:w w:val="100"/>
          <w:szCs w:val="21"/>
        </w:rPr>
        <w:t>中小企业</w:t>
      </w:r>
      <w:r>
        <w:rPr>
          <w:rFonts w:hint="eastAsia" w:ascii="宋体" w:hAnsi="宋体"/>
          <w:w w:val="100"/>
          <w:szCs w:val="21"/>
          <w:lang w:eastAsia="zh-CN"/>
        </w:rPr>
        <w:t>的采</w:t>
      </w:r>
      <w:r>
        <w:rPr>
          <w:rFonts w:hint="eastAsia" w:ascii="宋体" w:hAnsi="宋体"/>
          <w:w w:val="100"/>
          <w:szCs w:val="21"/>
          <w:shd w:val="clear"/>
          <w:lang w:eastAsia="zh-CN"/>
        </w:rPr>
        <w:t>购</w:t>
      </w:r>
      <w:r>
        <w:rPr>
          <w:rFonts w:hint="eastAsia" w:ascii="宋体" w:hAnsi="宋体"/>
          <w:w w:val="100"/>
          <w:szCs w:val="21"/>
          <w:shd w:val="clear"/>
        </w:rPr>
        <w:t>合同</w:t>
      </w:r>
      <w:r>
        <w:rPr>
          <w:rFonts w:hint="eastAsia" w:ascii="宋体" w:hAnsi="宋体"/>
          <w:w w:val="100"/>
          <w:szCs w:val="21"/>
          <w:shd w:val="clear"/>
          <w:lang w:eastAsia="zh-CN"/>
        </w:rPr>
        <w:t>（中小企业预留合同）</w:t>
      </w:r>
      <w:r>
        <w:rPr>
          <w:rFonts w:hint="eastAsia" w:ascii="宋体" w:hAnsi="宋体"/>
          <w:szCs w:val="21"/>
          <w:shd w:val="clear"/>
        </w:rPr>
        <w:t>：</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lang w:val="en-US" w:eastAsia="zh-CN"/>
        </w:rPr>
        <w:t xml:space="preserve">  </w:t>
      </w: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否</w:t>
      </w:r>
    </w:p>
    <w:p w14:paraId="56C7B17B">
      <w:pPr>
        <w:numPr>
          <w:ilvl w:val="-1"/>
          <w:numId w:val="0"/>
        </w:numPr>
        <w:adjustRightInd w:val="0"/>
        <w:snapToGrid w:val="0"/>
        <w:spacing w:before="0" w:beforeLines="0" w:line="400" w:lineRule="exact"/>
        <w:ind w:firstLine="0" w:firstLineChars="0"/>
        <w:rPr>
          <w:rFonts w:hint="eastAsia" w:ascii="宋体" w:hAnsi="宋体"/>
          <w:iCs/>
          <w:szCs w:val="21"/>
        </w:rPr>
      </w:pPr>
      <w:r>
        <w:rPr>
          <w:rFonts w:hint="eastAsia"/>
          <w:lang w:val="en-US" w:eastAsia="zh-CN"/>
        </w:rPr>
        <w:t xml:space="preserve">         若本项目不专门面向中小企业采购，是否给予小微企业评审优惠：</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62FB7F48">
      <w:pPr>
        <w:numPr>
          <w:ilvl w:val="-1"/>
          <w:numId w:val="0"/>
        </w:numPr>
        <w:adjustRightInd w:val="0"/>
        <w:snapToGrid w:val="0"/>
        <w:spacing w:before="0" w:beforeLines="0" w:line="400" w:lineRule="exact"/>
        <w:ind w:firstLine="0" w:firstLineChars="0"/>
        <w:rPr>
          <w:rFonts w:hint="eastAsia" w:ascii="宋体" w:hAnsi="宋体"/>
          <w:iCs/>
          <w:szCs w:val="21"/>
        </w:rPr>
      </w:pPr>
      <w:r>
        <w:rPr>
          <w:rFonts w:hint="eastAsia"/>
          <w:lang w:val="en-US" w:eastAsia="zh-CN"/>
        </w:rPr>
        <w:t xml:space="preserve">         中标（成交）采购标的制造商是否为残疾人福利性单位：</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70927AC7">
      <w:pPr>
        <w:numPr>
          <w:ilvl w:val="0"/>
          <w:numId w:val="0"/>
        </w:numPr>
        <w:snapToGrid w:val="0"/>
        <w:spacing w:beforeLines="0" w:line="400" w:lineRule="exact"/>
        <w:ind w:firstLine="0" w:firstLineChars="0"/>
        <w:rPr>
          <w:rFonts w:hint="default"/>
          <w:lang w:val="en-US" w:eastAsia="zh-CN"/>
        </w:rPr>
      </w:pPr>
      <w:r>
        <w:rPr>
          <w:rFonts w:hint="eastAsia"/>
          <w:lang w:val="en-US" w:eastAsia="zh-CN"/>
        </w:rPr>
        <w:t xml:space="preserve">         中标（成交）采购标的制造商是否为监狱企业：</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2576E3CD">
      <w:pPr>
        <w:adjustRightInd w:val="0"/>
        <w:snapToGrid w:val="0"/>
        <w:spacing w:before="0" w:beforeLines="0" w:line="400" w:lineRule="exact"/>
        <w:ind w:firstLine="480" w:firstLineChars="200"/>
        <w:rPr>
          <w:rFonts w:ascii="宋体" w:hAnsi="宋体"/>
          <w:szCs w:val="21"/>
        </w:rPr>
      </w:pPr>
      <w:r>
        <w:rPr>
          <w:rFonts w:hint="eastAsia" w:ascii="宋体" w:hAnsi="宋体"/>
          <w:szCs w:val="21"/>
        </w:rPr>
        <w:t>（</w:t>
      </w:r>
      <w:r>
        <w:rPr>
          <w:rFonts w:hint="default" w:ascii="宋体" w:hAnsi="宋体"/>
          <w:szCs w:val="21"/>
          <w:lang w:val="en" w:eastAsia="zh-CN"/>
        </w:rPr>
        <w:t>7</w:t>
      </w:r>
      <w:r>
        <w:rPr>
          <w:rFonts w:hint="eastAsia" w:ascii="宋体" w:hAnsi="宋体"/>
          <w:szCs w:val="21"/>
        </w:rPr>
        <w:t>）合同是否分包：</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692858A6">
      <w:pPr>
        <w:adjustRightInd w:val="0"/>
        <w:snapToGrid w:val="0"/>
        <w:spacing w:before="0" w:beforeLines="0" w:line="400" w:lineRule="exact"/>
        <w:ind w:firstLine="960" w:firstLineChars="400"/>
        <w:rPr>
          <w:rFonts w:hint="eastAsia" w:ascii="宋体" w:hAnsi="宋体"/>
          <w:szCs w:val="21"/>
          <w:u w:val="single"/>
        </w:rPr>
      </w:pPr>
      <w:r>
        <w:rPr>
          <w:rFonts w:hint="eastAsia" w:ascii="宋体" w:hAnsi="宋体"/>
          <w:szCs w:val="21"/>
          <w:lang w:val="en-US" w:eastAsia="zh-CN"/>
        </w:rPr>
        <w:t xml:space="preserve"> </w:t>
      </w:r>
      <w:r>
        <w:rPr>
          <w:rFonts w:hint="eastAsia" w:ascii="宋体" w:hAnsi="宋体"/>
          <w:szCs w:val="21"/>
        </w:rPr>
        <w:t>分包主要内容：</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60EA26A9">
      <w:pPr>
        <w:adjustRightInd w:val="0"/>
        <w:snapToGrid w:val="0"/>
        <w:spacing w:before="0" w:beforeLines="0" w:line="400" w:lineRule="exact"/>
        <w:ind w:firstLine="960" w:firstLineChars="400"/>
        <w:rPr>
          <w:rFonts w:hint="eastAsia" w:ascii="宋体" w:hAnsi="宋体"/>
          <w:szCs w:val="21"/>
          <w:highlight w:val="none"/>
        </w:rPr>
      </w:pPr>
      <w:r>
        <w:rPr>
          <w:rFonts w:hint="eastAsia" w:ascii="宋体" w:hAnsi="宋体"/>
          <w:szCs w:val="21"/>
          <w:u w:val="none"/>
          <w:lang w:val="en-US" w:eastAsia="zh-CN"/>
        </w:rPr>
        <w:t xml:space="preserve"> </w:t>
      </w:r>
      <w:r>
        <w:rPr>
          <w:rFonts w:hint="eastAsia" w:ascii="宋体" w:hAnsi="宋体"/>
          <w:szCs w:val="21"/>
        </w:rPr>
        <w:t>分包</w:t>
      </w:r>
      <w:r>
        <w:rPr>
          <w:rFonts w:hint="eastAsia" w:ascii="宋体" w:hAnsi="宋体"/>
          <w:szCs w:val="21"/>
          <w:highlight w:val="none"/>
        </w:rPr>
        <w:t>供应商</w:t>
      </w:r>
      <w:r>
        <w:rPr>
          <w:rFonts w:hint="eastAsia" w:ascii="宋体" w:hAnsi="宋体"/>
          <w:szCs w:val="21"/>
          <w:highlight w:val="none"/>
          <w:lang w:eastAsia="zh-CN"/>
        </w:rPr>
        <w:t>/制造商</w:t>
      </w:r>
      <w:r>
        <w:rPr>
          <w:rFonts w:hint="eastAsia" w:ascii="宋体" w:hAnsi="宋体"/>
          <w:szCs w:val="21"/>
          <w:highlight w:val="none"/>
        </w:rPr>
        <w:t>名称</w:t>
      </w:r>
      <w:r>
        <w:rPr>
          <w:rFonts w:hint="eastAsia" w:ascii="宋体" w:hAnsi="宋体"/>
          <w:szCs w:val="21"/>
          <w:highlight w:val="none"/>
          <w:lang w:eastAsia="zh-CN"/>
        </w:rPr>
        <w:t>（如供应商和制造商不同，请分别填写）</w:t>
      </w:r>
      <w:r>
        <w:rPr>
          <w:rFonts w:hint="eastAsia" w:ascii="宋体" w:hAnsi="宋体"/>
          <w:szCs w:val="21"/>
          <w:highlight w:val="none"/>
        </w:rPr>
        <w:t>：</w:t>
      </w:r>
    </w:p>
    <w:p w14:paraId="68A1E437">
      <w:pPr>
        <w:adjustRightInd w:val="0"/>
        <w:snapToGrid w:val="0"/>
        <w:spacing w:before="0" w:beforeLines="0" w:line="400" w:lineRule="exact"/>
        <w:ind w:firstLine="960" w:firstLineChars="400"/>
        <w:rPr>
          <w:rFonts w:ascii="宋体" w:hAnsi="宋体"/>
          <w:szCs w:val="21"/>
          <w:highlight w:val="none"/>
          <w:u w:val="single"/>
        </w:rPr>
      </w:pPr>
      <w:r>
        <w:rPr>
          <w:rFonts w:hint="eastAsia" w:ascii="宋体" w:hAnsi="宋体"/>
          <w:szCs w:val="21"/>
          <w:highlight w:val="none"/>
          <w:u w:val="none"/>
        </w:rPr>
        <w:t xml:space="preserve"> </w:t>
      </w:r>
      <w:r>
        <w:rPr>
          <w:rFonts w:hint="eastAsia" w:ascii="宋体" w:hAnsi="宋体"/>
          <w:szCs w:val="21"/>
          <w:highlight w:val="none"/>
          <w:u w:val="single"/>
          <w:lang w:val="en-US" w:eastAsia="zh-CN"/>
        </w:rPr>
        <w:t xml:space="preserve">  </w:t>
      </w:r>
      <w:r>
        <w:rPr>
          <w:rFonts w:hint="eastAsia" w:ascii="宋体" w:hAnsi="宋体"/>
          <w:szCs w:val="21"/>
          <w:highlight w:val="none"/>
          <w:u w:val="single"/>
        </w:rPr>
        <w:t xml:space="preserve">                                 </w:t>
      </w:r>
      <w:r>
        <w:rPr>
          <w:rFonts w:hint="eastAsia" w:ascii="宋体" w:hAnsi="宋体"/>
          <w:szCs w:val="21"/>
          <w:highlight w:val="none"/>
          <w:u w:val="single"/>
          <w:lang w:val="en-US" w:eastAsia="zh-CN"/>
        </w:rPr>
        <w:t xml:space="preserve">                       </w:t>
      </w:r>
    </w:p>
    <w:p w14:paraId="795C4773">
      <w:pPr>
        <w:adjustRightInd w:val="0"/>
        <w:snapToGrid w:val="0"/>
        <w:spacing w:before="0" w:beforeLines="0" w:line="400" w:lineRule="exact"/>
        <w:ind w:firstLine="960" w:firstLineChars="400"/>
        <w:rPr>
          <w:rFonts w:hint="eastAsia" w:ascii="宋体" w:hAnsi="宋体"/>
          <w:szCs w:val="21"/>
        </w:rPr>
      </w:pPr>
      <w:r>
        <w:rPr>
          <w:rFonts w:hint="eastAsia" w:ascii="宋体" w:hAnsi="宋体"/>
          <w:szCs w:val="21"/>
          <w:highlight w:val="none"/>
          <w:lang w:val="en-US" w:eastAsia="zh-CN"/>
        </w:rPr>
        <w:t xml:space="preserve"> </w:t>
      </w:r>
      <w:r>
        <w:rPr>
          <w:rFonts w:hint="eastAsia" w:ascii="宋体" w:hAnsi="宋体"/>
          <w:szCs w:val="21"/>
          <w:highlight w:val="none"/>
        </w:rPr>
        <w:t>分包供应商</w:t>
      </w:r>
      <w:r>
        <w:rPr>
          <w:rFonts w:hint="eastAsia" w:ascii="宋体" w:hAnsi="宋体"/>
          <w:szCs w:val="21"/>
          <w:highlight w:val="none"/>
          <w:lang w:val="en-US" w:eastAsia="zh-CN"/>
        </w:rPr>
        <w:t>/</w:t>
      </w:r>
      <w:r>
        <w:rPr>
          <w:rFonts w:hint="eastAsia" w:ascii="宋体" w:hAnsi="宋体"/>
          <w:szCs w:val="21"/>
          <w:highlight w:val="none"/>
          <w:lang w:eastAsia="zh-CN"/>
        </w:rPr>
        <w:t>制造商</w:t>
      </w:r>
      <w:r>
        <w:rPr>
          <w:rFonts w:hint="eastAsia" w:ascii="宋体" w:hAnsi="宋体"/>
          <w:szCs w:val="21"/>
        </w:rPr>
        <w:t>类型</w:t>
      </w:r>
      <w:r>
        <w:rPr>
          <w:rFonts w:hint="eastAsia" w:ascii="宋体" w:hAnsi="宋体"/>
          <w:szCs w:val="21"/>
          <w:highlight w:val="none"/>
          <w:lang w:eastAsia="zh-CN"/>
        </w:rPr>
        <w:t>（如果供应商和制造商不同，只填写制造商类型）</w:t>
      </w:r>
      <w:r>
        <w:rPr>
          <w:rFonts w:hint="eastAsia" w:ascii="宋体" w:hAnsi="宋体"/>
          <w:szCs w:val="21"/>
        </w:rPr>
        <w:t>：</w:t>
      </w:r>
    </w:p>
    <w:p w14:paraId="4D41ECDC">
      <w:pPr>
        <w:adjustRightInd w:val="0"/>
        <w:snapToGrid w:val="0"/>
        <w:spacing w:beforeLines="0" w:line="400" w:lineRule="exact"/>
        <w:ind w:firstLine="960" w:firstLineChars="40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rPr>
        <w:t xml:space="preserve">大型企业  </w:t>
      </w:r>
      <w:r>
        <w:rPr>
          <w:rFonts w:hint="eastAsia" w:ascii="宋体" w:hAnsi="宋体"/>
          <w:iCs/>
          <w:szCs w:val="21"/>
        </w:rPr>
        <w:sym w:font="Wingdings" w:char="00A8"/>
      </w:r>
      <w:r>
        <w:rPr>
          <w:rFonts w:hint="eastAsia" w:ascii="宋体" w:hAnsi="宋体"/>
          <w:iCs/>
          <w:szCs w:val="21"/>
        </w:rPr>
        <w:t xml:space="preserve">中型企业  </w:t>
      </w:r>
      <w:r>
        <w:rPr>
          <w:rFonts w:hint="eastAsia" w:ascii="宋体" w:hAnsi="宋体"/>
          <w:iCs/>
          <w:szCs w:val="21"/>
        </w:rPr>
        <w:sym w:font="Wingdings" w:char="00A8"/>
      </w:r>
      <w:r>
        <w:rPr>
          <w:rFonts w:hint="eastAsia" w:ascii="宋体" w:hAnsi="宋体"/>
          <w:iCs/>
          <w:szCs w:val="21"/>
        </w:rPr>
        <w:t>小微型企业</w:t>
      </w:r>
      <w:r>
        <w:rPr>
          <w:rFonts w:hint="eastAsia" w:ascii="宋体" w:hAnsi="宋体"/>
          <w:iCs/>
          <w:szCs w:val="21"/>
          <w:lang w:val="en-US" w:eastAsia="zh-CN"/>
        </w:rPr>
        <w:t xml:space="preserve">  </w:t>
      </w:r>
    </w:p>
    <w:p w14:paraId="79F4D964">
      <w:pPr>
        <w:adjustRightInd w:val="0"/>
        <w:snapToGrid w:val="0"/>
        <w:spacing w:beforeLines="0" w:line="400" w:lineRule="exact"/>
        <w:ind w:firstLine="960" w:firstLineChars="400"/>
        <w:rPr>
          <w:rFonts w:hint="default" w:eastAsia="华文楷体"/>
          <w:u w:val="none"/>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残疾人福利性单位</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监狱</w:t>
      </w:r>
      <w:r>
        <w:rPr>
          <w:rFonts w:hint="eastAsia" w:ascii="宋体" w:hAnsi="宋体"/>
          <w:iCs/>
          <w:szCs w:val="21"/>
        </w:rPr>
        <w:t>企业</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其他</w:t>
      </w:r>
    </w:p>
    <w:p w14:paraId="00C0F7DE">
      <w:pPr>
        <w:numPr>
          <w:ilvl w:val="-1"/>
          <w:numId w:val="0"/>
        </w:numPr>
        <w:adjustRightInd w:val="0"/>
        <w:snapToGrid w:val="0"/>
        <w:spacing w:before="0" w:beforeLines="0" w:line="400" w:lineRule="exact"/>
        <w:ind w:left="0" w:leftChars="0" w:firstLine="0" w:firstLineChars="0"/>
        <w:rPr>
          <w:rFonts w:hint="eastAsia" w:ascii="宋体" w:hAnsi="宋体" w:cs="宋体"/>
          <w:iCs/>
          <w:szCs w:val="21"/>
          <w:highlight w:val="none"/>
        </w:rPr>
      </w:pPr>
      <w:r>
        <w:rPr>
          <w:rFonts w:hint="eastAsia" w:ascii="宋体" w:hAnsi="宋体"/>
          <w:szCs w:val="21"/>
          <w:highlight w:val="none"/>
          <w:u w:val="none"/>
          <w:lang w:val="en-US" w:eastAsia="zh-CN"/>
        </w:rPr>
        <w:t xml:space="preserve">    </w:t>
      </w:r>
      <w:r>
        <w:rPr>
          <w:rFonts w:hint="eastAsia" w:ascii="宋体" w:hAnsi="宋体" w:cs="宋体"/>
          <w:szCs w:val="21"/>
          <w:highlight w:val="none"/>
          <w:u w:val="none"/>
          <w:lang w:val="en-US" w:eastAsia="zh-CN"/>
        </w:rPr>
        <w:t>（</w:t>
      </w:r>
      <w:r>
        <w:rPr>
          <w:rFonts w:hint="default" w:ascii="宋体" w:hAnsi="宋体" w:cs="宋体"/>
          <w:szCs w:val="21"/>
          <w:highlight w:val="none"/>
          <w:u w:val="none"/>
          <w:lang w:val="en" w:eastAsia="zh-CN"/>
        </w:rPr>
        <w:t>8</w:t>
      </w:r>
      <w:r>
        <w:rPr>
          <w:rFonts w:hint="eastAsia" w:ascii="宋体" w:hAnsi="宋体" w:cs="宋体"/>
          <w:szCs w:val="21"/>
          <w:highlight w:val="none"/>
          <w:u w:val="none"/>
          <w:lang w:val="en-US" w:eastAsia="zh-CN"/>
        </w:rPr>
        <w:t>）中标（成交）供应商是否为外商投资企业：</w:t>
      </w:r>
      <w:r>
        <w:rPr>
          <w:rFonts w:hint="eastAsia" w:ascii="宋体" w:hAnsi="宋体" w:cs="宋体"/>
          <w:iCs/>
          <w:szCs w:val="21"/>
          <w:highlight w:val="none"/>
        </w:rPr>
        <w:sym w:font="Wingdings" w:char="00A8"/>
      </w:r>
      <w:r>
        <w:rPr>
          <w:rFonts w:hint="eastAsia" w:ascii="宋体" w:hAnsi="宋体" w:cs="宋体"/>
          <w:iCs/>
          <w:szCs w:val="21"/>
          <w:highlight w:val="none"/>
        </w:rPr>
        <w:t xml:space="preserve">是       </w:t>
      </w:r>
      <w:r>
        <w:rPr>
          <w:rFonts w:hint="eastAsia" w:ascii="宋体" w:hAnsi="宋体" w:cs="宋体"/>
          <w:iCs/>
          <w:szCs w:val="21"/>
          <w:highlight w:val="none"/>
        </w:rPr>
        <w:sym w:font="Wingdings" w:char="00A8"/>
      </w:r>
      <w:r>
        <w:rPr>
          <w:rFonts w:hint="eastAsia" w:ascii="宋体" w:hAnsi="宋体" w:cs="宋体"/>
          <w:iCs/>
          <w:szCs w:val="21"/>
          <w:highlight w:val="none"/>
        </w:rPr>
        <w:t>否</w:t>
      </w:r>
    </w:p>
    <w:p w14:paraId="4BAF1ADD">
      <w:pPr>
        <w:pStyle w:val="66"/>
        <w:tabs>
          <w:tab w:val="left" w:pos="1340"/>
        </w:tabs>
        <w:spacing w:beforeLines="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none"/>
          <w:lang w:val="en-US" w:eastAsia="zh-CN"/>
        </w:rPr>
        <w:t xml:space="preserve">     外商投资企业类型：</w:t>
      </w:r>
      <w:r>
        <w:rPr>
          <w:rFonts w:hint="eastAsia" w:ascii="宋体" w:hAnsi="宋体" w:eastAsia="宋体" w:cs="宋体"/>
          <w:iCs/>
          <w:sz w:val="21"/>
          <w:szCs w:val="21"/>
          <w:highlight w:val="none"/>
        </w:rPr>
        <w:sym w:font="Wingdings" w:char="00A8"/>
      </w:r>
      <w:r>
        <w:rPr>
          <w:rFonts w:hint="eastAsia" w:ascii="宋体" w:hAnsi="宋体" w:eastAsia="宋体" w:cs="宋体"/>
          <w:sz w:val="21"/>
          <w:szCs w:val="21"/>
          <w:highlight w:val="none"/>
          <w:u w:val="none"/>
          <w:lang w:val="en-US" w:eastAsia="zh-CN"/>
        </w:rPr>
        <w:t xml:space="preserve">全部由外国投资者投资  </w:t>
      </w:r>
      <w:r>
        <w:rPr>
          <w:rFonts w:hint="eastAsia" w:ascii="宋体" w:hAnsi="宋体" w:eastAsia="宋体" w:cs="宋体"/>
          <w:iCs/>
          <w:sz w:val="21"/>
          <w:szCs w:val="21"/>
          <w:highlight w:val="none"/>
        </w:rPr>
        <w:sym w:font="Wingdings" w:char="00A8"/>
      </w:r>
      <w:r>
        <w:rPr>
          <w:rFonts w:hint="eastAsia" w:ascii="宋体" w:hAnsi="宋体" w:eastAsia="宋体" w:cs="宋体"/>
          <w:iCs/>
          <w:sz w:val="21"/>
          <w:szCs w:val="21"/>
          <w:highlight w:val="none"/>
          <w:lang w:val="en-US" w:eastAsia="zh-CN"/>
        </w:rPr>
        <w:t>部分由外国投资者投资</w:t>
      </w:r>
    </w:p>
    <w:p w14:paraId="5CF26AB0">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14:paraId="3305E434">
      <w:pPr>
        <w:numPr>
          <w:ilvl w:val="-1"/>
          <w:numId w:val="0"/>
        </w:numPr>
        <w:adjustRightInd w:val="0"/>
        <w:snapToGrid w:val="0"/>
        <w:spacing w:before="0" w:beforeLines="0" w:line="400" w:lineRule="exact"/>
        <w:ind w:firstLine="960" w:firstLineChars="400"/>
        <w:rPr>
          <w:rFonts w:hint="eastAsia" w:ascii="宋体" w:hAnsi="宋体" w:eastAsia="宋体" w:cs="宋体"/>
          <w:szCs w:val="21"/>
          <w:u w:val="single"/>
          <w:lang w:val="en-US" w:eastAsia="zh-CN"/>
        </w:rPr>
      </w:pPr>
      <w:r>
        <w:rPr>
          <w:rFonts w:hint="eastAsia" w:ascii="宋体" w:hAnsi="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w:t>
      </w:r>
      <w:r>
        <w:rPr>
          <w:rFonts w:hint="eastAsia" w:ascii="宋体" w:hAnsi="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r>
        <w:rPr>
          <w:rFonts w:hint="eastAsia" w:ascii="宋体" w:hAnsi="宋体" w:cs="宋体"/>
          <w:szCs w:val="21"/>
          <w:lang w:val="en-US" w:eastAsia="zh-CN"/>
        </w:rPr>
        <w:t>金额：</w:t>
      </w:r>
      <w:r>
        <w:rPr>
          <w:rFonts w:hint="eastAsia" w:ascii="宋体" w:hAnsi="宋体" w:eastAsia="宋体" w:cs="宋体"/>
          <w:szCs w:val="21"/>
          <w:u w:val="single"/>
          <w:lang w:val="en-US" w:eastAsia="zh-CN"/>
        </w:rPr>
        <w:t xml:space="preserve">  </w:t>
      </w:r>
      <w:r>
        <w:rPr>
          <w:rFonts w:hint="eastAsia" w:ascii="宋体" w:hAnsi="宋体" w:cs="宋体"/>
          <w:szCs w:val="21"/>
          <w:u w:val="single"/>
          <w:lang w:val="en-US" w:eastAsia="zh-CN"/>
        </w:rPr>
        <w:t xml:space="preserve">     </w:t>
      </w:r>
      <w:r>
        <w:rPr>
          <w:rFonts w:hint="eastAsia" w:ascii="宋体" w:hAnsi="宋体" w:eastAsia="宋体" w:cs="宋体"/>
          <w:szCs w:val="21"/>
          <w:u w:val="single"/>
          <w:lang w:val="en-US" w:eastAsia="zh-CN"/>
        </w:rPr>
        <w:t xml:space="preserve"> </w:t>
      </w:r>
    </w:p>
    <w:p w14:paraId="0D858A05">
      <w:pPr>
        <w:numPr>
          <w:ilvl w:val="-1"/>
          <w:numId w:val="0"/>
        </w:numPr>
        <w:adjustRightInd w:val="0"/>
        <w:snapToGrid w:val="0"/>
        <w:spacing w:before="0" w:beforeLines="0" w:line="400" w:lineRule="exact"/>
        <w:ind w:firstLine="960" w:firstLineChars="400"/>
        <w:rPr>
          <w:rFonts w:hint="eastAsia" w:ascii="宋体" w:hAnsi="宋体" w:eastAsia="宋体"/>
          <w:iCs w:val="0"/>
          <w:szCs w:val="21"/>
        </w:rPr>
      </w:pPr>
      <w:r>
        <w:rPr>
          <w:rFonts w:hint="eastAsia" w:ascii="宋体" w:hAnsi="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cs="宋体"/>
          <w:szCs w:val="21"/>
          <w:u w:val="single"/>
          <w:lang w:val="en-US" w:eastAsia="zh-CN"/>
        </w:rPr>
        <w:t xml:space="preserve">     </w:t>
      </w:r>
      <w:r>
        <w:rPr>
          <w:rFonts w:hint="eastAsia" w:ascii="宋体" w:hAnsi="宋体" w:eastAsia="宋体" w:cs="宋体"/>
          <w:szCs w:val="21"/>
          <w:u w:val="single"/>
          <w:lang w:val="en-US" w:eastAsia="zh-CN"/>
        </w:rPr>
        <w:t xml:space="preserve"> </w:t>
      </w:r>
      <w:r>
        <w:rPr>
          <w:rFonts w:hint="eastAsia" w:ascii="宋体" w:hAnsi="宋体" w:cs="宋体"/>
          <w:szCs w:val="21"/>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14:paraId="40262F29">
      <w:pPr>
        <w:adjustRightInd w:val="0"/>
        <w:snapToGrid w:val="0"/>
        <w:spacing w:before="0" w:beforeLines="0" w:line="400" w:lineRule="exact"/>
        <w:ind w:firstLine="960" w:firstLineChars="400"/>
        <w:rPr>
          <w:rFonts w:hint="eastAsia" w:ascii="宋体" w:hAnsi="宋体"/>
          <w:szCs w:val="21"/>
          <w:u w:val="none"/>
          <w:lang w:val="en-US" w:eastAsia="zh-CN"/>
        </w:rPr>
      </w:pPr>
      <w:r>
        <w:rPr>
          <w:rFonts w:hint="eastAsia" w:ascii="宋体" w:hAnsi="宋体"/>
          <w:iCs w:val="0"/>
          <w:szCs w:val="21"/>
          <w:lang w:val="en-US" w:eastAsia="zh-CN"/>
        </w:rPr>
        <w:t xml:space="preserve"> </w:t>
      </w:r>
      <w:r>
        <w:rPr>
          <w:rFonts w:hint="eastAsia" w:ascii="宋体" w:hAnsi="宋体"/>
          <w:iCs w:val="0"/>
          <w:szCs w:val="21"/>
        </w:rPr>
        <w:sym w:font="Wingdings" w:char="00A8"/>
      </w:r>
      <w:r>
        <w:rPr>
          <w:rFonts w:hint="eastAsia" w:ascii="宋体" w:hAnsi="宋体" w:eastAsia="宋体"/>
          <w:iCs w:val="0"/>
          <w:szCs w:val="21"/>
          <w:lang w:eastAsia="zh-CN"/>
        </w:rPr>
        <w:t>否</w:t>
      </w:r>
    </w:p>
    <w:p w14:paraId="3B2C99DA">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b w:val="0"/>
          <w:bCs w:val="0"/>
          <w:sz w:val="21"/>
          <w:szCs w:val="21"/>
          <w:u w:val="none"/>
          <w:lang w:val="en-US" w:eastAsia="zh-CN"/>
        </w:rPr>
        <w:t xml:space="preserve">    （1</w:t>
      </w:r>
      <w:r>
        <w:rPr>
          <w:rFonts w:hint="default" w:ascii="宋体" w:hAnsi="宋体"/>
          <w:b w:val="0"/>
          <w:bCs w:val="0"/>
          <w:sz w:val="21"/>
          <w:szCs w:val="21"/>
          <w:u w:val="none"/>
          <w:lang w:val="en" w:eastAsia="zh-CN"/>
        </w:rPr>
        <w:t>0</w:t>
      </w:r>
      <w:r>
        <w:rPr>
          <w:rFonts w:hint="eastAsia" w:ascii="宋体" w:hAnsi="宋体"/>
          <w:b w:val="0"/>
          <w:bCs w:val="0"/>
          <w:sz w:val="21"/>
          <w:szCs w:val="21"/>
          <w:u w:val="none"/>
          <w:lang w:val="en-US" w:eastAsia="zh-CN"/>
        </w:rPr>
        <w:t>）</w:t>
      </w:r>
      <w:r>
        <w:rPr>
          <w:rFonts w:hint="eastAsia" w:ascii="宋体" w:hAnsi="宋体" w:eastAsia="宋体"/>
          <w:b w:val="0"/>
          <w:bCs w:val="0"/>
          <w:sz w:val="21"/>
          <w:szCs w:val="21"/>
          <w:u w:val="none"/>
          <w:lang w:val="en-US" w:eastAsia="zh-CN"/>
        </w:rPr>
        <w:t>是否涉及节能产品：</w:t>
      </w:r>
    </w:p>
    <w:p w14:paraId="3AA23BC7">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w:t>
      </w:r>
      <w:r>
        <w:rPr>
          <w:rFonts w:hint="eastAsia" w:ascii="宋体" w:hAnsi="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szCs w:val="21"/>
          <w:u w:val="single"/>
          <w:lang w:val="en-US" w:eastAsia="zh-CN"/>
        </w:rPr>
        <w:t xml:space="preserve">   </w:t>
      </w:r>
      <w:r>
        <w:rPr>
          <w:rFonts w:hint="eastAsia" w:ascii="宋体" w:hAnsi="宋体"/>
          <w:iCs/>
          <w:szCs w:val="21"/>
          <w:lang w:val="en-US" w:eastAsia="zh-CN"/>
        </w:rPr>
        <w:t xml:space="preserve">     </w:t>
      </w:r>
    </w:p>
    <w:p w14:paraId="032C9ABD">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强制采购</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优先采购</w:t>
      </w:r>
      <w:r>
        <w:rPr>
          <w:rFonts w:hint="eastAsia" w:ascii="宋体" w:hAnsi="宋体"/>
          <w:iCs/>
          <w:szCs w:val="21"/>
          <w:lang w:val="en-US" w:eastAsia="zh-CN"/>
        </w:rPr>
        <w:t xml:space="preserve">    </w:t>
      </w:r>
    </w:p>
    <w:p w14:paraId="42C36818">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18D1ABB5">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b w:val="0"/>
          <w:bCs w:val="0"/>
          <w:sz w:val="21"/>
          <w:szCs w:val="21"/>
          <w:u w:val="none"/>
          <w:lang w:val="en-US" w:eastAsia="zh-CN"/>
        </w:rPr>
        <w:t xml:space="preserve">          </w:t>
      </w:r>
      <w:r>
        <w:rPr>
          <w:rFonts w:hint="eastAsia" w:ascii="宋体" w:hAnsi="宋体" w:eastAsia="宋体"/>
          <w:b w:val="0"/>
          <w:bCs w:val="0"/>
          <w:sz w:val="21"/>
          <w:szCs w:val="21"/>
          <w:u w:val="none"/>
          <w:lang w:val="en-US" w:eastAsia="zh-CN"/>
        </w:rPr>
        <w:t>是否涉及</w:t>
      </w:r>
      <w:r>
        <w:rPr>
          <w:rFonts w:hint="eastAsia" w:ascii="宋体" w:hAnsi="宋体"/>
          <w:b w:val="0"/>
          <w:bCs w:val="0"/>
          <w:sz w:val="21"/>
          <w:szCs w:val="21"/>
          <w:u w:val="none"/>
          <w:lang w:val="en-US" w:eastAsia="zh-CN"/>
        </w:rPr>
        <w:t>环境标志</w:t>
      </w:r>
      <w:r>
        <w:rPr>
          <w:rFonts w:hint="eastAsia" w:ascii="宋体" w:hAnsi="宋体" w:eastAsia="宋体"/>
          <w:b w:val="0"/>
          <w:bCs w:val="0"/>
          <w:sz w:val="21"/>
          <w:szCs w:val="21"/>
          <w:u w:val="none"/>
          <w:lang w:val="en-US" w:eastAsia="zh-CN"/>
        </w:rPr>
        <w:t>产品：</w:t>
      </w:r>
    </w:p>
    <w:p w14:paraId="08324206">
      <w:pPr>
        <w:numPr>
          <w:ilvl w:val="-1"/>
          <w:numId w:val="0"/>
        </w:numPr>
        <w:tabs>
          <w:tab w:val="left" w:pos="740"/>
        </w:tabs>
        <w:adjustRightInd w:val="0"/>
        <w:snapToGrid w:val="0"/>
        <w:spacing w:before="0" w:beforeLines="0" w:line="400" w:lineRule="exact"/>
        <w:ind w:firstLine="0" w:firstLineChars="0"/>
        <w:rPr>
          <w:rFonts w:hint="eastAsia" w:ascii="宋体" w:hAnsi="宋体"/>
          <w:iCs w:val="0"/>
          <w:szCs w:val="21"/>
          <w:lang w:eastAsia="zh-CN"/>
        </w:rPr>
      </w:pPr>
      <w:r>
        <w:rPr>
          <w:rFonts w:hint="eastAsia" w:ascii="宋体" w:hAnsi="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w:t>
      </w:r>
      <w:r>
        <w:rPr>
          <w:rFonts w:hint="eastAsia" w:ascii="宋体" w:hAnsi="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szCs w:val="21"/>
          <w:u w:val="single"/>
          <w:lang w:val="en-US" w:eastAsia="zh-CN"/>
        </w:rPr>
        <w:t xml:space="preserve">   </w:t>
      </w:r>
      <w:r>
        <w:rPr>
          <w:rFonts w:hint="eastAsia" w:ascii="宋体" w:hAnsi="宋体"/>
          <w:iCs/>
          <w:szCs w:val="21"/>
          <w:lang w:val="en-US" w:eastAsia="zh-CN"/>
        </w:rPr>
        <w:t xml:space="preserve"> </w:t>
      </w:r>
    </w:p>
    <w:p w14:paraId="7A113663">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强制采购</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优先采购</w:t>
      </w:r>
      <w:r>
        <w:rPr>
          <w:rFonts w:hint="eastAsia" w:ascii="宋体" w:hAnsi="宋体"/>
          <w:iCs/>
          <w:szCs w:val="21"/>
          <w:lang w:val="en-US" w:eastAsia="zh-CN"/>
        </w:rPr>
        <w:t xml:space="preserve">    </w:t>
      </w:r>
    </w:p>
    <w:p w14:paraId="1C51CBF7">
      <w:pPr>
        <w:numPr>
          <w:ilvl w:val="-1"/>
          <w:numId w:val="0"/>
        </w:numPr>
        <w:tabs>
          <w:tab w:val="left" w:pos="740"/>
        </w:tabs>
        <w:adjustRightInd w:val="0"/>
        <w:snapToGrid w:val="0"/>
        <w:spacing w:before="0" w:beforeLines="0" w:line="400" w:lineRule="exact"/>
        <w:ind w:firstLine="0" w:firstLineChars="0"/>
        <w:rPr>
          <w:rFonts w:hint="eastAsia" w:ascii="宋体" w:hAnsi="宋体"/>
          <w:b w:val="0"/>
          <w:bCs w:val="0"/>
          <w:sz w:val="21"/>
          <w:szCs w:val="21"/>
          <w:u w:val="none"/>
          <w:lang w:val="en-US" w:eastAsia="zh-CN"/>
        </w:rPr>
      </w:pPr>
      <w:r>
        <w:rPr>
          <w:rFonts w:hint="eastAsia" w:ascii="宋体" w:hAnsi="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61820361">
      <w:pPr>
        <w:pStyle w:val="66"/>
        <w:numPr>
          <w:ilvl w:val="-1"/>
          <w:numId w:val="0"/>
        </w:numPr>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rPr>
      </w:pPr>
      <w:r>
        <w:rPr>
          <w:rFonts w:hint="eastAsia" w:ascii="宋体" w:hAnsi="宋体"/>
          <w:b w:val="0"/>
          <w:bCs w:val="0"/>
          <w:sz w:val="21"/>
          <w:szCs w:val="21"/>
          <w:u w:val="none"/>
          <w:lang w:val="en-US" w:eastAsia="zh-CN"/>
        </w:rPr>
        <w:t xml:space="preserve">          </w:t>
      </w:r>
      <w:r>
        <w:rPr>
          <w:rFonts w:hint="eastAsia" w:ascii="宋体" w:hAnsi="宋体" w:eastAsia="宋体" w:cs="Times New Roman"/>
          <w:b w:val="0"/>
          <w:bCs w:val="0"/>
          <w:kern w:val="2"/>
          <w:sz w:val="21"/>
          <w:szCs w:val="21"/>
          <w:u w:val="none"/>
          <w:lang w:val="en-US" w:eastAsia="zh-CN"/>
        </w:rPr>
        <w:t>是否涉及绿色产品：</w:t>
      </w:r>
      <w:r>
        <w:rPr>
          <w:rFonts w:hint="eastAsia" w:ascii="宋体" w:hAnsi="宋体" w:eastAsia="宋体" w:cs="Times New Roman"/>
          <w:iCs w:val="0"/>
          <w:kern w:val="2"/>
          <w:sz w:val="21"/>
          <w:szCs w:val="21"/>
          <w:u w:val="none"/>
          <w:lang w:val="en-US" w:eastAsia="zh-CN"/>
        </w:rPr>
        <w:t xml:space="preserve"> </w:t>
      </w:r>
    </w:p>
    <w:p w14:paraId="7B8D9835">
      <w:pPr>
        <w:pStyle w:val="66"/>
        <w:spacing w:beforeLines="0"/>
        <w:ind w:firstLine="420" w:firstLineChars="0"/>
        <w:rPr>
          <w:rFonts w:hint="eastAsia" w:ascii="宋体" w:hAnsi="宋体" w:eastAsia="宋体"/>
          <w:szCs w:val="21"/>
          <w:u w:val="single"/>
          <w:lang w:val="en-US" w:eastAsia="zh-CN"/>
        </w:rPr>
      </w:pPr>
      <w:r>
        <w:rPr>
          <w:rFonts w:hint="eastAsia" w:ascii="宋体" w:hAnsi="宋体" w:eastAsia="宋体" w:cs="Times New Roman"/>
          <w:iCs w:val="0"/>
          <w:kern w:val="2"/>
          <w:sz w:val="21"/>
          <w:szCs w:val="21"/>
          <w:u w:val="none"/>
          <w:lang w:val="en-US" w:eastAsia="zh-CN"/>
        </w:rPr>
        <w:t xml:space="preserve">     </w:t>
      </w:r>
      <w:r>
        <w:rPr>
          <w:rFonts w:hint="eastAsia" w:ascii="宋体" w:hAnsi="宋体" w:eastAsia="宋体" w:cs="Times New Roman"/>
          <w:iCs w:val="0"/>
          <w:kern w:val="2"/>
          <w:sz w:val="21"/>
          <w:szCs w:val="21"/>
          <w:u w:val="none"/>
        </w:rPr>
        <w:sym w:font="Wingdings" w:char="00A8"/>
      </w:r>
      <w:r>
        <w:rPr>
          <w:rFonts w:hint="eastAsia" w:ascii="宋体" w:hAnsi="宋体" w:eastAsia="宋体" w:cs="Times New Roman"/>
          <w:iCs w:val="0"/>
          <w:kern w:val="2"/>
          <w:sz w:val="21"/>
          <w:szCs w:val="21"/>
          <w:u w:val="none"/>
        </w:rPr>
        <w:t>是</w:t>
      </w:r>
      <w:r>
        <w:rPr>
          <w:rFonts w:hint="eastAsia" w:ascii="宋体" w:hAnsi="宋体" w:eastAsia="宋体" w:cs="Times New Roman"/>
          <w:iCs w:val="0"/>
          <w:kern w:val="2"/>
          <w:sz w:val="21"/>
          <w:szCs w:val="21"/>
          <w:u w:val="none"/>
          <w:lang w:eastAsia="zh-CN"/>
        </w:rPr>
        <w:t>，绿色产品政府采购相关政策确定的底级品目名称：</w:t>
      </w:r>
      <w:r>
        <w:rPr>
          <w:rFonts w:hint="eastAsia" w:ascii="宋体" w:hAnsi="宋体" w:eastAsia="宋体"/>
          <w:szCs w:val="21"/>
          <w:u w:val="single"/>
          <w:lang w:val="en-US" w:eastAsia="zh-CN"/>
        </w:rPr>
        <w:t xml:space="preserve">         </w:t>
      </w:r>
    </w:p>
    <w:p w14:paraId="53CDB14E">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强制采购</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优先采购</w:t>
      </w:r>
      <w:r>
        <w:rPr>
          <w:rFonts w:hint="eastAsia" w:ascii="宋体" w:hAnsi="宋体"/>
          <w:iCs/>
          <w:szCs w:val="21"/>
          <w:lang w:val="en-US" w:eastAsia="zh-CN"/>
        </w:rPr>
        <w:t xml:space="preserve">    </w:t>
      </w:r>
    </w:p>
    <w:p w14:paraId="6FE6F5C0">
      <w:pPr>
        <w:pStyle w:val="66"/>
        <w:spacing w:beforeLines="0"/>
        <w:ind w:firstLine="420" w:firstLineChars="0"/>
        <w:rPr>
          <w:rFonts w:hint="eastAsia" w:ascii="宋体" w:hAnsi="宋体"/>
          <w:b w:val="0"/>
          <w:bCs w:val="0"/>
          <w:sz w:val="21"/>
          <w:szCs w:val="21"/>
          <w:u w:val="none"/>
          <w:lang w:val="en-US" w:eastAsia="zh-CN"/>
        </w:rPr>
      </w:pPr>
      <w:r>
        <w:rPr>
          <w:rFonts w:hint="eastAsia" w:ascii="宋体" w:hAnsi="宋体" w:eastAsia="宋体" w:cs="Times New Roman"/>
          <w:iCs w:val="0"/>
          <w:kern w:val="2"/>
          <w:sz w:val="21"/>
          <w:szCs w:val="21"/>
          <w:u w:val="none"/>
          <w:lang w:val="en-US" w:eastAsia="zh-CN"/>
        </w:rPr>
        <w:t xml:space="preserve">     </w:t>
      </w:r>
      <w:r>
        <w:rPr>
          <w:rFonts w:hint="eastAsia" w:ascii="宋体" w:hAnsi="宋体" w:eastAsia="宋体" w:cs="Times New Roman"/>
          <w:iCs w:val="0"/>
          <w:kern w:val="2"/>
          <w:sz w:val="21"/>
          <w:szCs w:val="21"/>
          <w:u w:val="none"/>
        </w:rPr>
        <w:sym w:font="Wingdings" w:char="00A8"/>
      </w:r>
      <w:r>
        <w:rPr>
          <w:rFonts w:hint="eastAsia" w:ascii="宋体" w:hAnsi="宋体" w:eastAsia="宋体" w:cs="Times New Roman"/>
          <w:iCs w:val="0"/>
          <w:kern w:val="2"/>
          <w:sz w:val="21"/>
          <w:szCs w:val="21"/>
          <w:u w:val="none"/>
        </w:rPr>
        <w:t>否</w:t>
      </w:r>
    </w:p>
    <w:p w14:paraId="3107A996">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szCs w:val="21"/>
          <w:lang w:val="en-US" w:eastAsia="zh-CN"/>
        </w:rPr>
        <w:t xml:space="preserve">    （1</w:t>
      </w:r>
      <w:r>
        <w:rPr>
          <w:rFonts w:hint="default" w:ascii="宋体" w:hAnsi="宋体"/>
          <w:szCs w:val="21"/>
          <w:lang w:val="en" w:eastAsia="zh-CN"/>
        </w:rPr>
        <w:t>1</w:t>
      </w:r>
      <w:r>
        <w:rPr>
          <w:rFonts w:hint="eastAsia" w:ascii="宋体" w:hAnsi="宋体"/>
          <w:szCs w:val="21"/>
          <w:lang w:val="en-US" w:eastAsia="zh-CN"/>
        </w:rPr>
        <w:t>）</w:t>
      </w:r>
      <w:r>
        <w:rPr>
          <w:rFonts w:hint="eastAsia" w:ascii="宋体" w:hAnsi="宋体" w:eastAsia="宋体"/>
          <w:szCs w:val="21"/>
          <w:lang w:val="en-US" w:eastAsia="zh-CN"/>
        </w:rPr>
        <w:t>涉及商品包装和快递包装的，是否参考</w:t>
      </w:r>
      <w:r>
        <w:rPr>
          <w:rFonts w:hint="eastAsia" w:ascii="宋体" w:hAnsi="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14:paraId="1CCD3189">
      <w:pPr>
        <w:numPr>
          <w:ilvl w:val="-1"/>
          <w:numId w:val="0"/>
        </w:numPr>
        <w:adjustRightInd w:val="0"/>
        <w:snapToGrid w:val="0"/>
        <w:spacing w:before="0" w:beforeLines="0" w:line="400" w:lineRule="exact"/>
        <w:ind w:firstLine="96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14:paraId="3499589D">
      <w:pPr>
        <w:numPr>
          <w:ilvl w:val="0"/>
          <w:numId w:val="11"/>
        </w:numPr>
        <w:adjustRightInd w:val="0"/>
        <w:snapToGrid w:val="0"/>
        <w:spacing w:before="0" w:beforeLines="0" w:line="400" w:lineRule="exact"/>
        <w:ind w:firstLine="480" w:firstLineChars="200"/>
        <w:rPr>
          <w:rFonts w:ascii="宋体" w:hAnsi="宋体"/>
          <w:b/>
          <w:szCs w:val="21"/>
          <w:highlight w:val="none"/>
        </w:rPr>
      </w:pPr>
      <w:r>
        <w:rPr>
          <w:rFonts w:hint="eastAsia" w:ascii="宋体" w:hAnsi="宋体"/>
          <w:b/>
          <w:szCs w:val="21"/>
          <w:highlight w:val="none"/>
        </w:rPr>
        <w:t>合同金额</w:t>
      </w:r>
    </w:p>
    <w:p w14:paraId="6817FE31">
      <w:pPr>
        <w:adjustRightInd w:val="0"/>
        <w:snapToGrid w:val="0"/>
        <w:spacing w:before="0" w:beforeLines="0" w:line="400" w:lineRule="exact"/>
        <w:ind w:firstLine="480" w:firstLineChars="200"/>
        <w:rPr>
          <w:rFonts w:ascii="宋体" w:hAnsi="宋体"/>
          <w:szCs w:val="21"/>
        </w:rPr>
      </w:pPr>
      <w:r>
        <w:rPr>
          <w:rFonts w:hint="eastAsia" w:ascii="宋体" w:hAnsi="宋体"/>
          <w:szCs w:val="21"/>
        </w:rPr>
        <w:t>（1）合同金额小写：</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561D4B1B">
      <w:pPr>
        <w:adjustRightInd w:val="0"/>
        <w:snapToGrid w:val="0"/>
        <w:spacing w:before="0" w:beforeLines="0" w:line="400" w:lineRule="exact"/>
        <w:ind w:left="0" w:firstLine="0" w:firstLineChars="0"/>
        <w:rPr>
          <w:rFonts w:ascii="宋体" w:hAnsi="宋体"/>
          <w:szCs w:val="21"/>
          <w:u w:val="single"/>
        </w:rPr>
      </w:pPr>
      <w:r>
        <w:rPr>
          <w:rFonts w:hint="eastAsia" w:ascii="宋体" w:hAnsi="宋体"/>
          <w:szCs w:val="21"/>
          <w:lang w:val="en-US" w:eastAsia="zh-CN"/>
        </w:rPr>
        <w:t xml:space="preserve">                 </w:t>
      </w:r>
      <w:r>
        <w:rPr>
          <w:rFonts w:hint="eastAsia" w:ascii="宋体" w:hAnsi="宋体"/>
          <w:szCs w:val="21"/>
        </w:rPr>
        <w:t>大写：</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18B31123">
      <w:pPr>
        <w:adjustRightInd w:val="0"/>
        <w:snapToGrid w:val="0"/>
        <w:spacing w:before="0" w:beforeLines="0" w:line="400" w:lineRule="exact"/>
        <w:ind w:firstLine="0" w:firstLineChars="0"/>
        <w:rPr>
          <w:rFonts w:ascii="宋体" w:hAnsi="宋体"/>
          <w:szCs w:val="21"/>
        </w:rPr>
      </w:pPr>
      <w:r>
        <w:rPr>
          <w:rFonts w:hint="eastAsia" w:ascii="宋体" w:hAnsi="宋体"/>
          <w:szCs w:val="21"/>
          <w:lang w:val="en-US" w:eastAsia="zh-CN"/>
        </w:rPr>
        <w:t xml:space="preserve">         </w:t>
      </w:r>
      <w:r>
        <w:rPr>
          <w:rFonts w:hint="eastAsia" w:ascii="宋体" w:hAnsi="宋体"/>
          <w:szCs w:val="21"/>
        </w:rPr>
        <w:t>分包金额</w:t>
      </w:r>
      <w:r>
        <w:rPr>
          <w:rFonts w:hint="eastAsia" w:ascii="宋体" w:hAnsi="宋体"/>
          <w:szCs w:val="21"/>
          <w:lang w:eastAsia="zh-CN"/>
        </w:rPr>
        <w:t>（如有）</w:t>
      </w:r>
      <w:r>
        <w:rPr>
          <w:rFonts w:hint="eastAsia" w:ascii="宋体" w:hAnsi="宋体"/>
          <w:szCs w:val="21"/>
        </w:rPr>
        <w:t>小写：</w:t>
      </w:r>
      <w:r>
        <w:rPr>
          <w:rFonts w:hint="eastAsia" w:ascii="宋体" w:hAnsi="宋体"/>
          <w:szCs w:val="21"/>
          <w:u w:val="single"/>
        </w:rPr>
        <w:t xml:space="preserve">                   </w:t>
      </w:r>
    </w:p>
    <w:p w14:paraId="1A84C915">
      <w:pPr>
        <w:adjustRightInd w:val="0"/>
        <w:snapToGrid w:val="0"/>
        <w:spacing w:before="0" w:beforeLines="0" w:line="400" w:lineRule="exact"/>
        <w:ind w:firstLine="0" w:firstLineChars="0"/>
        <w:rPr>
          <w:rFonts w:hint="eastAsia" w:ascii="宋体" w:hAnsi="宋体"/>
          <w:szCs w:val="21"/>
          <w:u w:val="single"/>
        </w:rPr>
      </w:pPr>
      <w:r>
        <w:rPr>
          <w:rFonts w:hint="eastAsia" w:ascii="宋体" w:hAnsi="宋体"/>
          <w:szCs w:val="21"/>
          <w:lang w:val="en-US" w:eastAsia="zh-CN"/>
        </w:rPr>
        <w:t xml:space="preserve">                     </w:t>
      </w:r>
      <w:r>
        <w:rPr>
          <w:rFonts w:hint="eastAsia" w:ascii="宋体" w:hAnsi="宋体"/>
          <w:szCs w:val="21"/>
        </w:rPr>
        <w:t>大写：</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4DF6F11B">
      <w:pPr>
        <w:adjustRightInd w:val="0"/>
        <w:snapToGrid w:val="0"/>
        <w:spacing w:before="0" w:beforeLines="0" w:line="400" w:lineRule="exact"/>
        <w:ind w:firstLine="0" w:firstLineChars="0"/>
        <w:rPr>
          <w:rFonts w:hint="eastAsia" w:ascii="宋体" w:hAnsi="宋体"/>
          <w:szCs w:val="21"/>
          <w:lang w:val="en-US" w:eastAsia="zh-CN"/>
        </w:rPr>
      </w:pPr>
      <w:r>
        <w:rPr>
          <w:rFonts w:hint="eastAsia" w:ascii="宋体" w:hAnsi="宋体"/>
          <w:szCs w:val="21"/>
          <w:lang w:val="en-US" w:eastAsia="zh-CN"/>
        </w:rPr>
        <w:t xml:space="preserve">    （注：固定单价合同应填写单价和最高限价）</w:t>
      </w:r>
    </w:p>
    <w:p w14:paraId="12B68510">
      <w:pPr>
        <w:numPr>
          <w:ilvl w:val="-1"/>
          <w:numId w:val="0"/>
        </w:numPr>
        <w:adjustRightInd w:val="0"/>
        <w:snapToGrid w:val="0"/>
        <w:spacing w:before="0" w:beforeLines="0" w:line="400" w:lineRule="exact"/>
        <w:ind w:firstLine="0" w:firstLineChars="0"/>
        <w:rPr>
          <w:rFonts w:hint="eastAsia" w:ascii="宋体" w:hAnsi="宋体"/>
          <w:szCs w:val="21"/>
        </w:rPr>
      </w:pPr>
      <w:r>
        <w:rPr>
          <w:rFonts w:hint="eastAsia" w:ascii="宋体" w:hAnsi="宋体"/>
          <w:szCs w:val="21"/>
          <w:lang w:val="en-US" w:eastAsia="zh-CN"/>
        </w:rPr>
        <w:t xml:space="preserve">    </w:t>
      </w:r>
      <w:r>
        <w:rPr>
          <w:rFonts w:hint="eastAsia" w:ascii="宋体" w:hAnsi="宋体"/>
          <w:szCs w:val="21"/>
          <w:lang w:eastAsia="zh-CN"/>
        </w:rPr>
        <w:t>（</w:t>
      </w:r>
      <w:r>
        <w:rPr>
          <w:rFonts w:hint="eastAsia" w:ascii="宋体" w:hAnsi="宋体"/>
          <w:szCs w:val="21"/>
          <w:lang w:val="en-US" w:eastAsia="zh-CN"/>
        </w:rPr>
        <w:t>2</w:t>
      </w:r>
      <w:r>
        <w:rPr>
          <w:rFonts w:hint="eastAsia" w:ascii="宋体" w:hAnsi="宋体"/>
          <w:szCs w:val="21"/>
          <w:lang w:eastAsia="zh-CN"/>
        </w:rPr>
        <w:t>）</w:t>
      </w:r>
      <w:r>
        <w:rPr>
          <w:rFonts w:hint="eastAsia" w:ascii="宋体" w:hAnsi="宋体"/>
          <w:szCs w:val="21"/>
        </w:rPr>
        <w:t>合同定价方式</w:t>
      </w:r>
      <w:r>
        <w:rPr>
          <w:rFonts w:hint="eastAsia" w:ascii="宋体" w:hAnsi="宋体"/>
          <w:szCs w:val="21"/>
          <w:lang w:eastAsia="zh-CN"/>
        </w:rPr>
        <w:t>（采用组合定价方式的，可以勾选多项）</w:t>
      </w:r>
      <w:r>
        <w:rPr>
          <w:rFonts w:hint="eastAsia" w:ascii="宋体" w:hAnsi="宋体"/>
          <w:szCs w:val="21"/>
        </w:rPr>
        <w:t>：</w:t>
      </w:r>
    </w:p>
    <w:p w14:paraId="40C60039">
      <w:pPr>
        <w:adjustRightInd w:val="0"/>
        <w:snapToGrid w:val="0"/>
        <w:spacing w:before="0" w:beforeLines="0" w:line="400" w:lineRule="exact"/>
        <w:ind w:firstLine="480" w:firstLineChars="200"/>
        <w:rPr>
          <w:rFonts w:hint="eastAsia" w:ascii="宋体" w:hAnsi="宋体" w:eastAsia="宋体"/>
          <w:szCs w:val="21"/>
          <w:lang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rPr>
        <w:t xml:space="preserve">固定总价 </w:t>
      </w:r>
      <w:r>
        <w:rPr>
          <w:rFonts w:hint="eastAsia" w:ascii="宋体" w:hAnsi="宋体"/>
          <w:iCs/>
          <w:szCs w:val="21"/>
        </w:rPr>
        <w:sym w:font="Wingdings" w:char="00A8"/>
      </w:r>
      <w:r>
        <w:rPr>
          <w:rFonts w:hint="eastAsia" w:ascii="宋体" w:hAnsi="宋体"/>
          <w:iCs/>
          <w:szCs w:val="21"/>
        </w:rPr>
        <w:t>固定单价</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固定费率</w:t>
      </w: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成本补偿 </w:t>
      </w:r>
      <w:r>
        <w:rPr>
          <w:rFonts w:hint="eastAsia" w:ascii="宋体" w:hAnsi="宋体"/>
          <w:iCs/>
          <w:szCs w:val="21"/>
        </w:rPr>
        <w:sym w:font="Wingdings" w:char="00A8"/>
      </w:r>
      <w:r>
        <w:rPr>
          <w:rFonts w:hint="eastAsia" w:ascii="宋体" w:hAnsi="宋体"/>
          <w:iCs/>
          <w:szCs w:val="21"/>
        </w:rPr>
        <w:t>绩效激励</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其他</w:t>
      </w:r>
      <w:r>
        <w:rPr>
          <w:rFonts w:hint="eastAsia" w:ascii="宋体" w:hAnsi="宋体"/>
          <w:szCs w:val="21"/>
          <w:u w:val="single"/>
        </w:rPr>
        <w:t xml:space="preserve">       </w:t>
      </w:r>
    </w:p>
    <w:p w14:paraId="4F77ED9A">
      <w:pPr>
        <w:pStyle w:val="59"/>
        <w:spacing w:beforeLines="0" w:line="400" w:lineRule="exact"/>
      </w:pPr>
      <w:r>
        <w:rPr>
          <w:rFonts w:hint="eastAsia" w:ascii="宋体" w:hAnsi="宋体"/>
        </w:rPr>
        <w:t>（</w:t>
      </w:r>
      <w:r>
        <w:rPr>
          <w:rFonts w:hint="eastAsia" w:ascii="宋体" w:hAnsi="宋体"/>
          <w:lang w:val="en-US" w:eastAsia="zh-CN"/>
        </w:rPr>
        <w:t>3</w:t>
      </w:r>
      <w:r>
        <w:rPr>
          <w:rFonts w:hint="eastAsia" w:ascii="宋体" w:hAnsi="宋体"/>
        </w:rPr>
        <w:t>）付款方式（按项目实际勾选填写）：</w:t>
      </w:r>
    </w:p>
    <w:p w14:paraId="17941034">
      <w:pPr>
        <w:adjustRightInd w:val="0"/>
        <w:snapToGrid w:val="0"/>
        <w:spacing w:before="0" w:beforeLines="0" w:line="400" w:lineRule="exact"/>
        <w:ind w:firstLine="720" w:firstLineChars="300"/>
        <w:rPr>
          <w:rFonts w:ascii="宋体" w:hAnsi="宋体"/>
          <w:szCs w:val="21"/>
          <w:u w:val="single"/>
        </w:rPr>
      </w:pPr>
      <w:r>
        <w:rPr>
          <w:rFonts w:hint="eastAsia" w:ascii="宋体" w:hAnsi="宋体"/>
          <w:szCs w:val="21"/>
        </w:rPr>
        <w:sym w:font="Wingdings" w:char="00A8"/>
      </w:r>
      <w:r>
        <w:rPr>
          <w:rFonts w:hint="eastAsia" w:ascii="宋体" w:hAnsi="宋体"/>
          <w:szCs w:val="21"/>
        </w:rPr>
        <w:t>全额付款：</w:t>
      </w:r>
      <w:r>
        <w:rPr>
          <w:rFonts w:hint="eastAsia" w:ascii="宋体" w:hAnsi="宋体"/>
          <w:szCs w:val="21"/>
          <w:u w:val="single"/>
        </w:rPr>
        <w:t xml:space="preserve">     （应</w:t>
      </w:r>
      <w:r>
        <w:rPr>
          <w:rFonts w:hint="eastAsia" w:ascii="宋体" w:hAnsi="宋体"/>
          <w:szCs w:val="21"/>
          <w:u w:val="single"/>
          <w:lang w:eastAsia="zh-CN"/>
        </w:rPr>
        <w:t>明确</w:t>
      </w:r>
      <w:r>
        <w:rPr>
          <w:rFonts w:hint="eastAsia" w:ascii="宋体" w:hAnsi="宋体"/>
          <w:szCs w:val="21"/>
          <w:u w:val="single"/>
        </w:rPr>
        <w:t>一次性支付合同款项</w:t>
      </w:r>
      <w:r>
        <w:rPr>
          <w:rFonts w:hint="eastAsia" w:ascii="宋体" w:hAnsi="宋体"/>
          <w:szCs w:val="21"/>
          <w:u w:val="single"/>
          <w:lang w:eastAsia="zh-CN"/>
        </w:rPr>
        <w:t>的条件</w:t>
      </w:r>
      <w:r>
        <w:rPr>
          <w:rFonts w:hint="eastAsia" w:ascii="宋体" w:hAnsi="宋体"/>
          <w:szCs w:val="21"/>
          <w:u w:val="single"/>
        </w:rPr>
        <w:t xml:space="preserve">）                    </w:t>
      </w:r>
    </w:p>
    <w:p w14:paraId="3EBB79EC">
      <w:pPr>
        <w:snapToGrid w:val="0"/>
        <w:spacing w:beforeLines="0" w:line="400" w:lineRule="exact"/>
        <w:ind w:firstLine="720" w:firstLineChars="300"/>
      </w:pPr>
      <w:r>
        <w:rPr>
          <w:rFonts w:hint="eastAsia" w:ascii="宋体" w:hAnsi="宋体"/>
          <w:szCs w:val="21"/>
        </w:rPr>
        <w:sym w:font="Wingdings" w:char="00A8"/>
      </w:r>
      <w:r>
        <w:rPr>
          <w:rFonts w:hint="eastAsia" w:ascii="宋体" w:hAnsi="宋体"/>
          <w:szCs w:val="21"/>
        </w:rPr>
        <w:t>分期付款：</w:t>
      </w:r>
      <w:r>
        <w:rPr>
          <w:rFonts w:hint="eastAsia" w:ascii="宋体" w:hAnsi="宋体"/>
          <w:szCs w:val="21"/>
          <w:u w:val="single"/>
        </w:rPr>
        <w:t xml:space="preserve">  （应明确分期支付合同款项的各期比例和支付条件</w:t>
      </w:r>
      <w:r>
        <w:rPr>
          <w:rFonts w:hint="eastAsia" w:ascii="宋体" w:hAnsi="宋体"/>
          <w:szCs w:val="21"/>
          <w:u w:val="single"/>
          <w:lang w:eastAsia="zh-CN"/>
        </w:rPr>
        <w:t>，各期支付条件应与分期履约验收情况挂钩</w:t>
      </w:r>
      <w:r>
        <w:rPr>
          <w:rFonts w:hint="eastAsia" w:ascii="宋体" w:hAnsi="宋体"/>
          <w:szCs w:val="21"/>
          <w:u w:val="single"/>
        </w:rPr>
        <w:t xml:space="preserve">） </w:t>
      </w:r>
      <w:r>
        <w:rPr>
          <w:rFonts w:hint="eastAsia" w:ascii="宋体" w:hAnsi="宋体"/>
          <w:szCs w:val="21"/>
          <w:u w:val="none"/>
          <w:lang w:eastAsia="zh-CN"/>
        </w:rPr>
        <w:t>，</w:t>
      </w:r>
      <w:r>
        <w:rPr>
          <w:rFonts w:hint="eastAsia" w:ascii="宋体" w:hAnsi="宋体"/>
          <w:szCs w:val="21"/>
          <w:lang w:eastAsia="zh-CN"/>
        </w:rPr>
        <w:t>其中涉及预付款的</w:t>
      </w:r>
      <w:r>
        <w:rPr>
          <w:rFonts w:hint="eastAsia" w:ascii="宋体" w:hAnsi="宋体"/>
          <w:szCs w:val="21"/>
        </w:rPr>
        <w:t>：</w:t>
      </w:r>
      <w:r>
        <w:rPr>
          <w:rFonts w:hint="eastAsia" w:ascii="宋体" w:hAnsi="宋体"/>
          <w:szCs w:val="21"/>
          <w:u w:val="single"/>
        </w:rPr>
        <w:t xml:space="preserve"> （应明确预付款的支付比例和支付条件） </w:t>
      </w:r>
    </w:p>
    <w:p w14:paraId="1D9A353E">
      <w:pPr>
        <w:adjustRightInd w:val="0"/>
        <w:snapToGrid w:val="0"/>
        <w:spacing w:before="0" w:beforeLines="0" w:line="400" w:lineRule="exact"/>
        <w:ind w:firstLine="720" w:firstLineChars="300"/>
        <w:rPr>
          <w:rFonts w:ascii="宋体" w:hAnsi="宋体"/>
          <w:szCs w:val="21"/>
          <w:u w:val="single"/>
        </w:rPr>
      </w:pPr>
      <w:r>
        <w:rPr>
          <w:rFonts w:hint="eastAsia" w:ascii="宋体" w:hAnsi="宋体"/>
          <w:szCs w:val="21"/>
        </w:rPr>
        <w:sym w:font="Wingdings" w:char="00A8"/>
      </w:r>
      <w:r>
        <w:rPr>
          <w:rFonts w:hint="eastAsia" w:ascii="宋体" w:hAnsi="宋体"/>
          <w:szCs w:val="21"/>
        </w:rPr>
        <w:t>成本补偿：</w:t>
      </w:r>
      <w:r>
        <w:rPr>
          <w:rFonts w:hint="eastAsia" w:ascii="宋体" w:hAnsi="宋体"/>
          <w:szCs w:val="21"/>
          <w:u w:val="single"/>
        </w:rPr>
        <w:t xml:space="preserve">      （应明确按照成本补偿方式的支付方式和支付条件）   </w:t>
      </w:r>
    </w:p>
    <w:p w14:paraId="52F893B6">
      <w:pPr>
        <w:adjustRightInd w:val="0"/>
        <w:snapToGrid w:val="0"/>
        <w:spacing w:before="0" w:beforeLines="0" w:line="400" w:lineRule="exact"/>
        <w:ind w:firstLine="720" w:firstLineChars="300"/>
        <w:rPr>
          <w:rFonts w:ascii="宋体" w:hAnsi="宋体"/>
          <w:szCs w:val="21"/>
        </w:rPr>
      </w:pPr>
      <w:r>
        <w:rPr>
          <w:rFonts w:hint="eastAsia" w:ascii="宋体" w:hAnsi="宋体"/>
          <w:szCs w:val="21"/>
        </w:rPr>
        <w:sym w:font="Wingdings" w:char="00A8"/>
      </w:r>
      <w:r>
        <w:rPr>
          <w:rFonts w:hint="eastAsia" w:ascii="宋体" w:hAnsi="宋体"/>
          <w:szCs w:val="21"/>
        </w:rPr>
        <w:t>绩效激励：</w:t>
      </w:r>
      <w:r>
        <w:rPr>
          <w:rFonts w:hint="eastAsia" w:ascii="宋体" w:hAnsi="宋体"/>
          <w:szCs w:val="21"/>
          <w:u w:val="single"/>
        </w:rPr>
        <w:t xml:space="preserve">      （应明确按照绩效激励方式的支付方式和支付条件）   </w:t>
      </w:r>
    </w:p>
    <w:p w14:paraId="0BA69228">
      <w:pPr>
        <w:numPr>
          <w:ilvl w:val="0"/>
          <w:numId w:val="11"/>
        </w:numPr>
        <w:adjustRightInd w:val="0"/>
        <w:snapToGrid w:val="0"/>
        <w:spacing w:before="0" w:beforeLines="0" w:line="400" w:lineRule="exact"/>
        <w:ind w:firstLine="480" w:firstLineChars="200"/>
        <w:rPr>
          <w:rFonts w:ascii="宋体" w:hAnsi="宋体"/>
          <w:b/>
          <w:bCs w:val="0"/>
          <w:szCs w:val="21"/>
          <w:u w:val="single"/>
        </w:rPr>
      </w:pPr>
      <w:r>
        <w:rPr>
          <w:rFonts w:hint="eastAsia" w:ascii="宋体" w:hAnsi="宋体"/>
          <w:b/>
          <w:bCs w:val="0"/>
          <w:szCs w:val="21"/>
        </w:rPr>
        <w:t>合同履行</w:t>
      </w:r>
    </w:p>
    <w:p w14:paraId="23AECE99">
      <w:pPr>
        <w:adjustRightInd w:val="0"/>
        <w:snapToGrid w:val="0"/>
        <w:spacing w:before="0" w:beforeLines="0" w:line="400" w:lineRule="exact"/>
        <w:ind w:firstLine="480" w:firstLineChars="200"/>
        <w:rPr>
          <w:rFonts w:hint="eastAsia" w:ascii="宋体" w:hAnsi="宋体" w:cs="宋体"/>
          <w:szCs w:val="21"/>
        </w:rPr>
      </w:pPr>
      <w:r>
        <w:rPr>
          <w:rFonts w:hint="eastAsia" w:ascii="宋体" w:hAnsi="宋体" w:cs="宋体"/>
          <w:szCs w:val="21"/>
        </w:rPr>
        <w:t>（1）起始日期：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日，完成日期：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44C00DAD">
      <w:pPr>
        <w:adjustRightInd w:val="0"/>
        <w:snapToGrid w:val="0"/>
        <w:spacing w:before="0" w:beforeLines="0" w:line="400" w:lineRule="exact"/>
        <w:ind w:firstLine="480" w:firstLineChars="200"/>
        <w:rPr>
          <w:rFonts w:hint="eastAsia" w:ascii="宋体" w:hAnsi="宋体" w:cs="宋体"/>
          <w:szCs w:val="21"/>
          <w:u w:val="single"/>
        </w:rPr>
      </w:pPr>
      <w:r>
        <w:rPr>
          <w:rFonts w:hint="eastAsia" w:ascii="宋体" w:hAnsi="宋体" w:cs="宋体"/>
          <w:szCs w:val="21"/>
        </w:rPr>
        <w:t>（2）</w:t>
      </w:r>
      <w:r>
        <w:rPr>
          <w:rFonts w:hint="eastAsia" w:ascii="宋体" w:hAnsi="宋体" w:cs="宋体"/>
          <w:szCs w:val="21"/>
          <w:lang w:eastAsia="zh-CN"/>
        </w:rPr>
        <w:t>履约</w:t>
      </w:r>
      <w:r>
        <w:rPr>
          <w:rFonts w:hint="eastAsia" w:ascii="宋体" w:hAnsi="宋体" w:cs="宋体"/>
          <w:szCs w:val="21"/>
        </w:rPr>
        <w:t>地点</w:t>
      </w:r>
      <w:r>
        <w:rPr>
          <w:rFonts w:hint="eastAsia" w:ascii="宋体" w:hAnsi="宋体" w:cs="宋体"/>
          <w:b w:val="0"/>
          <w:bCs/>
          <w:szCs w:val="21"/>
        </w:rPr>
        <w:t>：</w:t>
      </w:r>
      <w:r>
        <w:rPr>
          <w:rFonts w:hint="eastAsia" w:ascii="宋体" w:hAnsi="宋体" w:cs="宋体"/>
          <w:szCs w:val="21"/>
          <w:u w:val="single"/>
        </w:rPr>
        <w:t xml:space="preserve">                             </w:t>
      </w:r>
    </w:p>
    <w:p w14:paraId="2682ED60">
      <w:pPr>
        <w:adjustRightInd w:val="0"/>
        <w:snapToGrid w:val="0"/>
        <w:spacing w:before="0" w:beforeLines="0" w:line="400" w:lineRule="exact"/>
        <w:ind w:firstLine="480" w:firstLineChars="200"/>
        <w:rPr>
          <w:rFonts w:hint="eastAsia" w:ascii="宋体" w:hAnsi="宋体" w:eastAsia="宋体" w:cs="宋体"/>
          <w:sz w:val="21"/>
          <w:szCs w:val="21"/>
          <w:lang w:eastAsia="zh-CN"/>
        </w:rPr>
      </w:pPr>
      <w:r>
        <w:rPr>
          <w:rFonts w:hint="eastAsia" w:ascii="宋体" w:hAnsi="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14:paraId="32FF2C6F">
      <w:pPr>
        <w:pStyle w:val="66"/>
        <w:spacing w:beforeLines="0"/>
        <w:rPr>
          <w:rFonts w:hint="eastAsia" w:ascii="宋体" w:hAnsi="宋体" w:eastAsia="宋体" w:cs="宋体"/>
          <w:sz w:val="21"/>
          <w:lang w:val="en-US" w:eastAsia="zh-CN"/>
        </w:rPr>
      </w:pPr>
      <w:r>
        <w:rPr>
          <w:rFonts w:hint="eastAsia" w:ascii="宋体" w:hAnsi="宋体" w:cs="宋体"/>
          <w:bCs/>
          <w:szCs w:val="21"/>
          <w:u w:val="none"/>
          <w:lang w:val="en-US" w:eastAsia="zh-CN"/>
        </w:rPr>
        <w:t xml:space="preserve">  </w:t>
      </w:r>
      <w:r>
        <w:rPr>
          <w:rFonts w:hint="eastAsia" w:ascii="宋体" w:hAnsi="宋体" w:eastAsia="宋体" w:cs="宋体"/>
          <w:sz w:val="21"/>
          <w:lang w:val="en-US" w:eastAsia="zh-CN"/>
        </w:rPr>
        <w:t xml:space="preserve">  收取履约保证金形式：</w:t>
      </w:r>
      <w:r>
        <w:rPr>
          <w:rFonts w:hint="eastAsia" w:ascii="宋体" w:hAnsi="宋体" w:eastAsia="宋体" w:cs="宋体"/>
          <w:bCs/>
          <w:sz w:val="21"/>
          <w:szCs w:val="21"/>
          <w:u w:val="single"/>
        </w:rPr>
        <w:t xml:space="preserve">                            </w:t>
      </w:r>
    </w:p>
    <w:p w14:paraId="60681394">
      <w:pPr>
        <w:pStyle w:val="66"/>
        <w:spacing w:beforeLines="0"/>
        <w:rPr>
          <w:rFonts w:hint="eastAsia" w:ascii="宋体" w:hAnsi="宋体" w:eastAsia="宋体" w:cs="宋体"/>
          <w:sz w:val="21"/>
          <w:lang w:val="en-US" w:eastAsia="zh-CN"/>
        </w:rPr>
      </w:pPr>
      <w:r>
        <w:rPr>
          <w:rFonts w:hint="eastAsia" w:ascii="宋体" w:hAnsi="宋体" w:eastAsia="宋体" w:cs="宋体"/>
          <w:sz w:val="21"/>
          <w:lang w:val="en-US" w:eastAsia="zh-CN"/>
        </w:rPr>
        <w:t xml:space="preserve">    收取履约保证金金额：</w:t>
      </w:r>
      <w:r>
        <w:rPr>
          <w:rFonts w:hint="eastAsia" w:ascii="宋体" w:hAnsi="宋体" w:eastAsia="宋体" w:cs="宋体"/>
          <w:bCs/>
          <w:sz w:val="21"/>
          <w:szCs w:val="21"/>
          <w:u w:val="single"/>
        </w:rPr>
        <w:t xml:space="preserve">                            </w:t>
      </w:r>
    </w:p>
    <w:p w14:paraId="57CE116C">
      <w:pPr>
        <w:snapToGrid w:val="0"/>
        <w:spacing w:beforeLines="0" w:line="400" w:lineRule="exact"/>
        <w:ind w:firstLine="480" w:firstLineChars="200"/>
        <w:rPr>
          <w:rFonts w:hint="eastAsia" w:ascii="宋体" w:hAnsi="宋体" w:eastAsia="宋体" w:cs="宋体"/>
          <w:sz w:val="21"/>
          <w:lang w:val="en-US" w:eastAsia="zh-CN"/>
        </w:rPr>
      </w:pPr>
      <w:r>
        <w:rPr>
          <w:rFonts w:hint="eastAsia" w:ascii="宋体" w:hAnsi="宋体" w:cs="宋体"/>
          <w:bCs/>
          <w:szCs w:val="21"/>
          <w:u w:val="none"/>
          <w:lang w:val="en-US" w:eastAsia="zh-CN"/>
        </w:rPr>
        <w:t xml:space="preserve">    履约担保期限</w:t>
      </w:r>
      <w:r>
        <w:rPr>
          <w:rFonts w:hint="eastAsia" w:ascii="宋体" w:hAnsi="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14:paraId="2DDB37ED">
      <w:pPr>
        <w:adjustRightInd w:val="0"/>
        <w:snapToGrid w:val="0"/>
        <w:spacing w:before="0" w:beforeLines="0" w:line="400" w:lineRule="exact"/>
        <w:ind w:firstLine="480" w:firstLineChars="200"/>
        <w:rPr>
          <w:rFonts w:hint="eastAsia" w:ascii="宋体" w:hAnsi="宋体" w:cs="宋体"/>
          <w:bCs/>
          <w:szCs w:val="21"/>
        </w:rPr>
      </w:pPr>
      <w:r>
        <w:rPr>
          <w:rFonts w:hint="eastAsia" w:ascii="宋体" w:hAnsi="宋体" w:cs="宋体"/>
          <w:bCs/>
          <w:szCs w:val="21"/>
        </w:rPr>
        <w:t>（4）分期履行要求：</w:t>
      </w:r>
      <w:r>
        <w:rPr>
          <w:rFonts w:hint="eastAsia" w:ascii="宋体" w:hAnsi="宋体" w:cs="宋体"/>
          <w:bCs/>
          <w:szCs w:val="21"/>
          <w:u w:val="single"/>
        </w:rPr>
        <w:t xml:space="preserve">                                                   </w:t>
      </w:r>
      <w:r>
        <w:rPr>
          <w:rFonts w:hint="eastAsia" w:ascii="宋体" w:hAnsi="宋体" w:cs="宋体"/>
          <w:bCs/>
          <w:szCs w:val="21"/>
          <w:u w:val="single"/>
          <w:lang w:val="en-US" w:eastAsia="zh-CN"/>
        </w:rPr>
        <w:t xml:space="preserve">    </w:t>
      </w:r>
      <w:r>
        <w:rPr>
          <w:rFonts w:hint="eastAsia" w:ascii="宋体" w:hAnsi="宋体" w:cs="宋体"/>
          <w:bCs/>
          <w:szCs w:val="21"/>
          <w:u w:val="single"/>
        </w:rPr>
        <w:t xml:space="preserve"> </w:t>
      </w:r>
    </w:p>
    <w:p w14:paraId="200B504B">
      <w:pPr>
        <w:adjustRightInd w:val="0"/>
        <w:snapToGrid w:val="0"/>
        <w:spacing w:before="0" w:beforeLines="0" w:line="400" w:lineRule="exact"/>
        <w:ind w:firstLine="480" w:firstLineChars="200"/>
        <w:rPr>
          <w:rFonts w:hint="eastAsia" w:ascii="宋体" w:hAnsi="宋体" w:cs="宋体"/>
          <w:szCs w:val="21"/>
          <w:u w:val="single"/>
        </w:rPr>
      </w:pPr>
      <w:r>
        <w:rPr>
          <w:rFonts w:hint="eastAsia" w:ascii="宋体" w:hAnsi="宋体" w:cs="宋体"/>
          <w:bCs/>
          <w:szCs w:val="21"/>
        </w:rPr>
        <w:t>（5）</w:t>
      </w:r>
      <w:r>
        <w:rPr>
          <w:rFonts w:hint="eastAsia" w:ascii="宋体" w:hAnsi="宋体" w:cs="宋体"/>
          <w:bCs/>
          <w:szCs w:val="21"/>
          <w:lang w:eastAsia="zh-CN"/>
        </w:rPr>
        <w:t>风险处置措施和替代方案</w:t>
      </w:r>
      <w:r>
        <w:rPr>
          <w:rFonts w:hint="eastAsia" w:ascii="宋体" w:hAnsi="宋体" w:cs="宋体"/>
          <w:bCs/>
          <w:szCs w:val="21"/>
        </w:rPr>
        <w:t>：</w:t>
      </w:r>
      <w:r>
        <w:rPr>
          <w:rFonts w:hint="eastAsia" w:ascii="宋体" w:hAnsi="宋体" w:cs="宋体"/>
          <w:color w:val="0000FF"/>
          <w:szCs w:val="21"/>
          <w:u w:val="single"/>
        </w:rPr>
        <w:t xml:space="preserve"> </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szCs w:val="21"/>
          <w:u w:val="single"/>
        </w:rPr>
        <w:t xml:space="preserve">                                                </w:t>
      </w:r>
    </w:p>
    <w:p w14:paraId="5A0EAD84">
      <w:pPr>
        <w:numPr>
          <w:ilvl w:val="0"/>
          <w:numId w:val="11"/>
        </w:numPr>
        <w:adjustRightInd w:val="0"/>
        <w:snapToGrid w:val="0"/>
        <w:spacing w:before="0" w:beforeLines="0" w:line="400" w:lineRule="exact"/>
        <w:ind w:firstLine="480" w:firstLineChars="200"/>
        <w:rPr>
          <w:rFonts w:ascii="宋体" w:hAnsi="宋体"/>
          <w:b/>
          <w:szCs w:val="21"/>
        </w:rPr>
      </w:pPr>
      <w:r>
        <w:rPr>
          <w:rFonts w:hint="eastAsia" w:ascii="宋体" w:hAnsi="宋体"/>
          <w:b/>
          <w:szCs w:val="21"/>
        </w:rPr>
        <w:t>合同验收</w:t>
      </w:r>
    </w:p>
    <w:p w14:paraId="1338A5F1">
      <w:pPr>
        <w:numPr>
          <w:ilvl w:val="0"/>
          <w:numId w:val="13"/>
        </w:numPr>
        <w:adjustRightInd w:val="0"/>
        <w:snapToGrid w:val="0"/>
        <w:spacing w:before="0" w:beforeLines="0" w:line="400" w:lineRule="exact"/>
        <w:ind w:firstLine="480" w:firstLineChars="200"/>
        <w:rPr>
          <w:rFonts w:hint="eastAsia" w:ascii="宋体" w:hAnsi="宋体"/>
          <w:bCs/>
          <w:szCs w:val="21"/>
        </w:rPr>
      </w:pPr>
      <w:r>
        <w:rPr>
          <w:rFonts w:hint="eastAsia" w:ascii="宋体" w:hAnsi="宋体"/>
          <w:bCs/>
          <w:szCs w:val="21"/>
        </w:rPr>
        <w:t>验收组织方式：</w:t>
      </w:r>
      <w:r>
        <w:rPr>
          <w:rFonts w:hint="eastAsia" w:ascii="宋体" w:hAnsi="宋体" w:eastAsia="宋体" w:cs="宋体"/>
          <w:sz w:val="21"/>
          <w:szCs w:val="21"/>
        </w:rPr>
        <w:sym w:font="Wingdings" w:char="00A8"/>
      </w:r>
      <w:r>
        <w:rPr>
          <w:rFonts w:hint="eastAsia" w:ascii="宋体" w:hAnsi="宋体"/>
          <w:bCs/>
          <w:szCs w:val="21"/>
        </w:rPr>
        <w:t xml:space="preserve">自行组织 </w:t>
      </w:r>
      <w:r>
        <w:rPr>
          <w:rFonts w:hint="eastAsia" w:ascii="宋体" w:hAnsi="宋体" w:eastAsia="宋体" w:cs="宋体"/>
          <w:sz w:val="21"/>
          <w:szCs w:val="21"/>
        </w:rPr>
        <w:sym w:font="Wingdings" w:char="00A8"/>
      </w:r>
      <w:r>
        <w:rPr>
          <w:rFonts w:hint="eastAsia" w:ascii="宋体" w:hAnsi="宋体"/>
          <w:bCs/>
          <w:szCs w:val="21"/>
        </w:rPr>
        <w:t>委托第三方组织</w:t>
      </w:r>
    </w:p>
    <w:p w14:paraId="29CB26EB">
      <w:pPr>
        <w:numPr>
          <w:ilvl w:val="0"/>
          <w:numId w:val="0"/>
        </w:numPr>
        <w:adjustRightInd w:val="0"/>
        <w:snapToGrid w:val="0"/>
        <w:spacing w:before="0" w:beforeLines="0" w:line="400" w:lineRule="exact"/>
        <w:rPr>
          <w:rFonts w:ascii="宋体" w:hAnsi="宋体"/>
          <w:bCs/>
          <w:szCs w:val="21"/>
        </w:rPr>
      </w:pPr>
      <w:r>
        <w:rPr>
          <w:rFonts w:hint="eastAsia" w:ascii="宋体" w:hAnsi="宋体"/>
          <w:bCs/>
          <w:szCs w:val="21"/>
          <w:lang w:val="en-US" w:eastAsia="zh-CN"/>
        </w:rPr>
        <w:t xml:space="preserve">         </w:t>
      </w:r>
      <w:r>
        <w:rPr>
          <w:rFonts w:hint="eastAsia" w:ascii="宋体" w:hAnsi="宋体"/>
          <w:bCs/>
          <w:szCs w:val="21"/>
        </w:rPr>
        <w:t>验收主体：</w:t>
      </w:r>
      <w:r>
        <w:rPr>
          <w:rFonts w:hint="eastAsia" w:ascii="宋体" w:hAnsi="宋体"/>
          <w:bCs/>
          <w:szCs w:val="21"/>
          <w:u w:val="single"/>
        </w:rPr>
        <w:t xml:space="preserve">                  </w:t>
      </w:r>
    </w:p>
    <w:p w14:paraId="3A38022C">
      <w:pPr>
        <w:adjustRightInd w:val="0"/>
        <w:snapToGrid w:val="0"/>
        <w:spacing w:before="0" w:beforeLines="0" w:line="400" w:lineRule="exact"/>
        <w:ind w:firstLine="0" w:firstLineChars="0"/>
        <w:rPr>
          <w:rFonts w:ascii="宋体" w:hAnsi="宋体"/>
          <w:bCs/>
          <w:szCs w:val="21"/>
        </w:rPr>
      </w:pPr>
      <w:r>
        <w:rPr>
          <w:rFonts w:hint="eastAsia" w:ascii="宋体" w:hAnsi="宋体"/>
          <w:bCs/>
          <w:szCs w:val="21"/>
          <w:lang w:val="en-US" w:eastAsia="zh-CN"/>
        </w:rPr>
        <w:t xml:space="preserve">        </w:t>
      </w:r>
      <w:r>
        <w:rPr>
          <w:rFonts w:hint="eastAsia" w:ascii="宋体" w:hAnsi="宋体"/>
          <w:bCs/>
          <w:szCs w:val="21"/>
        </w:rPr>
        <w:t>是否邀请本项目的其他供应商</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14:paraId="7771907D">
      <w:pPr>
        <w:adjustRightInd w:val="0"/>
        <w:snapToGrid w:val="0"/>
        <w:spacing w:before="0" w:beforeLines="0" w:line="400" w:lineRule="exact"/>
        <w:ind w:firstLine="960" w:firstLineChars="400"/>
        <w:rPr>
          <w:rFonts w:ascii="宋体" w:hAnsi="宋体"/>
          <w:bCs/>
          <w:szCs w:val="21"/>
        </w:rPr>
      </w:pPr>
      <w:r>
        <w:rPr>
          <w:rFonts w:hint="eastAsia" w:ascii="宋体" w:hAnsi="宋体"/>
          <w:bCs/>
          <w:szCs w:val="21"/>
        </w:rPr>
        <w:t>是否邀请专家</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14:paraId="6F1B0D79">
      <w:pPr>
        <w:adjustRightInd w:val="0"/>
        <w:snapToGrid w:val="0"/>
        <w:spacing w:before="0" w:beforeLines="0" w:line="400" w:lineRule="exact"/>
        <w:ind w:firstLine="960" w:firstLineChars="400"/>
        <w:rPr>
          <w:rFonts w:ascii="宋体" w:hAnsi="宋体"/>
          <w:bCs/>
          <w:szCs w:val="21"/>
        </w:rPr>
      </w:pPr>
      <w:r>
        <w:rPr>
          <w:rFonts w:hint="eastAsia" w:ascii="宋体" w:hAnsi="宋体"/>
          <w:bCs/>
          <w:szCs w:val="21"/>
        </w:rPr>
        <w:t>是否邀请服务对象</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14:paraId="00BE1908">
      <w:pPr>
        <w:adjustRightInd w:val="0"/>
        <w:snapToGrid w:val="0"/>
        <w:spacing w:before="0" w:beforeLines="0" w:line="400" w:lineRule="exact"/>
        <w:ind w:firstLine="960" w:firstLineChars="400"/>
        <w:rPr>
          <w:rFonts w:ascii="宋体" w:hAnsi="宋体"/>
          <w:bCs/>
          <w:szCs w:val="21"/>
        </w:rPr>
      </w:pPr>
      <w:r>
        <w:rPr>
          <w:rFonts w:hint="eastAsia" w:ascii="宋体" w:hAnsi="宋体"/>
          <w:bCs/>
          <w:szCs w:val="21"/>
        </w:rPr>
        <w:t>是否邀请第三方检测机构</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14:paraId="1C2F592E">
      <w:pPr>
        <w:adjustRightInd w:val="0"/>
        <w:snapToGrid w:val="0"/>
        <w:spacing w:before="0" w:beforeLines="0" w:line="400" w:lineRule="exact"/>
        <w:ind w:firstLine="960" w:firstLineChars="400"/>
        <w:rPr>
          <w:rFonts w:hint="eastAsia" w:ascii="宋体" w:hAnsi="宋体"/>
          <w:bCs/>
          <w:szCs w:val="21"/>
        </w:rPr>
      </w:pPr>
      <w:r>
        <w:rPr>
          <w:rFonts w:hint="eastAsia" w:ascii="宋体" w:hAnsi="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bCs/>
          <w:szCs w:val="21"/>
        </w:rPr>
        <w:t>是</w:t>
      </w:r>
      <w:r>
        <w:rPr>
          <w:rFonts w:hint="eastAsia" w:ascii="宋体" w:hAnsi="宋体"/>
          <w:bCs/>
          <w:szCs w:val="21"/>
          <w:lang w:eastAsia="zh-CN"/>
        </w:rPr>
        <w:t>，抽查比例：</w:t>
      </w:r>
      <w:r>
        <w:rPr>
          <w:rFonts w:hint="eastAsia" w:ascii="宋体" w:hAnsi="宋体"/>
          <w:bCs/>
          <w:szCs w:val="21"/>
          <w:u w:val="single"/>
        </w:rPr>
        <w:t xml:space="preserve">   </w:t>
      </w:r>
      <w:r>
        <w:rPr>
          <w:rFonts w:hint="eastAsia" w:ascii="宋体" w:hAnsi="宋体"/>
          <w:bCs/>
          <w:szCs w:val="21"/>
          <w:u w:val="single"/>
          <w:lang w:val="en-US" w:eastAsia="zh-CN"/>
        </w:rPr>
        <w:t xml:space="preserve">     </w:t>
      </w:r>
      <w:r>
        <w:rPr>
          <w:rFonts w:hint="eastAsia" w:ascii="宋体" w:hAnsi="宋体"/>
          <w:bCs/>
          <w:szCs w:val="21"/>
        </w:rPr>
        <w:t xml:space="preserve"> </w:t>
      </w:r>
      <w:r>
        <w:rPr>
          <w:rFonts w:hint="eastAsia" w:ascii="宋体" w:hAnsi="宋体" w:eastAsia="宋体" w:cs="宋体"/>
          <w:sz w:val="21"/>
          <w:szCs w:val="21"/>
        </w:rPr>
        <w:sym w:font="Wingdings" w:char="00A8"/>
      </w:r>
      <w:r>
        <w:rPr>
          <w:rFonts w:hint="eastAsia" w:ascii="宋体" w:hAnsi="宋体"/>
          <w:bCs/>
          <w:szCs w:val="21"/>
        </w:rPr>
        <w:t>否</w:t>
      </w:r>
    </w:p>
    <w:p w14:paraId="12565E6D">
      <w:pPr>
        <w:adjustRightInd w:val="0"/>
        <w:snapToGrid w:val="0"/>
        <w:spacing w:before="0" w:beforeLines="0" w:line="400" w:lineRule="exact"/>
        <w:ind w:firstLine="96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14:paraId="30062596">
      <w:pPr>
        <w:adjustRightInd w:val="0"/>
        <w:snapToGrid w:val="0"/>
        <w:spacing w:before="0" w:beforeLines="0" w:line="400" w:lineRule="exact"/>
        <w:ind w:firstLine="96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49DCE2BB">
      <w:pPr>
        <w:adjustRightInd w:val="0"/>
        <w:snapToGrid w:val="0"/>
        <w:spacing w:before="0" w:beforeLines="0" w:line="400" w:lineRule="exact"/>
        <w:ind w:firstLine="960" w:firstLineChars="400"/>
        <w:rPr>
          <w:rFonts w:hint="eastAsia" w:ascii="宋体" w:hAnsi="宋体"/>
          <w:bCs/>
          <w:szCs w:val="21"/>
          <w:u w:val="single"/>
        </w:rPr>
      </w:pPr>
      <w:r>
        <w:rPr>
          <w:rFonts w:hint="eastAsia" w:ascii="宋体" w:hAnsi="宋体"/>
          <w:bCs/>
          <w:szCs w:val="21"/>
        </w:rPr>
        <w:t>验收组织的其他事项：</w:t>
      </w:r>
      <w:r>
        <w:rPr>
          <w:rFonts w:hint="eastAsia" w:ascii="宋体" w:hAnsi="宋体"/>
          <w:bCs/>
          <w:szCs w:val="21"/>
          <w:u w:val="single"/>
        </w:rPr>
        <w:t xml:space="preserve">                </w:t>
      </w:r>
    </w:p>
    <w:p w14:paraId="73962B59">
      <w:pPr>
        <w:adjustRightInd w:val="0"/>
        <w:snapToGrid w:val="0"/>
        <w:spacing w:before="0" w:beforeLines="0" w:line="400" w:lineRule="exact"/>
        <w:ind w:firstLine="480" w:firstLineChars="200"/>
        <w:rPr>
          <w:rFonts w:hint="eastAsia" w:ascii="宋体" w:hAnsi="宋体"/>
          <w:bCs/>
          <w:szCs w:val="21"/>
          <w:u w:val="single"/>
        </w:rPr>
      </w:pPr>
      <w:r>
        <w:rPr>
          <w:rFonts w:hint="eastAsia" w:ascii="宋体" w:hAnsi="宋体"/>
          <w:bCs/>
          <w:szCs w:val="21"/>
        </w:rPr>
        <w:t>（2）履约验收时间：</w:t>
      </w:r>
      <w:r>
        <w:rPr>
          <w:rFonts w:hint="eastAsia" w:ascii="宋体" w:hAnsi="宋体"/>
          <w:bCs/>
          <w:szCs w:val="21"/>
          <w:u w:val="single"/>
        </w:rPr>
        <w:t>（计划于何时验收/供应商提出验收申请之日起   日内组织验收）</w:t>
      </w:r>
      <w:r>
        <w:rPr>
          <w:rFonts w:hint="eastAsia" w:ascii="宋体" w:hAnsi="宋体"/>
          <w:bCs/>
          <w:szCs w:val="21"/>
          <w:u w:val="single"/>
          <w:lang w:val="en-US" w:eastAsia="zh-CN"/>
        </w:rPr>
        <w:t xml:space="preserve"> </w:t>
      </w:r>
    </w:p>
    <w:p w14:paraId="385A6543">
      <w:pPr>
        <w:adjustRightInd w:val="0"/>
        <w:snapToGrid w:val="0"/>
        <w:spacing w:before="0" w:beforeLines="0" w:line="400" w:lineRule="exact"/>
        <w:ind w:firstLine="480" w:firstLineChars="200"/>
        <w:rPr>
          <w:rFonts w:hint="eastAsia" w:ascii="宋体" w:hAnsi="宋体"/>
          <w:bCs/>
          <w:szCs w:val="21"/>
        </w:rPr>
      </w:pPr>
      <w:r>
        <w:rPr>
          <w:rFonts w:hint="eastAsia" w:ascii="宋体" w:hAnsi="宋体"/>
          <w:bCs/>
          <w:szCs w:val="21"/>
        </w:rPr>
        <w:t>（3）履约验收方式：</w:t>
      </w:r>
      <w:r>
        <w:rPr>
          <w:rFonts w:hint="eastAsia" w:ascii="宋体" w:hAnsi="宋体" w:eastAsia="宋体" w:cs="宋体"/>
          <w:sz w:val="21"/>
          <w:szCs w:val="21"/>
        </w:rPr>
        <w:sym w:font="Wingdings" w:char="00A8"/>
      </w:r>
      <w:r>
        <w:rPr>
          <w:rFonts w:hint="eastAsia" w:ascii="宋体" w:hAnsi="宋体"/>
          <w:bCs/>
          <w:szCs w:val="21"/>
        </w:rPr>
        <w:t xml:space="preserve">一次性验收         </w:t>
      </w:r>
    </w:p>
    <w:p w14:paraId="63EAE783">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bCs/>
          <w:szCs w:val="21"/>
        </w:rPr>
        <w:t>分期/分项验收</w:t>
      </w:r>
      <w:r>
        <w:rPr>
          <w:rFonts w:hint="eastAsia" w:ascii="宋体" w:hAnsi="宋体"/>
          <w:bCs/>
          <w:szCs w:val="21"/>
          <w:lang w:eastAsia="zh-CN"/>
        </w:rPr>
        <w:t>：</w:t>
      </w:r>
      <w:r>
        <w:rPr>
          <w:rFonts w:hint="eastAsia" w:ascii="宋体" w:hAnsi="宋体"/>
          <w:bCs/>
          <w:szCs w:val="21"/>
          <w:u w:val="single"/>
        </w:rPr>
        <w:t xml:space="preserve"> </w:t>
      </w:r>
      <w:r>
        <w:rPr>
          <w:rFonts w:hint="eastAsia" w:ascii="宋体" w:hAnsi="宋体"/>
          <w:bCs/>
          <w:szCs w:val="21"/>
          <w:u w:val="single"/>
          <w:lang w:eastAsia="zh-CN"/>
        </w:rPr>
        <w:t>（应明确分期</w:t>
      </w:r>
      <w:r>
        <w:rPr>
          <w:rFonts w:hint="default" w:ascii="宋体" w:hAnsi="宋体"/>
          <w:bCs/>
          <w:szCs w:val="21"/>
          <w:u w:val="single"/>
          <w:lang w:val="en" w:eastAsia="zh-CN"/>
        </w:rPr>
        <w:t>/</w:t>
      </w:r>
      <w:r>
        <w:rPr>
          <w:rFonts w:hint="eastAsia" w:ascii="宋体" w:hAnsi="宋体"/>
          <w:bCs/>
          <w:szCs w:val="21"/>
          <w:u w:val="single"/>
          <w:lang w:val="en" w:eastAsia="zh-CN"/>
        </w:rPr>
        <w:t>分项验收的工作安排</w:t>
      </w:r>
      <w:r>
        <w:rPr>
          <w:rFonts w:hint="eastAsia" w:ascii="宋体" w:hAnsi="宋体"/>
          <w:bCs/>
          <w:szCs w:val="21"/>
          <w:u w:val="single"/>
          <w:lang w:eastAsia="zh-CN"/>
        </w:rPr>
        <w:t>）</w:t>
      </w:r>
      <w:r>
        <w:rPr>
          <w:rFonts w:hint="eastAsia" w:ascii="宋体" w:hAnsi="宋体"/>
          <w:bCs/>
          <w:szCs w:val="21"/>
          <w:u w:val="single"/>
        </w:rPr>
        <w:t xml:space="preserve"> </w:t>
      </w:r>
      <w:r>
        <w:rPr>
          <w:rFonts w:hint="eastAsia" w:ascii="宋体" w:hAnsi="宋体"/>
          <w:bCs/>
          <w:szCs w:val="21"/>
          <w:u w:val="single"/>
          <w:lang w:val="en-US" w:eastAsia="zh-CN"/>
        </w:rPr>
        <w:t xml:space="preserve"> </w:t>
      </w:r>
    </w:p>
    <w:p w14:paraId="45CC97D1">
      <w:pPr>
        <w:adjustRightInd w:val="0"/>
        <w:snapToGrid w:val="0"/>
        <w:spacing w:before="0" w:beforeLines="0" w:line="400" w:lineRule="exact"/>
        <w:ind w:firstLine="480" w:firstLineChars="200"/>
        <w:rPr>
          <w:rFonts w:ascii="宋体" w:hAnsi="宋体"/>
          <w:bCs/>
          <w:szCs w:val="21"/>
        </w:rPr>
      </w:pPr>
      <w:r>
        <w:rPr>
          <w:rFonts w:hint="eastAsia" w:ascii="宋体" w:hAnsi="宋体"/>
          <w:bCs/>
          <w:szCs w:val="21"/>
        </w:rPr>
        <w:t>（4）履约验收程序：</w:t>
      </w:r>
      <w:r>
        <w:rPr>
          <w:rFonts w:hint="eastAsia" w:ascii="宋体" w:hAnsi="宋体"/>
          <w:bCs/>
          <w:szCs w:val="21"/>
          <w:u w:val="single"/>
        </w:rPr>
        <w:t xml:space="preserve">                                         </w:t>
      </w:r>
    </w:p>
    <w:p w14:paraId="56D27274">
      <w:pPr>
        <w:adjustRightInd w:val="0"/>
        <w:snapToGrid w:val="0"/>
        <w:spacing w:before="0" w:beforeLines="0" w:line="400" w:lineRule="exact"/>
        <w:ind w:firstLine="480" w:firstLineChars="200"/>
        <w:rPr>
          <w:rFonts w:ascii="宋体" w:hAnsi="宋体"/>
          <w:bCs/>
          <w:szCs w:val="21"/>
          <w:u w:val="single"/>
        </w:rPr>
      </w:pPr>
      <w:r>
        <w:rPr>
          <w:rFonts w:hint="eastAsia" w:ascii="宋体" w:hAnsi="宋体"/>
          <w:bCs/>
          <w:szCs w:val="21"/>
        </w:rPr>
        <w:t>（5）履约验收的内容：</w:t>
      </w:r>
      <w:r>
        <w:rPr>
          <w:rFonts w:hint="eastAsia" w:ascii="宋体" w:hAnsi="宋体"/>
          <w:bCs/>
          <w:szCs w:val="21"/>
          <w:u w:val="single"/>
        </w:rPr>
        <w:t xml:space="preserve"> </w:t>
      </w:r>
      <w:r>
        <w:rPr>
          <w:rFonts w:hint="eastAsia" w:ascii="宋体" w:hAnsi="宋体"/>
          <w:bCs/>
          <w:szCs w:val="21"/>
          <w:u w:val="single"/>
          <w:lang w:eastAsia="zh-CN"/>
        </w:rPr>
        <w:t>（应当包括每一项技术和商务要求的履约情况，特别是落实政府采购扶持中小企业，支持绿色发展和乡村振兴等政策情况）</w:t>
      </w:r>
      <w:r>
        <w:rPr>
          <w:rFonts w:hint="eastAsia" w:ascii="宋体" w:hAnsi="宋体"/>
          <w:bCs/>
          <w:szCs w:val="21"/>
          <w:u w:val="single"/>
        </w:rPr>
        <w:t xml:space="preserve">                                      </w:t>
      </w:r>
    </w:p>
    <w:p w14:paraId="3D8736C5">
      <w:pPr>
        <w:adjustRightInd w:val="0"/>
        <w:snapToGrid w:val="0"/>
        <w:spacing w:before="0" w:beforeLines="0" w:line="400" w:lineRule="exact"/>
        <w:ind w:firstLine="480" w:firstLineChars="200"/>
        <w:rPr>
          <w:rFonts w:hint="eastAsia" w:ascii="宋体" w:hAnsi="宋体"/>
          <w:bCs/>
          <w:szCs w:val="21"/>
          <w:u w:val="single"/>
        </w:rPr>
      </w:pPr>
      <w:r>
        <w:rPr>
          <w:rFonts w:hint="eastAsia" w:ascii="宋体" w:hAnsi="宋体"/>
          <w:bCs/>
          <w:szCs w:val="21"/>
        </w:rPr>
        <w:t>（6）履约验收标准：</w:t>
      </w:r>
      <w:r>
        <w:rPr>
          <w:rFonts w:hint="eastAsia" w:ascii="宋体" w:hAnsi="宋体"/>
          <w:bCs/>
          <w:szCs w:val="21"/>
          <w:u w:val="single"/>
        </w:rPr>
        <w:t xml:space="preserve">                                         </w:t>
      </w:r>
    </w:p>
    <w:p w14:paraId="165AE7A7">
      <w:pPr>
        <w:pStyle w:val="66"/>
        <w:spacing w:beforeLines="0"/>
        <w:rPr>
          <w:rFonts w:hint="eastAsia" w:ascii="宋体" w:hAnsi="宋体" w:eastAsia="宋体" w:cs="宋体"/>
          <w:sz w:val="21"/>
          <w:lang w:eastAsia="zh-CN"/>
        </w:rPr>
      </w:pPr>
      <w:r>
        <w:rPr>
          <w:rFonts w:hint="eastAsia" w:ascii="宋体" w:hAnsi="宋体" w:eastAsia="宋体" w:cs="宋体"/>
          <w:bCs/>
          <w:sz w:val="21"/>
          <w:szCs w:val="21"/>
          <w:u w:val="none"/>
          <w:lang w:eastAsia="zh-CN"/>
        </w:rPr>
        <w:t>（</w:t>
      </w:r>
      <w:r>
        <w:rPr>
          <w:rFonts w:hint="eastAsia" w:ascii="宋体" w:hAnsi="宋体" w:eastAsia="宋体" w:cs="宋体"/>
          <w:bCs/>
          <w:sz w:val="21"/>
          <w:szCs w:val="21"/>
          <w:u w:val="none"/>
          <w:lang w:val="en-US" w:eastAsia="zh-CN"/>
        </w:rPr>
        <w:t>7</w:t>
      </w:r>
      <w:r>
        <w:rPr>
          <w:rFonts w:hint="eastAsia" w:ascii="宋体" w:hAnsi="宋体" w:eastAsia="宋体" w:cs="宋体"/>
          <w:bCs/>
          <w:sz w:val="21"/>
          <w:szCs w:val="21"/>
          <w:u w:val="none"/>
          <w:lang w:eastAsia="zh-CN"/>
        </w:rPr>
        <w:t>）是否以采购活动中供应商提供的样品作为参考：</w:t>
      </w:r>
      <w:r>
        <w:rPr>
          <w:rFonts w:hint="eastAsia" w:ascii="宋体" w:hAnsi="宋体" w:eastAsia="宋体" w:cs="宋体"/>
          <w:sz w:val="21"/>
          <w:szCs w:val="21"/>
        </w:rPr>
        <w:sym w:font="Wingdings" w:char="00A8"/>
      </w:r>
      <w:r>
        <w:rPr>
          <w:rFonts w:hint="eastAsia" w:ascii="宋体" w:hAnsi="宋体" w:eastAsia="宋体" w:cs="宋体"/>
          <w:bCs/>
          <w:sz w:val="21"/>
          <w:szCs w:val="21"/>
        </w:rPr>
        <w:t xml:space="preserve">是  </w:t>
      </w:r>
      <w:r>
        <w:rPr>
          <w:rFonts w:hint="eastAsia" w:ascii="宋体" w:hAnsi="宋体" w:eastAsia="宋体" w:cs="宋体"/>
          <w:sz w:val="21"/>
          <w:szCs w:val="21"/>
        </w:rPr>
        <w:sym w:font="Wingdings" w:char="00A8"/>
      </w:r>
      <w:r>
        <w:rPr>
          <w:rFonts w:hint="eastAsia" w:ascii="宋体" w:hAnsi="宋体" w:eastAsia="宋体" w:cs="宋体"/>
          <w:bCs/>
          <w:sz w:val="21"/>
          <w:szCs w:val="21"/>
        </w:rPr>
        <w:t>否</w:t>
      </w:r>
    </w:p>
    <w:p w14:paraId="2B1E67FD">
      <w:pPr>
        <w:adjustRightInd w:val="0"/>
        <w:snapToGrid w:val="0"/>
        <w:spacing w:before="0" w:beforeLines="0" w:line="400" w:lineRule="exact"/>
        <w:ind w:firstLine="480" w:firstLineChars="200"/>
        <w:rPr>
          <w:rFonts w:hint="eastAsia" w:ascii="宋体" w:hAnsi="宋体" w:cs="宋体"/>
          <w:bCs/>
          <w:szCs w:val="21"/>
          <w:u w:val="single"/>
        </w:rPr>
      </w:pPr>
      <w:r>
        <w:rPr>
          <w:rFonts w:hint="eastAsia" w:ascii="宋体" w:hAnsi="宋体" w:cs="宋体"/>
          <w:bCs/>
          <w:szCs w:val="21"/>
        </w:rPr>
        <w:t>（8）履约验收其他事项：</w:t>
      </w:r>
      <w:r>
        <w:rPr>
          <w:rFonts w:hint="eastAsia" w:ascii="宋体" w:hAnsi="宋体" w:cs="宋体"/>
          <w:bCs/>
          <w:szCs w:val="21"/>
          <w:u w:val="single"/>
        </w:rPr>
        <w:t xml:space="preserve">      </w:t>
      </w:r>
      <w:r>
        <w:rPr>
          <w:rFonts w:hint="eastAsia" w:ascii="宋体" w:hAnsi="宋体" w:cs="宋体"/>
          <w:bCs/>
          <w:i w:val="0"/>
          <w:iCs w:val="0"/>
          <w:szCs w:val="21"/>
          <w:u w:val="single"/>
        </w:rPr>
        <w:t>（产权过户登记等）</w:t>
      </w:r>
      <w:r>
        <w:rPr>
          <w:rFonts w:hint="eastAsia" w:ascii="宋体" w:hAnsi="宋体" w:cs="宋体"/>
          <w:bCs/>
          <w:szCs w:val="21"/>
          <w:u w:val="single"/>
        </w:rPr>
        <w:t xml:space="preserve">          </w:t>
      </w:r>
    </w:p>
    <w:p w14:paraId="6C73C771">
      <w:pPr>
        <w:numPr>
          <w:ilvl w:val="0"/>
          <w:numId w:val="11"/>
        </w:numPr>
        <w:adjustRightInd w:val="0"/>
        <w:snapToGrid w:val="0"/>
        <w:spacing w:before="0" w:beforeLines="0" w:line="400" w:lineRule="exact"/>
        <w:ind w:firstLine="480" w:firstLineChars="200"/>
        <w:rPr>
          <w:rFonts w:hint="eastAsia" w:ascii="宋体" w:hAnsi="宋体"/>
          <w:b/>
          <w:szCs w:val="21"/>
        </w:rPr>
      </w:pPr>
      <w:r>
        <w:rPr>
          <w:rFonts w:hint="eastAsia" w:ascii="宋体" w:hAnsi="宋体"/>
          <w:b/>
          <w:szCs w:val="21"/>
        </w:rPr>
        <w:t>组成合同的文件</w:t>
      </w:r>
    </w:p>
    <w:p w14:paraId="4E0CBCF6">
      <w:pPr>
        <w:adjustRightInd w:val="0"/>
        <w:snapToGrid w:val="0"/>
        <w:spacing w:before="0" w:beforeLines="0" w:line="400" w:lineRule="exact"/>
        <w:ind w:firstLine="480" w:firstLineChars="200"/>
        <w:rPr>
          <w:rFonts w:ascii="宋体" w:hAnsi="宋体"/>
          <w:szCs w:val="21"/>
        </w:rPr>
      </w:pPr>
      <w:r>
        <w:rPr>
          <w:rFonts w:hint="eastAsia" w:ascii="宋体" w:hAnsi="宋体"/>
          <w:szCs w:val="21"/>
        </w:rPr>
        <w:t>本协议书与下列文件一起构成合同文件，如下述文件之间有任何抵触、矛盾或歧义，应按以下顺序解释：</w:t>
      </w:r>
    </w:p>
    <w:p w14:paraId="5B48FE8B">
      <w:pPr>
        <w:adjustRightInd w:val="0"/>
        <w:snapToGrid w:val="0"/>
        <w:spacing w:before="0" w:beforeLines="0" w:line="400" w:lineRule="exact"/>
        <w:ind w:firstLine="480" w:firstLineChars="200"/>
        <w:rPr>
          <w:rFonts w:hint="eastAsia" w:ascii="宋体" w:hAnsi="宋体"/>
          <w:color w:val="auto"/>
          <w:szCs w:val="21"/>
          <w:lang w:eastAsia="zh-CN"/>
        </w:rPr>
      </w:pPr>
      <w:r>
        <w:rPr>
          <w:rFonts w:hint="eastAsia" w:ascii="宋体" w:hAnsi="宋体"/>
          <w:color w:val="auto"/>
          <w:szCs w:val="21"/>
        </w:rPr>
        <w:t>（1）</w:t>
      </w:r>
      <w:r>
        <w:rPr>
          <w:rFonts w:hint="eastAsia" w:ascii="宋体" w:hAnsi="宋体"/>
          <w:color w:val="auto"/>
          <w:szCs w:val="21"/>
          <w:lang w:eastAsia="zh-CN"/>
        </w:rPr>
        <w:t>政府采购</w:t>
      </w:r>
      <w:r>
        <w:rPr>
          <w:rFonts w:hint="eastAsia" w:ascii="宋体" w:hAnsi="宋体"/>
          <w:color w:val="auto"/>
          <w:szCs w:val="21"/>
        </w:rPr>
        <w:t>合同协议书及其变更、补充</w:t>
      </w:r>
      <w:r>
        <w:rPr>
          <w:rFonts w:hint="eastAsia" w:ascii="宋体" w:hAnsi="宋体"/>
          <w:color w:val="auto"/>
          <w:szCs w:val="21"/>
          <w:lang w:eastAsia="zh-CN"/>
        </w:rPr>
        <w:t>协议</w:t>
      </w:r>
    </w:p>
    <w:p w14:paraId="0BF4BDE0">
      <w:pPr>
        <w:adjustRightInd w:val="0"/>
        <w:snapToGrid w:val="0"/>
        <w:spacing w:before="0" w:beforeLines="0" w:line="400" w:lineRule="exact"/>
        <w:ind w:firstLine="480" w:firstLineChars="200"/>
        <w:rPr>
          <w:rFonts w:ascii="宋体" w:hAnsi="宋体"/>
          <w:szCs w:val="21"/>
        </w:rPr>
      </w:pPr>
      <w:r>
        <w:rPr>
          <w:rFonts w:hint="eastAsia" w:ascii="宋体" w:hAnsi="宋体"/>
          <w:szCs w:val="21"/>
        </w:rPr>
        <w:t>（</w:t>
      </w:r>
      <w:r>
        <w:rPr>
          <w:rFonts w:hint="eastAsia" w:ascii="宋体" w:hAnsi="宋体"/>
          <w:szCs w:val="21"/>
          <w:lang w:val="en-US" w:eastAsia="zh-CN"/>
        </w:rPr>
        <w:t>2</w:t>
      </w:r>
      <w:r>
        <w:rPr>
          <w:rFonts w:hint="eastAsia" w:ascii="宋体" w:hAnsi="宋体"/>
          <w:szCs w:val="21"/>
        </w:rPr>
        <w:t>）政府采购合同专用条款</w:t>
      </w:r>
    </w:p>
    <w:p w14:paraId="35E5501A">
      <w:pPr>
        <w:adjustRightInd w:val="0"/>
        <w:snapToGrid w:val="0"/>
        <w:spacing w:before="0" w:beforeLines="0" w:line="400" w:lineRule="exact"/>
        <w:ind w:firstLine="480" w:firstLineChars="200"/>
        <w:rPr>
          <w:rFonts w:ascii="宋体" w:hAnsi="宋体"/>
          <w:szCs w:val="21"/>
        </w:rPr>
      </w:pPr>
      <w:r>
        <w:rPr>
          <w:rFonts w:hint="eastAsia" w:ascii="宋体" w:hAnsi="宋体"/>
          <w:szCs w:val="21"/>
        </w:rPr>
        <w:t>（</w:t>
      </w:r>
      <w:r>
        <w:rPr>
          <w:rFonts w:hint="eastAsia" w:ascii="宋体" w:hAnsi="宋体"/>
          <w:szCs w:val="21"/>
          <w:lang w:val="en-US" w:eastAsia="zh-CN"/>
        </w:rPr>
        <w:t>3</w:t>
      </w:r>
      <w:r>
        <w:rPr>
          <w:rFonts w:hint="eastAsia" w:ascii="宋体" w:hAnsi="宋体"/>
          <w:szCs w:val="21"/>
        </w:rPr>
        <w:t>）政府采购合同通用条款</w:t>
      </w:r>
    </w:p>
    <w:p w14:paraId="57468491">
      <w:pPr>
        <w:adjustRightInd w:val="0"/>
        <w:snapToGrid w:val="0"/>
        <w:spacing w:before="0" w:beforeLines="0" w:line="400" w:lineRule="exact"/>
        <w:ind w:firstLine="480" w:firstLineChars="200"/>
        <w:rPr>
          <w:rFonts w:ascii="宋体" w:hAnsi="宋体"/>
          <w:color w:val="auto"/>
          <w:szCs w:val="21"/>
        </w:rPr>
      </w:pPr>
      <w:r>
        <w:rPr>
          <w:rFonts w:hint="eastAsia" w:ascii="宋体" w:hAnsi="宋体"/>
          <w:color w:val="auto"/>
          <w:szCs w:val="21"/>
        </w:rPr>
        <w:t>（</w:t>
      </w:r>
      <w:r>
        <w:rPr>
          <w:rFonts w:hint="eastAsia" w:ascii="宋体" w:hAnsi="宋体"/>
          <w:color w:val="auto"/>
          <w:szCs w:val="21"/>
          <w:lang w:val="en-US" w:eastAsia="zh-CN"/>
        </w:rPr>
        <w:t>4</w:t>
      </w:r>
      <w:r>
        <w:rPr>
          <w:rFonts w:hint="eastAsia" w:ascii="宋体" w:hAnsi="宋体"/>
          <w:color w:val="auto"/>
          <w:szCs w:val="21"/>
        </w:rPr>
        <w:t>）中标</w:t>
      </w:r>
      <w:r>
        <w:rPr>
          <w:rFonts w:hint="eastAsia" w:ascii="宋体" w:hAnsi="宋体"/>
          <w:color w:val="auto"/>
          <w:szCs w:val="21"/>
          <w:lang w:eastAsia="zh-CN"/>
        </w:rPr>
        <w:t>（成交）</w:t>
      </w:r>
      <w:r>
        <w:rPr>
          <w:rFonts w:hint="eastAsia" w:ascii="宋体" w:hAnsi="宋体"/>
          <w:color w:val="auto"/>
          <w:szCs w:val="21"/>
        </w:rPr>
        <w:t>通知书</w:t>
      </w:r>
    </w:p>
    <w:p w14:paraId="6327C9FE">
      <w:pPr>
        <w:adjustRightInd w:val="0"/>
        <w:snapToGrid w:val="0"/>
        <w:spacing w:before="0" w:beforeLines="0" w:line="400" w:lineRule="exact"/>
        <w:ind w:firstLine="480" w:firstLineChars="200"/>
        <w:rPr>
          <w:rFonts w:ascii="宋体" w:hAnsi="宋体"/>
          <w:szCs w:val="21"/>
        </w:rPr>
      </w:pPr>
      <w:r>
        <w:rPr>
          <w:rFonts w:hint="eastAsia" w:ascii="宋体" w:hAnsi="宋体"/>
          <w:szCs w:val="21"/>
        </w:rPr>
        <w:t>（</w:t>
      </w:r>
      <w:r>
        <w:rPr>
          <w:rFonts w:hint="eastAsia" w:ascii="宋体" w:hAnsi="宋体"/>
          <w:szCs w:val="21"/>
          <w:lang w:val="en-US" w:eastAsia="zh-CN"/>
        </w:rPr>
        <w:t>5</w:t>
      </w:r>
      <w:r>
        <w:rPr>
          <w:rFonts w:hint="eastAsia" w:ascii="宋体" w:hAnsi="宋体"/>
          <w:szCs w:val="21"/>
        </w:rPr>
        <w:t>）投标（响应）文件</w:t>
      </w:r>
    </w:p>
    <w:p w14:paraId="3AA021DB">
      <w:pPr>
        <w:adjustRightInd w:val="0"/>
        <w:snapToGrid w:val="0"/>
        <w:spacing w:before="0" w:beforeLines="0" w:line="400" w:lineRule="exact"/>
        <w:ind w:firstLine="480" w:firstLineChars="200"/>
        <w:rPr>
          <w:rFonts w:ascii="宋体" w:hAnsi="宋体"/>
          <w:szCs w:val="21"/>
        </w:rPr>
      </w:pPr>
      <w:r>
        <w:rPr>
          <w:rFonts w:hint="eastAsia" w:ascii="宋体" w:hAnsi="宋体"/>
          <w:szCs w:val="21"/>
        </w:rPr>
        <w:t>（6）采购文件</w:t>
      </w:r>
    </w:p>
    <w:p w14:paraId="1BFEDE70">
      <w:pPr>
        <w:adjustRightInd w:val="0"/>
        <w:snapToGrid w:val="0"/>
        <w:spacing w:before="0" w:beforeLines="0" w:line="400" w:lineRule="exact"/>
        <w:ind w:firstLine="480" w:firstLineChars="200"/>
        <w:rPr>
          <w:rFonts w:ascii="宋体" w:hAnsi="宋体"/>
          <w:szCs w:val="21"/>
        </w:rPr>
      </w:pPr>
      <w:r>
        <w:rPr>
          <w:rFonts w:hint="eastAsia" w:ascii="宋体" w:hAnsi="宋体"/>
          <w:szCs w:val="21"/>
        </w:rPr>
        <w:t>（7）有关技术文件，图纸</w:t>
      </w:r>
    </w:p>
    <w:p w14:paraId="57A2937F">
      <w:pPr>
        <w:pStyle w:val="66"/>
        <w:spacing w:beforeLines="0"/>
        <w:rPr>
          <w:rFonts w:hint="eastAsia" w:ascii="宋体" w:hAnsi="宋体" w:eastAsia="宋体" w:cs="宋体"/>
          <w:kern w:val="2"/>
          <w:sz w:val="21"/>
          <w:highlight w:val="none"/>
          <w:lang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lang w:eastAsia="zh-CN"/>
        </w:rPr>
        <w:t>）</w:t>
      </w:r>
      <w:r>
        <w:rPr>
          <w:rFonts w:hint="eastAsia" w:ascii="宋体" w:hAnsi="宋体" w:eastAsia="宋体" w:cs="宋体"/>
          <w:bCs w:val="0"/>
          <w:color w:val="000000" w:themeColor="text1"/>
          <w:kern w:val="2"/>
          <w:sz w:val="21"/>
          <w:szCs w:val="21"/>
          <w:highlight w:val="none"/>
          <w:lang w:eastAsia="zh-CN"/>
          <w14:textFill>
            <w14:solidFill>
              <w14:schemeClr w14:val="tx1"/>
            </w14:solidFill>
          </w14:textFill>
        </w:rPr>
        <w:t>国家法律、行政法规和规章制度规定或合同约定的作为合同组成部分的其他文件</w:t>
      </w:r>
    </w:p>
    <w:p w14:paraId="76DCD7B3">
      <w:pPr>
        <w:numPr>
          <w:ilvl w:val="0"/>
          <w:numId w:val="11"/>
        </w:numPr>
        <w:adjustRightInd w:val="0"/>
        <w:snapToGrid w:val="0"/>
        <w:spacing w:before="0" w:beforeLines="0" w:line="400" w:lineRule="exact"/>
        <w:ind w:firstLine="480" w:firstLineChars="200"/>
        <w:rPr>
          <w:rFonts w:hint="eastAsia" w:ascii="宋体" w:hAnsi="宋体"/>
          <w:b/>
          <w:szCs w:val="21"/>
        </w:rPr>
      </w:pPr>
      <w:r>
        <w:rPr>
          <w:rFonts w:hint="eastAsia" w:ascii="宋体" w:hAnsi="宋体"/>
          <w:b/>
          <w:szCs w:val="21"/>
        </w:rPr>
        <w:t>合同生效</w:t>
      </w:r>
    </w:p>
    <w:p w14:paraId="0565D3F7">
      <w:pPr>
        <w:adjustRightInd w:val="0"/>
        <w:snapToGrid w:val="0"/>
        <w:spacing w:before="0" w:beforeLines="0" w:line="400" w:lineRule="exact"/>
        <w:ind w:firstLine="480" w:firstLineChars="200"/>
        <w:rPr>
          <w:rFonts w:ascii="宋体" w:hAnsi="宋体"/>
          <w:szCs w:val="21"/>
        </w:rPr>
      </w:pPr>
      <w:r>
        <w:rPr>
          <w:rFonts w:hint="eastAsia" w:ascii="宋体" w:hAnsi="宋体"/>
          <w:szCs w:val="21"/>
        </w:rPr>
        <w:t>本合同自</w:t>
      </w:r>
      <w:r>
        <w:rPr>
          <w:rFonts w:hint="eastAsia" w:ascii="宋体" w:hAnsi="宋体"/>
          <w:szCs w:val="21"/>
          <w:u w:val="single"/>
        </w:rPr>
        <w:t xml:space="preserve">                             </w:t>
      </w:r>
      <w:r>
        <w:rPr>
          <w:rFonts w:hint="eastAsia" w:ascii="宋体" w:hAnsi="宋体"/>
          <w:szCs w:val="21"/>
        </w:rPr>
        <w:t>生效。</w:t>
      </w:r>
    </w:p>
    <w:p w14:paraId="0D96AEE7">
      <w:pPr>
        <w:numPr>
          <w:ilvl w:val="0"/>
          <w:numId w:val="11"/>
        </w:numPr>
        <w:adjustRightInd w:val="0"/>
        <w:snapToGrid w:val="0"/>
        <w:spacing w:before="0" w:beforeLines="0" w:line="400" w:lineRule="exact"/>
        <w:ind w:firstLine="480" w:firstLineChars="200"/>
        <w:rPr>
          <w:rFonts w:hint="eastAsia" w:ascii="宋体" w:hAnsi="宋体"/>
          <w:b/>
          <w:szCs w:val="21"/>
        </w:rPr>
      </w:pPr>
      <w:r>
        <w:rPr>
          <w:rFonts w:hint="eastAsia" w:ascii="宋体" w:hAnsi="宋体"/>
          <w:b/>
          <w:szCs w:val="21"/>
        </w:rPr>
        <w:t>合同份数</w:t>
      </w:r>
    </w:p>
    <w:p w14:paraId="16E81FE3">
      <w:pPr>
        <w:adjustRightInd w:val="0"/>
        <w:snapToGrid w:val="0"/>
        <w:spacing w:before="0" w:beforeLines="0" w:line="400" w:lineRule="exact"/>
        <w:ind w:firstLine="480" w:firstLineChars="200"/>
        <w:rPr>
          <w:rFonts w:ascii="宋体" w:hAnsi="宋体"/>
          <w:szCs w:val="21"/>
        </w:rPr>
      </w:pPr>
      <w:r>
        <w:rPr>
          <w:rFonts w:hint="eastAsia" w:ascii="宋体" w:hAnsi="宋体"/>
          <w:szCs w:val="21"/>
        </w:rPr>
        <w:t>本合同一式</w:t>
      </w:r>
      <w:r>
        <w:rPr>
          <w:rFonts w:hint="eastAsia" w:ascii="宋体" w:hAnsi="宋体"/>
          <w:szCs w:val="21"/>
          <w:u w:val="single"/>
        </w:rPr>
        <w:t xml:space="preserve">    </w:t>
      </w:r>
      <w:r>
        <w:rPr>
          <w:rFonts w:hint="eastAsia" w:ascii="宋体" w:hAnsi="宋体"/>
          <w:szCs w:val="21"/>
        </w:rPr>
        <w:t>份，</w:t>
      </w:r>
      <w:r>
        <w:rPr>
          <w:rFonts w:hint="eastAsia" w:ascii="宋体" w:hAnsi="宋体"/>
          <w:szCs w:val="21"/>
          <w:lang w:eastAsia="zh-CN"/>
        </w:rPr>
        <w:t>甲方</w:t>
      </w:r>
      <w:r>
        <w:rPr>
          <w:rFonts w:hint="eastAsia" w:ascii="宋体" w:hAnsi="宋体"/>
          <w:szCs w:val="21"/>
        </w:rPr>
        <w:t>执</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rPr>
        <w:t>份，</w:t>
      </w:r>
      <w:r>
        <w:rPr>
          <w:rFonts w:hint="eastAsia" w:ascii="宋体" w:hAnsi="宋体"/>
          <w:szCs w:val="21"/>
          <w:lang w:eastAsia="zh-CN"/>
        </w:rPr>
        <w:t>乙方</w:t>
      </w:r>
      <w:r>
        <w:rPr>
          <w:rFonts w:hint="eastAsia" w:ascii="宋体" w:hAnsi="宋体"/>
          <w:szCs w:val="21"/>
        </w:rPr>
        <w:t>执</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rPr>
        <w:t>份，均具有同等法律效力。</w:t>
      </w:r>
    </w:p>
    <w:p w14:paraId="6384DC51">
      <w:pPr>
        <w:adjustRightInd w:val="0"/>
        <w:snapToGrid w:val="0"/>
        <w:spacing w:before="0" w:beforeLines="0" w:line="400" w:lineRule="exact"/>
        <w:ind w:firstLine="480" w:firstLineChars="200"/>
        <w:rPr>
          <w:rFonts w:ascii="宋体" w:hAnsi="宋体"/>
          <w:szCs w:val="21"/>
        </w:rPr>
      </w:pPr>
      <w:r>
        <w:rPr>
          <w:rFonts w:hint="eastAsia" w:ascii="宋体" w:hAnsi="宋体"/>
          <w:szCs w:val="21"/>
        </w:rPr>
        <w:t>合同订立时间：</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3E7702AC">
      <w:pPr>
        <w:adjustRightInd w:val="0"/>
        <w:snapToGrid w:val="0"/>
        <w:spacing w:before="0" w:beforeLines="0" w:line="400" w:lineRule="exact"/>
        <w:ind w:firstLine="480" w:firstLineChars="200"/>
        <w:rPr>
          <w:rFonts w:ascii="宋体" w:hAnsi="宋体"/>
          <w:szCs w:val="21"/>
        </w:rPr>
      </w:pPr>
      <w:r>
        <w:rPr>
          <w:rFonts w:hint="eastAsia" w:ascii="宋体" w:hAnsi="宋体"/>
          <w:szCs w:val="21"/>
        </w:rPr>
        <w:t>合同订立地点：</w:t>
      </w:r>
      <w:r>
        <w:rPr>
          <w:rFonts w:hint="eastAsia" w:ascii="宋体" w:hAnsi="宋体"/>
          <w:szCs w:val="21"/>
          <w:u w:val="single"/>
        </w:rPr>
        <w:t xml:space="preserve">                           </w:t>
      </w:r>
    </w:p>
    <w:p w14:paraId="2CDC8016">
      <w:pPr>
        <w:adjustRightInd w:val="0"/>
        <w:snapToGrid w:val="0"/>
        <w:spacing w:before="0" w:beforeLines="0" w:line="400" w:lineRule="exact"/>
        <w:ind w:firstLine="480" w:firstLineChars="200"/>
      </w:pPr>
      <w:r>
        <w:rPr>
          <w:rFonts w:hint="eastAsia" w:ascii="宋体" w:hAnsi="宋体"/>
          <w:szCs w:val="21"/>
        </w:rPr>
        <w:t>附件：具体标</w:t>
      </w:r>
      <w:r>
        <w:rPr>
          <w:rFonts w:hint="eastAsia" w:ascii="宋体" w:hAnsi="宋体"/>
          <w:szCs w:val="21"/>
          <w:lang w:eastAsia="zh-CN"/>
        </w:rPr>
        <w:t>的及其</w:t>
      </w:r>
      <w:r>
        <w:rPr>
          <w:rFonts w:hint="eastAsia" w:ascii="宋体" w:hAnsi="宋体"/>
          <w:szCs w:val="21"/>
          <w:highlight w:val="none"/>
          <w:u w:val="none"/>
          <w:lang w:val="en-US" w:eastAsia="zh-CN"/>
        </w:rPr>
        <w:t>技术要求和商务要求</w:t>
      </w:r>
      <w:r>
        <w:rPr>
          <w:rFonts w:hint="eastAsia" w:ascii="宋体" w:hAnsi="宋体"/>
          <w:szCs w:val="21"/>
        </w:rPr>
        <w:t>、联合协议、分包</w:t>
      </w:r>
      <w:r>
        <w:rPr>
          <w:rFonts w:hint="eastAsia" w:ascii="宋体" w:hAnsi="宋体"/>
          <w:szCs w:val="21"/>
          <w:lang w:eastAsia="zh-CN"/>
        </w:rPr>
        <w:t>意向</w:t>
      </w:r>
      <w:r>
        <w:rPr>
          <w:rFonts w:hint="eastAsia" w:ascii="宋体" w:hAnsi="宋体"/>
          <w:szCs w:val="21"/>
        </w:rPr>
        <w:t>协议等。</w:t>
      </w:r>
    </w:p>
    <w:tbl>
      <w:tblPr>
        <w:tblStyle w:val="25"/>
        <w:tblpPr w:leftFromText="180" w:rightFromText="180" w:vertAnchor="text" w:horzAnchor="page" w:tblpX="1921" w:tblpY="231"/>
        <w:tblOverlap w:val="never"/>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1886"/>
        <w:gridCol w:w="2412"/>
        <w:gridCol w:w="1979"/>
        <w:gridCol w:w="2121"/>
      </w:tblGrid>
      <w:tr w14:paraId="02FAD92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59" w:type="pct"/>
            <w:gridSpan w:val="2"/>
            <w:tcBorders>
              <w:bottom w:val="single" w:color="auto" w:sz="2" w:space="0"/>
              <w:right w:val="single" w:color="auto" w:sz="2" w:space="0"/>
            </w:tcBorders>
            <w:vAlign w:val="center"/>
          </w:tcPr>
          <w:p w14:paraId="462BED56">
            <w:pPr>
              <w:adjustRightInd w:val="0"/>
              <w:snapToGrid w:val="0"/>
              <w:spacing w:line="300" w:lineRule="exact"/>
              <w:jc w:val="center"/>
            </w:pPr>
            <w:r>
              <w:rPr>
                <w:szCs w:val="21"/>
              </w:rPr>
              <w:t>甲方</w:t>
            </w:r>
            <w:r>
              <w:rPr>
                <w:rFonts w:hint="eastAsia"/>
                <w:szCs w:val="21"/>
              </w:rPr>
              <w:t>（采购人</w:t>
            </w:r>
            <w:r>
              <w:rPr>
                <w:rFonts w:hint="eastAsia" w:ascii="宋体" w:hAnsi="宋体"/>
                <w:szCs w:val="21"/>
                <w:lang w:eastAsia="zh-CN"/>
              </w:rPr>
              <w:t>、受采购人委托签订合同的单位</w:t>
            </w:r>
            <w:r>
              <w:rPr>
                <w:rFonts w:hint="eastAsia" w:ascii="宋体" w:hAnsi="宋体"/>
                <w:szCs w:val="21"/>
              </w:rPr>
              <w:t>或</w:t>
            </w:r>
            <w:r>
              <w:rPr>
                <w:rFonts w:hint="eastAsia"/>
                <w:szCs w:val="21"/>
              </w:rPr>
              <w:t>采购文件约定的合同甲方）</w:t>
            </w:r>
          </w:p>
        </w:tc>
        <w:tc>
          <w:tcPr>
            <w:tcW w:w="2440" w:type="pct"/>
            <w:gridSpan w:val="2"/>
            <w:tcBorders>
              <w:left w:val="single" w:color="auto" w:sz="2" w:space="0"/>
              <w:bottom w:val="single" w:color="auto" w:sz="2" w:space="0"/>
            </w:tcBorders>
            <w:vAlign w:val="center"/>
          </w:tcPr>
          <w:p w14:paraId="474711AC">
            <w:pPr>
              <w:adjustRightInd w:val="0"/>
              <w:snapToGrid w:val="0"/>
              <w:spacing w:line="300" w:lineRule="exact"/>
              <w:jc w:val="center"/>
            </w:pPr>
            <w:r>
              <w:rPr>
                <w:szCs w:val="21"/>
              </w:rPr>
              <w:t>乙方</w:t>
            </w:r>
            <w:r>
              <w:rPr>
                <w:rFonts w:hint="eastAsia"/>
                <w:szCs w:val="21"/>
              </w:rPr>
              <w:t>（供应商）</w:t>
            </w:r>
          </w:p>
        </w:tc>
      </w:tr>
      <w:tr w14:paraId="687B7F0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3" w:type="pct"/>
            <w:tcBorders>
              <w:top w:val="single" w:color="auto" w:sz="2" w:space="0"/>
              <w:bottom w:val="single" w:color="auto" w:sz="2" w:space="0"/>
              <w:right w:val="single" w:color="auto" w:sz="2" w:space="0"/>
            </w:tcBorders>
            <w:vAlign w:val="center"/>
          </w:tcPr>
          <w:p w14:paraId="10050B30">
            <w:pPr>
              <w:adjustRightInd w:val="0"/>
              <w:snapToGrid w:val="0"/>
              <w:spacing w:line="300" w:lineRule="exact"/>
              <w:jc w:val="center"/>
              <w:rPr>
                <w:szCs w:val="21"/>
              </w:rPr>
            </w:pPr>
            <w:r>
              <w:rPr>
                <w:szCs w:val="21"/>
              </w:rPr>
              <w:t>单位名称</w:t>
            </w:r>
            <w:r>
              <w:rPr>
                <w:rFonts w:hint="eastAsia"/>
                <w:szCs w:val="21"/>
              </w:rPr>
              <w:t>（公章</w:t>
            </w:r>
            <w:r>
              <w:rPr>
                <w:rFonts w:hint="eastAsia"/>
                <w:szCs w:val="21"/>
                <w:lang w:eastAsia="zh-CN"/>
              </w:rPr>
              <w:t>或合同章</w:t>
            </w:r>
            <w:r>
              <w:rPr>
                <w:rFonts w:hint="eastAsia"/>
                <w:szCs w:val="21"/>
              </w:rPr>
              <w:t>）</w:t>
            </w:r>
          </w:p>
        </w:tc>
        <w:tc>
          <w:tcPr>
            <w:tcW w:w="1436" w:type="pct"/>
            <w:tcBorders>
              <w:top w:val="single" w:color="auto" w:sz="2" w:space="0"/>
              <w:left w:val="single" w:color="auto" w:sz="2" w:space="0"/>
              <w:bottom w:val="single" w:color="auto" w:sz="2" w:space="0"/>
              <w:right w:val="single" w:color="auto" w:sz="2" w:space="0"/>
            </w:tcBorders>
            <w:vAlign w:val="center"/>
          </w:tcPr>
          <w:p w14:paraId="4331E37F">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881BD99">
            <w:pPr>
              <w:adjustRightInd w:val="0"/>
              <w:snapToGrid w:val="0"/>
              <w:spacing w:line="300" w:lineRule="exact"/>
              <w:jc w:val="center"/>
              <w:rPr>
                <w:szCs w:val="21"/>
              </w:rPr>
            </w:pPr>
            <w:r>
              <w:rPr>
                <w:szCs w:val="21"/>
              </w:rPr>
              <w:t>单位名称</w:t>
            </w:r>
            <w:r>
              <w:rPr>
                <w:rFonts w:hint="eastAsia"/>
                <w:szCs w:val="21"/>
              </w:rPr>
              <w:t>（公章</w:t>
            </w:r>
            <w:r>
              <w:rPr>
                <w:rFonts w:hint="eastAsia"/>
                <w:szCs w:val="21"/>
                <w:lang w:eastAsia="zh-CN"/>
              </w:rPr>
              <w:t>或合同章</w:t>
            </w:r>
            <w:r>
              <w:rPr>
                <w:rFonts w:hint="eastAsia"/>
                <w:szCs w:val="21"/>
              </w:rPr>
              <w:t>）</w:t>
            </w:r>
          </w:p>
        </w:tc>
        <w:tc>
          <w:tcPr>
            <w:tcW w:w="1262" w:type="pct"/>
            <w:tcBorders>
              <w:top w:val="single" w:color="auto" w:sz="2" w:space="0"/>
              <w:left w:val="single" w:color="auto" w:sz="2" w:space="0"/>
              <w:bottom w:val="single" w:color="auto" w:sz="2" w:space="0"/>
            </w:tcBorders>
            <w:vAlign w:val="center"/>
          </w:tcPr>
          <w:p w14:paraId="26029898">
            <w:pPr>
              <w:adjustRightInd w:val="0"/>
              <w:snapToGrid w:val="0"/>
              <w:spacing w:line="300" w:lineRule="exact"/>
              <w:jc w:val="center"/>
              <w:rPr>
                <w:spacing w:val="20"/>
                <w:szCs w:val="21"/>
              </w:rPr>
            </w:pPr>
          </w:p>
        </w:tc>
      </w:tr>
      <w:tr w14:paraId="11C387C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3" w:type="pct"/>
            <w:vMerge w:val="restart"/>
            <w:tcBorders>
              <w:top w:val="single" w:color="auto" w:sz="2" w:space="0"/>
              <w:right w:val="single" w:color="auto" w:sz="2" w:space="0"/>
            </w:tcBorders>
            <w:vAlign w:val="center"/>
          </w:tcPr>
          <w:p w14:paraId="20FC626B">
            <w:pPr>
              <w:adjustRightInd w:val="0"/>
              <w:snapToGrid w:val="0"/>
              <w:spacing w:line="300" w:lineRule="exact"/>
              <w:jc w:val="center"/>
              <w:rPr>
                <w:szCs w:val="21"/>
              </w:rPr>
            </w:pPr>
            <w:r>
              <w:rPr>
                <w:szCs w:val="21"/>
              </w:rPr>
              <w:t>法定代表人</w:t>
            </w:r>
          </w:p>
          <w:p w14:paraId="7F3CCEEB">
            <w:pPr>
              <w:adjustRightInd w:val="0"/>
              <w:snapToGrid w:val="0"/>
              <w:spacing w:line="300" w:lineRule="exact"/>
              <w:ind w:firstLine="115" w:firstLineChars="48"/>
              <w:jc w:val="center"/>
              <w:rPr>
                <w:szCs w:val="21"/>
              </w:rPr>
            </w:pPr>
            <w:r>
              <w:rPr>
                <w:rFonts w:hint="eastAsia"/>
                <w:szCs w:val="21"/>
              </w:rPr>
              <w:t>或其</w:t>
            </w:r>
            <w:r>
              <w:rPr>
                <w:szCs w:val="21"/>
              </w:rPr>
              <w:t>委托代理人</w:t>
            </w:r>
            <w:r>
              <w:rPr>
                <w:rFonts w:hint="eastAsia"/>
                <w:szCs w:val="21"/>
              </w:rPr>
              <w:t>（签章）</w:t>
            </w:r>
          </w:p>
        </w:tc>
        <w:tc>
          <w:tcPr>
            <w:tcW w:w="1436" w:type="pct"/>
            <w:vMerge w:val="restart"/>
            <w:tcBorders>
              <w:top w:val="single" w:color="auto" w:sz="2" w:space="0"/>
              <w:left w:val="single" w:color="auto" w:sz="2" w:space="0"/>
              <w:right w:val="single" w:color="auto" w:sz="2" w:space="0"/>
            </w:tcBorders>
            <w:vAlign w:val="center"/>
          </w:tcPr>
          <w:p w14:paraId="578ECC71">
            <w:pPr>
              <w:adjustRightInd w:val="0"/>
              <w:snapToGrid w:val="0"/>
              <w:spacing w:line="300" w:lineRule="exact"/>
              <w:jc w:val="center"/>
              <w:rPr>
                <w:szCs w:val="21"/>
              </w:rPr>
            </w:pPr>
          </w:p>
        </w:tc>
        <w:tc>
          <w:tcPr>
            <w:tcW w:w="1178" w:type="pct"/>
            <w:tcBorders>
              <w:top w:val="single" w:color="auto" w:sz="2" w:space="0"/>
              <w:left w:val="single" w:color="auto" w:sz="2" w:space="0"/>
              <w:right w:val="single" w:color="auto" w:sz="2" w:space="0"/>
            </w:tcBorders>
            <w:vAlign w:val="center"/>
          </w:tcPr>
          <w:p w14:paraId="648AB4F5">
            <w:pPr>
              <w:adjustRightInd w:val="0"/>
              <w:snapToGrid w:val="0"/>
              <w:spacing w:line="300" w:lineRule="exact"/>
              <w:jc w:val="center"/>
              <w:rPr>
                <w:szCs w:val="21"/>
              </w:rPr>
            </w:pPr>
            <w:r>
              <w:rPr>
                <w:szCs w:val="21"/>
              </w:rPr>
              <w:t>法定代表人</w:t>
            </w:r>
          </w:p>
          <w:p w14:paraId="67FD2F5E">
            <w:pPr>
              <w:adjustRightInd w:val="0"/>
              <w:snapToGrid w:val="0"/>
              <w:spacing w:line="300" w:lineRule="exact"/>
              <w:jc w:val="center"/>
              <w:rPr>
                <w:szCs w:val="21"/>
              </w:rPr>
            </w:pPr>
            <w:r>
              <w:rPr>
                <w:rFonts w:hint="eastAsia"/>
                <w:szCs w:val="21"/>
              </w:rPr>
              <w:t>或其</w:t>
            </w:r>
            <w:r>
              <w:rPr>
                <w:szCs w:val="21"/>
              </w:rPr>
              <w:t>委托代理人</w:t>
            </w:r>
            <w:r>
              <w:rPr>
                <w:rFonts w:hint="eastAsia"/>
                <w:szCs w:val="21"/>
              </w:rPr>
              <w:t>（签章）</w:t>
            </w:r>
          </w:p>
        </w:tc>
        <w:tc>
          <w:tcPr>
            <w:tcW w:w="1262" w:type="pct"/>
            <w:tcBorders>
              <w:top w:val="single" w:color="auto" w:sz="2" w:space="0"/>
              <w:left w:val="single" w:color="auto" w:sz="2" w:space="0"/>
              <w:bottom w:val="single" w:color="auto" w:sz="2" w:space="0"/>
            </w:tcBorders>
            <w:vAlign w:val="center"/>
          </w:tcPr>
          <w:p w14:paraId="181F758B">
            <w:pPr>
              <w:adjustRightInd w:val="0"/>
              <w:snapToGrid w:val="0"/>
              <w:spacing w:line="300" w:lineRule="exact"/>
              <w:jc w:val="center"/>
              <w:rPr>
                <w:szCs w:val="21"/>
              </w:rPr>
            </w:pPr>
          </w:p>
        </w:tc>
      </w:tr>
      <w:tr w14:paraId="61AC3CC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3" w:type="pct"/>
            <w:vMerge w:val="continue"/>
            <w:tcBorders>
              <w:bottom w:val="single" w:color="auto" w:sz="2" w:space="0"/>
              <w:right w:val="single" w:color="auto" w:sz="2" w:space="0"/>
            </w:tcBorders>
            <w:vAlign w:val="center"/>
          </w:tcPr>
          <w:p w14:paraId="58F9AF1A">
            <w:pPr>
              <w:adjustRightInd w:val="0"/>
              <w:snapToGrid w:val="0"/>
              <w:spacing w:line="300" w:lineRule="exact"/>
              <w:jc w:val="center"/>
              <w:rPr>
                <w:szCs w:val="21"/>
              </w:rPr>
            </w:pPr>
          </w:p>
        </w:tc>
        <w:tc>
          <w:tcPr>
            <w:tcW w:w="1436" w:type="pct"/>
            <w:vMerge w:val="continue"/>
            <w:tcBorders>
              <w:left w:val="single" w:color="auto" w:sz="2" w:space="0"/>
              <w:bottom w:val="single" w:color="auto" w:sz="2" w:space="0"/>
              <w:right w:val="single" w:color="auto" w:sz="2" w:space="0"/>
            </w:tcBorders>
            <w:vAlign w:val="center"/>
          </w:tcPr>
          <w:p w14:paraId="1D1DD504">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84CE12C">
            <w:pPr>
              <w:adjustRightInd w:val="0"/>
              <w:snapToGrid w:val="0"/>
              <w:spacing w:line="300" w:lineRule="exact"/>
              <w:jc w:val="center"/>
              <w:rPr>
                <w:rFonts w:hint="eastAsia" w:eastAsia="宋体"/>
                <w:szCs w:val="21"/>
                <w:lang w:eastAsia="zh-CN"/>
              </w:rPr>
            </w:pPr>
            <w:r>
              <w:rPr>
                <w:rFonts w:hint="eastAsia"/>
                <w:szCs w:val="21"/>
                <w:lang w:eastAsia="zh-CN"/>
              </w:rPr>
              <w:t>拥有者性别</w:t>
            </w:r>
          </w:p>
        </w:tc>
        <w:tc>
          <w:tcPr>
            <w:tcW w:w="1262" w:type="pct"/>
            <w:tcBorders>
              <w:top w:val="single" w:color="auto" w:sz="2" w:space="0"/>
              <w:left w:val="single" w:color="auto" w:sz="2" w:space="0"/>
              <w:bottom w:val="single" w:color="auto" w:sz="2" w:space="0"/>
            </w:tcBorders>
            <w:vAlign w:val="center"/>
          </w:tcPr>
          <w:p w14:paraId="7CEF9606">
            <w:pPr>
              <w:adjustRightInd w:val="0"/>
              <w:snapToGrid w:val="0"/>
              <w:spacing w:line="300" w:lineRule="exact"/>
              <w:jc w:val="center"/>
              <w:rPr>
                <w:spacing w:val="20"/>
                <w:szCs w:val="21"/>
              </w:rPr>
            </w:pPr>
          </w:p>
        </w:tc>
      </w:tr>
      <w:tr w14:paraId="101CFBE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3" w:type="pct"/>
            <w:tcBorders>
              <w:top w:val="single" w:color="auto" w:sz="2" w:space="0"/>
              <w:bottom w:val="single" w:color="auto" w:sz="2" w:space="0"/>
              <w:right w:val="single" w:color="auto" w:sz="2" w:space="0"/>
            </w:tcBorders>
            <w:vAlign w:val="center"/>
          </w:tcPr>
          <w:p w14:paraId="6FFA4D65">
            <w:pPr>
              <w:adjustRightInd w:val="0"/>
              <w:snapToGrid w:val="0"/>
              <w:spacing w:line="300" w:lineRule="exact"/>
              <w:jc w:val="center"/>
              <w:rPr>
                <w:rFonts w:hint="eastAsia" w:eastAsia="宋体"/>
                <w:szCs w:val="21"/>
                <w:lang w:eastAsia="zh-CN"/>
              </w:rPr>
            </w:pPr>
            <w:r>
              <w:rPr>
                <w:rFonts w:hint="eastAsia"/>
                <w:szCs w:val="21"/>
                <w:lang w:eastAsia="zh-CN"/>
              </w:rPr>
              <w:t>住</w:t>
            </w:r>
            <w:r>
              <w:rPr>
                <w:rFonts w:hint="eastAsia"/>
                <w:szCs w:val="21"/>
                <w:lang w:val="en-US" w:eastAsia="zh-CN"/>
              </w:rPr>
              <w:t xml:space="preserve">  </w:t>
            </w:r>
            <w:r>
              <w:rPr>
                <w:rFonts w:hint="eastAsia"/>
                <w:szCs w:val="21"/>
                <w:lang w:eastAsia="zh-CN"/>
              </w:rPr>
              <w:t>所</w:t>
            </w:r>
          </w:p>
        </w:tc>
        <w:tc>
          <w:tcPr>
            <w:tcW w:w="1436" w:type="pct"/>
            <w:tcBorders>
              <w:top w:val="single" w:color="auto" w:sz="2" w:space="0"/>
              <w:left w:val="single" w:color="auto" w:sz="2" w:space="0"/>
              <w:bottom w:val="single" w:color="auto" w:sz="2" w:space="0"/>
              <w:right w:val="single" w:color="auto" w:sz="2" w:space="0"/>
            </w:tcBorders>
            <w:vAlign w:val="center"/>
          </w:tcPr>
          <w:p w14:paraId="7BAE8D8D">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3B15179">
            <w:pPr>
              <w:adjustRightInd w:val="0"/>
              <w:snapToGrid w:val="0"/>
              <w:spacing w:line="300" w:lineRule="exact"/>
              <w:jc w:val="center"/>
              <w:rPr>
                <w:rFonts w:hint="eastAsia" w:eastAsia="宋体"/>
                <w:szCs w:val="21"/>
                <w:lang w:eastAsia="zh-CN"/>
              </w:rPr>
            </w:pPr>
            <w:r>
              <w:rPr>
                <w:rFonts w:hint="eastAsia"/>
                <w:szCs w:val="21"/>
                <w:lang w:eastAsia="zh-CN"/>
              </w:rPr>
              <w:t>住</w:t>
            </w:r>
            <w:r>
              <w:rPr>
                <w:rFonts w:hint="eastAsia"/>
                <w:szCs w:val="21"/>
                <w:lang w:val="en-US" w:eastAsia="zh-CN"/>
              </w:rPr>
              <w:t xml:space="preserve">  </w:t>
            </w:r>
            <w:r>
              <w:rPr>
                <w:rFonts w:hint="eastAsia"/>
                <w:szCs w:val="21"/>
                <w:lang w:eastAsia="zh-CN"/>
              </w:rPr>
              <w:t>所</w:t>
            </w:r>
          </w:p>
        </w:tc>
        <w:tc>
          <w:tcPr>
            <w:tcW w:w="1262" w:type="pct"/>
            <w:tcBorders>
              <w:top w:val="single" w:color="auto" w:sz="2" w:space="0"/>
              <w:left w:val="single" w:color="auto" w:sz="2" w:space="0"/>
              <w:bottom w:val="single" w:color="auto" w:sz="2" w:space="0"/>
            </w:tcBorders>
            <w:vAlign w:val="center"/>
          </w:tcPr>
          <w:p w14:paraId="33CD8232">
            <w:pPr>
              <w:adjustRightInd w:val="0"/>
              <w:snapToGrid w:val="0"/>
              <w:spacing w:line="300" w:lineRule="exact"/>
              <w:jc w:val="center"/>
              <w:rPr>
                <w:spacing w:val="20"/>
                <w:szCs w:val="21"/>
              </w:rPr>
            </w:pPr>
          </w:p>
        </w:tc>
      </w:tr>
      <w:tr w14:paraId="78772D7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3" w:type="pct"/>
            <w:tcBorders>
              <w:top w:val="single" w:color="auto" w:sz="2" w:space="0"/>
              <w:bottom w:val="single" w:color="auto" w:sz="2" w:space="0"/>
              <w:right w:val="single" w:color="auto" w:sz="2" w:space="0"/>
            </w:tcBorders>
            <w:vAlign w:val="center"/>
          </w:tcPr>
          <w:p w14:paraId="4BBCCC07">
            <w:pPr>
              <w:adjustRightInd w:val="0"/>
              <w:snapToGrid w:val="0"/>
              <w:spacing w:line="300" w:lineRule="exact"/>
              <w:jc w:val="center"/>
              <w:rPr>
                <w:szCs w:val="21"/>
              </w:rPr>
            </w:pPr>
            <w:r>
              <w:rPr>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30CC26A5">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59F4414">
            <w:pPr>
              <w:adjustRightInd w:val="0"/>
              <w:snapToGrid w:val="0"/>
              <w:spacing w:line="300" w:lineRule="exact"/>
              <w:jc w:val="center"/>
              <w:rPr>
                <w:szCs w:val="21"/>
              </w:rPr>
            </w:pPr>
            <w:r>
              <w:rPr>
                <w:szCs w:val="21"/>
              </w:rPr>
              <w:t>联 系 人</w:t>
            </w:r>
          </w:p>
        </w:tc>
        <w:tc>
          <w:tcPr>
            <w:tcW w:w="1262" w:type="pct"/>
            <w:tcBorders>
              <w:top w:val="single" w:color="auto" w:sz="2" w:space="0"/>
              <w:left w:val="single" w:color="auto" w:sz="2" w:space="0"/>
              <w:bottom w:val="single" w:color="auto" w:sz="2" w:space="0"/>
            </w:tcBorders>
            <w:vAlign w:val="center"/>
          </w:tcPr>
          <w:p w14:paraId="7FCE624B">
            <w:pPr>
              <w:adjustRightInd w:val="0"/>
              <w:snapToGrid w:val="0"/>
              <w:spacing w:line="300" w:lineRule="exact"/>
              <w:jc w:val="center"/>
              <w:rPr>
                <w:spacing w:val="20"/>
                <w:szCs w:val="21"/>
              </w:rPr>
            </w:pPr>
          </w:p>
        </w:tc>
      </w:tr>
      <w:tr w14:paraId="58DAA62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3" w:type="pct"/>
            <w:tcBorders>
              <w:top w:val="single" w:color="auto" w:sz="2" w:space="0"/>
              <w:bottom w:val="single" w:color="auto" w:sz="2" w:space="0"/>
              <w:right w:val="single" w:color="auto" w:sz="2" w:space="0"/>
            </w:tcBorders>
            <w:vAlign w:val="center"/>
          </w:tcPr>
          <w:p w14:paraId="16E6EFCE">
            <w:pPr>
              <w:adjustRightInd w:val="0"/>
              <w:snapToGrid w:val="0"/>
              <w:spacing w:line="300" w:lineRule="exact"/>
              <w:jc w:val="center"/>
              <w:rPr>
                <w:szCs w:val="21"/>
              </w:rPr>
            </w:pPr>
            <w:r>
              <w:rPr>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58CC415A">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FDFC0F4">
            <w:pPr>
              <w:adjustRightInd w:val="0"/>
              <w:snapToGrid w:val="0"/>
              <w:spacing w:line="300" w:lineRule="exact"/>
              <w:jc w:val="center"/>
              <w:rPr>
                <w:szCs w:val="21"/>
              </w:rPr>
            </w:pPr>
            <w:r>
              <w:rPr>
                <w:szCs w:val="21"/>
              </w:rPr>
              <w:t>联系电话</w:t>
            </w:r>
          </w:p>
        </w:tc>
        <w:tc>
          <w:tcPr>
            <w:tcW w:w="1262" w:type="pct"/>
            <w:tcBorders>
              <w:top w:val="single" w:color="auto" w:sz="2" w:space="0"/>
              <w:left w:val="single" w:color="auto" w:sz="2" w:space="0"/>
              <w:bottom w:val="single" w:color="auto" w:sz="2" w:space="0"/>
            </w:tcBorders>
            <w:vAlign w:val="center"/>
          </w:tcPr>
          <w:p w14:paraId="77D85CFD">
            <w:pPr>
              <w:adjustRightInd w:val="0"/>
              <w:snapToGrid w:val="0"/>
              <w:spacing w:line="300" w:lineRule="exact"/>
              <w:jc w:val="center"/>
              <w:rPr>
                <w:spacing w:val="20"/>
                <w:szCs w:val="21"/>
              </w:rPr>
            </w:pPr>
          </w:p>
        </w:tc>
      </w:tr>
      <w:tr w14:paraId="743E5AF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3" w:type="pct"/>
            <w:tcBorders>
              <w:top w:val="single" w:color="auto" w:sz="2" w:space="0"/>
              <w:bottom w:val="single" w:color="auto" w:sz="2" w:space="0"/>
              <w:right w:val="single" w:color="auto" w:sz="2" w:space="0"/>
            </w:tcBorders>
            <w:vAlign w:val="center"/>
          </w:tcPr>
          <w:p w14:paraId="19968400">
            <w:pPr>
              <w:adjustRightInd w:val="0"/>
              <w:snapToGrid w:val="0"/>
              <w:spacing w:line="300" w:lineRule="exact"/>
              <w:jc w:val="center"/>
              <w:rPr>
                <w:rFonts w:hint="eastAsia" w:eastAsia="宋体"/>
                <w:szCs w:val="21"/>
                <w:lang w:eastAsia="zh-CN"/>
              </w:rPr>
            </w:pPr>
            <w:r>
              <w:rPr>
                <w:rFonts w:hint="eastAsia"/>
                <w:szCs w:val="21"/>
                <w:lang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59F29CDA">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070139B">
            <w:pPr>
              <w:adjustRightInd w:val="0"/>
              <w:snapToGrid w:val="0"/>
              <w:spacing w:line="300" w:lineRule="exact"/>
              <w:jc w:val="center"/>
              <w:rPr>
                <w:szCs w:val="21"/>
              </w:rPr>
            </w:pPr>
            <w:r>
              <w:rPr>
                <w:rFonts w:hint="eastAsia"/>
                <w:szCs w:val="21"/>
                <w:lang w:eastAsia="zh-CN"/>
              </w:rPr>
              <w:t>通信地址</w:t>
            </w:r>
          </w:p>
        </w:tc>
        <w:tc>
          <w:tcPr>
            <w:tcW w:w="1262" w:type="pct"/>
            <w:tcBorders>
              <w:top w:val="single" w:color="auto" w:sz="2" w:space="0"/>
              <w:left w:val="single" w:color="auto" w:sz="2" w:space="0"/>
              <w:bottom w:val="single" w:color="auto" w:sz="2" w:space="0"/>
            </w:tcBorders>
            <w:vAlign w:val="center"/>
          </w:tcPr>
          <w:p w14:paraId="58C2DE44">
            <w:pPr>
              <w:adjustRightInd w:val="0"/>
              <w:snapToGrid w:val="0"/>
              <w:spacing w:line="300" w:lineRule="exact"/>
              <w:jc w:val="center"/>
              <w:rPr>
                <w:spacing w:val="20"/>
                <w:szCs w:val="21"/>
              </w:rPr>
            </w:pPr>
          </w:p>
        </w:tc>
      </w:tr>
      <w:tr w14:paraId="214482C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3" w:type="pct"/>
            <w:tcBorders>
              <w:top w:val="single" w:color="auto" w:sz="2" w:space="0"/>
              <w:bottom w:val="single" w:color="auto" w:sz="2" w:space="0"/>
              <w:right w:val="single" w:color="auto" w:sz="2" w:space="0"/>
            </w:tcBorders>
            <w:vAlign w:val="center"/>
          </w:tcPr>
          <w:p w14:paraId="3E30AB4F">
            <w:pPr>
              <w:adjustRightInd w:val="0"/>
              <w:snapToGrid w:val="0"/>
              <w:spacing w:line="300" w:lineRule="exact"/>
              <w:jc w:val="center"/>
              <w:rPr>
                <w:szCs w:val="21"/>
              </w:rPr>
            </w:pPr>
            <w:r>
              <w:rPr>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103B369E">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B4A62AC">
            <w:pPr>
              <w:adjustRightInd w:val="0"/>
              <w:snapToGrid w:val="0"/>
              <w:spacing w:line="300" w:lineRule="exact"/>
              <w:jc w:val="center"/>
              <w:rPr>
                <w:szCs w:val="21"/>
              </w:rPr>
            </w:pPr>
            <w:r>
              <w:rPr>
                <w:szCs w:val="21"/>
              </w:rPr>
              <w:t>邮政编码</w:t>
            </w:r>
          </w:p>
        </w:tc>
        <w:tc>
          <w:tcPr>
            <w:tcW w:w="1262" w:type="pct"/>
            <w:tcBorders>
              <w:top w:val="single" w:color="auto" w:sz="2" w:space="0"/>
              <w:left w:val="single" w:color="auto" w:sz="2" w:space="0"/>
              <w:bottom w:val="single" w:color="auto" w:sz="2" w:space="0"/>
            </w:tcBorders>
            <w:vAlign w:val="center"/>
          </w:tcPr>
          <w:p w14:paraId="788258BD">
            <w:pPr>
              <w:adjustRightInd w:val="0"/>
              <w:snapToGrid w:val="0"/>
              <w:spacing w:line="300" w:lineRule="exact"/>
              <w:jc w:val="center"/>
              <w:rPr>
                <w:spacing w:val="20"/>
                <w:szCs w:val="21"/>
              </w:rPr>
            </w:pPr>
          </w:p>
        </w:tc>
      </w:tr>
      <w:tr w14:paraId="1A49BFF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3" w:type="pct"/>
            <w:tcBorders>
              <w:top w:val="single" w:color="auto" w:sz="2" w:space="0"/>
              <w:bottom w:val="single" w:color="auto" w:sz="2" w:space="0"/>
              <w:right w:val="single" w:color="auto" w:sz="2" w:space="0"/>
            </w:tcBorders>
            <w:vAlign w:val="center"/>
          </w:tcPr>
          <w:p w14:paraId="4EA65DE6">
            <w:pPr>
              <w:adjustRightInd w:val="0"/>
              <w:snapToGrid w:val="0"/>
              <w:spacing w:line="300" w:lineRule="exact"/>
              <w:jc w:val="center"/>
              <w:rPr>
                <w:szCs w:val="21"/>
              </w:rPr>
            </w:pPr>
            <w:r>
              <w:rPr>
                <w:rFonts w:hint="eastAsia"/>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7650DAB7">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DDC1A74">
            <w:pPr>
              <w:adjustRightInd w:val="0"/>
              <w:snapToGrid w:val="0"/>
              <w:spacing w:line="300" w:lineRule="exact"/>
              <w:jc w:val="center"/>
              <w:rPr>
                <w:szCs w:val="21"/>
              </w:rPr>
            </w:pPr>
            <w:r>
              <w:rPr>
                <w:rFonts w:hint="eastAsia"/>
                <w:szCs w:val="21"/>
              </w:rPr>
              <w:t>电子邮箱</w:t>
            </w:r>
          </w:p>
        </w:tc>
        <w:tc>
          <w:tcPr>
            <w:tcW w:w="1262" w:type="pct"/>
            <w:tcBorders>
              <w:top w:val="single" w:color="auto" w:sz="2" w:space="0"/>
              <w:left w:val="single" w:color="auto" w:sz="2" w:space="0"/>
              <w:bottom w:val="single" w:color="auto" w:sz="2" w:space="0"/>
            </w:tcBorders>
            <w:vAlign w:val="center"/>
          </w:tcPr>
          <w:p w14:paraId="78D4AAD6">
            <w:pPr>
              <w:adjustRightInd w:val="0"/>
              <w:snapToGrid w:val="0"/>
              <w:spacing w:line="300" w:lineRule="exact"/>
              <w:jc w:val="center"/>
              <w:rPr>
                <w:spacing w:val="20"/>
                <w:szCs w:val="21"/>
              </w:rPr>
            </w:pPr>
          </w:p>
        </w:tc>
      </w:tr>
      <w:tr w14:paraId="5CD153C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3" w:type="pct"/>
            <w:tcBorders>
              <w:top w:val="single" w:color="auto" w:sz="2" w:space="0"/>
              <w:bottom w:val="single" w:color="auto" w:sz="2" w:space="0"/>
              <w:right w:val="single" w:color="auto" w:sz="2" w:space="0"/>
            </w:tcBorders>
            <w:vAlign w:val="center"/>
          </w:tcPr>
          <w:p w14:paraId="7493C779">
            <w:pPr>
              <w:adjustRightInd w:val="0"/>
              <w:snapToGrid w:val="0"/>
              <w:spacing w:line="300" w:lineRule="exact"/>
              <w:jc w:val="center"/>
              <w:rPr>
                <w:szCs w:val="21"/>
              </w:rPr>
            </w:pPr>
            <w:r>
              <w:rPr>
                <w:rFonts w:hint="eastAsia"/>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220F11EB">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ED439B4">
            <w:pPr>
              <w:adjustRightInd w:val="0"/>
              <w:snapToGrid w:val="0"/>
              <w:spacing w:line="300" w:lineRule="exact"/>
              <w:jc w:val="center"/>
              <w:rPr>
                <w:szCs w:val="21"/>
              </w:rPr>
            </w:pPr>
            <w:r>
              <w:rPr>
                <w:rFonts w:hint="eastAsia"/>
                <w:szCs w:val="21"/>
              </w:rPr>
              <w:t>统一社会信用代码</w:t>
            </w:r>
          </w:p>
        </w:tc>
        <w:tc>
          <w:tcPr>
            <w:tcW w:w="1262" w:type="pct"/>
            <w:tcBorders>
              <w:top w:val="single" w:color="auto" w:sz="2" w:space="0"/>
              <w:left w:val="single" w:color="auto" w:sz="2" w:space="0"/>
              <w:bottom w:val="single" w:color="auto" w:sz="2" w:space="0"/>
            </w:tcBorders>
            <w:vAlign w:val="center"/>
          </w:tcPr>
          <w:p w14:paraId="435B9AF4">
            <w:pPr>
              <w:adjustRightInd w:val="0"/>
              <w:snapToGrid w:val="0"/>
              <w:spacing w:line="300" w:lineRule="exact"/>
              <w:jc w:val="center"/>
              <w:rPr>
                <w:spacing w:val="20"/>
                <w:szCs w:val="21"/>
              </w:rPr>
            </w:pPr>
          </w:p>
        </w:tc>
      </w:tr>
      <w:tr w14:paraId="724DDAF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3" w:type="pct"/>
            <w:tcBorders>
              <w:top w:val="single" w:color="auto" w:sz="2" w:space="0"/>
              <w:bottom w:val="single" w:color="auto" w:sz="2" w:space="0"/>
              <w:right w:val="single" w:color="auto" w:sz="2" w:space="0"/>
            </w:tcBorders>
            <w:vAlign w:val="center"/>
          </w:tcPr>
          <w:p w14:paraId="5228215F">
            <w:pPr>
              <w:adjustRightInd w:val="0"/>
              <w:snapToGrid w:val="0"/>
              <w:spacing w:line="300" w:lineRule="exact"/>
              <w:jc w:val="center"/>
              <w:rPr>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08A9A19D">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5F05DCC">
            <w:pPr>
              <w:adjustRightInd w:val="0"/>
              <w:snapToGrid w:val="0"/>
              <w:spacing w:line="300" w:lineRule="exact"/>
              <w:jc w:val="center"/>
              <w:rPr>
                <w:szCs w:val="21"/>
              </w:rPr>
            </w:pPr>
            <w:r>
              <w:rPr>
                <w:szCs w:val="21"/>
              </w:rPr>
              <w:t>开户名称</w:t>
            </w:r>
          </w:p>
        </w:tc>
        <w:tc>
          <w:tcPr>
            <w:tcW w:w="1262" w:type="pct"/>
            <w:tcBorders>
              <w:top w:val="single" w:color="auto" w:sz="2" w:space="0"/>
              <w:left w:val="single" w:color="auto" w:sz="2" w:space="0"/>
              <w:bottom w:val="single" w:color="auto" w:sz="2" w:space="0"/>
            </w:tcBorders>
            <w:vAlign w:val="center"/>
          </w:tcPr>
          <w:p w14:paraId="130043A2">
            <w:pPr>
              <w:adjustRightInd w:val="0"/>
              <w:snapToGrid w:val="0"/>
              <w:spacing w:line="300" w:lineRule="exact"/>
              <w:jc w:val="center"/>
              <w:rPr>
                <w:spacing w:val="20"/>
                <w:szCs w:val="21"/>
              </w:rPr>
            </w:pPr>
          </w:p>
        </w:tc>
      </w:tr>
      <w:tr w14:paraId="4AA8601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3" w:type="pct"/>
            <w:tcBorders>
              <w:top w:val="single" w:color="auto" w:sz="2" w:space="0"/>
              <w:bottom w:val="single" w:color="auto" w:sz="2" w:space="0"/>
              <w:right w:val="single" w:color="auto" w:sz="2" w:space="0"/>
            </w:tcBorders>
            <w:vAlign w:val="center"/>
          </w:tcPr>
          <w:p w14:paraId="1E7A6447">
            <w:pPr>
              <w:adjustRightInd w:val="0"/>
              <w:snapToGrid w:val="0"/>
              <w:spacing w:line="300" w:lineRule="exact"/>
              <w:jc w:val="center"/>
              <w:rPr>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08849983">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0C923D1">
            <w:pPr>
              <w:adjustRightInd w:val="0"/>
              <w:snapToGrid w:val="0"/>
              <w:spacing w:line="300" w:lineRule="exact"/>
              <w:jc w:val="center"/>
              <w:rPr>
                <w:szCs w:val="21"/>
              </w:rPr>
            </w:pPr>
            <w:r>
              <w:rPr>
                <w:szCs w:val="21"/>
              </w:rPr>
              <w:t>开户银行</w:t>
            </w:r>
          </w:p>
        </w:tc>
        <w:tc>
          <w:tcPr>
            <w:tcW w:w="1262" w:type="pct"/>
            <w:tcBorders>
              <w:top w:val="single" w:color="auto" w:sz="2" w:space="0"/>
              <w:left w:val="single" w:color="auto" w:sz="2" w:space="0"/>
              <w:bottom w:val="single" w:color="auto" w:sz="2" w:space="0"/>
            </w:tcBorders>
            <w:vAlign w:val="center"/>
          </w:tcPr>
          <w:p w14:paraId="475E403E">
            <w:pPr>
              <w:adjustRightInd w:val="0"/>
              <w:snapToGrid w:val="0"/>
              <w:spacing w:line="300" w:lineRule="exact"/>
              <w:jc w:val="center"/>
              <w:rPr>
                <w:spacing w:val="20"/>
                <w:szCs w:val="21"/>
              </w:rPr>
            </w:pPr>
          </w:p>
        </w:tc>
      </w:tr>
      <w:tr w14:paraId="60D32DF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3" w:type="pct"/>
            <w:tcBorders>
              <w:top w:val="single" w:color="auto" w:sz="2" w:space="0"/>
              <w:bottom w:val="single" w:color="auto" w:sz="2" w:space="0"/>
              <w:right w:val="single" w:color="auto" w:sz="2" w:space="0"/>
            </w:tcBorders>
            <w:vAlign w:val="center"/>
          </w:tcPr>
          <w:p w14:paraId="611493BC">
            <w:pPr>
              <w:adjustRightInd w:val="0"/>
              <w:snapToGrid w:val="0"/>
              <w:spacing w:line="300" w:lineRule="exact"/>
              <w:jc w:val="center"/>
              <w:rPr>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10539499">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52EC62C">
            <w:pPr>
              <w:adjustRightInd w:val="0"/>
              <w:snapToGrid w:val="0"/>
              <w:spacing w:line="300" w:lineRule="exact"/>
              <w:jc w:val="center"/>
              <w:rPr>
                <w:szCs w:val="21"/>
              </w:rPr>
            </w:pPr>
            <w:r>
              <w:rPr>
                <w:szCs w:val="21"/>
              </w:rPr>
              <w:t>银行账号</w:t>
            </w:r>
          </w:p>
        </w:tc>
        <w:tc>
          <w:tcPr>
            <w:tcW w:w="1262" w:type="pct"/>
            <w:tcBorders>
              <w:top w:val="single" w:color="auto" w:sz="2" w:space="0"/>
              <w:left w:val="single" w:color="auto" w:sz="2" w:space="0"/>
              <w:bottom w:val="single" w:color="auto" w:sz="2" w:space="0"/>
            </w:tcBorders>
            <w:vAlign w:val="center"/>
          </w:tcPr>
          <w:p w14:paraId="494BDB90">
            <w:pPr>
              <w:adjustRightInd w:val="0"/>
              <w:snapToGrid w:val="0"/>
              <w:spacing w:line="300" w:lineRule="exact"/>
              <w:jc w:val="center"/>
              <w:rPr>
                <w:spacing w:val="20"/>
                <w:szCs w:val="21"/>
              </w:rPr>
            </w:pPr>
          </w:p>
        </w:tc>
      </w:tr>
      <w:tr w14:paraId="71799DA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7A9075E9">
            <w:pPr>
              <w:pStyle w:val="13"/>
              <w:adjustRightInd w:val="0"/>
              <w:snapToGrid w:val="0"/>
              <w:spacing w:before="156" w:beforeLines="50" w:after="0" w:line="360" w:lineRule="auto"/>
              <w:ind w:left="0" w:leftChars="0"/>
              <w:jc w:val="left"/>
              <w:rPr>
                <w:spacing w:val="20"/>
                <w:szCs w:val="21"/>
              </w:rPr>
            </w:pPr>
            <w:r>
              <w:rPr>
                <w:rFonts w:hint="eastAsia" w:ascii="宋体" w:hAnsi="宋体"/>
                <w:szCs w:val="21"/>
              </w:rPr>
              <w:t>注：涉及联合体或其他合同主体的信息应按上表格式加列。</w:t>
            </w:r>
          </w:p>
        </w:tc>
      </w:tr>
    </w:tbl>
    <w:p w14:paraId="4F0F6CB1">
      <w:pPr>
        <w:pStyle w:val="59"/>
        <w:spacing w:beforeLines="0" w:line="400" w:lineRule="exact"/>
        <w:outlineLvl w:val="9"/>
      </w:pPr>
    </w:p>
    <w:p w14:paraId="4262FC0F">
      <w:pPr>
        <w:spacing w:beforeLines="0" w:line="400" w:lineRule="exact"/>
        <w:outlineLvl w:val="9"/>
        <w:rPr>
          <w:rFonts w:hint="eastAsia" w:ascii="宋体" w:hAnsi="宋体" w:cs="Times New Roman"/>
          <w:b w:val="0"/>
          <w:bCs w:val="0"/>
          <w:sz w:val="21"/>
          <w:szCs w:val="21"/>
          <w:highlight w:val="none"/>
          <w:lang w:val="en-US" w:eastAsia="zh-CN"/>
        </w:rPr>
      </w:pPr>
      <w:r>
        <w:rPr>
          <w:rFonts w:hint="default"/>
          <w:lang w:val="en"/>
        </w:rPr>
        <w:t xml:space="preserve">   </w:t>
      </w:r>
    </w:p>
    <w:p w14:paraId="437579B3">
      <w:pPr>
        <w:jc w:val="center"/>
        <w:outlineLvl w:val="9"/>
        <w:rPr>
          <w:rFonts w:ascii="黑体" w:hAnsi="黑体" w:eastAsia="黑体"/>
          <w:sz w:val="28"/>
          <w:szCs w:val="28"/>
        </w:rPr>
      </w:pPr>
      <w:r>
        <w:rPr>
          <w:rFonts w:ascii="宋体" w:hAnsi="宋体"/>
          <w:sz w:val="21"/>
          <w:szCs w:val="21"/>
          <w:u w:val="single"/>
        </w:rPr>
        <w:br w:type="page"/>
      </w:r>
      <w:bookmarkStart w:id="112" w:name="_Toc27624"/>
      <w:r>
        <w:rPr>
          <w:rFonts w:hint="eastAsia" w:ascii="黑体" w:hAnsi="黑体" w:eastAsia="黑体"/>
          <w:b w:val="0"/>
          <w:bCs w:val="0"/>
          <w:sz w:val="28"/>
          <w:szCs w:val="28"/>
        </w:rPr>
        <w:t>第二节 政府采购合同通用条款</w:t>
      </w:r>
      <w:bookmarkEnd w:id="112"/>
    </w:p>
    <w:p w14:paraId="64FD8F3C">
      <w:pPr>
        <w:tabs>
          <w:tab w:val="left" w:pos="8820"/>
          <w:tab w:val="left" w:pos="9345"/>
          <w:tab w:val="left" w:pos="9765"/>
        </w:tabs>
        <w:adjustRightInd w:val="0"/>
        <w:snapToGrid w:val="0"/>
        <w:spacing w:before="0" w:line="400" w:lineRule="exact"/>
        <w:jc w:val="left"/>
        <w:rPr>
          <w:rFonts w:ascii="宋体" w:hAnsi="宋体"/>
          <w:b/>
          <w:bCs/>
          <w:sz w:val="24"/>
        </w:rPr>
      </w:pPr>
      <w:r>
        <w:rPr>
          <w:rFonts w:hint="eastAsia" w:ascii="宋体" w:hAnsi="宋体"/>
          <w:b/>
          <w:sz w:val="24"/>
        </w:rPr>
        <w:t>1.</w:t>
      </w:r>
      <w:r>
        <w:rPr>
          <w:rFonts w:hint="eastAsia" w:ascii="宋体" w:hAnsi="宋体"/>
          <w:b/>
          <w:sz w:val="24"/>
          <w:lang w:val="en-US" w:eastAsia="zh-CN"/>
        </w:rPr>
        <w:t xml:space="preserve"> </w:t>
      </w:r>
      <w:r>
        <w:rPr>
          <w:rFonts w:hint="eastAsia" w:ascii="宋体" w:hAnsi="宋体"/>
          <w:b/>
          <w:bCs/>
          <w:sz w:val="24"/>
        </w:rPr>
        <w:t>定义</w:t>
      </w:r>
    </w:p>
    <w:p w14:paraId="520A1BC2">
      <w:pPr>
        <w:autoSpaceDE w:val="0"/>
        <w:autoSpaceDN w:val="0"/>
        <w:adjustRightInd w:val="0"/>
        <w:snapToGrid w:val="0"/>
        <w:spacing w:before="0" w:line="400" w:lineRule="exact"/>
        <w:ind w:firstLine="48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1.1合同当事人</w:t>
      </w:r>
    </w:p>
    <w:p w14:paraId="737614B1">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（1）采购人（以下称甲方）是指使用财政性资金，通过政府采购方式向供应商购买货物</w:t>
      </w:r>
      <w:r>
        <w:rPr>
          <w:rFonts w:hint="eastAsia" w:ascii="宋体" w:hAnsi="宋体"/>
          <w:color w:val="auto"/>
          <w:szCs w:val="21"/>
          <w:highlight w:val="none"/>
          <w:lang w:val="en-US" w:eastAsia="zh-CN"/>
        </w:rPr>
        <w:t>及其相关服务的</w:t>
      </w:r>
      <w:r>
        <w:rPr>
          <w:rFonts w:hint="eastAsia" w:ascii="宋体" w:hAnsi="宋体"/>
          <w:color w:val="auto"/>
          <w:szCs w:val="21"/>
          <w:highlight w:val="none"/>
        </w:rPr>
        <w:t>国家机关、事业单位、团体组织。</w:t>
      </w:r>
    </w:p>
    <w:p w14:paraId="48AF7B49">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（2）供应商（以下称</w:t>
      </w:r>
      <w:r>
        <w:rPr>
          <w:rFonts w:hint="eastAsia" w:ascii="宋体" w:hAnsi="宋体"/>
          <w:color w:val="auto"/>
          <w:szCs w:val="21"/>
          <w:highlight w:val="none"/>
          <w:lang w:eastAsia="zh-CN"/>
        </w:rPr>
        <w:t>乙</w:t>
      </w:r>
      <w:r>
        <w:rPr>
          <w:rFonts w:hint="eastAsia" w:ascii="宋体" w:hAnsi="宋体"/>
          <w:color w:val="auto"/>
          <w:szCs w:val="21"/>
          <w:highlight w:val="none"/>
        </w:rPr>
        <w:t>方）是指参加政府采购活动并且中标（成交），向采购人提供</w:t>
      </w:r>
      <w:r>
        <w:rPr>
          <w:rFonts w:hint="eastAsia" w:ascii="宋体" w:hAnsi="宋体"/>
          <w:color w:val="auto"/>
          <w:szCs w:val="21"/>
          <w:highlight w:val="none"/>
          <w:lang w:val="en-US" w:eastAsia="zh-CN"/>
        </w:rPr>
        <w:t>合同约定的货物及其相关服务的法人、非法人组织或者自然人</w:t>
      </w:r>
      <w:r>
        <w:rPr>
          <w:rFonts w:hint="eastAsia" w:ascii="宋体" w:hAnsi="宋体"/>
          <w:color w:val="auto"/>
          <w:szCs w:val="21"/>
          <w:highlight w:val="none"/>
        </w:rPr>
        <w:t>。</w:t>
      </w:r>
    </w:p>
    <w:p w14:paraId="50570309">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（3）其他合同主体是指除采购人和供应商以外，</w:t>
      </w:r>
      <w:r>
        <w:rPr>
          <w:rFonts w:hint="eastAsia" w:ascii="宋体" w:hAnsi="宋体" w:eastAsia="宋体" w:cs="宋体"/>
          <w:bCs/>
          <w:color w:val="000000" w:themeColor="text1"/>
          <w:szCs w:val="21"/>
          <w14:textFill>
            <w14:solidFill>
              <w14:schemeClr w14:val="tx1"/>
            </w14:solidFill>
          </w14:textFill>
        </w:rPr>
        <w:t>依法参与合同缔结或履行，享有权利、承担义务的合同当事人</w:t>
      </w:r>
      <w:r>
        <w:rPr>
          <w:rFonts w:hint="eastAsia" w:ascii="宋体" w:hAnsi="宋体"/>
          <w:color w:val="auto"/>
          <w:szCs w:val="21"/>
          <w:highlight w:val="none"/>
        </w:rPr>
        <w:t>。</w:t>
      </w:r>
    </w:p>
    <w:p w14:paraId="72206D7A">
      <w:pPr>
        <w:tabs>
          <w:tab w:val="left" w:pos="570"/>
          <w:tab w:val="left" w:pos="9240"/>
          <w:tab w:val="left" w:pos="9555"/>
        </w:tabs>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1.2本合同下列术语应解释为：</w:t>
      </w:r>
    </w:p>
    <w:p w14:paraId="18C3E902">
      <w:pPr>
        <w:adjustRightInd w:val="0"/>
        <w:snapToGrid w:val="0"/>
        <w:spacing w:before="0" w:beforeLines="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（1）“合同”系指</w:t>
      </w:r>
      <w:r>
        <w:rPr>
          <w:rFonts w:hint="eastAsia" w:ascii="宋体" w:hAnsi="宋体" w:eastAsia="宋体" w:cs="宋体"/>
          <w:bCs/>
          <w:color w:val="000000" w:themeColor="text1"/>
          <w:szCs w:val="21"/>
          <w14:textFill>
            <w14:solidFill>
              <w14:schemeClr w14:val="tx1"/>
            </w14:solidFill>
          </w14:textFill>
        </w:rPr>
        <w:t>合同当事人意思表示达成一致的任何协议，包括签署的</w:t>
      </w:r>
      <w:r>
        <w:rPr>
          <w:rFonts w:hint="eastAsia" w:ascii="宋体" w:hAnsi="宋体"/>
          <w:color w:val="auto"/>
          <w:szCs w:val="21"/>
          <w:lang w:eastAsia="zh-CN"/>
        </w:rPr>
        <w:t>政府采购</w:t>
      </w:r>
      <w:r>
        <w:rPr>
          <w:rFonts w:hint="eastAsia" w:ascii="宋体" w:hAnsi="宋体"/>
          <w:color w:val="auto"/>
          <w:szCs w:val="21"/>
        </w:rPr>
        <w:t>合同协议书及其变更、补充</w:t>
      </w:r>
      <w:r>
        <w:rPr>
          <w:rFonts w:hint="eastAsia" w:ascii="宋体" w:hAnsi="宋体"/>
          <w:color w:val="auto"/>
          <w:szCs w:val="21"/>
          <w:lang w:eastAsia="zh-CN"/>
        </w:rPr>
        <w:t>协议，</w:t>
      </w:r>
      <w:r>
        <w:rPr>
          <w:rFonts w:hint="eastAsia" w:ascii="宋体" w:hAnsi="宋体"/>
          <w:szCs w:val="21"/>
        </w:rPr>
        <w:t>政府采购合同专用条款</w:t>
      </w:r>
      <w:r>
        <w:rPr>
          <w:rFonts w:hint="eastAsia" w:ascii="宋体" w:hAnsi="宋体"/>
          <w:szCs w:val="21"/>
          <w:lang w:eastAsia="zh-CN"/>
        </w:rPr>
        <w:t>，</w:t>
      </w:r>
      <w:r>
        <w:rPr>
          <w:rFonts w:hint="eastAsia" w:ascii="宋体" w:hAnsi="宋体"/>
          <w:szCs w:val="21"/>
        </w:rPr>
        <w:t>政府采购合同通用条款</w:t>
      </w:r>
      <w:r>
        <w:rPr>
          <w:rFonts w:hint="eastAsia" w:ascii="宋体" w:hAnsi="宋体"/>
          <w:szCs w:val="21"/>
          <w:lang w:eastAsia="zh-CN"/>
        </w:rPr>
        <w:t>，</w:t>
      </w:r>
      <w:r>
        <w:rPr>
          <w:rFonts w:hint="eastAsia" w:ascii="宋体" w:hAnsi="宋体"/>
          <w:color w:val="auto"/>
          <w:szCs w:val="21"/>
        </w:rPr>
        <w:t>中标</w:t>
      </w:r>
      <w:r>
        <w:rPr>
          <w:rFonts w:hint="eastAsia" w:ascii="宋体" w:hAnsi="宋体"/>
          <w:color w:val="auto"/>
          <w:szCs w:val="21"/>
          <w:lang w:eastAsia="zh-CN"/>
        </w:rPr>
        <w:t>（成交）</w:t>
      </w:r>
      <w:r>
        <w:rPr>
          <w:rFonts w:hint="eastAsia" w:ascii="宋体" w:hAnsi="宋体"/>
          <w:color w:val="auto"/>
          <w:szCs w:val="21"/>
        </w:rPr>
        <w:t>通知书</w:t>
      </w:r>
      <w:r>
        <w:rPr>
          <w:rFonts w:hint="eastAsia" w:ascii="宋体" w:hAnsi="宋体"/>
          <w:color w:val="auto"/>
          <w:szCs w:val="21"/>
          <w:lang w:eastAsia="zh-CN"/>
        </w:rPr>
        <w:t>，</w:t>
      </w:r>
      <w:r>
        <w:rPr>
          <w:rFonts w:hint="eastAsia" w:ascii="宋体" w:hAnsi="宋体"/>
          <w:szCs w:val="21"/>
        </w:rPr>
        <w:t>投标（响应）文件</w:t>
      </w:r>
      <w:r>
        <w:rPr>
          <w:rFonts w:hint="eastAsia" w:ascii="宋体" w:hAnsi="宋体"/>
          <w:szCs w:val="21"/>
          <w:lang w:eastAsia="zh-CN"/>
        </w:rPr>
        <w:t>，</w:t>
      </w:r>
      <w:r>
        <w:rPr>
          <w:rFonts w:hint="eastAsia" w:ascii="宋体" w:hAnsi="宋体"/>
          <w:szCs w:val="21"/>
        </w:rPr>
        <w:t>采购文件</w:t>
      </w:r>
      <w:r>
        <w:rPr>
          <w:rFonts w:hint="eastAsia" w:ascii="宋体" w:hAnsi="宋体"/>
          <w:szCs w:val="21"/>
          <w:lang w:eastAsia="zh-CN"/>
        </w:rPr>
        <w:t>，</w:t>
      </w:r>
      <w:r>
        <w:rPr>
          <w:rFonts w:hint="eastAsia" w:ascii="宋体" w:hAnsi="宋体"/>
          <w:szCs w:val="21"/>
        </w:rPr>
        <w:t>有关技术文件</w:t>
      </w:r>
      <w:r>
        <w:rPr>
          <w:rFonts w:hint="eastAsia" w:ascii="宋体" w:hAnsi="宋体"/>
          <w:szCs w:val="21"/>
          <w:lang w:eastAsia="zh-CN"/>
        </w:rPr>
        <w:t>和</w:t>
      </w:r>
      <w:r>
        <w:rPr>
          <w:rFonts w:hint="eastAsia" w:ascii="宋体" w:hAnsi="宋体"/>
          <w:szCs w:val="21"/>
        </w:rPr>
        <w:t>图纸</w:t>
      </w:r>
      <w:r>
        <w:rPr>
          <w:rFonts w:hint="eastAsia" w:ascii="宋体" w:hAnsi="宋体"/>
          <w:szCs w:val="21"/>
          <w:lang w:eastAsia="zh-CN"/>
        </w:rPr>
        <w:t>，以及</w:t>
      </w:r>
      <w:r>
        <w:rPr>
          <w:rFonts w:hint="eastAsia" w:ascii="宋体" w:hAnsi="宋体" w:eastAsia="宋体" w:cs="宋体"/>
          <w:bCs w:val="0"/>
          <w:color w:val="000000" w:themeColor="text1"/>
          <w:kern w:val="2"/>
          <w:sz w:val="21"/>
          <w:szCs w:val="21"/>
          <w:highlight w:val="none"/>
          <w:lang w:eastAsia="zh-CN"/>
          <w14:textFill>
            <w14:solidFill>
              <w14:schemeClr w14:val="tx1"/>
            </w14:solidFill>
          </w14:textFill>
        </w:rPr>
        <w:t>国家法律、行政法规和规章制度规定或合同约定的作为合同组成部分的其他文件</w:t>
      </w:r>
      <w:r>
        <w:rPr>
          <w:rFonts w:hint="eastAsia" w:ascii="宋体" w:hAnsi="宋体"/>
          <w:color w:val="auto"/>
          <w:szCs w:val="21"/>
          <w:highlight w:val="none"/>
        </w:rPr>
        <w:t>。</w:t>
      </w:r>
    </w:p>
    <w:p w14:paraId="56EB0B73">
      <w:pPr>
        <w:tabs>
          <w:tab w:val="left" w:pos="570"/>
          <w:tab w:val="left" w:pos="9240"/>
          <w:tab w:val="left" w:pos="9555"/>
        </w:tabs>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）“合同价</w:t>
      </w:r>
      <w:r>
        <w:rPr>
          <w:rFonts w:hint="eastAsia" w:ascii="宋体" w:hAnsi="宋体"/>
          <w:color w:val="auto"/>
          <w:szCs w:val="21"/>
          <w:highlight w:val="none"/>
          <w:lang w:val="en-US" w:eastAsia="zh-CN"/>
        </w:rPr>
        <w:t>款</w:t>
      </w:r>
      <w:r>
        <w:rPr>
          <w:rFonts w:hint="eastAsia" w:ascii="宋体" w:hAnsi="宋体"/>
          <w:color w:val="auto"/>
          <w:szCs w:val="21"/>
          <w:highlight w:val="none"/>
        </w:rPr>
        <w:t>”系指根据本合同规定乙方在全面履行合同义务后甲方应支付给乙方的价款。</w:t>
      </w:r>
    </w:p>
    <w:p w14:paraId="58D4ED09">
      <w:pPr>
        <w:tabs>
          <w:tab w:val="left" w:pos="570"/>
          <w:tab w:val="left" w:pos="9240"/>
          <w:tab w:val="left" w:pos="9555"/>
        </w:tabs>
        <w:adjustRightInd w:val="0"/>
        <w:snapToGrid w:val="0"/>
        <w:spacing w:before="0" w:line="400" w:lineRule="exact"/>
        <w:ind w:firstLine="480" w:firstLineChars="200"/>
        <w:jc w:val="left"/>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）“货物”系指乙方根据本合同规定须向甲方提供的各种形态和种类的物品，包括原材料、设备、产品（</w:t>
      </w:r>
      <w:r>
        <w:rPr>
          <w:rFonts w:hint="eastAsia" w:ascii="宋体" w:hAnsi="宋体"/>
          <w:color w:val="000000" w:themeColor="text1"/>
          <w:szCs w:val="21"/>
          <w:highlight w:val="none"/>
          <w14:textFill>
            <w14:solidFill>
              <w14:schemeClr w14:val="tx1"/>
            </w14:solidFill>
          </w14:textFill>
        </w:rPr>
        <w:t>包括软件）及相关的其备品备件、工具、手册及</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技术资料和材料</w:t>
      </w:r>
      <w:r>
        <w:rPr>
          <w:rFonts w:hint="eastAsia" w:ascii="宋体" w:hAnsi="宋体"/>
          <w:color w:val="000000" w:themeColor="text1"/>
          <w:szCs w:val="21"/>
          <w:highlight w:val="none"/>
          <w:lang w:eastAsia="zh-CN"/>
          <w14:textFill>
            <w14:solidFill>
              <w14:schemeClr w14:val="tx1"/>
            </w14:solidFill>
          </w14:textFill>
        </w:rPr>
        <w:t>等</w:t>
      </w:r>
      <w:r>
        <w:rPr>
          <w:rFonts w:hint="eastAsia" w:ascii="宋体" w:hAnsi="宋体"/>
          <w:color w:val="000000" w:themeColor="text1"/>
          <w:szCs w:val="21"/>
          <w:highlight w:val="none"/>
          <w14:textFill>
            <w14:solidFill>
              <w14:schemeClr w14:val="tx1"/>
            </w14:solidFill>
          </w14:textFill>
        </w:rPr>
        <w:t>。</w:t>
      </w:r>
    </w:p>
    <w:p w14:paraId="22B7137F">
      <w:pPr>
        <w:adjustRightInd w:val="0"/>
        <w:snapToGrid w:val="0"/>
        <w:spacing w:before="0" w:line="400" w:lineRule="exact"/>
        <w:ind w:firstLine="480" w:firstLineChars="200"/>
        <w:jc w:val="left"/>
        <w:rPr>
          <w:rFonts w:hint="eastAsia" w:ascii="宋体" w:hAnsi="宋体" w:eastAsia="宋体"/>
          <w:color w:val="000000" w:themeColor="text1"/>
          <w:szCs w:val="21"/>
          <w:highlight w:val="yellow"/>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auto"/>
          <w:szCs w:val="21"/>
          <w:highlight w:val="none"/>
          <w:lang w:val="en-US" w:eastAsia="zh-CN"/>
        </w:rPr>
        <w:t>相关</w:t>
      </w:r>
      <w:r>
        <w:rPr>
          <w:rFonts w:hint="eastAsia" w:ascii="宋体" w:hAnsi="宋体"/>
          <w:color w:val="000000" w:themeColor="text1"/>
          <w:szCs w:val="21"/>
          <w:highlight w:val="none"/>
          <w14:textFill>
            <w14:solidFill>
              <w14:schemeClr w14:val="tx1"/>
            </w14:solidFill>
          </w14:textFill>
        </w:rPr>
        <w:t>服务”系指根据合同规定，乙方应提供的</w:t>
      </w:r>
      <w:r>
        <w:rPr>
          <w:rFonts w:hint="eastAsia" w:ascii="宋体" w:hAnsi="宋体"/>
          <w:color w:val="000000" w:themeColor="text1"/>
          <w:szCs w:val="21"/>
          <w:highlight w:val="none"/>
          <w:lang w:val="en-US" w:eastAsia="zh-CN"/>
          <w14:textFill>
            <w14:solidFill>
              <w14:schemeClr w14:val="tx1"/>
            </w14:solidFill>
          </w14:textFill>
        </w:rPr>
        <w:t>与货物有关的</w:t>
      </w:r>
      <w:r>
        <w:rPr>
          <w:rFonts w:hint="eastAsia" w:ascii="宋体" w:hAnsi="宋体"/>
          <w:color w:val="000000" w:themeColor="text1"/>
          <w:szCs w:val="21"/>
          <w:highlight w:val="none"/>
          <w14:textFill>
            <w14:solidFill>
              <w14:schemeClr w14:val="tx1"/>
            </w14:solidFill>
          </w14:textFill>
        </w:rPr>
        <w:t>技术、管理和</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服务，包括但不限于：管理和质量保证、运输、保险、检验、现场准备、安装、集成、调试、培训、维修、</w:t>
      </w:r>
      <w:r>
        <w:rPr>
          <w:rFonts w:hint="eastAsia" w:ascii="宋体" w:hAnsi="宋体"/>
          <w:color w:val="000000" w:themeColor="text1"/>
          <w:szCs w:val="21"/>
          <w:highlight w:val="none"/>
          <w:lang w:eastAsia="zh-CN"/>
          <w14:textFill>
            <w14:solidFill>
              <w14:schemeClr w14:val="tx1"/>
            </w14:solidFill>
          </w14:textFill>
        </w:rPr>
        <w:t>废弃处置、</w:t>
      </w:r>
      <w:r>
        <w:rPr>
          <w:rFonts w:hint="eastAsia" w:ascii="宋体" w:hAnsi="宋体"/>
          <w:color w:val="000000" w:themeColor="text1"/>
          <w:szCs w:val="21"/>
          <w:highlight w:val="none"/>
          <w14:textFill>
            <w14:solidFill>
              <w14:schemeClr w14:val="tx1"/>
            </w14:solidFill>
          </w14:textFill>
        </w:rPr>
        <w:t>技术支持等以及合同中规定乙方应承担的</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义务。</w:t>
      </w:r>
    </w:p>
    <w:p w14:paraId="230E124E">
      <w:pPr>
        <w:adjustRightInd w:val="0"/>
        <w:snapToGrid w:val="0"/>
        <w:spacing w:before="0" w:line="400" w:lineRule="exact"/>
        <w:ind w:firstLine="480" w:firstLineChars="200"/>
        <w:jc w:val="left"/>
        <w:rPr>
          <w:rFonts w:hint="eastAsia" w:ascii="宋体" w:hAnsi="宋体" w:eastAsia="宋体"/>
          <w:color w:val="000000" w:themeColor="text1"/>
          <w:szCs w:val="21"/>
          <w:highlight w:val="yellow"/>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）“分包”系指中标</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成交</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供应商按采购文件、投标（响应）文件的规定，根据分包意向协议，将中标</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成交</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项目中的部分履约内容，分给具有相应资质条件的供应商履行合同的行为。</w:t>
      </w:r>
    </w:p>
    <w:p w14:paraId="6A2F2A69">
      <w:pPr>
        <w:tabs>
          <w:tab w:val="left" w:pos="570"/>
          <w:tab w:val="left" w:pos="9240"/>
          <w:tab w:val="left" w:pos="9555"/>
        </w:tabs>
        <w:adjustRightInd w:val="0"/>
        <w:snapToGrid w:val="0"/>
        <w:spacing w:before="0" w:line="400" w:lineRule="exact"/>
        <w:ind w:firstLine="48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w:t>
      </w:r>
      <w:r>
        <w:rPr>
          <w:rFonts w:hint="eastAsia" w:ascii="宋体" w:hAnsi="宋体"/>
          <w:szCs w:val="21"/>
        </w:rPr>
        <w:t>“联合体”系指</w:t>
      </w:r>
      <w:r>
        <w:rPr>
          <w:rFonts w:hint="eastAsia" w:ascii="宋体" w:hAnsi="宋体"/>
          <w:szCs w:val="21"/>
          <w:lang w:eastAsia="zh-CN"/>
        </w:rPr>
        <w:t>由</w:t>
      </w:r>
      <w:r>
        <w:rPr>
          <w:rFonts w:hint="eastAsia" w:ascii="宋体" w:hAnsi="宋体"/>
          <w:szCs w:val="21"/>
        </w:rPr>
        <w:t>两个以上的自然人、法人或者</w:t>
      </w:r>
      <w:r>
        <w:rPr>
          <w:rFonts w:hint="eastAsia" w:ascii="宋体" w:hAnsi="宋体"/>
          <w:szCs w:val="21"/>
          <w:lang w:val="en-US" w:eastAsia="zh-CN"/>
        </w:rPr>
        <w:t>非法人</w:t>
      </w:r>
      <w:r>
        <w:rPr>
          <w:rFonts w:hint="eastAsia" w:ascii="宋体" w:hAnsi="宋体"/>
          <w:szCs w:val="21"/>
        </w:rPr>
        <w:t>组织组成，</w:t>
      </w:r>
      <w:r>
        <w:rPr>
          <w:rFonts w:hint="eastAsia" w:ascii="宋体" w:hAnsi="宋体"/>
          <w:szCs w:val="21"/>
          <w:lang w:eastAsia="zh-CN"/>
        </w:rPr>
        <w:t>以一个供应商的身份共同参加政府采购的主体</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color w:val="000000" w:themeColor="text1"/>
          <w:szCs w:val="21"/>
          <w:highlight w:val="none"/>
          <w:lang w:eastAsia="zh-CN"/>
          <w14:textFill>
            <w14:solidFill>
              <w14:schemeClr w14:val="tx1"/>
            </w14:solidFill>
          </w14:textFill>
        </w:rPr>
        <w:t>甲方</w:t>
      </w:r>
      <w:r>
        <w:rPr>
          <w:rFonts w:hint="eastAsia" w:ascii="宋体" w:hAnsi="宋体"/>
          <w:color w:val="000000" w:themeColor="text1"/>
          <w:szCs w:val="21"/>
          <w:highlight w:val="none"/>
          <w14:textFill>
            <w14:solidFill>
              <w14:schemeClr w14:val="tx1"/>
            </w14:solidFill>
          </w14:textFill>
        </w:rPr>
        <w:t>承担连带责任。联合体具体要求见【</w:t>
      </w:r>
      <w:r>
        <w:rPr>
          <w:rFonts w:hint="eastAsia" w:ascii="宋体" w:hAnsi="宋体"/>
          <w:b/>
          <w:bCs/>
          <w:color w:val="000000" w:themeColor="text1"/>
          <w:szCs w:val="21"/>
          <w:highlight w:val="none"/>
          <w14:textFill>
            <w14:solidFill>
              <w14:schemeClr w14:val="tx1"/>
            </w14:solidFill>
          </w14:textFill>
        </w:rPr>
        <w:t>政府采购合同专用条款</w:t>
      </w:r>
      <w:r>
        <w:rPr>
          <w:rFonts w:hint="eastAsia" w:ascii="宋体" w:hAnsi="宋体"/>
          <w:color w:val="000000" w:themeColor="text1"/>
          <w:szCs w:val="21"/>
          <w:highlight w:val="none"/>
          <w14:textFill>
            <w14:solidFill>
              <w14:schemeClr w14:val="tx1"/>
            </w14:solidFill>
          </w14:textFill>
        </w:rPr>
        <w:t>】。</w:t>
      </w:r>
    </w:p>
    <w:p w14:paraId="4366694A">
      <w:pPr>
        <w:tabs>
          <w:tab w:val="left" w:pos="570"/>
          <w:tab w:val="left" w:pos="9240"/>
          <w:tab w:val="left" w:pos="9555"/>
        </w:tabs>
        <w:adjustRightInd w:val="0"/>
        <w:snapToGrid w:val="0"/>
        <w:spacing w:before="0" w:line="400" w:lineRule="exact"/>
        <w:ind w:firstLine="48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）其他术语解释，见【</w:t>
      </w:r>
      <w:r>
        <w:rPr>
          <w:rFonts w:hint="eastAsia" w:ascii="宋体" w:hAnsi="宋体"/>
          <w:b/>
          <w:bCs/>
          <w:color w:val="000000" w:themeColor="text1"/>
          <w:szCs w:val="21"/>
          <w:highlight w:val="none"/>
          <w14:textFill>
            <w14:solidFill>
              <w14:schemeClr w14:val="tx1"/>
            </w14:solidFill>
          </w14:textFill>
        </w:rPr>
        <w:t>政府采购合同专用条款</w:t>
      </w:r>
      <w:r>
        <w:rPr>
          <w:rFonts w:hint="eastAsia" w:ascii="宋体" w:hAnsi="宋体"/>
          <w:color w:val="000000" w:themeColor="text1"/>
          <w:szCs w:val="21"/>
          <w:highlight w:val="none"/>
          <w14:textFill>
            <w14:solidFill>
              <w14:schemeClr w14:val="tx1"/>
            </w14:solidFill>
          </w14:textFill>
        </w:rPr>
        <w:t>】。</w:t>
      </w:r>
    </w:p>
    <w:p w14:paraId="6DFF5ABA">
      <w:pPr>
        <w:numPr>
          <w:ilvl w:val="0"/>
          <w:numId w:val="14"/>
        </w:numPr>
        <w:autoSpaceDE w:val="0"/>
        <w:autoSpaceDN w:val="0"/>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合同标的及金额</w:t>
      </w:r>
    </w:p>
    <w:p w14:paraId="323D9B43">
      <w:pPr>
        <w:autoSpaceDE w:val="0"/>
        <w:autoSpaceDN w:val="0"/>
        <w:adjustRightInd w:val="0"/>
        <w:snapToGrid w:val="0"/>
        <w:spacing w:before="0" w:line="400" w:lineRule="exact"/>
        <w:ind w:firstLine="480" w:firstLineChars="200"/>
        <w:jc w:val="left"/>
        <w:rPr>
          <w:rFonts w:ascii="宋体" w:hAnsi="宋体"/>
          <w:b/>
          <w:bCs/>
          <w:i/>
          <w:iCs/>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.1 合同标的及金额应与中标（成交）结果一致。乙方为履行本合同而发生的所有费用均应包含在合同</w:t>
      </w:r>
      <w:r>
        <w:rPr>
          <w:rFonts w:hint="eastAsia" w:ascii="宋体" w:hAnsi="宋体"/>
          <w:color w:val="000000" w:themeColor="text1"/>
          <w:szCs w:val="21"/>
          <w:highlight w:val="none"/>
          <w:lang w:eastAsia="zh-CN"/>
          <w14:textFill>
            <w14:solidFill>
              <w14:schemeClr w14:val="tx1"/>
            </w14:solidFill>
          </w14:textFill>
        </w:rPr>
        <w:t>价款</w:t>
      </w:r>
      <w:r>
        <w:rPr>
          <w:rFonts w:hint="eastAsia" w:ascii="宋体" w:hAnsi="宋体"/>
          <w:color w:val="000000" w:themeColor="text1"/>
          <w:szCs w:val="21"/>
          <w:highlight w:val="none"/>
          <w14:textFill>
            <w14:solidFill>
              <w14:schemeClr w14:val="tx1"/>
            </w14:solidFill>
          </w14:textFill>
        </w:rPr>
        <w:t>中，甲方不再另行支付</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任何费用。</w:t>
      </w:r>
    </w:p>
    <w:p w14:paraId="01BA015B">
      <w:pPr>
        <w:adjustRightInd w:val="0"/>
        <w:snapToGrid w:val="0"/>
        <w:spacing w:before="0" w:line="400" w:lineRule="exact"/>
        <w:jc w:val="left"/>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lang w:eastAsia="zh-CN"/>
          <w14:textFill>
            <w14:solidFill>
              <w14:schemeClr w14:val="tx1"/>
            </w14:solidFill>
          </w14:textFill>
        </w:rPr>
        <w:t>3</w:t>
      </w:r>
      <w:r>
        <w:rPr>
          <w:rFonts w:hint="eastAsia" w:ascii="宋体" w:hAnsi="宋体"/>
          <w:b/>
          <w:color w:val="000000" w:themeColor="text1"/>
          <w:sz w:val="24"/>
          <w:highlight w:val="none"/>
          <w:lang w:val="en-US" w:eastAsia="zh-CN"/>
          <w14:textFill>
            <w14:solidFill>
              <w14:schemeClr w14:val="tx1"/>
            </w14:solidFill>
          </w14:textFill>
        </w:rPr>
        <w:t xml:space="preserve">. </w:t>
      </w:r>
      <w:r>
        <w:rPr>
          <w:rFonts w:hint="eastAsia" w:ascii="宋体" w:hAnsi="宋体"/>
          <w:b/>
          <w:color w:val="000000" w:themeColor="text1"/>
          <w:sz w:val="24"/>
          <w:highlight w:val="none"/>
          <w14:textFill>
            <w14:solidFill>
              <w14:schemeClr w14:val="tx1"/>
            </w14:solidFill>
          </w14:textFill>
        </w:rPr>
        <w:t>履行合同的时间、地点和方式</w:t>
      </w:r>
    </w:p>
    <w:p w14:paraId="2C79D5F0">
      <w:pPr>
        <w:autoSpaceDE w:val="0"/>
        <w:autoSpaceDN w:val="0"/>
        <w:adjustRightInd w:val="0"/>
        <w:snapToGrid w:val="0"/>
        <w:spacing w:before="0" w:line="400" w:lineRule="exact"/>
        <w:ind w:firstLine="48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 xml:space="preserve">.1 </w:t>
      </w:r>
      <w:r>
        <w:rPr>
          <w:rFonts w:hint="eastAsia" w:ascii="宋体" w:hAnsi="宋体" w:eastAsia="宋体" w:cs="宋体"/>
          <w:szCs w:val="21"/>
        </w:rPr>
        <w:t>乙方应当在约定的时间、地点</w:t>
      </w:r>
      <w:r>
        <w:rPr>
          <w:rFonts w:hint="eastAsia" w:ascii="宋体" w:hAnsi="宋体" w:cs="宋体"/>
          <w:szCs w:val="21"/>
          <w:lang w:eastAsia="zh-CN"/>
        </w:rPr>
        <w:t>，按照约定</w:t>
      </w:r>
      <w:r>
        <w:rPr>
          <w:rFonts w:hint="eastAsia" w:ascii="宋体" w:hAnsi="宋体" w:eastAsia="宋体" w:cs="宋体"/>
          <w:szCs w:val="21"/>
        </w:rPr>
        <w:t>方式履行合同。</w:t>
      </w:r>
    </w:p>
    <w:p w14:paraId="5F26B62E">
      <w:pPr>
        <w:autoSpaceDE w:val="0"/>
        <w:autoSpaceDN w:val="0"/>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lang w:eastAsia="zh-CN"/>
          <w14:textFill>
            <w14:solidFill>
              <w14:schemeClr w14:val="tx1"/>
            </w14:solidFill>
          </w14:textFill>
        </w:rPr>
        <w:t>4</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甲方的权利和义务</w:t>
      </w:r>
    </w:p>
    <w:p w14:paraId="68F47689">
      <w:pPr>
        <w:autoSpaceDE w:val="0"/>
        <w:autoSpaceDN w:val="0"/>
        <w:adjustRightInd w:val="0"/>
        <w:snapToGrid w:val="0"/>
        <w:spacing w:before="0" w:line="400" w:lineRule="exact"/>
        <w:ind w:firstLine="48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.1</w:t>
      </w:r>
      <w:r>
        <w:rPr>
          <w:rFonts w:ascii="宋体" w:hAnsi="宋体"/>
          <w:color w:val="000000" w:themeColor="text1"/>
          <w:szCs w:val="21"/>
          <w:highlight w:val="none"/>
          <w14:textFill>
            <w14:solidFill>
              <w14:schemeClr w14:val="tx1"/>
            </w14:solidFill>
          </w14:textFill>
        </w:rPr>
        <w:t xml:space="preserve"> 签署合同后，甲方</w:t>
      </w:r>
      <w:r>
        <w:rPr>
          <w:rFonts w:hint="eastAsia" w:ascii="宋体" w:hAnsi="宋体"/>
          <w:color w:val="000000" w:themeColor="text1"/>
          <w:szCs w:val="21"/>
          <w:highlight w:val="none"/>
          <w:lang w:eastAsia="zh-CN"/>
          <w14:textFill>
            <w14:solidFill>
              <w14:schemeClr w14:val="tx1"/>
            </w14:solidFill>
          </w14:textFill>
        </w:rPr>
        <w:t>应</w:t>
      </w:r>
      <w:r>
        <w:rPr>
          <w:rFonts w:ascii="宋体" w:hAnsi="宋体"/>
          <w:color w:val="000000" w:themeColor="text1"/>
          <w:szCs w:val="21"/>
          <w:highlight w:val="none"/>
          <w14:textFill>
            <w14:solidFill>
              <w14:schemeClr w14:val="tx1"/>
            </w14:solidFill>
          </w14:textFill>
        </w:rPr>
        <w:t>确定</w:t>
      </w:r>
      <w:r>
        <w:rPr>
          <w:rFonts w:hint="eastAsia" w:ascii="宋体" w:hAnsi="宋体"/>
          <w:color w:val="000000" w:themeColor="text1"/>
          <w:szCs w:val="21"/>
          <w:highlight w:val="none"/>
          <w:lang w:val="en-US" w:eastAsia="zh-CN"/>
          <w14:textFill>
            <w14:solidFill>
              <w14:schemeClr w14:val="tx1"/>
            </w14:solidFill>
          </w14:textFill>
        </w:rPr>
        <w:t>项目负责人（或项目联系人）</w:t>
      </w:r>
      <w:r>
        <w:rPr>
          <w:rFonts w:ascii="宋体" w:hAnsi="宋体"/>
          <w:color w:val="000000" w:themeColor="text1"/>
          <w:szCs w:val="21"/>
          <w:highlight w:val="none"/>
          <w14:textFill>
            <w14:solidFill>
              <w14:schemeClr w14:val="tx1"/>
            </w14:solidFill>
          </w14:textFill>
        </w:rPr>
        <w:t>，负责与本合同有关的事务。</w:t>
      </w:r>
      <w:r>
        <w:rPr>
          <w:rFonts w:hint="eastAsia" w:ascii="宋体" w:hAnsi="宋体"/>
          <w:color w:val="000000" w:themeColor="text1"/>
          <w:szCs w:val="21"/>
          <w:highlight w:val="none"/>
          <w14:textFill>
            <w14:solidFill>
              <w14:schemeClr w14:val="tx1"/>
            </w14:solidFill>
          </w14:textFill>
        </w:rPr>
        <w:t>甲方有权对乙方的履约行为进行检查，并</w:t>
      </w:r>
      <w:r>
        <w:rPr>
          <w:rFonts w:ascii="宋体" w:hAnsi="宋体"/>
          <w:color w:val="000000" w:themeColor="text1"/>
          <w:szCs w:val="21"/>
          <w:highlight w:val="none"/>
          <w14:textFill>
            <w14:solidFill>
              <w14:schemeClr w14:val="tx1"/>
            </w14:solidFill>
          </w14:textFill>
        </w:rPr>
        <w:t>及时确认乙方提交的事项</w:t>
      </w:r>
      <w:r>
        <w:rPr>
          <w:rFonts w:hint="eastAsia" w:ascii="宋体" w:hAnsi="宋体"/>
          <w:color w:val="000000" w:themeColor="text1"/>
          <w:szCs w:val="21"/>
          <w:highlight w:val="none"/>
          <w14:textFill>
            <w14:solidFill>
              <w14:schemeClr w14:val="tx1"/>
            </w14:solidFill>
          </w14:textFill>
        </w:rPr>
        <w:t>。甲方应当</w:t>
      </w:r>
      <w:r>
        <w:rPr>
          <w:rFonts w:ascii="宋体" w:hAnsi="宋体"/>
          <w:color w:val="000000" w:themeColor="text1"/>
          <w:szCs w:val="21"/>
          <w:highlight w:val="none"/>
          <w14:textFill>
            <w14:solidFill>
              <w14:schemeClr w14:val="tx1"/>
            </w14:solidFill>
          </w14:textFill>
        </w:rPr>
        <w:t>配合乙方完成</w:t>
      </w:r>
      <w:r>
        <w:rPr>
          <w:rFonts w:hint="eastAsia" w:ascii="宋体" w:hAnsi="宋体"/>
          <w:color w:val="000000" w:themeColor="text1"/>
          <w:szCs w:val="21"/>
          <w:highlight w:val="none"/>
          <w14:textFill>
            <w14:solidFill>
              <w14:schemeClr w14:val="tx1"/>
            </w14:solidFill>
          </w14:textFill>
        </w:rPr>
        <w:t>相关项目</w:t>
      </w:r>
      <w:r>
        <w:rPr>
          <w:rFonts w:ascii="宋体" w:hAnsi="宋体"/>
          <w:color w:val="000000" w:themeColor="text1"/>
          <w:szCs w:val="21"/>
          <w:highlight w:val="none"/>
          <w14:textFill>
            <w14:solidFill>
              <w14:schemeClr w14:val="tx1"/>
            </w14:solidFill>
          </w14:textFill>
        </w:rPr>
        <w:t>实施工作。</w:t>
      </w:r>
    </w:p>
    <w:p w14:paraId="58E3FB99">
      <w:pPr>
        <w:autoSpaceDE w:val="0"/>
        <w:autoSpaceDN w:val="0"/>
        <w:adjustRightInd w:val="0"/>
        <w:snapToGrid w:val="0"/>
        <w:spacing w:before="0" w:line="400" w:lineRule="exact"/>
        <w:ind w:firstLine="48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 xml:space="preserve">.2 </w:t>
      </w:r>
      <w:r>
        <w:rPr>
          <w:rFonts w:ascii="宋体" w:hAnsi="宋体"/>
          <w:color w:val="000000" w:themeColor="text1"/>
          <w:szCs w:val="21"/>
          <w:highlight w:val="none"/>
          <w14:textFill>
            <w14:solidFill>
              <w14:schemeClr w14:val="tx1"/>
            </w14:solidFill>
          </w14:textFill>
        </w:rPr>
        <w:t>甲方有权要求乙方按时提交各阶段有关</w:t>
      </w:r>
      <w:r>
        <w:rPr>
          <w:rFonts w:hint="eastAsia" w:ascii="宋体" w:hAnsi="宋体"/>
          <w:color w:val="000000" w:themeColor="text1"/>
          <w:szCs w:val="21"/>
          <w:highlight w:val="none"/>
          <w14:textFill>
            <w14:solidFill>
              <w14:schemeClr w14:val="tx1"/>
            </w14:solidFill>
          </w14:textFill>
        </w:rPr>
        <w:t>安排计划</w:t>
      </w:r>
      <w:r>
        <w:rPr>
          <w:rFonts w:ascii="宋体" w:hAnsi="宋体"/>
          <w:color w:val="000000" w:themeColor="text1"/>
          <w:szCs w:val="21"/>
          <w:highlight w:val="none"/>
          <w14:textFill>
            <w14:solidFill>
              <w14:schemeClr w14:val="tx1"/>
            </w14:solidFill>
          </w14:textFill>
        </w:rPr>
        <w:t>，并有权</w:t>
      </w:r>
      <w:r>
        <w:rPr>
          <w:rFonts w:hint="eastAsia" w:ascii="宋体" w:hAnsi="宋体"/>
          <w:color w:val="000000" w:themeColor="text1"/>
          <w:szCs w:val="21"/>
          <w:highlight w:val="none"/>
          <w14:textFill>
            <w14:solidFill>
              <w14:schemeClr w14:val="tx1"/>
            </w14:solidFill>
          </w14:textFill>
        </w:rPr>
        <w:t>定期核对乙方提供货物数量、规格、质量等内容。甲方</w:t>
      </w:r>
      <w:r>
        <w:rPr>
          <w:rFonts w:ascii="宋体" w:hAnsi="宋体"/>
          <w:color w:val="000000" w:themeColor="text1"/>
          <w:szCs w:val="21"/>
          <w:highlight w:val="none"/>
          <w14:textFill>
            <w14:solidFill>
              <w14:schemeClr w14:val="tx1"/>
            </w14:solidFill>
          </w14:textFill>
        </w:rPr>
        <w:t>有权督促乙方工作并要求乙方</w:t>
      </w:r>
      <w:r>
        <w:rPr>
          <w:rFonts w:hint="eastAsia" w:ascii="宋体" w:hAnsi="宋体"/>
          <w:color w:val="000000" w:themeColor="text1"/>
          <w:szCs w:val="21"/>
          <w:highlight w:val="none"/>
          <w14:textFill>
            <w14:solidFill>
              <w14:schemeClr w14:val="tx1"/>
            </w14:solidFill>
          </w14:textFill>
        </w:rPr>
        <w:t>更</w:t>
      </w:r>
      <w:r>
        <w:rPr>
          <w:rFonts w:ascii="宋体" w:hAnsi="宋体"/>
          <w:color w:val="000000" w:themeColor="text1"/>
          <w:szCs w:val="21"/>
          <w:highlight w:val="none"/>
          <w14:textFill>
            <w14:solidFill>
              <w14:schemeClr w14:val="tx1"/>
            </w14:solidFill>
          </w14:textFill>
        </w:rPr>
        <w:t>换不符合要求的</w:t>
      </w:r>
      <w:r>
        <w:rPr>
          <w:rFonts w:hint="eastAsia" w:ascii="宋体" w:hAnsi="宋体"/>
          <w:color w:val="000000" w:themeColor="text1"/>
          <w:szCs w:val="21"/>
          <w:highlight w:val="none"/>
          <w14:textFill>
            <w14:solidFill>
              <w14:schemeClr w14:val="tx1"/>
            </w14:solidFill>
          </w14:textFill>
        </w:rPr>
        <w:t>货物</w:t>
      </w:r>
      <w:r>
        <w:rPr>
          <w:rFonts w:ascii="宋体" w:hAnsi="宋体"/>
          <w:color w:val="000000" w:themeColor="text1"/>
          <w:szCs w:val="21"/>
          <w:highlight w:val="none"/>
          <w14:textFill>
            <w14:solidFill>
              <w14:schemeClr w14:val="tx1"/>
            </w14:solidFill>
          </w14:textFill>
        </w:rPr>
        <w:t>。</w:t>
      </w:r>
    </w:p>
    <w:p w14:paraId="079903B6">
      <w:pPr>
        <w:autoSpaceDE w:val="0"/>
        <w:autoSpaceDN w:val="0"/>
        <w:adjustRightInd w:val="0"/>
        <w:snapToGrid w:val="0"/>
        <w:spacing w:before="0" w:line="400" w:lineRule="exact"/>
        <w:ind w:firstLine="48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 xml:space="preserve"> </w:t>
      </w:r>
      <w:r>
        <w:rPr>
          <w:rFonts w:ascii="宋体" w:hAnsi="宋体"/>
          <w:color w:val="000000" w:themeColor="text1"/>
          <w:szCs w:val="21"/>
          <w:highlight w:val="none"/>
          <w14:textFill>
            <w14:solidFill>
              <w14:schemeClr w14:val="tx1"/>
            </w14:solidFill>
          </w14:textFill>
        </w:rPr>
        <w:t>甲方</w:t>
      </w:r>
      <w:r>
        <w:rPr>
          <w:rFonts w:hint="eastAsia" w:ascii="宋体" w:hAnsi="宋体"/>
          <w:color w:val="000000" w:themeColor="text1"/>
          <w:szCs w:val="21"/>
          <w:highlight w:val="none"/>
          <w14:textFill>
            <w14:solidFill>
              <w14:schemeClr w14:val="tx1"/>
            </w14:solidFill>
          </w14:textFill>
        </w:rPr>
        <w:t>有权要求乙方对缺陷部分予以修复，并按合同约定享有货物保修及其他合同约定的权利。</w:t>
      </w:r>
    </w:p>
    <w:p w14:paraId="2DCD7E6F">
      <w:pPr>
        <w:snapToGrid w:val="0"/>
        <w:spacing w:line="400" w:lineRule="exact"/>
        <w:ind w:firstLine="480" w:firstLineChars="200"/>
        <w:rPr>
          <w:rFonts w:hint="eastAsia" w:eastAsia="华文楷体"/>
          <w:lang w:val="en-US" w:eastAsia="zh-CN"/>
        </w:rPr>
      </w:pPr>
      <w:r>
        <w:rPr>
          <w:rFonts w:hint="default" w:ascii="宋体" w:hAnsi="宋体"/>
          <w:color w:val="000000" w:themeColor="text1"/>
          <w:szCs w:val="21"/>
          <w:highlight w:val="none"/>
          <w:lang w:val="en-US" w:eastAsia="zh-CN"/>
          <w14:textFill>
            <w14:solidFill>
              <w14:schemeClr w14:val="tx1"/>
            </w14:solidFill>
          </w14:textFill>
        </w:rPr>
        <w:t>4.4 甲方应当按照合同约定及时对交付的货物进行验收</w:t>
      </w:r>
      <w:r>
        <w:rPr>
          <w:rFonts w:hint="eastAsia" w:ascii="宋体" w:hAnsi="宋体"/>
          <w:color w:val="000000" w:themeColor="text1"/>
          <w:szCs w:val="21"/>
          <w:highlight w:val="none"/>
          <w:lang w:val="en-US" w:eastAsia="zh-CN"/>
          <w14:textFill>
            <w14:solidFill>
              <w14:schemeClr w14:val="tx1"/>
            </w14:solidFill>
          </w14:textFill>
        </w:rPr>
        <w:t>，</w:t>
      </w:r>
      <w:r>
        <w:rPr>
          <w:rFonts w:hint="eastAsia" w:ascii="宋体" w:hAnsi="宋体" w:cs="宋体"/>
          <w:b w:val="0"/>
          <w:bCs w:val="0"/>
          <w:szCs w:val="21"/>
          <w:highlight w:val="none"/>
          <w:lang w:eastAsia="zh-CN"/>
        </w:rPr>
        <w:t>未</w:t>
      </w:r>
      <w:r>
        <w:rPr>
          <w:rFonts w:hint="eastAsia" w:ascii="宋体" w:hAnsi="宋体"/>
          <w:color w:val="000000" w:themeColor="text1"/>
          <w:szCs w:val="21"/>
          <w:highlight w:val="none"/>
          <w:lang w:val="en-US" w:eastAsia="zh-CN"/>
          <w14:textFill>
            <w14:solidFill>
              <w14:schemeClr w14:val="tx1"/>
            </w14:solidFill>
          </w14:textFill>
        </w:rPr>
        <w:t>在</w:t>
      </w:r>
      <w:r>
        <w:rPr>
          <w:rFonts w:hint="eastAsia" w:ascii="宋体" w:hAnsi="宋体" w:eastAsia="宋体" w:cs="宋体"/>
          <w:b/>
          <w:bCs/>
          <w:szCs w:val="21"/>
          <w:highlight w:val="none"/>
        </w:rPr>
        <w:t>【政府采购合同专用条款】</w:t>
      </w:r>
      <w:r>
        <w:rPr>
          <w:rFonts w:hint="eastAsia" w:ascii="宋体" w:hAnsi="宋体" w:cs="宋体"/>
          <w:b w:val="0"/>
          <w:bCs w:val="0"/>
          <w:szCs w:val="21"/>
          <w:highlight w:val="none"/>
          <w:lang w:eastAsia="zh-CN"/>
        </w:rPr>
        <w:t>约定的期限内对乙方履约提出任何异议或者向乙方作出任何说明的，</w:t>
      </w:r>
      <w:r>
        <w:rPr>
          <w:rFonts w:hint="eastAsia" w:ascii="宋体" w:hAnsi="宋体"/>
          <w:color w:val="000000" w:themeColor="text1"/>
          <w:szCs w:val="21"/>
          <w:highlight w:val="none"/>
          <w:lang w:val="en-US" w:eastAsia="zh-CN"/>
          <w14:textFill>
            <w14:solidFill>
              <w14:schemeClr w14:val="tx1"/>
            </w14:solidFill>
          </w14:textFill>
        </w:rPr>
        <w:t>视为验收通过。</w:t>
      </w:r>
    </w:p>
    <w:p w14:paraId="26C0EC8B">
      <w:pPr>
        <w:autoSpaceDE w:val="0"/>
        <w:autoSpaceDN w:val="0"/>
        <w:adjustRightInd w:val="0"/>
        <w:snapToGrid w:val="0"/>
        <w:spacing w:line="400" w:lineRule="exact"/>
        <w:ind w:firstLine="480" w:firstLineChars="200"/>
        <w:jc w:val="left"/>
        <w:rPr>
          <w:rFonts w:hint="eastAsia" w:ascii="宋体" w:hAnsi="宋体"/>
          <w:color w:val="000000" w:themeColor="text1"/>
          <w:szCs w:val="21"/>
          <w:highlight w:val="none"/>
          <w14:textFill>
            <w14:solidFill>
              <w14:schemeClr w14:val="tx1"/>
            </w14:solidFill>
          </w14:textFill>
        </w:rPr>
      </w:pPr>
      <w:r>
        <w:rPr>
          <w:rFonts w:hint="default"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hint="default" w:ascii="宋体" w:hAnsi="宋体"/>
          <w:color w:val="000000" w:themeColor="text1"/>
          <w:szCs w:val="21"/>
          <w:highlight w:val="none"/>
          <w:lang w:val="en-US" w:eastAsia="zh-CN"/>
          <w14:textFill>
            <w14:solidFill>
              <w14:schemeClr w14:val="tx1"/>
            </w14:solidFill>
          </w14:textFill>
        </w:rPr>
        <w:t>5</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甲方应当根据合同约定</w:t>
      </w:r>
      <w:r>
        <w:rPr>
          <w:rFonts w:hint="eastAsia" w:ascii="宋体" w:hAnsi="宋体"/>
          <w:color w:val="000000" w:themeColor="text1"/>
          <w:szCs w:val="21"/>
          <w:highlight w:val="none"/>
          <w:lang w:eastAsia="zh-CN"/>
          <w14:textFill>
            <w14:solidFill>
              <w14:schemeClr w14:val="tx1"/>
            </w14:solidFill>
          </w14:textFill>
        </w:rPr>
        <w:t>及</w:t>
      </w:r>
      <w:r>
        <w:rPr>
          <w:rFonts w:hint="eastAsia" w:ascii="宋体" w:hAnsi="宋体"/>
          <w:color w:val="000000" w:themeColor="text1"/>
          <w:szCs w:val="21"/>
          <w:highlight w:val="none"/>
          <w14:textFill>
            <w14:solidFill>
              <w14:schemeClr w14:val="tx1"/>
            </w14:solidFill>
          </w14:textFill>
        </w:rPr>
        <w:t>时向乙方支付</w:t>
      </w:r>
      <w:r>
        <w:rPr>
          <w:rFonts w:hint="eastAsia" w:ascii="宋体" w:hAnsi="宋体"/>
          <w:color w:val="000000" w:themeColor="text1"/>
          <w:szCs w:val="21"/>
          <w:highlight w:val="none"/>
          <w:lang w:eastAsia="zh-CN"/>
          <w14:textFill>
            <w14:solidFill>
              <w14:schemeClr w14:val="tx1"/>
            </w14:solidFill>
          </w14:textFill>
        </w:rPr>
        <w:t>合同价款</w:t>
      </w:r>
      <w:r>
        <w:rPr>
          <w:rFonts w:hint="default" w:ascii="宋体" w:hAnsi="宋体"/>
          <w:color w:val="000000" w:themeColor="text1"/>
          <w:szCs w:val="21"/>
          <w:highlight w:val="none"/>
          <w:lang w:eastAsia="zh-CN"/>
          <w14:textFill>
            <w14:solidFill>
              <w14:schemeClr w14:val="tx1"/>
            </w14:solidFill>
          </w14:textFill>
        </w:rPr>
        <w:t>，不得以内部人员变更、履行内部付款流程等为由，拒绝或迟延支付。</w:t>
      </w:r>
    </w:p>
    <w:p w14:paraId="50FD82C5">
      <w:pPr>
        <w:autoSpaceDE w:val="0"/>
        <w:autoSpaceDN w:val="0"/>
        <w:adjustRightInd w:val="0"/>
        <w:snapToGrid w:val="0"/>
        <w:spacing w:before="0" w:line="400" w:lineRule="exact"/>
        <w:ind w:firstLine="48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6</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国家法律法规规定</w:t>
      </w:r>
      <w:r>
        <w:rPr>
          <w:rFonts w:hint="eastAsia" w:ascii="宋体" w:hAnsi="宋体"/>
          <w:color w:val="000000" w:themeColor="text1"/>
          <w:szCs w:val="21"/>
          <w:highlight w:val="none"/>
          <w:lang w:eastAsia="zh-CN"/>
          <w14:textFill>
            <w14:solidFill>
              <w14:schemeClr w14:val="tx1"/>
            </w14:solidFill>
          </w14:textFill>
        </w:rPr>
        <w:t>及</w:t>
      </w:r>
      <w:r>
        <w:rPr>
          <w:rFonts w:hint="eastAsia" w:ascii="宋体" w:hAnsi="宋体" w:eastAsia="宋体" w:cs="宋体"/>
          <w:b/>
          <w:bCs/>
          <w:szCs w:val="21"/>
          <w:highlight w:val="none"/>
        </w:rPr>
        <w:t>【政府采购合同专用条款】</w:t>
      </w:r>
      <w:r>
        <w:rPr>
          <w:rFonts w:hint="eastAsia" w:ascii="宋体" w:hAnsi="宋体"/>
          <w:color w:val="000000" w:themeColor="text1"/>
          <w:szCs w:val="21"/>
          <w:highlight w:val="none"/>
          <w:lang w:eastAsia="zh-CN"/>
          <w14:textFill>
            <w14:solidFill>
              <w14:schemeClr w14:val="tx1"/>
            </w14:solidFill>
          </w14:textFill>
        </w:rPr>
        <w:t>约定应</w:t>
      </w:r>
      <w:r>
        <w:rPr>
          <w:rFonts w:hint="eastAsia" w:ascii="宋体" w:hAnsi="宋体"/>
          <w:color w:val="000000" w:themeColor="text1"/>
          <w:szCs w:val="21"/>
          <w:highlight w:val="none"/>
          <w14:textFill>
            <w14:solidFill>
              <w14:schemeClr w14:val="tx1"/>
            </w14:solidFill>
          </w14:textFill>
        </w:rPr>
        <w:t>由甲方承担的其他义务和责任。</w:t>
      </w:r>
    </w:p>
    <w:p w14:paraId="721B74B5">
      <w:pPr>
        <w:autoSpaceDE w:val="0"/>
        <w:autoSpaceDN w:val="0"/>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lang w:eastAsia="zh-CN"/>
          <w14:textFill>
            <w14:solidFill>
              <w14:schemeClr w14:val="tx1"/>
            </w14:solidFill>
          </w14:textFill>
        </w:rPr>
        <w:t>5</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乙方的权利和义务</w:t>
      </w:r>
    </w:p>
    <w:p w14:paraId="49BB43AA">
      <w:pPr>
        <w:autoSpaceDE w:val="0"/>
        <w:autoSpaceDN w:val="0"/>
        <w:adjustRightInd w:val="0"/>
        <w:snapToGrid w:val="0"/>
        <w:spacing w:before="0" w:line="400" w:lineRule="exact"/>
        <w:ind w:firstLine="48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 xml:space="preserve">.1 </w:t>
      </w:r>
      <w:r>
        <w:rPr>
          <w:rFonts w:ascii="宋体" w:hAnsi="宋体"/>
          <w:color w:val="000000" w:themeColor="text1"/>
          <w:szCs w:val="21"/>
          <w:highlight w:val="none"/>
          <w14:textFill>
            <w14:solidFill>
              <w14:schemeClr w14:val="tx1"/>
            </w14:solidFill>
          </w14:textFill>
        </w:rPr>
        <w:t>签署合同后，乙方</w:t>
      </w:r>
      <w:r>
        <w:rPr>
          <w:rFonts w:hint="eastAsia" w:ascii="宋体" w:hAnsi="宋体"/>
          <w:color w:val="000000" w:themeColor="text1"/>
          <w:szCs w:val="21"/>
          <w:highlight w:val="none"/>
          <w:lang w:eastAsia="zh-CN"/>
          <w14:textFill>
            <w14:solidFill>
              <w14:schemeClr w14:val="tx1"/>
            </w14:solidFill>
          </w14:textFill>
        </w:rPr>
        <w:t>应</w:t>
      </w:r>
      <w:r>
        <w:rPr>
          <w:rFonts w:ascii="宋体" w:hAnsi="宋体"/>
          <w:color w:val="000000" w:themeColor="text1"/>
          <w:szCs w:val="21"/>
          <w:highlight w:val="none"/>
          <w14:textFill>
            <w14:solidFill>
              <w14:schemeClr w14:val="tx1"/>
            </w14:solidFill>
          </w14:textFill>
        </w:rPr>
        <w:t>确定</w:t>
      </w:r>
      <w:r>
        <w:rPr>
          <w:rFonts w:hint="eastAsia" w:ascii="宋体" w:hAnsi="宋体"/>
          <w:color w:val="000000" w:themeColor="text1"/>
          <w:szCs w:val="21"/>
          <w:highlight w:val="none"/>
          <w:lang w:val="en-US" w:eastAsia="zh-CN"/>
          <w14:textFill>
            <w14:solidFill>
              <w14:schemeClr w14:val="tx1"/>
            </w14:solidFill>
          </w14:textFill>
        </w:rPr>
        <w:t>项目负责人（或项目联系人）</w:t>
      </w:r>
      <w:r>
        <w:rPr>
          <w:rFonts w:ascii="宋体" w:hAnsi="宋体"/>
          <w:color w:val="000000" w:themeColor="text1"/>
          <w:szCs w:val="21"/>
          <w:highlight w:val="none"/>
          <w14:textFill>
            <w14:solidFill>
              <w14:schemeClr w14:val="tx1"/>
            </w14:solidFill>
          </w14:textFill>
        </w:rPr>
        <w:t>，负责与本合同有关的事务。</w:t>
      </w:r>
    </w:p>
    <w:p w14:paraId="789BFB7D">
      <w:pPr>
        <w:autoSpaceDE w:val="0"/>
        <w:autoSpaceDN w:val="0"/>
        <w:adjustRightInd w:val="0"/>
        <w:snapToGrid w:val="0"/>
        <w:spacing w:before="0" w:line="400" w:lineRule="exact"/>
        <w:ind w:firstLine="48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2 乙方应按照合同要求</w:t>
      </w:r>
      <w:r>
        <w:rPr>
          <w:rFonts w:hint="eastAsia" w:ascii="宋体" w:hAnsi="宋体"/>
          <w:color w:val="000000" w:themeColor="text1"/>
          <w:szCs w:val="21"/>
          <w:highlight w:val="none"/>
          <w14:textFill>
            <w14:solidFill>
              <w14:schemeClr w14:val="tx1"/>
            </w14:solidFill>
          </w14:textFill>
        </w:rPr>
        <w:t>履约</w:t>
      </w:r>
      <w:r>
        <w:rPr>
          <w:rFonts w:ascii="宋体" w:hAnsi="宋体"/>
          <w:color w:val="000000" w:themeColor="text1"/>
          <w:szCs w:val="21"/>
          <w:highlight w:val="none"/>
          <w14:textFill>
            <w14:solidFill>
              <w14:schemeClr w14:val="tx1"/>
            </w14:solidFill>
          </w14:textFill>
        </w:rPr>
        <w:t>，充分合理安排，确保</w:t>
      </w:r>
      <w:r>
        <w:rPr>
          <w:rFonts w:hint="eastAsia" w:ascii="宋体" w:hAnsi="宋体"/>
          <w:color w:val="000000" w:themeColor="text1"/>
          <w:szCs w:val="21"/>
          <w:highlight w:val="none"/>
          <w14:textFill>
            <w14:solidFill>
              <w14:schemeClr w14:val="tx1"/>
            </w14:solidFill>
          </w14:textFill>
        </w:rPr>
        <w:t>提供的货物</w:t>
      </w:r>
      <w:r>
        <w:rPr>
          <w:rFonts w:hint="eastAsia" w:ascii="宋体" w:hAnsi="宋体"/>
          <w:color w:val="000000" w:themeColor="text1"/>
          <w:szCs w:val="21"/>
          <w:highlight w:val="none"/>
          <w:lang w:eastAsia="zh-CN"/>
          <w14:textFill>
            <w14:solidFill>
              <w14:schemeClr w14:val="tx1"/>
            </w14:solidFill>
          </w14:textFill>
        </w:rPr>
        <w:t>及相关</w:t>
      </w:r>
      <w:r>
        <w:rPr>
          <w:rFonts w:hint="eastAsia" w:ascii="宋体" w:hAnsi="宋体"/>
          <w:color w:val="000000" w:themeColor="text1"/>
          <w:szCs w:val="21"/>
          <w:highlight w:val="none"/>
          <w14:textFill>
            <w14:solidFill>
              <w14:schemeClr w14:val="tx1"/>
            </w14:solidFill>
          </w14:textFill>
        </w:rPr>
        <w:t>服务符合合同</w:t>
      </w:r>
      <w:r>
        <w:rPr>
          <w:rFonts w:hint="eastAsia" w:ascii="宋体" w:hAnsi="宋体"/>
          <w:color w:val="000000" w:themeColor="text1"/>
          <w:szCs w:val="21"/>
          <w:highlight w:val="none"/>
          <w:lang w:eastAsia="zh-CN"/>
          <w14:textFill>
            <w14:solidFill>
              <w14:schemeClr w14:val="tx1"/>
            </w14:solidFill>
          </w14:textFill>
        </w:rPr>
        <w:t>有关</w:t>
      </w:r>
      <w:r>
        <w:rPr>
          <w:rFonts w:ascii="宋体" w:hAnsi="宋体"/>
          <w:color w:val="000000" w:themeColor="text1"/>
          <w:szCs w:val="21"/>
          <w:highlight w:val="none"/>
          <w14:textFill>
            <w14:solidFill>
              <w14:schemeClr w14:val="tx1"/>
            </w14:solidFill>
          </w14:textFill>
        </w:rPr>
        <w:t>要求</w:t>
      </w:r>
      <w:r>
        <w:rPr>
          <w:rFonts w:hint="eastAsia" w:ascii="宋体" w:hAnsi="宋体"/>
          <w:color w:val="000000" w:themeColor="text1"/>
          <w:szCs w:val="21"/>
          <w:highlight w:val="none"/>
          <w14:textFill>
            <w14:solidFill>
              <w14:schemeClr w14:val="tx1"/>
            </w14:solidFill>
          </w14:textFill>
        </w:rPr>
        <w:t>。接受项目行业管理部门及政府有关部门的指导，配合甲方的履约检查</w:t>
      </w:r>
      <w:r>
        <w:rPr>
          <w:rFonts w:hint="eastAsia" w:ascii="宋体" w:hAnsi="宋体"/>
          <w:color w:val="000000" w:themeColor="text1"/>
          <w:szCs w:val="21"/>
          <w:highlight w:val="none"/>
          <w:lang w:eastAsia="zh-CN"/>
          <w14:textFill>
            <w14:solidFill>
              <w14:schemeClr w14:val="tx1"/>
            </w14:solidFill>
          </w14:textFill>
        </w:rPr>
        <w:t>及验收</w:t>
      </w:r>
      <w:r>
        <w:rPr>
          <w:rFonts w:hint="eastAsia" w:ascii="宋体" w:hAnsi="宋体"/>
          <w:color w:val="000000" w:themeColor="text1"/>
          <w:szCs w:val="21"/>
          <w:highlight w:val="none"/>
          <w14:textFill>
            <w14:solidFill>
              <w14:schemeClr w14:val="tx1"/>
            </w14:solidFill>
          </w14:textFill>
        </w:rPr>
        <w:t>，并</w:t>
      </w:r>
      <w:r>
        <w:rPr>
          <w:rFonts w:ascii="宋体" w:hAnsi="宋体"/>
          <w:color w:val="000000" w:themeColor="text1"/>
          <w:szCs w:val="21"/>
          <w:highlight w:val="none"/>
          <w14:textFill>
            <w14:solidFill>
              <w14:schemeClr w14:val="tx1"/>
            </w14:solidFill>
          </w14:textFill>
        </w:rPr>
        <w:t>负责项目实施过程中的所有协调工作。</w:t>
      </w:r>
    </w:p>
    <w:p w14:paraId="1802F786">
      <w:pPr>
        <w:pStyle w:val="12"/>
        <w:numPr>
          <w:ilvl w:val="0"/>
          <w:numId w:val="0"/>
        </w:numPr>
        <w:spacing w:after="0" w:line="400" w:lineRule="exact"/>
        <w:ind w:left="0" w:leftChars="0" w:firstLine="387" w:firstLineChars="176"/>
        <w:rPr>
          <w:rFonts w:ascii="宋体" w:hAnsi="宋体" w:cs="宋体"/>
          <w:color w:val="000000" w:themeColor="text1"/>
          <w:szCs w:val="21"/>
          <w:highlight w:val="none"/>
          <w14:textFill>
            <w14:solidFill>
              <w14:schemeClr w14:val="tx1"/>
            </w14:solidFill>
          </w14:textFill>
        </w:rPr>
      </w:pPr>
      <w:r>
        <w:rPr>
          <w:rFonts w:hint="eastAsia" w:ascii="宋体" w:hAnsi="宋体" w:eastAsia="黑体" w:cs="宋体"/>
          <w:color w:val="000000" w:themeColor="text1"/>
          <w:sz w:val="22"/>
          <w:szCs w:val="21"/>
          <w:lang w:val="en-US" w:eastAsia="en-US" w:bidi="en-US"/>
          <w14:textFill>
            <w14:solidFill>
              <w14:schemeClr w14:val="tx1"/>
            </w14:solidFill>
          </w14:textFill>
        </w:rPr>
        <w:t>3.</w:t>
      </w: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乙方有权</w:t>
      </w:r>
      <w:r>
        <w:rPr>
          <w:rFonts w:hint="eastAsia" w:ascii="宋体" w:hAnsi="宋体" w:cs="宋体"/>
          <w:color w:val="000000" w:themeColor="text1"/>
          <w:szCs w:val="21"/>
          <w:highlight w:val="none"/>
          <w14:textFill>
            <w14:solidFill>
              <w14:schemeClr w14:val="tx1"/>
            </w14:solidFill>
          </w14:textFill>
        </w:rPr>
        <w:t>根据合同约定向甲方收取</w:t>
      </w:r>
      <w:r>
        <w:rPr>
          <w:rFonts w:hint="eastAsia" w:ascii="宋体" w:hAnsi="宋体" w:cs="宋体"/>
          <w:color w:val="000000" w:themeColor="text1"/>
          <w:szCs w:val="21"/>
          <w:highlight w:val="none"/>
          <w:lang w:eastAsia="zh-CN"/>
          <w14:textFill>
            <w14:solidFill>
              <w14:schemeClr w14:val="tx1"/>
            </w14:solidFill>
          </w14:textFill>
        </w:rPr>
        <w:t>合同价款</w:t>
      </w:r>
      <w:r>
        <w:rPr>
          <w:rFonts w:hint="eastAsia" w:ascii="宋体" w:hAnsi="宋体" w:cs="宋体"/>
          <w:color w:val="000000" w:themeColor="text1"/>
          <w:szCs w:val="21"/>
          <w:highlight w:val="none"/>
          <w14:textFill>
            <w14:solidFill>
              <w14:schemeClr w14:val="tx1"/>
            </w14:solidFill>
          </w14:textFill>
        </w:rPr>
        <w:t>。</w:t>
      </w:r>
    </w:p>
    <w:p w14:paraId="68D8489A">
      <w:pPr>
        <w:pStyle w:val="12"/>
        <w:numPr>
          <w:ilvl w:val="0"/>
          <w:numId w:val="0"/>
        </w:numPr>
        <w:spacing w:after="0" w:line="400" w:lineRule="exact"/>
        <w:ind w:left="0" w:leftChars="0" w:firstLine="387" w:firstLineChars="176"/>
        <w:rPr>
          <w:rFonts w:ascii="宋体" w:hAnsi="宋体" w:cs="宋体"/>
          <w:color w:val="000000" w:themeColor="text1"/>
          <w:szCs w:val="21"/>
          <w:highlight w:val="none"/>
          <w14:textFill>
            <w14:solidFill>
              <w14:schemeClr w14:val="tx1"/>
            </w14:solidFill>
          </w14:textFill>
        </w:rPr>
      </w:pPr>
      <w:r>
        <w:rPr>
          <w:rFonts w:hint="eastAsia" w:ascii="宋体" w:hAnsi="宋体" w:eastAsia="黑体" w:cs="宋体"/>
          <w:color w:val="000000" w:themeColor="text1"/>
          <w:sz w:val="22"/>
          <w:szCs w:val="21"/>
          <w:lang w:val="en-US" w:eastAsia="en-US" w:bidi="en-US"/>
          <w14:textFill>
            <w14:solidFill>
              <w14:schemeClr w14:val="tx1"/>
            </w14:solidFill>
          </w14:textFill>
        </w:rPr>
        <w:t>4.</w:t>
      </w: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4</w:t>
      </w:r>
      <w:r>
        <w:rPr>
          <w:rFonts w:hint="eastAsia" w:ascii="宋体" w:hAnsi="宋体" w:cs="宋体"/>
          <w:color w:val="000000" w:themeColor="text1"/>
          <w:szCs w:val="21"/>
          <w:highlight w:val="none"/>
          <w14:textFill>
            <w14:solidFill>
              <w14:schemeClr w14:val="tx1"/>
            </w14:solidFill>
          </w14:textFill>
        </w:rPr>
        <w:t>国家法律法规规定</w:t>
      </w:r>
      <w:r>
        <w:rPr>
          <w:rFonts w:hint="eastAsia" w:ascii="宋体" w:hAnsi="宋体"/>
          <w:color w:val="000000" w:themeColor="text1"/>
          <w:szCs w:val="21"/>
          <w:highlight w:val="none"/>
          <w:lang w:eastAsia="zh-CN"/>
          <w14:textFill>
            <w14:solidFill>
              <w14:schemeClr w14:val="tx1"/>
            </w14:solidFill>
          </w14:textFill>
        </w:rPr>
        <w:t>及</w:t>
      </w:r>
      <w:r>
        <w:rPr>
          <w:rFonts w:hint="eastAsia" w:ascii="宋体" w:hAnsi="宋体" w:eastAsia="宋体" w:cs="宋体"/>
          <w:b/>
          <w:bCs/>
          <w:szCs w:val="21"/>
          <w:highlight w:val="none"/>
        </w:rPr>
        <w:t>【政府采购合同专用条款】</w:t>
      </w:r>
      <w:r>
        <w:rPr>
          <w:rFonts w:hint="eastAsia" w:ascii="宋体" w:hAnsi="宋体" w:cs="宋体"/>
          <w:b w:val="0"/>
          <w:bCs w:val="0"/>
          <w:szCs w:val="21"/>
          <w:highlight w:val="none"/>
          <w:lang w:eastAsia="zh-CN"/>
        </w:rPr>
        <w:t>约定应</w:t>
      </w:r>
      <w:r>
        <w:rPr>
          <w:rFonts w:hint="eastAsia" w:ascii="宋体" w:hAnsi="宋体" w:cs="宋体"/>
          <w:color w:val="000000" w:themeColor="text1"/>
          <w:szCs w:val="21"/>
          <w:highlight w:val="none"/>
          <w14:textFill>
            <w14:solidFill>
              <w14:schemeClr w14:val="tx1"/>
            </w14:solidFill>
          </w14:textFill>
        </w:rPr>
        <w:t>由乙方承担的其他义务和责任。</w:t>
      </w:r>
    </w:p>
    <w:p w14:paraId="5556C82F">
      <w:pPr>
        <w:numPr>
          <w:ilvl w:val="0"/>
          <w:numId w:val="15"/>
        </w:numPr>
        <w:autoSpaceDE w:val="0"/>
        <w:autoSpaceDN w:val="0"/>
        <w:adjustRightInd w:val="0"/>
        <w:snapToGrid w:val="0"/>
        <w:spacing w:before="0" w:line="400" w:lineRule="exact"/>
        <w:jc w:val="left"/>
        <w:rPr>
          <w:rFonts w:hint="eastAsia"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合同履</w:t>
      </w:r>
      <w:r>
        <w:rPr>
          <w:rFonts w:hint="eastAsia" w:ascii="宋体" w:hAnsi="宋体"/>
          <w:b/>
          <w:bCs/>
          <w:color w:val="000000" w:themeColor="text1"/>
          <w:sz w:val="24"/>
          <w:highlight w:val="none"/>
          <w:lang w:val="en-US" w:eastAsia="zh-CN"/>
          <w14:textFill>
            <w14:solidFill>
              <w14:schemeClr w14:val="tx1"/>
            </w14:solidFill>
          </w14:textFill>
        </w:rPr>
        <w:t>行</w:t>
      </w:r>
    </w:p>
    <w:p w14:paraId="3EA2F3A7">
      <w:pPr>
        <w:autoSpaceDE w:val="0"/>
        <w:autoSpaceDN w:val="0"/>
        <w:adjustRightInd w:val="0"/>
        <w:snapToGrid w:val="0"/>
        <w:spacing w:before="0" w:line="400" w:lineRule="exact"/>
        <w:ind w:firstLine="48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.1 甲乙双方应当按照</w:t>
      </w:r>
      <w:r>
        <w:rPr>
          <w:rFonts w:hint="eastAsia" w:ascii="宋体" w:hAnsi="宋体" w:eastAsia="宋体" w:cs="宋体"/>
          <w:b/>
          <w:bCs/>
          <w:szCs w:val="21"/>
          <w:highlight w:val="none"/>
        </w:rPr>
        <w:t>【政府采购合同专用条款】</w:t>
      </w:r>
      <w:r>
        <w:rPr>
          <w:rFonts w:hint="eastAsia" w:ascii="宋体" w:hAnsi="宋体"/>
          <w:color w:val="000000" w:themeColor="text1"/>
          <w:szCs w:val="21"/>
          <w:highlight w:val="none"/>
          <w14:textFill>
            <w14:solidFill>
              <w14:schemeClr w14:val="tx1"/>
            </w14:solidFill>
          </w14:textFill>
        </w:rPr>
        <w:t>约定顺序履行合同义务；如果没有先后顺序的，应当同时履行。</w:t>
      </w:r>
    </w:p>
    <w:p w14:paraId="32935053">
      <w:pPr>
        <w:autoSpaceDE w:val="0"/>
        <w:autoSpaceDN w:val="0"/>
        <w:adjustRightInd w:val="0"/>
        <w:snapToGrid w:val="0"/>
        <w:spacing w:before="0" w:line="400" w:lineRule="exact"/>
        <w:ind w:firstLine="480" w:firstLineChars="200"/>
        <w:jc w:val="left"/>
      </w:pPr>
      <w:r>
        <w:rPr>
          <w:rFonts w:hint="eastAsia" w:ascii="宋体" w:hAnsi="宋体"/>
          <w:color w:val="000000" w:themeColor="text1"/>
          <w:szCs w:val="21"/>
          <w:highlight w:val="none"/>
          <w:lang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.2 甲乙双方按照合同约定顺序履行合同义务时，应当先履行一方未履行的，后履行一方有权拒绝其履行请求。先履行一方履行不符合约定的，后履行一方有权拒绝其相应的履行请求。</w:t>
      </w:r>
    </w:p>
    <w:p w14:paraId="698184E1">
      <w:pPr>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lang w:eastAsia="zh-CN"/>
          <w14:textFill>
            <w14:solidFill>
              <w14:schemeClr w14:val="tx1"/>
            </w14:solidFill>
          </w14:textFill>
        </w:rPr>
        <w:t>7</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货物包装、运输</w:t>
      </w:r>
      <w:r>
        <w:rPr>
          <w:rFonts w:hint="eastAsia" w:ascii="宋体" w:hAnsi="宋体"/>
          <w:b/>
          <w:bCs/>
          <w:color w:val="000000" w:themeColor="text1"/>
          <w:sz w:val="24"/>
          <w:highlight w:val="none"/>
          <w:lang w:eastAsia="zh-CN"/>
          <w14:textFill>
            <w14:solidFill>
              <w14:schemeClr w14:val="tx1"/>
            </w14:solidFill>
          </w14:textFill>
        </w:rPr>
        <w:t>、</w:t>
      </w:r>
      <w:r>
        <w:rPr>
          <w:rFonts w:hint="eastAsia" w:ascii="宋体" w:hAnsi="宋体"/>
          <w:b/>
          <w:bCs/>
          <w:color w:val="000000" w:themeColor="text1"/>
          <w:sz w:val="24"/>
          <w:highlight w:val="none"/>
          <w14:textFill>
            <w14:solidFill>
              <w14:schemeClr w14:val="tx1"/>
            </w14:solidFill>
          </w14:textFill>
        </w:rPr>
        <w:t>保险</w:t>
      </w:r>
      <w:r>
        <w:rPr>
          <w:rFonts w:hint="eastAsia" w:ascii="宋体" w:hAnsi="宋体"/>
          <w:b/>
          <w:bCs/>
          <w:color w:val="000000" w:themeColor="text1"/>
          <w:sz w:val="24"/>
          <w:highlight w:val="none"/>
          <w:lang w:eastAsia="zh-CN"/>
          <w14:textFill>
            <w14:solidFill>
              <w14:schemeClr w14:val="tx1"/>
            </w14:solidFill>
          </w14:textFill>
        </w:rPr>
        <w:t>和交付</w:t>
      </w:r>
      <w:r>
        <w:rPr>
          <w:rFonts w:hint="eastAsia" w:ascii="宋体" w:hAnsi="宋体"/>
          <w:b/>
          <w:bCs/>
          <w:color w:val="000000" w:themeColor="text1"/>
          <w:sz w:val="24"/>
          <w:highlight w:val="none"/>
          <w14:textFill>
            <w14:solidFill>
              <w14:schemeClr w14:val="tx1"/>
            </w14:solidFill>
          </w14:textFill>
        </w:rPr>
        <w:t>要求</w:t>
      </w:r>
    </w:p>
    <w:p w14:paraId="66A5AD8B">
      <w:pPr>
        <w:autoSpaceDE w:val="0"/>
        <w:autoSpaceDN w:val="0"/>
        <w:adjustRightInd w:val="0"/>
        <w:snapToGrid w:val="0"/>
        <w:spacing w:before="0" w:line="400" w:lineRule="exact"/>
        <w:ind w:firstLine="48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.1 本合同</w:t>
      </w:r>
      <w:r>
        <w:rPr>
          <w:rFonts w:hint="eastAsia" w:ascii="宋体" w:hAnsi="宋体"/>
          <w:bCs/>
          <w:color w:val="000000" w:themeColor="text1"/>
          <w:szCs w:val="21"/>
          <w:highlight w:val="none"/>
          <w14:textFill>
            <w14:solidFill>
              <w14:schemeClr w14:val="tx1"/>
            </w14:solidFill>
          </w14:textFill>
        </w:rPr>
        <w:t>涉及商品包装</w:t>
      </w:r>
      <w:r>
        <w:rPr>
          <w:rFonts w:hint="eastAsia" w:ascii="宋体" w:hAnsi="宋体"/>
          <w:bCs/>
          <w:color w:val="000000" w:themeColor="text1"/>
          <w:szCs w:val="21"/>
          <w:highlight w:val="none"/>
          <w:lang w:eastAsia="zh-CN"/>
          <w14:textFill>
            <w14:solidFill>
              <w14:schemeClr w14:val="tx1"/>
            </w14:solidFill>
          </w14:textFill>
        </w:rPr>
        <w:t>、</w:t>
      </w:r>
      <w:r>
        <w:rPr>
          <w:rFonts w:hint="eastAsia" w:ascii="宋体" w:hAnsi="宋体"/>
          <w:bCs/>
          <w:color w:val="000000" w:themeColor="text1"/>
          <w:szCs w:val="21"/>
          <w:highlight w:val="none"/>
          <w14:textFill>
            <w14:solidFill>
              <w14:schemeClr w14:val="tx1"/>
            </w14:solidFill>
          </w14:textFill>
        </w:rPr>
        <w:t>快递包装的，</w:t>
      </w:r>
      <w:r>
        <w:rPr>
          <w:rFonts w:hint="eastAsia" w:ascii="宋体" w:hAnsi="宋体"/>
          <w:color w:val="000000" w:themeColor="text1"/>
          <w:szCs w:val="21"/>
          <w:highlight w:val="none"/>
          <w14:textFill>
            <w14:solidFill>
              <w14:schemeClr w14:val="tx1"/>
            </w14:solidFill>
          </w14:textFill>
        </w:rPr>
        <w:t>除</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Cs/>
          <w:color w:val="000000" w:themeColor="text1"/>
          <w:szCs w:val="21"/>
          <w:highlight w:val="none"/>
          <w14:textFill>
            <w14:solidFill>
              <w14:schemeClr w14:val="tx1"/>
            </w14:solidFill>
          </w14:textFill>
        </w:rPr>
        <w:t>另有</w:t>
      </w:r>
      <w:r>
        <w:rPr>
          <w:rFonts w:hint="eastAsia" w:ascii="宋体" w:hAnsi="宋体"/>
          <w:bCs/>
          <w:color w:val="000000" w:themeColor="text1"/>
          <w:szCs w:val="21"/>
          <w:highlight w:val="none"/>
          <w:lang w:eastAsia="zh-CN"/>
          <w14:textFill>
            <w14:solidFill>
              <w14:schemeClr w14:val="tx1"/>
            </w14:solidFill>
          </w14:textFill>
        </w:rPr>
        <w:t>约</w:t>
      </w:r>
      <w:r>
        <w:rPr>
          <w:rFonts w:hint="eastAsia" w:ascii="宋体" w:hAnsi="宋体"/>
          <w:bCs/>
          <w:color w:val="000000" w:themeColor="text1"/>
          <w:szCs w:val="21"/>
          <w:highlight w:val="none"/>
          <w14:textFill>
            <w14:solidFill>
              <w14:schemeClr w14:val="tx1"/>
            </w14:solidFill>
          </w14:textFill>
        </w:rPr>
        <w:t>定</w:t>
      </w:r>
      <w:r>
        <w:rPr>
          <w:rFonts w:hint="eastAsia" w:ascii="宋体" w:hAnsi="宋体"/>
          <w:bCs/>
          <w:color w:val="000000" w:themeColor="text1"/>
          <w:szCs w:val="21"/>
          <w:highlight w:val="none"/>
          <w:lang w:eastAsia="zh-CN"/>
          <w14:textFill>
            <w14:solidFill>
              <w14:schemeClr w14:val="tx1"/>
            </w14:solidFill>
          </w14:textFill>
        </w:rPr>
        <w:t>外</w:t>
      </w:r>
      <w:r>
        <w:rPr>
          <w:rFonts w:hint="eastAsia" w:ascii="宋体" w:hAnsi="宋体"/>
          <w:bCs/>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包装应适应远距离运输、防潮、防震、防锈和防野蛮装卸等要求，确保货物安全无损地运抵</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 w:val="0"/>
          <w:bCs/>
          <w:color w:val="000000" w:themeColor="text1"/>
          <w:szCs w:val="21"/>
          <w:highlight w:val="none"/>
          <w:lang w:eastAsia="zh-CN"/>
          <w14:textFill>
            <w14:solidFill>
              <w14:schemeClr w14:val="tx1"/>
            </w14:solidFill>
          </w14:textFill>
        </w:rPr>
        <w:t>约定的</w:t>
      </w:r>
      <w:r>
        <w:rPr>
          <w:rFonts w:hint="eastAsia" w:ascii="宋体" w:hAnsi="宋体"/>
          <w:color w:val="000000" w:themeColor="text1"/>
          <w:szCs w:val="21"/>
          <w:highlight w:val="none"/>
          <w14:textFill>
            <w14:solidFill>
              <w14:schemeClr w14:val="tx1"/>
            </w14:solidFill>
          </w14:textFill>
        </w:rPr>
        <w:t>指定现场。</w:t>
      </w:r>
    </w:p>
    <w:p w14:paraId="1A77E83E">
      <w:pPr>
        <w:adjustRightInd w:val="0"/>
        <w:snapToGrid w:val="0"/>
        <w:spacing w:before="0" w:line="400" w:lineRule="exact"/>
        <w:ind w:firstLine="48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.2 除</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Cs/>
          <w:color w:val="000000" w:themeColor="text1"/>
          <w:szCs w:val="21"/>
          <w:highlight w:val="none"/>
          <w14:textFill>
            <w14:solidFill>
              <w14:schemeClr w14:val="tx1"/>
            </w14:solidFill>
          </w14:textFill>
        </w:rPr>
        <w:t>另有</w:t>
      </w:r>
      <w:r>
        <w:rPr>
          <w:rFonts w:hint="eastAsia" w:ascii="宋体" w:hAnsi="宋体"/>
          <w:bCs/>
          <w:color w:val="000000" w:themeColor="text1"/>
          <w:szCs w:val="21"/>
          <w:highlight w:val="none"/>
          <w:lang w:eastAsia="zh-CN"/>
          <w14:textFill>
            <w14:solidFill>
              <w14:schemeClr w14:val="tx1"/>
            </w14:solidFill>
          </w14:textFill>
        </w:rPr>
        <w:t>约</w:t>
      </w:r>
      <w:r>
        <w:rPr>
          <w:rFonts w:hint="eastAsia" w:ascii="宋体" w:hAnsi="宋体"/>
          <w:bCs/>
          <w:color w:val="000000" w:themeColor="text1"/>
          <w:szCs w:val="21"/>
          <w:highlight w:val="none"/>
          <w14:textFill>
            <w14:solidFill>
              <w14:schemeClr w14:val="tx1"/>
            </w14:solidFill>
          </w14:textFill>
        </w:rPr>
        <w:t>定</w:t>
      </w:r>
      <w:r>
        <w:rPr>
          <w:rFonts w:hint="eastAsia" w:ascii="宋体" w:hAnsi="宋体"/>
          <w:bCs/>
          <w:color w:val="000000" w:themeColor="text1"/>
          <w:szCs w:val="21"/>
          <w:highlight w:val="none"/>
          <w:lang w:eastAsia="zh-CN"/>
          <w14:textFill>
            <w14:solidFill>
              <w14:schemeClr w14:val="tx1"/>
            </w14:solidFill>
          </w14:textFill>
        </w:rPr>
        <w:t>外</w:t>
      </w:r>
      <w:r>
        <w:rPr>
          <w:rFonts w:hint="eastAsia" w:ascii="宋体" w:hAnsi="宋体"/>
          <w:bCs/>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乙方负责办理将货物运抵本合同规定的交货地点</w:t>
      </w:r>
      <w:r>
        <w:rPr>
          <w:rFonts w:hint="eastAsia" w:ascii="宋体" w:hAnsi="宋体"/>
          <w:color w:val="000000" w:themeColor="text1"/>
          <w:szCs w:val="21"/>
          <w:highlight w:val="none"/>
          <w:lang w:eastAsia="zh-CN"/>
          <w14:textFill>
            <w14:solidFill>
              <w14:schemeClr w14:val="tx1"/>
            </w14:solidFill>
          </w14:textFill>
        </w:rPr>
        <w:t>，并装卸、交付至甲方</w:t>
      </w:r>
      <w:r>
        <w:rPr>
          <w:rFonts w:hint="eastAsia" w:ascii="宋体" w:hAnsi="宋体"/>
          <w:color w:val="000000" w:themeColor="text1"/>
          <w:szCs w:val="21"/>
          <w:highlight w:val="none"/>
          <w14:textFill>
            <w14:solidFill>
              <w14:schemeClr w14:val="tx1"/>
            </w14:solidFill>
          </w14:textFill>
        </w:rPr>
        <w:t>的一切运输事项，相关费用应</w:t>
      </w:r>
      <w:r>
        <w:rPr>
          <w:rFonts w:hint="eastAsia" w:ascii="宋体" w:hAnsi="宋体"/>
          <w:color w:val="000000" w:themeColor="text1"/>
          <w:szCs w:val="21"/>
          <w:highlight w:val="none"/>
          <w:lang w:eastAsia="zh-CN"/>
          <w14:textFill>
            <w14:solidFill>
              <w14:schemeClr w14:val="tx1"/>
            </w14:solidFill>
          </w14:textFill>
        </w:rPr>
        <w:t>包含</w:t>
      </w:r>
      <w:r>
        <w:rPr>
          <w:rFonts w:hint="eastAsia" w:ascii="宋体" w:hAnsi="宋体"/>
          <w:color w:val="000000" w:themeColor="text1"/>
          <w:szCs w:val="21"/>
          <w:highlight w:val="none"/>
          <w14:textFill>
            <w14:solidFill>
              <w14:schemeClr w14:val="tx1"/>
            </w14:solidFill>
          </w14:textFill>
        </w:rPr>
        <w:t>在合同</w:t>
      </w:r>
      <w:r>
        <w:rPr>
          <w:rFonts w:hint="eastAsia" w:ascii="宋体" w:hAnsi="宋体"/>
          <w:color w:val="000000" w:themeColor="text1"/>
          <w:szCs w:val="21"/>
          <w:highlight w:val="none"/>
          <w:lang w:eastAsia="zh-CN"/>
          <w14:textFill>
            <w14:solidFill>
              <w14:schemeClr w14:val="tx1"/>
            </w14:solidFill>
          </w14:textFill>
        </w:rPr>
        <w:t>价款</w:t>
      </w:r>
      <w:r>
        <w:rPr>
          <w:rFonts w:hint="eastAsia" w:ascii="宋体" w:hAnsi="宋体"/>
          <w:color w:val="000000" w:themeColor="text1"/>
          <w:szCs w:val="21"/>
          <w:highlight w:val="none"/>
          <w14:textFill>
            <w14:solidFill>
              <w14:schemeClr w14:val="tx1"/>
            </w14:solidFill>
          </w14:textFill>
        </w:rPr>
        <w:t>中。</w:t>
      </w:r>
    </w:p>
    <w:p w14:paraId="36F27989">
      <w:pPr>
        <w:adjustRightInd w:val="0"/>
        <w:snapToGrid w:val="0"/>
        <w:spacing w:before="0" w:line="400" w:lineRule="exact"/>
        <w:ind w:firstLine="48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.3 货物保险要求按</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Cs/>
          <w:color w:val="000000" w:themeColor="text1"/>
          <w:szCs w:val="21"/>
          <w:highlight w:val="none"/>
          <w14:textFill>
            <w14:solidFill>
              <w14:schemeClr w14:val="tx1"/>
            </w14:solidFill>
          </w14:textFill>
        </w:rPr>
        <w:t>规定执行</w:t>
      </w:r>
      <w:r>
        <w:rPr>
          <w:rFonts w:hint="eastAsia" w:ascii="宋体" w:hAnsi="宋体"/>
          <w:color w:val="000000" w:themeColor="text1"/>
          <w:szCs w:val="21"/>
          <w:highlight w:val="none"/>
          <w14:textFill>
            <w14:solidFill>
              <w14:schemeClr w14:val="tx1"/>
            </w14:solidFill>
          </w14:textFill>
        </w:rPr>
        <w:t>。</w:t>
      </w:r>
    </w:p>
    <w:p w14:paraId="5F1EE512">
      <w:pPr>
        <w:autoSpaceDE w:val="0"/>
        <w:autoSpaceDN w:val="0"/>
        <w:adjustRightInd w:val="0"/>
        <w:snapToGrid w:val="0"/>
        <w:spacing w:before="0" w:line="400" w:lineRule="exact"/>
        <w:ind w:firstLine="48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 xml:space="preserve">.4 </w:t>
      </w:r>
      <w:r>
        <w:rPr>
          <w:rFonts w:hint="eastAsia" w:ascii="宋体" w:hAnsi="宋体"/>
          <w:color w:val="000000" w:themeColor="text1"/>
          <w:szCs w:val="21"/>
          <w:highlight w:val="none"/>
          <w:lang w:val="en-US" w:eastAsia="zh-CN"/>
          <w14:textFill>
            <w14:solidFill>
              <w14:schemeClr w14:val="tx1"/>
            </w14:solidFill>
          </w14:textFill>
        </w:rPr>
        <w:t>除采购活动</w:t>
      </w:r>
      <w:r>
        <w:rPr>
          <w:rFonts w:hint="eastAsia" w:ascii="宋体" w:hAnsi="宋体"/>
          <w:color w:val="000000" w:themeColor="text1"/>
          <w:szCs w:val="21"/>
          <w:highlight w:val="none"/>
          <w14:textFill>
            <w14:solidFill>
              <w14:schemeClr w14:val="tx1"/>
            </w14:solidFill>
          </w14:textFill>
        </w:rPr>
        <w:t>对商品包装</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快递包装</w:t>
      </w:r>
      <w:r>
        <w:rPr>
          <w:rFonts w:hint="eastAsia" w:ascii="宋体" w:hAnsi="宋体"/>
          <w:color w:val="000000" w:themeColor="text1"/>
          <w:szCs w:val="21"/>
          <w:highlight w:val="none"/>
          <w:lang w:val="en-US" w:eastAsia="zh-CN"/>
          <w14:textFill>
            <w14:solidFill>
              <w14:schemeClr w14:val="tx1"/>
            </w14:solidFill>
          </w14:textFill>
        </w:rPr>
        <w:t>达成具体约定外</w:t>
      </w:r>
      <w:r>
        <w:rPr>
          <w:rFonts w:hint="eastAsia" w:ascii="宋体" w:hAnsi="宋体"/>
          <w:color w:val="000000" w:themeColor="text1"/>
          <w:szCs w:val="21"/>
          <w:highlight w:val="none"/>
          <w14:textFill>
            <w14:solidFill>
              <w14:schemeClr w14:val="tx1"/>
            </w14:solidFill>
          </w14:textFill>
        </w:rPr>
        <w:t>，乙方提供产品及相关快递服务</w:t>
      </w:r>
      <w:r>
        <w:rPr>
          <w:rFonts w:hint="eastAsia" w:ascii="宋体" w:hAnsi="宋体"/>
          <w:color w:val="000000" w:themeColor="text1"/>
          <w:szCs w:val="21"/>
          <w:highlight w:val="none"/>
          <w:lang w:val="en-US" w:eastAsia="zh-CN"/>
          <w14:textFill>
            <w14:solidFill>
              <w14:schemeClr w14:val="tx1"/>
            </w14:solidFill>
          </w14:textFill>
        </w:rPr>
        <w:t>涉及到</w:t>
      </w:r>
      <w:r>
        <w:rPr>
          <w:rFonts w:hint="eastAsia" w:ascii="宋体" w:hAnsi="宋体"/>
          <w:color w:val="000000" w:themeColor="text1"/>
          <w:szCs w:val="21"/>
          <w:highlight w:val="none"/>
          <w14:textFill>
            <w14:solidFill>
              <w14:schemeClr w14:val="tx1"/>
            </w14:solidFill>
          </w14:textFill>
        </w:rPr>
        <w:t>具体包装要求</w:t>
      </w:r>
      <w:r>
        <w:rPr>
          <w:rFonts w:hint="eastAsia" w:ascii="宋体" w:hAnsi="宋体"/>
          <w:color w:val="000000" w:themeColor="text1"/>
          <w:szCs w:val="21"/>
          <w:highlight w:val="none"/>
          <w:lang w:val="en-US" w:eastAsia="zh-CN"/>
          <w14:textFill>
            <w14:solidFill>
              <w14:schemeClr w14:val="tx1"/>
            </w14:solidFill>
          </w14:textFill>
        </w:rPr>
        <w:t>的，</w:t>
      </w:r>
      <w:r>
        <w:rPr>
          <w:rFonts w:hint="eastAsia" w:ascii="宋体" w:hAnsi="宋体"/>
          <w:color w:val="000000" w:themeColor="text1"/>
          <w:szCs w:val="21"/>
          <w:highlight w:val="none"/>
          <w14:textFill>
            <w14:solidFill>
              <w14:schemeClr w14:val="tx1"/>
            </w14:solidFill>
          </w14:textFill>
        </w:rPr>
        <w:t>应</w:t>
      </w:r>
      <w:r>
        <w:rPr>
          <w:rFonts w:hint="eastAsia" w:ascii="宋体" w:hAnsi="宋体"/>
          <w:color w:val="000000" w:themeColor="text1"/>
          <w:szCs w:val="21"/>
          <w:highlight w:val="none"/>
          <w:lang w:val="en-US" w:eastAsia="zh-CN"/>
          <w14:textFill>
            <w14:solidFill>
              <w14:schemeClr w14:val="tx1"/>
            </w14:solidFill>
          </w14:textFill>
        </w:rPr>
        <w:t>不低于</w:t>
      </w:r>
      <w:r>
        <w:rPr>
          <w:rFonts w:hint="eastAsia" w:ascii="宋体" w:hAnsi="宋体"/>
          <w:color w:val="000000" w:themeColor="text1"/>
          <w:szCs w:val="21"/>
          <w:highlight w:val="none"/>
          <w14:textFill>
            <w14:solidFill>
              <w14:schemeClr w14:val="tx1"/>
            </w14:solidFill>
          </w14:textFill>
        </w:rPr>
        <w:t>《商品包装政府采购需求标准（试行）</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快递包装政府采购需求标准（试行）》</w:t>
      </w:r>
      <w:r>
        <w:rPr>
          <w:rFonts w:hint="eastAsia" w:ascii="宋体" w:hAnsi="宋体"/>
          <w:color w:val="000000" w:themeColor="text1"/>
          <w:szCs w:val="21"/>
          <w:highlight w:val="none"/>
          <w:lang w:val="en-US" w:eastAsia="zh-CN"/>
          <w14:textFill>
            <w14:solidFill>
              <w14:schemeClr w14:val="tx1"/>
            </w14:solidFill>
          </w14:textFill>
        </w:rPr>
        <w:t>标准</w:t>
      </w:r>
      <w:r>
        <w:rPr>
          <w:rFonts w:hint="eastAsia" w:ascii="宋体" w:hAnsi="宋体"/>
          <w:color w:val="000000" w:themeColor="text1"/>
          <w:szCs w:val="21"/>
          <w:highlight w:val="none"/>
          <w14:textFill>
            <w14:solidFill>
              <w14:schemeClr w14:val="tx1"/>
            </w14:solidFill>
          </w14:textFill>
        </w:rPr>
        <w:t>，并作为履约验收的内容，必要时甲方可以要求乙方在履约验收环节出具检测报告。</w:t>
      </w:r>
    </w:p>
    <w:p w14:paraId="4DC5967B">
      <w:pPr>
        <w:autoSpaceDE w:val="0"/>
        <w:autoSpaceDN w:val="0"/>
        <w:adjustRightInd w:val="0"/>
        <w:snapToGrid w:val="0"/>
        <w:spacing w:before="0" w:line="400" w:lineRule="exact"/>
        <w:ind w:firstLine="48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 xml:space="preserve">7.5 </w:t>
      </w:r>
      <w:r>
        <w:rPr>
          <w:rFonts w:hint="eastAsia" w:ascii="宋体" w:hAnsi="宋体" w:eastAsia="宋体" w:cs="宋体"/>
          <w:color w:val="000000"/>
          <w:szCs w:val="21"/>
        </w:rPr>
        <w:t>乙方在运输到达之前</w:t>
      </w:r>
      <w:r>
        <w:rPr>
          <w:rFonts w:hint="eastAsia" w:ascii="宋体" w:hAnsi="宋体" w:cs="宋体"/>
          <w:color w:val="000000"/>
          <w:szCs w:val="21"/>
          <w:lang w:eastAsia="zh-CN"/>
        </w:rPr>
        <w:t>应</w:t>
      </w:r>
      <w:r>
        <w:rPr>
          <w:rFonts w:hint="eastAsia" w:ascii="宋体" w:hAnsi="宋体" w:eastAsia="宋体" w:cs="宋体"/>
          <w:color w:val="000000"/>
          <w:szCs w:val="21"/>
        </w:rPr>
        <w:t>提前通知</w:t>
      </w:r>
      <w:r>
        <w:rPr>
          <w:rFonts w:hint="eastAsia" w:ascii="宋体" w:hAnsi="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cs="宋体"/>
          <w:color w:val="000000"/>
          <w:szCs w:val="21"/>
          <w:lang w:eastAsia="zh-CN"/>
        </w:rPr>
        <w:t>，甲方配合乙方做好货物的接收工作。</w:t>
      </w:r>
    </w:p>
    <w:p w14:paraId="395F9298">
      <w:pPr>
        <w:pStyle w:val="66"/>
        <w:rPr>
          <w:rFonts w:hint="default" w:eastAsia="华文楷体"/>
          <w:sz w:val="21"/>
          <w:lang w:val="en-US" w:eastAsia="zh-CN"/>
        </w:rPr>
      </w:pPr>
      <w:r>
        <w:rPr>
          <w:rFonts w:hint="eastAsia" w:ascii="宋体" w:hAnsi="宋体" w:eastAsia="宋体" w:cs="Times New Roman"/>
          <w:color w:val="000000" w:themeColor="text1"/>
          <w:kern w:val="2"/>
          <w:sz w:val="21"/>
          <w:szCs w:val="21"/>
          <w:highlight w:val="none"/>
          <w:lang w:val="en-US" w:eastAsia="zh-CN"/>
          <w14:textFill>
            <w14:solidFill>
              <w14:schemeClr w14:val="tx1"/>
            </w14:solidFill>
          </w14:textFill>
        </w:rPr>
        <w:t xml:space="preserve">7.6 </w:t>
      </w:r>
      <w:r>
        <w:rPr>
          <w:rFonts w:hint="eastAsia" w:ascii="宋体" w:hAnsi="宋体" w:eastAsia="宋体" w:cs="Times New Roman"/>
          <w:color w:val="000000"/>
          <w:kern w:val="2"/>
          <w:sz w:val="21"/>
          <w:szCs w:val="21"/>
          <w:highlight w:val="none"/>
        </w:rPr>
        <w:t>如因包装</w:t>
      </w:r>
      <w:r>
        <w:rPr>
          <w:rFonts w:hint="eastAsia" w:ascii="宋体" w:hAnsi="宋体" w:eastAsia="宋体" w:cs="Times New Roman"/>
          <w:color w:val="000000"/>
          <w:kern w:val="2"/>
          <w:sz w:val="21"/>
          <w:szCs w:val="21"/>
          <w:highlight w:val="none"/>
          <w:lang w:eastAsia="zh-CN"/>
        </w:rPr>
        <w:t>、运输</w:t>
      </w:r>
      <w:r>
        <w:rPr>
          <w:rFonts w:hint="eastAsia" w:ascii="宋体" w:hAnsi="宋体" w:eastAsia="宋体" w:cs="Times New Roman"/>
          <w:color w:val="000000"/>
          <w:kern w:val="2"/>
          <w:sz w:val="21"/>
          <w:szCs w:val="21"/>
          <w:highlight w:val="none"/>
        </w:rPr>
        <w:t>问题导致货物</w:t>
      </w:r>
      <w:r>
        <w:rPr>
          <w:rFonts w:hint="eastAsia" w:ascii="宋体" w:hAnsi="宋体" w:eastAsia="宋体" w:cs="Times New Roman"/>
          <w:color w:val="000000" w:themeColor="text1"/>
          <w:kern w:val="2"/>
          <w:sz w:val="21"/>
          <w:szCs w:val="21"/>
          <w:highlight w:val="none"/>
          <w:lang w:eastAsia="zh-CN"/>
          <w14:textFill>
            <w14:solidFill>
              <w14:schemeClr w14:val="tx1"/>
            </w14:solidFill>
          </w14:textFill>
        </w:rPr>
        <w:t>损毁、丢失</w:t>
      </w:r>
      <w:r>
        <w:rPr>
          <w:rFonts w:hint="eastAsia" w:ascii="宋体" w:hAnsi="宋体" w:eastAsia="宋体" w:cs="Times New Roman"/>
          <w:color w:val="000000"/>
          <w:kern w:val="2"/>
          <w:sz w:val="21"/>
          <w:szCs w:val="21"/>
          <w:highlight w:val="none"/>
        </w:rPr>
        <w:t>或者品质下降，</w:t>
      </w:r>
      <w:r>
        <w:rPr>
          <w:rFonts w:hint="eastAsia" w:ascii="宋体" w:hAnsi="宋体" w:eastAsia="宋体" w:cs="Times New Roman"/>
          <w:color w:val="000000"/>
          <w:kern w:val="2"/>
          <w:sz w:val="21"/>
          <w:szCs w:val="21"/>
          <w:highlight w:val="none"/>
          <w:lang w:eastAsia="zh-CN"/>
        </w:rPr>
        <w:t>甲方</w:t>
      </w:r>
      <w:r>
        <w:rPr>
          <w:rFonts w:hint="eastAsia" w:ascii="宋体" w:hAnsi="宋体" w:eastAsia="宋体" w:cs="Times New Roman"/>
          <w:color w:val="000000"/>
          <w:kern w:val="2"/>
          <w:sz w:val="21"/>
          <w:szCs w:val="21"/>
          <w:highlight w:val="none"/>
        </w:rPr>
        <w:t>有权要求降价、换货、拒收部分或整批货物，由此</w:t>
      </w:r>
      <w:r>
        <w:rPr>
          <w:rFonts w:hint="eastAsia" w:ascii="宋体" w:hAnsi="宋体" w:eastAsia="宋体" w:cs="Times New Roman"/>
          <w:color w:val="000000"/>
          <w:kern w:val="2"/>
          <w:sz w:val="21"/>
          <w:szCs w:val="21"/>
          <w:highlight w:val="none"/>
          <w:lang w:eastAsia="zh-CN"/>
        </w:rPr>
        <w:t>产生</w:t>
      </w:r>
      <w:r>
        <w:rPr>
          <w:rFonts w:hint="eastAsia" w:ascii="宋体" w:hAnsi="宋体" w:eastAsia="宋体" w:cs="Times New Roman"/>
          <w:color w:val="000000"/>
          <w:kern w:val="2"/>
          <w:sz w:val="21"/>
          <w:szCs w:val="21"/>
          <w:highlight w:val="none"/>
        </w:rPr>
        <w:t>的费用和损失，均由</w:t>
      </w:r>
      <w:r>
        <w:rPr>
          <w:rFonts w:hint="eastAsia" w:ascii="宋体" w:hAnsi="宋体" w:eastAsia="宋体" w:cs="Times New Roman"/>
          <w:color w:val="000000"/>
          <w:kern w:val="2"/>
          <w:sz w:val="21"/>
          <w:szCs w:val="21"/>
          <w:highlight w:val="none"/>
          <w:lang w:eastAsia="zh-CN"/>
        </w:rPr>
        <w:t>乙方</w:t>
      </w:r>
      <w:r>
        <w:rPr>
          <w:rFonts w:hint="eastAsia" w:ascii="宋体" w:hAnsi="宋体" w:eastAsia="宋体" w:cs="Times New Roman"/>
          <w:color w:val="000000"/>
          <w:kern w:val="2"/>
          <w:sz w:val="21"/>
          <w:szCs w:val="21"/>
          <w:highlight w:val="none"/>
        </w:rPr>
        <w:t>承担。</w:t>
      </w:r>
    </w:p>
    <w:p w14:paraId="464BDDDA">
      <w:pPr>
        <w:adjustRightInd w:val="0"/>
        <w:snapToGrid w:val="0"/>
        <w:spacing w:before="0" w:line="400" w:lineRule="exact"/>
        <w:jc w:val="left"/>
        <w:rPr>
          <w:rFonts w:ascii="宋体" w:hAnsi="宋体"/>
          <w:b/>
          <w:color w:val="auto"/>
          <w:sz w:val="24"/>
          <w:highlight w:val="none"/>
        </w:rPr>
      </w:pPr>
      <w:r>
        <w:rPr>
          <w:rFonts w:hint="eastAsia" w:ascii="宋体" w:hAnsi="宋体"/>
          <w:b/>
          <w:color w:val="000000" w:themeColor="text1"/>
          <w:sz w:val="24"/>
          <w:highlight w:val="none"/>
          <w:lang w:eastAsia="zh-CN"/>
          <w14:textFill>
            <w14:solidFill>
              <w14:schemeClr w14:val="tx1"/>
            </w14:solidFill>
          </w14:textFill>
        </w:rPr>
        <w:t>8</w:t>
      </w:r>
      <w:r>
        <w:rPr>
          <w:rFonts w:hint="eastAsia" w:ascii="宋体" w:hAnsi="宋体"/>
          <w:b/>
          <w:color w:val="000000" w:themeColor="text1"/>
          <w:sz w:val="24"/>
          <w:highlight w:val="none"/>
          <w:lang w:val="en-US" w:eastAsia="zh-CN"/>
          <w14:textFill>
            <w14:solidFill>
              <w14:schemeClr w14:val="tx1"/>
            </w14:solidFill>
          </w14:textFill>
        </w:rPr>
        <w:t xml:space="preserve">. </w:t>
      </w:r>
      <w:r>
        <w:rPr>
          <w:rFonts w:hint="eastAsia" w:ascii="宋体" w:hAnsi="宋体"/>
          <w:b/>
          <w:color w:val="auto"/>
          <w:sz w:val="24"/>
          <w:highlight w:val="none"/>
        </w:rPr>
        <w:t>质量标准和保证</w:t>
      </w:r>
    </w:p>
    <w:p w14:paraId="07486FFD">
      <w:pPr>
        <w:pStyle w:val="14"/>
        <w:adjustRightInd w:val="0"/>
        <w:snapToGrid w:val="0"/>
        <w:spacing w:before="0" w:line="400" w:lineRule="exact"/>
        <w:ind w:firstLine="480" w:firstLineChars="200"/>
        <w:jc w:val="left"/>
        <w:rPr>
          <w:rFonts w:hAnsi="宋体"/>
          <w:b/>
          <w:color w:val="auto"/>
          <w:highlight w:val="none"/>
        </w:rPr>
      </w:pPr>
      <w:r>
        <w:rPr>
          <w:rFonts w:hint="eastAsia" w:hAnsi="宋体"/>
          <w:color w:val="auto"/>
          <w:highlight w:val="none"/>
          <w:lang w:eastAsia="zh-CN"/>
        </w:rPr>
        <w:t>8</w:t>
      </w:r>
      <w:r>
        <w:rPr>
          <w:rFonts w:hint="eastAsia" w:hAnsi="宋体"/>
          <w:color w:val="auto"/>
          <w:highlight w:val="none"/>
        </w:rPr>
        <w:t>.1 质量标准</w:t>
      </w:r>
    </w:p>
    <w:p w14:paraId="7B65103E">
      <w:pPr>
        <w:autoSpaceDE w:val="0"/>
        <w:autoSpaceDN w:val="0"/>
        <w:adjustRightInd w:val="0"/>
        <w:snapToGrid w:val="0"/>
        <w:spacing w:before="0" w:line="400" w:lineRule="exact"/>
        <w:ind w:firstLine="480" w:firstLineChars="200"/>
        <w:jc w:val="left"/>
        <w:rPr>
          <w:rFonts w:hint="eastAsia" w:ascii="宋体" w:hAnsi="宋体"/>
          <w:color w:val="auto"/>
          <w:szCs w:val="21"/>
          <w:highlight w:val="none"/>
        </w:rPr>
      </w:pPr>
      <w:r>
        <w:rPr>
          <w:rFonts w:hint="eastAsia" w:ascii="宋体" w:hAnsi="宋体"/>
          <w:color w:val="auto"/>
          <w:szCs w:val="21"/>
          <w:highlight w:val="none"/>
        </w:rPr>
        <w:t>（1）本合同下</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w:t>
      </w:r>
      <w:r>
        <w:rPr>
          <w:rFonts w:hint="eastAsia" w:ascii="宋体" w:hAnsi="宋体"/>
          <w:color w:val="auto"/>
          <w:szCs w:val="21"/>
          <w:highlight w:val="none"/>
          <w:lang w:eastAsia="zh-CN"/>
        </w:rPr>
        <w:t>合同</w:t>
      </w:r>
      <w:r>
        <w:rPr>
          <w:rFonts w:hint="eastAsia" w:ascii="宋体" w:hAnsi="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color w:val="auto"/>
          <w:szCs w:val="21"/>
          <w:highlight w:val="none"/>
          <w:lang w:eastAsia="zh-CN"/>
        </w:rPr>
        <w:t>。</w:t>
      </w:r>
    </w:p>
    <w:p w14:paraId="709972D5">
      <w:pPr>
        <w:pStyle w:val="14"/>
        <w:adjustRightInd w:val="0"/>
        <w:snapToGrid w:val="0"/>
        <w:spacing w:before="0" w:line="400" w:lineRule="exact"/>
        <w:ind w:firstLine="480" w:firstLineChars="200"/>
        <w:jc w:val="left"/>
        <w:rPr>
          <w:rFonts w:hAnsi="宋体"/>
          <w:color w:val="auto"/>
          <w:highlight w:val="none"/>
        </w:rPr>
      </w:pPr>
      <w:r>
        <w:rPr>
          <w:rFonts w:hint="eastAsia" w:hAnsi="宋体"/>
          <w:color w:val="auto"/>
          <w:highlight w:val="none"/>
        </w:rPr>
        <w:t>（2）采用中华人民共和国法定计量单位。</w:t>
      </w:r>
    </w:p>
    <w:p w14:paraId="02B522F9">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（3）乙方所</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的货物应符合国家有关安全、环保、卫生</w:t>
      </w:r>
      <w:r>
        <w:rPr>
          <w:rFonts w:hint="eastAsia" w:ascii="宋体" w:hAnsi="宋体"/>
          <w:color w:val="auto"/>
          <w:szCs w:val="21"/>
          <w:highlight w:val="none"/>
          <w:lang w:eastAsia="zh-CN"/>
        </w:rPr>
        <w:t>的</w:t>
      </w:r>
      <w:r>
        <w:rPr>
          <w:rFonts w:hint="eastAsia" w:ascii="宋体" w:hAnsi="宋体"/>
          <w:color w:val="auto"/>
          <w:szCs w:val="21"/>
          <w:highlight w:val="none"/>
        </w:rPr>
        <w:t>规定。</w:t>
      </w:r>
    </w:p>
    <w:p w14:paraId="28B7EDA0">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（4）乙方应向甲方提交所</w:t>
      </w:r>
      <w:r>
        <w:rPr>
          <w:rFonts w:hint="eastAsia" w:ascii="宋体" w:hAnsi="宋体"/>
          <w:color w:val="auto"/>
          <w:szCs w:val="21"/>
          <w:highlight w:val="none"/>
          <w:lang w:eastAsia="zh-CN"/>
        </w:rPr>
        <w:t>提供</w:t>
      </w:r>
      <w:r>
        <w:rPr>
          <w:rFonts w:hint="eastAsia" w:ascii="宋体" w:hAnsi="宋体"/>
          <w:color w:val="auto"/>
          <w:szCs w:val="21"/>
          <w:highlight w:val="none"/>
        </w:rPr>
        <w:t>货物的技术文件，包括相应的中文技术文件，如：产品目录、图纸、操作手册、使用说明、维护手册或服务指南</w:t>
      </w:r>
      <w:r>
        <w:rPr>
          <w:rFonts w:hint="eastAsia" w:ascii="宋体" w:hAnsi="宋体"/>
          <w:color w:val="auto"/>
          <w:szCs w:val="21"/>
          <w:highlight w:val="none"/>
          <w:lang w:eastAsia="zh-CN"/>
        </w:rPr>
        <w:t>等</w:t>
      </w:r>
      <w:r>
        <w:rPr>
          <w:rFonts w:hint="eastAsia" w:ascii="宋体" w:hAnsi="宋体"/>
          <w:color w:val="auto"/>
          <w:szCs w:val="21"/>
          <w:highlight w:val="none"/>
        </w:rPr>
        <w:t>。</w:t>
      </w:r>
      <w:r>
        <w:rPr>
          <w:rFonts w:hint="eastAsia" w:ascii="宋体" w:hAnsi="宋体"/>
          <w:color w:val="auto"/>
          <w:szCs w:val="21"/>
          <w:highlight w:val="none"/>
          <w:lang w:eastAsia="zh-CN"/>
        </w:rPr>
        <w:t>上述</w:t>
      </w:r>
      <w:r>
        <w:rPr>
          <w:rFonts w:hint="eastAsia" w:ascii="宋体" w:hAnsi="宋体"/>
          <w:color w:val="auto"/>
          <w:szCs w:val="21"/>
          <w:highlight w:val="none"/>
        </w:rPr>
        <w:t>文件应包装好随货物一同发运。</w:t>
      </w:r>
    </w:p>
    <w:p w14:paraId="6A646CE5">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lang w:eastAsia="zh-CN"/>
        </w:rPr>
        <w:t>8</w:t>
      </w:r>
      <w:r>
        <w:rPr>
          <w:rFonts w:hint="eastAsia" w:ascii="宋体" w:hAnsi="宋体"/>
          <w:color w:val="auto"/>
          <w:szCs w:val="21"/>
          <w:highlight w:val="none"/>
        </w:rPr>
        <w:t>.2 保证</w:t>
      </w:r>
    </w:p>
    <w:p w14:paraId="015F46A9">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（1）乙方应保证</w:t>
      </w:r>
      <w:r>
        <w:rPr>
          <w:rFonts w:hint="eastAsia" w:ascii="宋体" w:hAnsi="宋体"/>
          <w:color w:val="auto"/>
          <w:szCs w:val="21"/>
          <w:highlight w:val="none"/>
          <w:lang w:eastAsia="zh-CN"/>
        </w:rPr>
        <w:t>提供的货物</w:t>
      </w:r>
      <w:r>
        <w:rPr>
          <w:rFonts w:hint="eastAsia" w:ascii="宋体" w:hAnsi="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cs="宋体"/>
          <w:szCs w:val="21"/>
          <w:lang w:eastAsia="zh-CN"/>
        </w:rPr>
        <w:t>备合同约定</w:t>
      </w:r>
      <w:r>
        <w:rPr>
          <w:rFonts w:hint="eastAsia" w:ascii="宋体" w:hAnsi="宋体" w:eastAsia="宋体" w:cs="宋体"/>
          <w:szCs w:val="21"/>
        </w:rPr>
        <w:t>的性能</w:t>
      </w:r>
      <w:r>
        <w:rPr>
          <w:rFonts w:hint="eastAsia" w:ascii="宋体" w:hAnsi="宋体"/>
          <w:color w:val="auto"/>
          <w:szCs w:val="21"/>
          <w:highlight w:val="none"/>
        </w:rPr>
        <w:t>。</w:t>
      </w:r>
      <w:r>
        <w:rPr>
          <w:rFonts w:hint="eastAsia" w:ascii="宋体" w:hAnsi="宋体"/>
          <w:color w:val="auto"/>
          <w:szCs w:val="21"/>
          <w:highlight w:val="none"/>
          <w:lang w:eastAsia="zh-CN"/>
        </w:rPr>
        <w:t>存在</w:t>
      </w:r>
      <w:r>
        <w:rPr>
          <w:rFonts w:hint="eastAsia" w:ascii="宋体" w:hAnsi="宋体"/>
          <w:color w:val="auto"/>
          <w:szCs w:val="21"/>
          <w:highlight w:val="none"/>
        </w:rPr>
        <w:t>质量保证期的，货物最终交付验收</w:t>
      </w:r>
      <w:r>
        <w:rPr>
          <w:rFonts w:hint="eastAsia" w:ascii="宋体" w:hAnsi="宋体"/>
          <w:color w:val="auto"/>
          <w:szCs w:val="21"/>
          <w:highlight w:val="none"/>
          <w:lang w:eastAsia="zh-CN"/>
        </w:rPr>
        <w:t>合格</w:t>
      </w:r>
      <w:r>
        <w:rPr>
          <w:rFonts w:hint="eastAsia" w:ascii="宋体" w:hAnsi="宋体"/>
          <w:color w:val="auto"/>
          <w:szCs w:val="21"/>
          <w:highlight w:val="none"/>
        </w:rPr>
        <w:t>后</w:t>
      </w:r>
      <w:r>
        <w:rPr>
          <w:rFonts w:hint="eastAsia" w:ascii="宋体" w:hAnsi="宋体"/>
          <w:color w:val="auto"/>
          <w:szCs w:val="21"/>
          <w:highlight w:val="none"/>
          <w:lang w:eastAsia="zh-CN"/>
        </w:rPr>
        <w:t>在</w:t>
      </w:r>
      <w:r>
        <w:rPr>
          <w:rFonts w:hint="eastAsia" w:ascii="宋体" w:hAnsi="宋体"/>
          <w:b/>
          <w:color w:val="auto"/>
          <w:szCs w:val="21"/>
          <w:highlight w:val="none"/>
        </w:rPr>
        <w:t>【政府采购合同专用条款】</w:t>
      </w:r>
      <w:r>
        <w:rPr>
          <w:rFonts w:hint="eastAsia" w:ascii="宋体" w:hAnsi="宋体"/>
          <w:color w:val="auto"/>
          <w:szCs w:val="21"/>
          <w:highlight w:val="none"/>
        </w:rPr>
        <w:t>规定或乙方</w:t>
      </w:r>
      <w:r>
        <w:rPr>
          <w:rFonts w:hint="eastAsia" w:ascii="宋体" w:hAnsi="宋体"/>
          <w:color w:val="auto"/>
          <w:szCs w:val="21"/>
          <w:highlight w:val="none"/>
          <w:lang w:eastAsia="zh-CN"/>
        </w:rPr>
        <w:t>书面</w:t>
      </w:r>
      <w:r>
        <w:rPr>
          <w:rFonts w:hint="eastAsia" w:ascii="宋体" w:hAnsi="宋体"/>
          <w:color w:val="auto"/>
          <w:szCs w:val="21"/>
          <w:highlight w:val="none"/>
        </w:rPr>
        <w:t>承诺（两者以较长的为准）的质量保证期内，本保证保持有效。</w:t>
      </w:r>
    </w:p>
    <w:p w14:paraId="04C0492D">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（2）在质量保证期内所发现的缺陷，甲方应尽快以书面形式通知乙方。</w:t>
      </w:r>
    </w:p>
    <w:p w14:paraId="5AB4B830">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（3）乙方收到通知后</w:t>
      </w:r>
      <w:r>
        <w:rPr>
          <w:rFonts w:hint="eastAsia" w:ascii="宋体" w:hAnsi="宋体"/>
          <w:color w:val="auto"/>
          <w:szCs w:val="21"/>
          <w:highlight w:val="none"/>
          <w:lang w:eastAsia="zh-CN"/>
        </w:rPr>
        <w:t>，</w:t>
      </w:r>
      <w:r>
        <w:rPr>
          <w:rFonts w:hint="eastAsia" w:ascii="宋体" w:hAnsi="宋体"/>
          <w:color w:val="auto"/>
          <w:szCs w:val="21"/>
          <w:highlight w:val="none"/>
        </w:rPr>
        <w:t>应在</w:t>
      </w:r>
      <w:r>
        <w:rPr>
          <w:rFonts w:hint="eastAsia" w:ascii="宋体" w:hAnsi="宋体"/>
          <w:b/>
          <w:color w:val="auto"/>
          <w:szCs w:val="21"/>
          <w:highlight w:val="none"/>
        </w:rPr>
        <w:t>【政府采购合同专用条款】</w:t>
      </w:r>
      <w:r>
        <w:rPr>
          <w:rFonts w:hint="eastAsia" w:ascii="宋体" w:hAnsi="宋体"/>
          <w:color w:val="auto"/>
          <w:szCs w:val="21"/>
          <w:highlight w:val="none"/>
        </w:rPr>
        <w:t>规定的响应时间内以合理的速度免费维修或更换有缺陷的货物或部件。</w:t>
      </w:r>
    </w:p>
    <w:p w14:paraId="23598970">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auto"/>
          <w:szCs w:val="21"/>
          <w:highlight w:val="none"/>
        </w:rPr>
        <w:t>.1条规定以书面形式</w:t>
      </w:r>
      <w:r>
        <w:rPr>
          <w:rFonts w:hint="eastAsia" w:ascii="宋体" w:hAnsi="宋体"/>
          <w:color w:val="000000" w:themeColor="text1"/>
          <w:szCs w:val="21"/>
          <w:highlight w:val="none"/>
          <w:lang w:eastAsia="zh-CN"/>
          <w14:textFill>
            <w14:solidFill>
              <w14:schemeClr w14:val="tx1"/>
            </w14:solidFill>
          </w14:textFill>
        </w:rPr>
        <w:t>追究</w:t>
      </w:r>
      <w:r>
        <w:rPr>
          <w:rFonts w:hint="eastAsia" w:ascii="宋体" w:hAnsi="宋体"/>
          <w:color w:val="auto"/>
          <w:szCs w:val="21"/>
          <w:highlight w:val="none"/>
        </w:rPr>
        <w:t>乙方</w:t>
      </w:r>
      <w:r>
        <w:rPr>
          <w:rFonts w:hint="eastAsia" w:ascii="宋体" w:hAnsi="宋体"/>
          <w:color w:val="000000" w:themeColor="text1"/>
          <w:szCs w:val="21"/>
          <w:highlight w:val="none"/>
          <w:lang w:eastAsia="zh-CN"/>
          <w14:textFill>
            <w14:solidFill>
              <w14:schemeClr w14:val="tx1"/>
            </w14:solidFill>
          </w14:textFill>
        </w:rPr>
        <w:t>的违约责任</w:t>
      </w:r>
      <w:r>
        <w:rPr>
          <w:rFonts w:hint="eastAsia" w:ascii="宋体" w:hAnsi="宋体"/>
          <w:color w:val="auto"/>
          <w:szCs w:val="21"/>
          <w:highlight w:val="none"/>
        </w:rPr>
        <w:t>。</w:t>
      </w:r>
    </w:p>
    <w:p w14:paraId="009A846D">
      <w:pPr>
        <w:adjustRightInd w:val="0"/>
        <w:snapToGrid w:val="0"/>
        <w:spacing w:before="0" w:line="400" w:lineRule="exact"/>
        <w:ind w:firstLine="480" w:firstLineChars="200"/>
        <w:jc w:val="left"/>
        <w:rPr>
          <w:color w:val="auto"/>
          <w:highlight w:val="none"/>
        </w:rPr>
      </w:pPr>
      <w:r>
        <w:rPr>
          <w:rFonts w:hint="eastAsia" w:ascii="宋体" w:hAnsi="宋体"/>
          <w:color w:val="auto"/>
          <w:szCs w:val="21"/>
          <w:highlight w:val="none"/>
        </w:rPr>
        <w:t>（5）乙方在约定的时间内未能弥补缺陷，甲方可采取必要的补救措施，但其风险和费用将由乙方承担，甲方根据合同</w:t>
      </w:r>
      <w:r>
        <w:rPr>
          <w:rFonts w:hint="eastAsia" w:ascii="宋体" w:hAnsi="宋体"/>
          <w:color w:val="auto"/>
          <w:szCs w:val="21"/>
          <w:highlight w:val="none"/>
          <w:lang w:eastAsia="zh-CN"/>
        </w:rPr>
        <w:t>约定</w:t>
      </w:r>
      <w:r>
        <w:rPr>
          <w:rFonts w:hint="eastAsia" w:ascii="宋体" w:hAnsi="宋体"/>
          <w:color w:val="auto"/>
          <w:szCs w:val="21"/>
          <w:highlight w:val="none"/>
        </w:rPr>
        <w:t>对乙方行使的其他权利不受影响。</w:t>
      </w:r>
    </w:p>
    <w:p w14:paraId="054E975B">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000000" w:themeColor="text1"/>
          <w:sz w:val="24"/>
          <w:highlight w:val="none"/>
          <w:lang w:eastAsia="zh-CN"/>
          <w14:textFill>
            <w14:solidFill>
              <w14:schemeClr w14:val="tx1"/>
            </w14:solidFill>
          </w14:textFill>
        </w:rPr>
        <w:t>9</w:t>
      </w:r>
      <w:r>
        <w:rPr>
          <w:rFonts w:hint="eastAsia" w:ascii="宋体" w:hAnsi="宋体"/>
          <w:b/>
          <w:bCs/>
          <w:color w:val="auto"/>
          <w:sz w:val="24"/>
          <w:highlight w:val="none"/>
        </w:rPr>
        <w:t>.</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auto"/>
          <w:sz w:val="24"/>
          <w:highlight w:val="none"/>
        </w:rPr>
        <w:t>权利瑕疵担保</w:t>
      </w:r>
    </w:p>
    <w:p w14:paraId="03C80826">
      <w:pPr>
        <w:autoSpaceDE w:val="0"/>
        <w:autoSpaceDN w:val="0"/>
        <w:adjustRightInd w:val="0"/>
        <w:snapToGrid w:val="0"/>
        <w:spacing w:before="0" w:line="400" w:lineRule="exact"/>
        <w:ind w:firstLine="48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.1 乙方保证对其出售的货物享有合法的权利。</w:t>
      </w:r>
    </w:p>
    <w:p w14:paraId="62E4B359">
      <w:pPr>
        <w:autoSpaceDE w:val="0"/>
        <w:autoSpaceDN w:val="0"/>
        <w:adjustRightInd w:val="0"/>
        <w:snapToGrid w:val="0"/>
        <w:spacing w:before="0" w:line="400" w:lineRule="exact"/>
        <w:ind w:firstLine="48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 xml:space="preserve">.2 </w:t>
      </w:r>
      <w:r>
        <w:rPr>
          <w:rFonts w:hint="eastAsia" w:ascii="宋体" w:hAnsi="宋体" w:eastAsia="宋体" w:cs="宋体"/>
          <w:szCs w:val="15"/>
        </w:rPr>
        <w:t>乙方保证在交付的货物上不存在抵押权等担保物权。</w:t>
      </w:r>
    </w:p>
    <w:p w14:paraId="649FBB14">
      <w:pPr>
        <w:autoSpaceDE w:val="0"/>
        <w:autoSpaceDN w:val="0"/>
        <w:adjustRightInd w:val="0"/>
        <w:snapToGrid w:val="0"/>
        <w:spacing w:before="0" w:line="400" w:lineRule="exact"/>
        <w:ind w:firstLine="48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.3 如甲方使用</w:t>
      </w:r>
      <w:r>
        <w:rPr>
          <w:rFonts w:hint="eastAsia" w:ascii="宋体" w:hAnsi="宋体"/>
          <w:color w:val="000000" w:themeColor="text1"/>
          <w:szCs w:val="21"/>
          <w:highlight w:val="none"/>
          <w:lang w:val="en-US" w:eastAsia="zh-CN"/>
          <w14:textFill>
            <w14:solidFill>
              <w14:schemeClr w14:val="tx1"/>
            </w14:solidFill>
          </w14:textFill>
        </w:rPr>
        <w:t>上述</w:t>
      </w:r>
      <w:r>
        <w:rPr>
          <w:rFonts w:hint="eastAsia" w:ascii="宋体" w:hAnsi="宋体"/>
          <w:color w:val="000000" w:themeColor="text1"/>
          <w:szCs w:val="21"/>
          <w:highlight w:val="none"/>
          <w14:textFill>
            <w14:solidFill>
              <w14:schemeClr w14:val="tx1"/>
            </w14:solidFill>
          </w14:textFill>
        </w:rPr>
        <w:t>货物构成</w:t>
      </w:r>
      <w:r>
        <w:rPr>
          <w:rFonts w:hint="eastAsia" w:ascii="宋体" w:hAnsi="宋体"/>
          <w:color w:val="000000" w:themeColor="text1"/>
          <w:szCs w:val="21"/>
          <w:highlight w:val="none"/>
          <w:lang w:val="en-US" w:eastAsia="zh-CN"/>
          <w14:textFill>
            <w14:solidFill>
              <w14:schemeClr w14:val="tx1"/>
            </w14:solidFill>
          </w14:textFill>
        </w:rPr>
        <w:t>对第三人</w:t>
      </w:r>
      <w:r>
        <w:rPr>
          <w:rFonts w:hint="eastAsia" w:ascii="宋体" w:hAnsi="宋体"/>
          <w:color w:val="000000" w:themeColor="text1"/>
          <w:szCs w:val="21"/>
          <w:highlight w:val="none"/>
          <w14:textFill>
            <w14:solidFill>
              <w14:schemeClr w14:val="tx1"/>
            </w14:solidFill>
          </w14:textFill>
        </w:rPr>
        <w:t>侵权的，则由乙方承担全部责任。</w:t>
      </w:r>
    </w:p>
    <w:p w14:paraId="13CE9038">
      <w:pPr>
        <w:autoSpaceDE w:val="0"/>
        <w:autoSpaceDN w:val="0"/>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1</w:t>
      </w:r>
      <w:r>
        <w:rPr>
          <w:rFonts w:hint="eastAsia" w:ascii="宋体" w:hAnsi="宋体"/>
          <w:b/>
          <w:bCs/>
          <w:color w:val="000000" w:themeColor="text1"/>
          <w:sz w:val="24"/>
          <w:highlight w:val="none"/>
          <w:lang w:eastAsia="zh-CN"/>
          <w14:textFill>
            <w14:solidFill>
              <w14:schemeClr w14:val="tx1"/>
            </w14:solidFill>
          </w14:textFill>
        </w:rPr>
        <w:t>0</w:t>
      </w:r>
      <w:r>
        <w:rPr>
          <w:rFonts w:hint="eastAsia" w:ascii="宋体" w:hAnsi="宋体"/>
          <w:b/>
          <w:bCs/>
          <w:color w:val="000000" w:themeColor="text1"/>
          <w:sz w:val="24"/>
          <w:highlight w:val="none"/>
          <w14:textFill>
            <w14:solidFill>
              <w14:schemeClr w14:val="tx1"/>
            </w14:solidFill>
          </w14:textFill>
        </w:rPr>
        <w:t>.</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知识产权保护</w:t>
      </w:r>
    </w:p>
    <w:p w14:paraId="5AFA0407">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lang w:eastAsia="zh-CN"/>
          <w14:textFill>
            <w14:solidFill>
              <w14:schemeClr w14:val="tx1"/>
            </w14:solidFill>
          </w14:textFill>
        </w:rPr>
        <w:t>0</w:t>
      </w:r>
      <w:r>
        <w:rPr>
          <w:rFonts w:hint="eastAsia" w:ascii="宋体" w:hAnsi="宋体"/>
          <w:color w:val="000000" w:themeColor="text1"/>
          <w:szCs w:val="21"/>
          <w:highlight w:val="none"/>
          <w14:textFill>
            <w14:solidFill>
              <w14:schemeClr w14:val="tx1"/>
            </w14:solidFill>
          </w14:textFill>
        </w:rPr>
        <w:t>.1 乙方对其所销售的货物应当享有知识产权或经权利人合法授权，保证没有侵犯任</w:t>
      </w:r>
      <w:r>
        <w:rPr>
          <w:rFonts w:hint="eastAsia" w:ascii="宋体" w:hAnsi="宋体"/>
          <w:color w:val="auto"/>
          <w:szCs w:val="21"/>
          <w:highlight w:val="none"/>
        </w:rPr>
        <w:t>何第三人的知识产权等权利。</w:t>
      </w:r>
      <w:bookmarkStart w:id="113"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113"/>
      <w:r>
        <w:rPr>
          <w:rFonts w:hint="eastAsia" w:ascii="宋体" w:hAnsi="宋体"/>
          <w:color w:val="auto"/>
          <w:szCs w:val="21"/>
          <w:highlight w:val="none"/>
        </w:rPr>
        <w:t>。</w:t>
      </w:r>
    </w:p>
    <w:p w14:paraId="2EBE5146">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1</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保密义务</w:t>
      </w:r>
    </w:p>
    <w:p w14:paraId="5EEAB92C">
      <w:pPr>
        <w:autoSpaceDE w:val="0"/>
        <w:autoSpaceDN w:val="0"/>
        <w:adjustRightInd w:val="0"/>
        <w:snapToGrid w:val="0"/>
        <w:spacing w:before="0" w:line="400" w:lineRule="exact"/>
        <w:ind w:firstLine="480" w:firstLineChars="200"/>
        <w:jc w:val="left"/>
        <w:rPr>
          <w:rFonts w:hint="eastAsia" w:ascii="宋体" w:hAnsi="宋体" w:eastAsia="宋体" w:cs="宋体"/>
          <w:szCs w:val="15"/>
        </w:rPr>
      </w:pPr>
      <w:r>
        <w:rPr>
          <w:rFonts w:hint="eastAsia" w:ascii="宋体" w:hAnsi="宋体" w:cs="宋体"/>
          <w:szCs w:val="15"/>
          <w:lang w:val="en-US" w:eastAsia="zh-CN"/>
        </w:rPr>
        <w:t xml:space="preserve">11.1 </w:t>
      </w:r>
      <w:r>
        <w:rPr>
          <w:rFonts w:hint="eastAsia" w:ascii="宋体" w:hAnsi="宋体" w:eastAsia="宋体" w:cs="宋体"/>
          <w:szCs w:val="15"/>
        </w:rPr>
        <w:t>甲、乙双方</w:t>
      </w:r>
      <w:r>
        <w:rPr>
          <w:rFonts w:hint="eastAsia" w:ascii="宋体" w:hAnsi="宋体" w:cs="宋体"/>
          <w:szCs w:val="15"/>
          <w:lang w:eastAsia="zh-CN"/>
        </w:rPr>
        <w:t>对</w:t>
      </w:r>
      <w:r>
        <w:rPr>
          <w:rFonts w:hint="eastAsia" w:ascii="宋体" w:hAnsi="宋体" w:eastAsia="宋体" w:cs="宋体"/>
          <w:szCs w:val="15"/>
        </w:rPr>
        <w:t>采购和合同履行过程中所获悉的</w:t>
      </w:r>
      <w:r>
        <w:rPr>
          <w:rFonts w:hint="eastAsia" w:ascii="宋体" w:hAnsi="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cs="宋体"/>
          <w:szCs w:val="15"/>
          <w:lang w:eastAsia="zh-CN"/>
        </w:rPr>
        <w:t>国家秘密、工作秘密、</w:t>
      </w:r>
      <w:r>
        <w:rPr>
          <w:rFonts w:hint="eastAsia" w:ascii="宋体" w:hAnsi="宋体" w:eastAsia="宋体" w:cs="宋体"/>
          <w:szCs w:val="15"/>
        </w:rPr>
        <w:t>商业秘密或者</w:t>
      </w:r>
      <w:r>
        <w:rPr>
          <w:rFonts w:hint="eastAsia" w:ascii="宋体" w:hAnsi="宋体" w:cs="宋体"/>
          <w:szCs w:val="15"/>
          <w:lang w:eastAsia="zh-CN"/>
        </w:rPr>
        <w:t>其他应当保密的</w:t>
      </w:r>
      <w:r>
        <w:rPr>
          <w:rFonts w:hint="eastAsia" w:ascii="宋体" w:hAnsi="宋体" w:eastAsia="宋体" w:cs="宋体"/>
          <w:szCs w:val="15"/>
        </w:rPr>
        <w:t>信息，应当承担</w:t>
      </w:r>
      <w:r>
        <w:rPr>
          <w:rFonts w:hint="eastAsia" w:ascii="宋体" w:hAnsi="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14:paraId="70C2D496">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2</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合同价款支付</w:t>
      </w:r>
    </w:p>
    <w:p w14:paraId="437A42E0">
      <w:pPr>
        <w:autoSpaceDE/>
        <w:autoSpaceDN/>
        <w:adjustRightInd w:val="0"/>
        <w:snapToGrid w:val="0"/>
        <w:spacing w:before="0" w:line="400" w:lineRule="exact"/>
        <w:ind w:firstLine="48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eastAsia="zh-CN"/>
        </w:rPr>
        <w:t>2</w:t>
      </w:r>
      <w:r>
        <w:rPr>
          <w:rFonts w:hint="eastAsia" w:ascii="宋体" w:hAnsi="宋体"/>
          <w:color w:val="auto"/>
          <w:szCs w:val="21"/>
          <w:highlight w:val="none"/>
        </w:rPr>
        <w:t xml:space="preserve">.1 </w:t>
      </w:r>
      <w:r>
        <w:rPr>
          <w:rFonts w:hint="eastAsia" w:ascii="宋体" w:hAnsi="宋体"/>
          <w:color w:val="auto"/>
          <w:szCs w:val="21"/>
          <w:highlight w:val="none"/>
          <w:lang w:eastAsia="zh-CN"/>
        </w:rPr>
        <w:t>合同价款支付</w:t>
      </w:r>
      <w:r>
        <w:rPr>
          <w:rFonts w:hint="eastAsia" w:ascii="宋体" w:hAnsi="宋体"/>
          <w:color w:val="auto"/>
          <w:szCs w:val="21"/>
          <w:highlight w:val="none"/>
        </w:rPr>
        <w:t>按照国库集中支付</w:t>
      </w:r>
      <w:r>
        <w:rPr>
          <w:rFonts w:hint="eastAsia" w:ascii="宋体" w:hAnsi="宋体"/>
          <w:color w:val="auto"/>
          <w:szCs w:val="21"/>
          <w:highlight w:val="none"/>
          <w:lang w:eastAsia="zh-CN"/>
        </w:rPr>
        <w:t>制度及财政管理相关</w:t>
      </w:r>
      <w:r>
        <w:rPr>
          <w:rFonts w:hint="eastAsia" w:ascii="宋体" w:hAnsi="宋体"/>
          <w:color w:val="auto"/>
          <w:szCs w:val="21"/>
          <w:highlight w:val="none"/>
        </w:rPr>
        <w:t>规定执行。</w:t>
      </w:r>
    </w:p>
    <w:p w14:paraId="72EAE43A">
      <w:pPr>
        <w:tabs>
          <w:tab w:val="left" w:pos="540"/>
        </w:tabs>
        <w:spacing w:line="400" w:lineRule="exact"/>
        <w:ind w:firstLine="480" w:firstLineChars="200"/>
        <w:jc w:val="left"/>
        <w:outlineLvl w:val="9"/>
        <w:rPr>
          <w:rFonts w:hint="eastAsia" w:ascii="宋体" w:hAnsi="宋体" w:eastAsia="宋体" w:cs="宋体"/>
          <w:b w:val="0"/>
          <w:color w:val="000000"/>
          <w:sz w:val="24"/>
          <w:szCs w:val="15"/>
          <w:lang w:val="en-US" w:eastAsia="zh-CN" w:bidi="en-US"/>
        </w:rPr>
      </w:pPr>
      <w:r>
        <w:rPr>
          <w:rFonts w:hint="eastAsia" w:ascii="宋体" w:hAnsi="宋体" w:eastAsia="宋体" w:cs="宋体"/>
          <w:b w:val="0"/>
          <w:color w:val="000000"/>
          <w:sz w:val="24"/>
          <w:szCs w:val="15"/>
          <w:lang w:val="en-US" w:eastAsia="zh-CN" w:bidi="en-US"/>
        </w:rPr>
        <w:t xml:space="preserve">12.2 </w:t>
      </w:r>
      <w:r>
        <w:rPr>
          <w:rFonts w:hint="eastAsia" w:ascii="宋体" w:hAnsi="宋体" w:eastAsia="宋体" w:cs="宋体"/>
          <w:b w:val="0"/>
          <w:color w:val="000000"/>
          <w:sz w:val="24"/>
          <w:szCs w:val="15"/>
          <w:lang w:val="en-US" w:eastAsia="en-US" w:bidi="en-US"/>
        </w:rPr>
        <w:t>对于满足合同约定支付条件的，</w:t>
      </w:r>
      <w:r>
        <w:rPr>
          <w:rFonts w:hint="eastAsia" w:ascii="宋体" w:hAnsi="宋体" w:eastAsia="宋体" w:cs="宋体"/>
          <w:b w:val="0"/>
          <w:color w:val="000000"/>
          <w:sz w:val="24"/>
          <w:szCs w:val="15"/>
          <w:lang w:val="en-US" w:eastAsia="zh-CN" w:bidi="en-US"/>
        </w:rPr>
        <w:t>甲方</w:t>
      </w:r>
      <w:r>
        <w:rPr>
          <w:rFonts w:hint="eastAsia" w:ascii="宋体" w:hAnsi="宋体" w:eastAsia="宋体" w:cs="宋体"/>
          <w:b w:val="0"/>
          <w:color w:val="000000"/>
          <w:sz w:val="24"/>
          <w:szCs w:val="15"/>
          <w:lang w:val="en-US" w:eastAsia="en-US" w:bidi="en-US"/>
        </w:rPr>
        <w:t>原则上应当自收到发票后10个工作日内将资金支付到合同约定的</w:t>
      </w:r>
      <w:r>
        <w:rPr>
          <w:rFonts w:hint="eastAsia" w:ascii="宋体" w:hAnsi="宋体" w:eastAsia="宋体" w:cs="宋体"/>
          <w:b w:val="0"/>
          <w:color w:val="000000"/>
          <w:sz w:val="24"/>
          <w:szCs w:val="15"/>
          <w:lang w:val="en-US" w:eastAsia="zh-CN" w:bidi="en-US"/>
        </w:rPr>
        <w:t>乙方</w:t>
      </w:r>
      <w:r>
        <w:rPr>
          <w:rFonts w:hint="eastAsia" w:ascii="宋体" w:hAnsi="宋体" w:eastAsia="宋体" w:cs="宋体"/>
          <w:b w:val="0"/>
          <w:color w:val="000000"/>
          <w:sz w:val="24"/>
          <w:szCs w:val="15"/>
          <w:lang w:val="en-US" w:eastAsia="en-US" w:bidi="en-US"/>
        </w:rPr>
        <w:t>账户，不得以机构变动、人员更替、政策调整等为由迟延付款，不得将采购文件和合同中未规定的义务作为向</w:t>
      </w:r>
      <w:r>
        <w:rPr>
          <w:rFonts w:hint="eastAsia" w:ascii="宋体" w:hAnsi="宋体" w:eastAsia="宋体" w:cs="宋体"/>
          <w:b w:val="0"/>
          <w:color w:val="000000"/>
          <w:sz w:val="24"/>
          <w:szCs w:val="15"/>
          <w:lang w:val="en-US" w:eastAsia="zh-CN" w:bidi="en-US"/>
        </w:rPr>
        <w:t>乙方</w:t>
      </w:r>
      <w:r>
        <w:rPr>
          <w:rFonts w:hint="eastAsia" w:ascii="宋体" w:hAnsi="宋体" w:eastAsia="宋体" w:cs="宋体"/>
          <w:b w:val="0"/>
          <w:color w:val="000000"/>
          <w:sz w:val="24"/>
          <w:szCs w:val="15"/>
          <w:lang w:val="en-US" w:eastAsia="en-US" w:bidi="en-US"/>
        </w:rPr>
        <w:t>付款的条件。具体合同价款支付时间在</w:t>
      </w:r>
      <w:r>
        <w:rPr>
          <w:rFonts w:hint="eastAsia" w:ascii="宋体" w:hAnsi="宋体" w:eastAsia="宋体" w:cs="宋体"/>
          <w:b/>
          <w:bCs/>
          <w:color w:val="000000"/>
          <w:sz w:val="24"/>
          <w:szCs w:val="15"/>
          <w:lang w:val="en-US" w:eastAsia="en-US" w:bidi="en-US"/>
        </w:rPr>
        <w:t>【政府采购合同专用条款】</w:t>
      </w:r>
      <w:r>
        <w:rPr>
          <w:rFonts w:hint="eastAsia" w:ascii="宋体" w:hAnsi="宋体" w:eastAsia="宋体" w:cs="宋体"/>
          <w:b w:val="0"/>
          <w:color w:val="000000"/>
          <w:sz w:val="24"/>
          <w:szCs w:val="15"/>
          <w:lang w:val="en-US" w:eastAsia="en-US" w:bidi="en-US"/>
        </w:rPr>
        <w:t>中</w:t>
      </w:r>
      <w:r>
        <w:rPr>
          <w:rFonts w:hint="eastAsia" w:ascii="宋体" w:hAnsi="宋体" w:eastAsia="宋体" w:cs="宋体"/>
          <w:b w:val="0"/>
          <w:color w:val="000000"/>
          <w:sz w:val="24"/>
          <w:szCs w:val="15"/>
          <w:lang w:val="en-US" w:eastAsia="zh-CN" w:bidi="en-US"/>
        </w:rPr>
        <w:t>约</w:t>
      </w:r>
      <w:r>
        <w:rPr>
          <w:rFonts w:hint="eastAsia" w:ascii="宋体" w:hAnsi="宋体" w:eastAsia="宋体" w:cs="宋体"/>
          <w:b w:val="0"/>
          <w:color w:val="000000"/>
          <w:sz w:val="24"/>
          <w:szCs w:val="15"/>
          <w:lang w:val="en-US" w:eastAsia="en-US" w:bidi="en-US"/>
        </w:rPr>
        <w:t>定。</w:t>
      </w:r>
    </w:p>
    <w:p w14:paraId="33643D2D">
      <w:pPr>
        <w:pStyle w:val="12"/>
        <w:numPr>
          <w:ilvl w:val="0"/>
          <w:numId w:val="0"/>
        </w:numPr>
        <w:spacing w:after="0" w:line="400" w:lineRule="exact"/>
        <w:ind w:leftChars="0"/>
        <w:rPr>
          <w:rFonts w:ascii="宋体" w:hAnsi="宋体"/>
          <w:b/>
          <w:bCs/>
          <w:color w:val="auto"/>
          <w:sz w:val="24"/>
          <w:szCs w:val="24"/>
          <w:highlight w:val="none"/>
        </w:rPr>
      </w:pPr>
      <w:r>
        <w:rPr>
          <w:rFonts w:hint="eastAsia" w:ascii="宋体" w:hAnsi="宋体"/>
          <w:b/>
          <w:bCs/>
          <w:color w:val="auto"/>
          <w:sz w:val="24"/>
          <w:szCs w:val="24"/>
          <w:highlight w:val="none"/>
        </w:rPr>
        <w:t>1</w:t>
      </w:r>
      <w:r>
        <w:rPr>
          <w:rFonts w:hint="eastAsia" w:ascii="宋体" w:hAnsi="宋体"/>
          <w:b/>
          <w:bCs/>
          <w:color w:val="auto"/>
          <w:sz w:val="24"/>
          <w:szCs w:val="24"/>
          <w:highlight w:val="none"/>
          <w:lang w:eastAsia="zh-CN"/>
        </w:rPr>
        <w:t>3</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履约保证金</w:t>
      </w:r>
    </w:p>
    <w:p w14:paraId="46A0D770">
      <w:pPr>
        <w:adjustRightInd w:val="0"/>
        <w:snapToGrid w:val="0"/>
        <w:spacing w:before="0" w:line="400" w:lineRule="exact"/>
        <w:ind w:firstLine="48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14:paraId="134AA535">
      <w:pPr>
        <w:adjustRightInd w:val="0"/>
        <w:snapToGrid w:val="0"/>
        <w:spacing w:before="0" w:line="400" w:lineRule="exact"/>
        <w:ind w:firstLine="48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.2 如果乙方</w:t>
      </w:r>
      <w:r>
        <w:rPr>
          <w:rFonts w:hint="eastAsia" w:ascii="宋体" w:hAnsi="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cs="宋体"/>
          <w:b w:val="0"/>
          <w:bCs w:val="0"/>
          <w:szCs w:val="15"/>
          <w:highlight w:val="none"/>
          <w:lang w:eastAsia="zh-CN"/>
        </w:rPr>
        <w:t>约定</w:t>
      </w:r>
      <w:r>
        <w:rPr>
          <w:rFonts w:hint="eastAsia" w:ascii="宋体" w:hAnsi="宋体" w:cs="宋体"/>
          <w:b w:val="0"/>
          <w:bCs w:val="0"/>
          <w:szCs w:val="15"/>
          <w:lang w:eastAsia="zh-CN"/>
        </w:rPr>
        <w:t>情形的</w:t>
      </w:r>
      <w:r>
        <w:rPr>
          <w:rFonts w:hint="eastAsia" w:ascii="宋体" w:hAnsi="宋体"/>
          <w:color w:val="auto"/>
          <w:szCs w:val="21"/>
          <w:highlight w:val="none"/>
        </w:rPr>
        <w:t>，履约保证金不予退还；如果乙方未能按合同约定全面履行义务，甲方有权从履约保证金中取得补偿或赔偿，</w:t>
      </w:r>
      <w:r>
        <w:rPr>
          <w:rFonts w:hint="eastAsia" w:ascii="宋体" w:hAnsi="宋体"/>
          <w:color w:val="auto"/>
          <w:szCs w:val="21"/>
          <w:highlight w:val="none"/>
          <w:lang w:eastAsia="zh-CN"/>
        </w:rPr>
        <w:t>且</w:t>
      </w:r>
      <w:r>
        <w:rPr>
          <w:rFonts w:hint="eastAsia" w:ascii="宋体" w:hAnsi="宋体"/>
          <w:color w:val="auto"/>
          <w:szCs w:val="21"/>
          <w:highlight w:val="none"/>
        </w:rPr>
        <w:t>不影响甲方要求乙方承担合同约定的超过履约保证金的违约责任的权利。</w:t>
      </w:r>
    </w:p>
    <w:p w14:paraId="460DC5E2">
      <w:pPr>
        <w:spacing w:line="400" w:lineRule="exact"/>
        <w:ind w:firstLine="420"/>
        <w:rPr>
          <w:color w:val="auto"/>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.3 甲方在项目通过验收后按照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规定的时间内将履约保证金退还乙方；逾期退还的，乙方可要求甲方支付违约金，违约金按照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规定支付。</w:t>
      </w:r>
    </w:p>
    <w:p w14:paraId="31D3E8FD">
      <w:p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4</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b/>
          <w:color w:val="auto"/>
          <w:sz w:val="24"/>
          <w:highlight w:val="none"/>
        </w:rPr>
        <w:t>售后</w:t>
      </w:r>
      <w:r>
        <w:rPr>
          <w:rFonts w:hint="eastAsia" w:ascii="宋体" w:hAnsi="宋体"/>
          <w:b/>
          <w:color w:val="auto"/>
          <w:sz w:val="24"/>
          <w:highlight w:val="none"/>
        </w:rPr>
        <w:t>服务</w:t>
      </w:r>
    </w:p>
    <w:p w14:paraId="2A35E1DB">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4</w:t>
      </w:r>
      <w:r>
        <w:rPr>
          <w:rFonts w:hint="eastAsia" w:ascii="宋体" w:hAnsi="宋体"/>
          <w:color w:val="auto"/>
          <w:szCs w:val="21"/>
          <w:highlight w:val="none"/>
        </w:rPr>
        <w:t>.1 除项目不涉及或采购活动中明确约定无须承担外，乙方还应提供下列服务：</w:t>
      </w:r>
    </w:p>
    <w:p w14:paraId="401AFEBC">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（1）货物的现场移动、安装、调试、启动监督及技术支持；</w:t>
      </w:r>
    </w:p>
    <w:p w14:paraId="6C479D8A">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（2）提供货物组装和维修所需的专用工具和辅助材料；</w:t>
      </w:r>
    </w:p>
    <w:p w14:paraId="2C10AE0A">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color w:val="auto"/>
          <w:szCs w:val="21"/>
          <w:highlight w:val="none"/>
          <w:lang w:eastAsia="zh-CN"/>
        </w:rPr>
        <w:t>约定</w:t>
      </w:r>
      <w:r>
        <w:rPr>
          <w:rFonts w:hint="eastAsia" w:ascii="宋体" w:hAnsi="宋体"/>
          <w:color w:val="auto"/>
          <w:szCs w:val="21"/>
          <w:highlight w:val="none"/>
        </w:rPr>
        <w:t>的期限内对所有的货物实施运行监督、维修，但前提条件是该服务并不能免除乙方在质量保证期内所承担的义务；</w:t>
      </w:r>
    </w:p>
    <w:p w14:paraId="321398A7">
      <w:pPr>
        <w:autoSpaceDE w:val="0"/>
        <w:autoSpaceDN w:val="0"/>
        <w:adjustRightInd w:val="0"/>
        <w:snapToGrid w:val="0"/>
        <w:spacing w:before="0" w:line="400" w:lineRule="exact"/>
        <w:ind w:firstLine="480" w:firstLineChars="200"/>
        <w:jc w:val="left"/>
        <w:rPr>
          <w:rFonts w:hint="eastAsia" w:ascii="宋体" w:hAnsi="宋体"/>
          <w:color w:val="auto"/>
          <w:szCs w:val="21"/>
          <w:highlight w:val="none"/>
        </w:rPr>
      </w:pPr>
      <w:r>
        <w:rPr>
          <w:rFonts w:hint="eastAsia" w:ascii="宋体" w:hAnsi="宋体"/>
          <w:color w:val="auto"/>
          <w:szCs w:val="21"/>
          <w:highlight w:val="none"/>
        </w:rPr>
        <w:t>（4）在制造商</w:t>
      </w:r>
      <w:r>
        <w:rPr>
          <w:rFonts w:hint="eastAsia" w:ascii="宋体" w:hAnsi="宋体"/>
          <w:color w:val="auto"/>
          <w:szCs w:val="21"/>
          <w:highlight w:val="none"/>
          <w:lang w:eastAsia="zh-CN"/>
        </w:rPr>
        <w:t>所在地</w:t>
      </w:r>
      <w:r>
        <w:rPr>
          <w:rFonts w:hint="eastAsia" w:ascii="宋体" w:hAnsi="宋体"/>
          <w:color w:val="auto"/>
          <w:szCs w:val="21"/>
          <w:highlight w:val="none"/>
        </w:rPr>
        <w:t>或</w:t>
      </w:r>
      <w:r>
        <w:rPr>
          <w:rFonts w:hint="eastAsia" w:ascii="宋体" w:hAnsi="宋体"/>
          <w:color w:val="auto"/>
          <w:szCs w:val="21"/>
          <w:highlight w:val="none"/>
          <w:lang w:eastAsia="zh-CN"/>
        </w:rPr>
        <w:t>指定</w:t>
      </w:r>
      <w:r>
        <w:rPr>
          <w:rFonts w:hint="eastAsia" w:ascii="宋体" w:hAnsi="宋体"/>
          <w:color w:val="auto"/>
          <w:szCs w:val="21"/>
          <w:highlight w:val="none"/>
        </w:rPr>
        <w:t>现场就货物的安装、启动、运营、维护</w:t>
      </w:r>
      <w:r>
        <w:rPr>
          <w:rFonts w:hint="eastAsia" w:ascii="宋体" w:hAnsi="宋体"/>
          <w:color w:val="auto"/>
          <w:szCs w:val="21"/>
          <w:highlight w:val="none"/>
          <w:lang w:eastAsia="zh-CN"/>
        </w:rPr>
        <w:t>、废弃处置等</w:t>
      </w:r>
      <w:r>
        <w:rPr>
          <w:rFonts w:hint="eastAsia" w:ascii="宋体" w:hAnsi="宋体"/>
          <w:color w:val="auto"/>
          <w:szCs w:val="21"/>
          <w:highlight w:val="none"/>
        </w:rPr>
        <w:t>对甲方操作人员进行培训</w:t>
      </w:r>
      <w:r>
        <w:rPr>
          <w:rFonts w:hint="eastAsia" w:ascii="宋体" w:hAnsi="宋体" w:cs="宋体"/>
          <w:szCs w:val="15"/>
          <w:lang w:eastAsia="zh-CN"/>
        </w:rPr>
        <w:t>；</w:t>
      </w:r>
    </w:p>
    <w:p w14:paraId="269484E3">
      <w:pPr>
        <w:pStyle w:val="66"/>
        <w:rPr>
          <w:rFonts w:hint="eastAsia" w:ascii="宋体" w:hAnsi="宋体" w:eastAsia="宋体" w:cs="宋体"/>
          <w:sz w:val="21"/>
          <w:szCs w:val="21"/>
        </w:rPr>
      </w:pPr>
      <w:r>
        <w:rPr>
          <w:rFonts w:hint="eastAsia" w:ascii="宋体" w:hAnsi="宋体" w:eastAsia="宋体" w:cs="宋体"/>
          <w:sz w:val="21"/>
          <w:szCs w:val="21"/>
        </w:rPr>
        <w:t>（5）依照法律、行政法规的规定或者按照</w:t>
      </w:r>
      <w:r>
        <w:rPr>
          <w:rFonts w:hint="eastAsia" w:ascii="宋体" w:hAnsi="宋体" w:eastAsia="宋体" w:cs="宋体"/>
          <w:b/>
          <w:bCs/>
          <w:sz w:val="21"/>
          <w:szCs w:val="21"/>
        </w:rPr>
        <w:t>【政府采购合同专用条款】</w:t>
      </w:r>
      <w:r>
        <w:rPr>
          <w:rFonts w:hint="eastAsia" w:ascii="宋体" w:hAnsi="宋体" w:eastAsia="宋体" w:cs="宋体"/>
          <w:sz w:val="21"/>
          <w:szCs w:val="21"/>
        </w:rPr>
        <w:t>约定，货物在有效使用年限届满后应予回收的，乙方负有自行或者委托第三人对货物予以回收的义务；</w:t>
      </w:r>
    </w:p>
    <w:p w14:paraId="49FC6AA9">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b/>
          <w:color w:val="auto"/>
          <w:szCs w:val="21"/>
          <w:highlight w:val="none"/>
        </w:rPr>
        <w:t>【政府采购合同专用条款】</w:t>
      </w:r>
      <w:r>
        <w:rPr>
          <w:rFonts w:hint="eastAsia" w:ascii="宋体" w:hAnsi="宋体"/>
          <w:color w:val="auto"/>
          <w:szCs w:val="21"/>
          <w:highlight w:val="none"/>
        </w:rPr>
        <w:t>规定由乙方提供的其他服务。</w:t>
      </w:r>
    </w:p>
    <w:p w14:paraId="2F7D96FA">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4</w:t>
      </w:r>
      <w:r>
        <w:rPr>
          <w:rFonts w:hint="eastAsia" w:ascii="宋体" w:hAnsi="宋体"/>
          <w:color w:val="auto"/>
          <w:szCs w:val="21"/>
          <w:highlight w:val="none"/>
        </w:rPr>
        <w:t>.2 乙方提供的</w:t>
      </w:r>
      <w:r>
        <w:rPr>
          <w:rFonts w:hint="eastAsia" w:ascii="宋体" w:hAnsi="宋体"/>
          <w:color w:val="auto"/>
          <w:szCs w:val="21"/>
          <w:highlight w:val="none"/>
          <w:lang w:eastAsia="zh-CN"/>
        </w:rPr>
        <w:t>售后</w:t>
      </w:r>
      <w:r>
        <w:rPr>
          <w:rFonts w:hint="eastAsia" w:ascii="宋体" w:hAnsi="宋体"/>
          <w:color w:val="auto"/>
          <w:szCs w:val="21"/>
          <w:highlight w:val="none"/>
        </w:rPr>
        <w:t>服务的费用</w:t>
      </w:r>
      <w:r>
        <w:rPr>
          <w:rFonts w:hint="eastAsia" w:ascii="宋体" w:hAnsi="宋体"/>
          <w:color w:val="auto"/>
          <w:szCs w:val="21"/>
          <w:highlight w:val="none"/>
          <w:lang w:val="en-US" w:eastAsia="zh-CN"/>
        </w:rPr>
        <w:t>已</w:t>
      </w:r>
      <w:r>
        <w:rPr>
          <w:rFonts w:hint="eastAsia" w:ascii="宋体" w:hAnsi="宋体"/>
          <w:color w:val="auto"/>
          <w:szCs w:val="21"/>
          <w:highlight w:val="none"/>
        </w:rPr>
        <w:t>包含在合同价款中，甲方不再另行支付。</w:t>
      </w:r>
    </w:p>
    <w:p w14:paraId="2A14DE97">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5</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违约责任</w:t>
      </w:r>
    </w:p>
    <w:p w14:paraId="5B1B2DE7">
      <w:pPr>
        <w:adjustRightInd w:val="0"/>
        <w:snapToGrid w:val="0"/>
        <w:spacing w:before="0" w:line="400" w:lineRule="exact"/>
        <w:ind w:firstLine="480" w:firstLineChars="200"/>
        <w:jc w:val="left"/>
        <w:rPr>
          <w:rFonts w:hint="eastAsia"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.1质量瑕疵的</w:t>
      </w:r>
      <w:r>
        <w:rPr>
          <w:rFonts w:hint="eastAsia" w:ascii="宋体" w:hAnsi="宋体"/>
          <w:bCs/>
          <w:color w:val="auto"/>
          <w:szCs w:val="21"/>
          <w:highlight w:val="none"/>
          <w:lang w:eastAsia="zh-CN"/>
        </w:rPr>
        <w:t>违约责任</w:t>
      </w:r>
    </w:p>
    <w:p w14:paraId="16B63C3D">
      <w:pPr>
        <w:autoSpaceDE w:val="0"/>
        <w:autoSpaceDN w:val="0"/>
        <w:adjustRightInd w:val="0"/>
        <w:snapToGrid w:val="0"/>
        <w:spacing w:before="0" w:line="400" w:lineRule="exact"/>
        <w:ind w:firstLine="480" w:firstLineChars="200"/>
        <w:jc w:val="left"/>
        <w:rPr>
          <w:rFonts w:hint="eastAsia" w:ascii="宋体" w:hAnsi="宋体"/>
          <w:color w:val="auto"/>
          <w:szCs w:val="21"/>
          <w:highlight w:val="none"/>
        </w:rPr>
      </w:pPr>
      <w:r>
        <w:rPr>
          <w:rFonts w:hint="eastAsia" w:ascii="宋体" w:hAnsi="宋体"/>
          <w:color w:val="auto"/>
          <w:szCs w:val="21"/>
          <w:highlight w:val="none"/>
        </w:rPr>
        <w:t>乙方</w:t>
      </w:r>
      <w:r>
        <w:rPr>
          <w:rFonts w:hint="eastAsia" w:ascii="宋体" w:hAnsi="宋体"/>
          <w:color w:val="auto"/>
          <w:szCs w:val="21"/>
          <w:highlight w:val="none"/>
          <w:lang w:eastAsia="zh-CN"/>
        </w:rPr>
        <w:t>提供</w:t>
      </w:r>
      <w:r>
        <w:rPr>
          <w:rFonts w:hint="eastAsia" w:ascii="宋体" w:hAnsi="宋体"/>
          <w:color w:val="auto"/>
          <w:szCs w:val="21"/>
          <w:highlight w:val="none"/>
        </w:rPr>
        <w:t>的产品不符合</w:t>
      </w:r>
      <w:r>
        <w:rPr>
          <w:rFonts w:hint="eastAsia" w:ascii="宋体" w:hAnsi="宋体"/>
          <w:color w:val="auto"/>
          <w:szCs w:val="21"/>
          <w:highlight w:val="none"/>
          <w:lang w:eastAsia="zh-CN"/>
        </w:rPr>
        <w:t>合同约定的</w:t>
      </w:r>
      <w:r>
        <w:rPr>
          <w:rFonts w:hint="eastAsia" w:ascii="宋体" w:hAnsi="宋体"/>
          <w:color w:val="auto"/>
          <w:szCs w:val="21"/>
          <w:highlight w:val="none"/>
        </w:rPr>
        <w:t>质量标准或存在产品质量缺陷，</w:t>
      </w:r>
      <w:r>
        <w:rPr>
          <w:rFonts w:hint="eastAsia" w:ascii="宋体" w:hAnsi="宋体"/>
          <w:color w:val="auto"/>
          <w:szCs w:val="21"/>
          <w:highlight w:val="none"/>
          <w:lang w:eastAsia="zh-CN"/>
        </w:rPr>
        <w:t>甲方有权要求乙方根据</w:t>
      </w:r>
      <w:r>
        <w:rPr>
          <w:rFonts w:hint="eastAsia" w:ascii="宋体" w:hAnsi="宋体"/>
          <w:b/>
          <w:color w:val="auto"/>
          <w:szCs w:val="21"/>
          <w:highlight w:val="none"/>
        </w:rPr>
        <w:t>【政府采购合同专用条款】</w:t>
      </w:r>
      <w:r>
        <w:rPr>
          <w:rFonts w:hint="eastAsia" w:ascii="宋体" w:hAnsi="宋体"/>
          <w:b w:val="0"/>
          <w:bCs/>
          <w:color w:val="auto"/>
          <w:szCs w:val="21"/>
          <w:highlight w:val="none"/>
          <w:lang w:eastAsia="zh-CN"/>
        </w:rPr>
        <w:t>要求</w:t>
      </w:r>
      <w:r>
        <w:rPr>
          <w:rFonts w:hint="eastAsia" w:ascii="宋体" w:hAnsi="宋体"/>
          <w:color w:val="auto"/>
          <w:szCs w:val="21"/>
          <w:highlight w:val="none"/>
          <w:lang w:eastAsia="zh-CN"/>
        </w:rPr>
        <w:t>及时修理、重作、更换，并承担由此给甲</w:t>
      </w:r>
      <w:r>
        <w:rPr>
          <w:rFonts w:hint="eastAsia" w:ascii="宋体" w:hAnsi="宋体"/>
          <w:color w:val="auto"/>
          <w:szCs w:val="21"/>
          <w:highlight w:val="none"/>
        </w:rPr>
        <w:t>方</w:t>
      </w:r>
      <w:r>
        <w:rPr>
          <w:rFonts w:hint="eastAsia" w:ascii="宋体" w:hAnsi="宋体"/>
          <w:color w:val="auto"/>
          <w:szCs w:val="21"/>
          <w:highlight w:val="none"/>
          <w:lang w:eastAsia="zh-CN"/>
        </w:rPr>
        <w:t>造成的损失</w:t>
      </w:r>
      <w:r>
        <w:rPr>
          <w:rFonts w:hint="eastAsia" w:ascii="宋体" w:hAnsi="宋体"/>
          <w:color w:val="auto"/>
          <w:szCs w:val="21"/>
          <w:highlight w:val="none"/>
        </w:rPr>
        <w:t>。</w:t>
      </w:r>
    </w:p>
    <w:p w14:paraId="13CA6EF6">
      <w:pPr>
        <w:autoSpaceDE w:val="0"/>
        <w:autoSpaceDN w:val="0"/>
        <w:adjustRightInd w:val="0"/>
        <w:snapToGrid w:val="0"/>
        <w:spacing w:before="0" w:line="400" w:lineRule="exact"/>
        <w:ind w:firstLine="480" w:firstLineChars="200"/>
        <w:jc w:val="left"/>
        <w:rPr>
          <w:rFonts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.2 迟延交货的违约责任</w:t>
      </w:r>
    </w:p>
    <w:p w14:paraId="72DDAF2C">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（1）乙方应按照本合同规定的时间、地点交货和提供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服务。在履行合同过程中，如果乙方遇到可能</w:t>
      </w:r>
      <w:r>
        <w:rPr>
          <w:rFonts w:hint="eastAsia" w:ascii="宋体" w:hAnsi="宋体"/>
          <w:color w:val="auto"/>
          <w:szCs w:val="21"/>
          <w:highlight w:val="none"/>
          <w:lang w:eastAsia="zh-CN"/>
        </w:rPr>
        <w:t>影响</w:t>
      </w:r>
      <w:r>
        <w:rPr>
          <w:rFonts w:hint="eastAsia" w:ascii="宋体" w:hAnsi="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color w:val="auto"/>
          <w:szCs w:val="21"/>
          <w:highlight w:val="none"/>
          <w:lang w:eastAsia="zh-CN"/>
        </w:rPr>
        <w:t>长</w:t>
      </w:r>
      <w:r>
        <w:rPr>
          <w:rFonts w:hint="eastAsia" w:ascii="宋体" w:hAnsi="宋体"/>
          <w:color w:val="auto"/>
          <w:szCs w:val="21"/>
          <w:highlight w:val="none"/>
        </w:rPr>
        <w:t>交货时间或延期提供服务。</w:t>
      </w:r>
    </w:p>
    <w:p w14:paraId="2BFCF249">
      <w:pPr>
        <w:autoSpaceDE w:val="0"/>
        <w:autoSpaceDN w:val="0"/>
        <w:adjustRightInd w:val="0"/>
        <w:snapToGrid w:val="0"/>
        <w:spacing w:before="0" w:line="400" w:lineRule="exact"/>
        <w:ind w:firstLine="48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（2）如果乙方没有按照合同规定的时间交货和提供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服务，甲方有权从货款中扣除误期赔偿费而不影响合同项下的其他补救方法，赔偿费按</w:t>
      </w:r>
      <w:r>
        <w:rPr>
          <w:rFonts w:hint="eastAsia" w:ascii="宋体" w:hAnsi="宋体"/>
          <w:b/>
          <w:color w:val="auto"/>
          <w:szCs w:val="21"/>
          <w:highlight w:val="none"/>
        </w:rPr>
        <w:t>【政府采购合同专用条款】</w:t>
      </w:r>
      <w:r>
        <w:rPr>
          <w:rFonts w:hint="eastAsia" w:ascii="宋体" w:hAnsi="宋体"/>
          <w:color w:val="auto"/>
          <w:szCs w:val="21"/>
          <w:highlight w:val="none"/>
        </w:rPr>
        <w:t>规定执行。如果涉及公共利益，且赔偿金额无法弥补公共利益损失，</w:t>
      </w:r>
      <w:r>
        <w:rPr>
          <w:rFonts w:hint="eastAsia" w:ascii="宋体" w:hAnsi="宋体"/>
          <w:color w:val="auto"/>
          <w:szCs w:val="21"/>
          <w:highlight w:val="none"/>
          <w:lang w:eastAsia="zh-CN"/>
        </w:rPr>
        <w:t>甲方</w:t>
      </w:r>
      <w:r>
        <w:rPr>
          <w:rFonts w:hint="eastAsia" w:ascii="宋体" w:hAnsi="宋体"/>
          <w:color w:val="auto"/>
          <w:szCs w:val="21"/>
          <w:highlight w:val="none"/>
        </w:rPr>
        <w:t>可要求继续履行或者</w:t>
      </w:r>
      <w:r>
        <w:rPr>
          <w:rFonts w:hint="eastAsia" w:ascii="宋体" w:hAnsi="宋体"/>
          <w:color w:val="auto"/>
          <w:szCs w:val="21"/>
          <w:highlight w:val="none"/>
          <w:lang w:eastAsia="zh-CN"/>
        </w:rPr>
        <w:t>采取其他补救措施</w:t>
      </w:r>
      <w:r>
        <w:rPr>
          <w:rFonts w:hint="eastAsia" w:ascii="宋体" w:hAnsi="宋体"/>
          <w:color w:val="auto"/>
          <w:szCs w:val="21"/>
          <w:highlight w:val="none"/>
        </w:rPr>
        <w:t>。</w:t>
      </w:r>
    </w:p>
    <w:p w14:paraId="4D04F105">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5</w:t>
      </w:r>
      <w:r>
        <w:rPr>
          <w:rFonts w:hint="eastAsia" w:ascii="宋体" w:hAnsi="宋体"/>
          <w:color w:val="auto"/>
          <w:szCs w:val="21"/>
          <w:highlight w:val="none"/>
        </w:rPr>
        <w:t>.3 迟延支付的违约责任</w:t>
      </w:r>
    </w:p>
    <w:p w14:paraId="0D9004A3">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甲方存在迟延支付乙方合同款项的，应当承担</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规定的逾期付款利息。</w:t>
      </w:r>
    </w:p>
    <w:p w14:paraId="6AD447F9">
      <w:pPr>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.4其他违约责任根据项目实际需要按</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规定执行。</w:t>
      </w:r>
    </w:p>
    <w:p w14:paraId="29DCF0B6">
      <w:pPr>
        <w:numPr>
          <w:ilvl w:val="0"/>
          <w:numId w:val="16"/>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rPr>
        <w:t>合同变更</w:t>
      </w:r>
      <w:r>
        <w:rPr>
          <w:rFonts w:hint="eastAsia" w:ascii="宋体" w:hAnsi="宋体"/>
          <w:b/>
          <w:color w:val="auto"/>
          <w:sz w:val="24"/>
          <w:highlight w:val="none"/>
          <w:lang w:eastAsia="zh-CN"/>
        </w:rPr>
        <w:t>、中止与终止</w:t>
      </w:r>
    </w:p>
    <w:p w14:paraId="6EFE25A6">
      <w:pPr>
        <w:autoSpaceDE/>
        <w:autoSpaceDN/>
        <w:adjustRightInd w:val="0"/>
        <w:snapToGrid w:val="0"/>
        <w:spacing w:before="0" w:line="400" w:lineRule="exact"/>
        <w:ind w:firstLine="0" w:firstLineChars="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.1合同的</w:t>
      </w:r>
      <w:r>
        <w:rPr>
          <w:rFonts w:hint="eastAsia" w:ascii="宋体" w:hAnsi="宋体"/>
          <w:color w:val="auto"/>
          <w:szCs w:val="21"/>
          <w:highlight w:val="none"/>
          <w:lang w:eastAsia="zh-CN"/>
        </w:rPr>
        <w:t>变更</w:t>
      </w:r>
    </w:p>
    <w:p w14:paraId="7C528F45">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lang w:eastAsia="zh-CN"/>
        </w:rPr>
        <w:t>政府采购合同履行中，</w:t>
      </w:r>
      <w:r>
        <w:rPr>
          <w:rFonts w:hint="eastAsia" w:ascii="宋体" w:hAnsi="宋体"/>
          <w:color w:val="auto"/>
          <w:szCs w:val="21"/>
          <w:highlight w:val="none"/>
        </w:rPr>
        <w:t>在不改变合同其他条款的前提下，甲方可以在合同价款10%的范围内追加与合同标的相同的货物，并就此与乙方协商</w:t>
      </w:r>
      <w:r>
        <w:rPr>
          <w:rFonts w:hint="eastAsia" w:ascii="宋体" w:hAnsi="宋体"/>
          <w:color w:val="auto"/>
          <w:szCs w:val="21"/>
          <w:highlight w:val="none"/>
          <w:lang w:eastAsia="zh-CN"/>
        </w:rPr>
        <w:t>一致后</w:t>
      </w:r>
      <w:r>
        <w:rPr>
          <w:rFonts w:hint="eastAsia" w:ascii="宋体" w:hAnsi="宋体"/>
          <w:color w:val="auto"/>
          <w:szCs w:val="21"/>
          <w:highlight w:val="none"/>
        </w:rPr>
        <w:t>签订补充协议。</w:t>
      </w:r>
    </w:p>
    <w:p w14:paraId="60539B42">
      <w:pPr>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合同的中止</w:t>
      </w:r>
    </w:p>
    <w:p w14:paraId="647184C7">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（1）合同履行过程中因供应商就采购文件、采购过程或结果提起投诉的，甲方认为有必要的，</w:t>
      </w:r>
      <w:r>
        <w:rPr>
          <w:rFonts w:hint="eastAsia" w:ascii="宋体" w:hAnsi="宋体"/>
          <w:color w:val="auto"/>
          <w:szCs w:val="21"/>
          <w:highlight w:val="none"/>
          <w:lang w:eastAsia="zh-CN"/>
        </w:rPr>
        <w:t>可以</w:t>
      </w:r>
      <w:r>
        <w:rPr>
          <w:rFonts w:hint="eastAsia" w:ascii="宋体" w:hAnsi="宋体"/>
          <w:color w:val="auto"/>
          <w:szCs w:val="21"/>
          <w:highlight w:val="none"/>
        </w:rPr>
        <w:t>中止合同的履行。</w:t>
      </w:r>
    </w:p>
    <w:p w14:paraId="1BAEC883">
      <w:pPr>
        <w:autoSpaceDE w:val="0"/>
        <w:autoSpaceDN w:val="0"/>
        <w:adjustRightInd w:val="0"/>
        <w:snapToGrid w:val="0"/>
        <w:spacing w:before="0" w:line="400" w:lineRule="exact"/>
        <w:ind w:firstLine="480" w:firstLineChars="200"/>
        <w:jc w:val="left"/>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合同履行过程中，</w:t>
      </w:r>
      <w:r>
        <w:rPr>
          <w:rFonts w:hint="eastAsia" w:ascii="宋体" w:hAnsi="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color w:val="auto"/>
          <w:szCs w:val="21"/>
          <w:highlight w:val="none"/>
          <w:lang w:eastAsia="zh-CN"/>
        </w:rPr>
        <w:t>，乙方有义务及时告知甲方</w:t>
      </w:r>
      <w:r>
        <w:rPr>
          <w:rFonts w:hint="eastAsia" w:ascii="宋体" w:hAnsi="宋体"/>
          <w:color w:val="auto"/>
          <w:szCs w:val="21"/>
          <w:highlight w:val="none"/>
        </w:rPr>
        <w:t>。甲方</w:t>
      </w:r>
      <w:r>
        <w:rPr>
          <w:rFonts w:hint="eastAsia" w:ascii="宋体" w:hAnsi="宋体"/>
          <w:color w:val="auto"/>
          <w:szCs w:val="21"/>
          <w:highlight w:val="none"/>
          <w:lang w:eastAsia="zh-CN"/>
        </w:rPr>
        <w:t>有权</w:t>
      </w:r>
      <w:r>
        <w:rPr>
          <w:rFonts w:hint="eastAsia" w:ascii="宋体" w:hAnsi="宋体"/>
          <w:color w:val="auto"/>
          <w:szCs w:val="21"/>
          <w:highlight w:val="none"/>
        </w:rPr>
        <w:t>以书面形式通知乙方中止合同</w:t>
      </w:r>
      <w:r>
        <w:rPr>
          <w:rFonts w:hint="eastAsia" w:ascii="宋体" w:hAnsi="宋体"/>
          <w:color w:val="auto"/>
          <w:szCs w:val="21"/>
          <w:highlight w:val="none"/>
          <w:lang w:eastAsia="zh-CN"/>
        </w:rPr>
        <w:t>并要求乙方在合理期限内消除相关情形或者提供适当担保。</w:t>
      </w:r>
      <w:r>
        <w:rPr>
          <w:rFonts w:hint="eastAsia" w:ascii="宋体" w:hAnsi="宋体"/>
          <w:color w:val="auto"/>
          <w:szCs w:val="21"/>
          <w:highlight w:val="none"/>
        </w:rPr>
        <w:t>乙方提供适当担保的，</w:t>
      </w:r>
      <w:r>
        <w:rPr>
          <w:rFonts w:hint="eastAsia" w:ascii="宋体" w:hAnsi="宋体"/>
          <w:color w:val="auto"/>
          <w:szCs w:val="21"/>
          <w:highlight w:val="none"/>
          <w:lang w:eastAsia="zh-CN"/>
        </w:rPr>
        <w:t>合同继续</w:t>
      </w:r>
      <w:r>
        <w:rPr>
          <w:rFonts w:hint="eastAsia" w:ascii="宋体" w:hAnsi="宋体"/>
          <w:color w:val="auto"/>
          <w:szCs w:val="21"/>
          <w:highlight w:val="none"/>
        </w:rPr>
        <w:t>履行</w:t>
      </w:r>
      <w:r>
        <w:rPr>
          <w:rFonts w:hint="eastAsia" w:ascii="宋体" w:hAnsi="宋体"/>
          <w:color w:val="auto"/>
          <w:szCs w:val="21"/>
          <w:highlight w:val="none"/>
          <w:lang w:eastAsia="zh-CN"/>
        </w:rPr>
        <w:t>；乙</w:t>
      </w:r>
      <w:r>
        <w:rPr>
          <w:rFonts w:hint="eastAsia" w:ascii="宋体" w:hAnsi="宋体"/>
          <w:color w:val="auto"/>
          <w:szCs w:val="21"/>
          <w:highlight w:val="none"/>
        </w:rPr>
        <w:t>方在合理期限内未恢复履约能力且未提供适当担保的，视为拒绝</w:t>
      </w:r>
      <w:r>
        <w:rPr>
          <w:rFonts w:hint="eastAsia" w:ascii="宋体" w:hAnsi="宋体"/>
          <w:color w:val="auto"/>
          <w:szCs w:val="21"/>
          <w:highlight w:val="none"/>
          <w:lang w:eastAsia="zh-CN"/>
        </w:rPr>
        <w:t>继续</w:t>
      </w:r>
      <w:r>
        <w:rPr>
          <w:rFonts w:hint="eastAsia" w:ascii="宋体" w:hAnsi="宋体"/>
          <w:color w:val="auto"/>
          <w:szCs w:val="21"/>
          <w:highlight w:val="none"/>
        </w:rPr>
        <w:t>履约，甲方</w:t>
      </w:r>
      <w:r>
        <w:rPr>
          <w:rFonts w:hint="eastAsia" w:ascii="宋体" w:hAnsi="宋体"/>
          <w:color w:val="auto"/>
          <w:szCs w:val="21"/>
          <w:highlight w:val="none"/>
          <w:lang w:eastAsia="zh-CN"/>
        </w:rPr>
        <w:t>有权</w:t>
      </w:r>
      <w:r>
        <w:rPr>
          <w:rFonts w:hint="eastAsia" w:ascii="宋体" w:hAnsi="宋体"/>
          <w:color w:val="auto"/>
          <w:szCs w:val="21"/>
          <w:highlight w:val="none"/>
        </w:rPr>
        <w:t>解除合同并要求乙方承担</w:t>
      </w:r>
      <w:r>
        <w:rPr>
          <w:rFonts w:hint="eastAsia" w:ascii="宋体" w:hAnsi="宋体"/>
          <w:color w:val="auto"/>
          <w:szCs w:val="21"/>
          <w:highlight w:val="none"/>
          <w:lang w:eastAsia="zh-CN"/>
        </w:rPr>
        <w:t>由此给甲方造成的损失</w:t>
      </w:r>
      <w:r>
        <w:rPr>
          <w:rFonts w:hint="eastAsia" w:ascii="宋体" w:hAnsi="宋体"/>
          <w:color w:val="auto"/>
          <w:szCs w:val="21"/>
          <w:highlight w:val="none"/>
        </w:rPr>
        <w:t>。</w:t>
      </w:r>
    </w:p>
    <w:p w14:paraId="5F32E667">
      <w:pPr>
        <w:pStyle w:val="66"/>
        <w:jc w:val="both"/>
        <w:rPr>
          <w:sz w:val="21"/>
        </w:rPr>
      </w:pPr>
      <w:r>
        <w:rPr>
          <w:rFonts w:hint="eastAsia" w:ascii="宋体" w:hAnsi="宋体" w:eastAsia="宋体" w:cs="宋体"/>
          <w:sz w:val="21"/>
        </w:rPr>
        <w:t>（3）乙方分立、合并或者变更住所的，应当及时以书面形式告知甲方。乙方没有</w:t>
      </w:r>
      <w:r>
        <w:rPr>
          <w:rFonts w:hint="eastAsia" w:ascii="宋体" w:hAnsi="宋体" w:eastAsia="宋体" w:cs="宋体"/>
          <w:sz w:val="21"/>
          <w:lang w:eastAsia="zh-CN"/>
        </w:rPr>
        <w:t>及时告知</w:t>
      </w:r>
      <w:r>
        <w:rPr>
          <w:rFonts w:hint="eastAsia" w:ascii="宋体" w:hAnsi="宋体" w:eastAsia="宋体" w:cs="宋体"/>
          <w:sz w:val="21"/>
        </w:rPr>
        <w:t>甲方，致使</w:t>
      </w:r>
      <w:r>
        <w:rPr>
          <w:rFonts w:hint="eastAsia" w:ascii="宋体" w:hAnsi="宋体" w:eastAsia="宋体" w:cs="宋体"/>
          <w:sz w:val="21"/>
          <w:lang w:eastAsia="zh-CN"/>
        </w:rPr>
        <w:t>合同</w:t>
      </w:r>
      <w:r>
        <w:rPr>
          <w:rFonts w:hint="eastAsia" w:ascii="宋体" w:hAnsi="宋体" w:eastAsia="宋体" w:cs="宋体"/>
          <w:sz w:val="21"/>
        </w:rPr>
        <w:t>履行发生困难的，甲方可以中止合同履行并要求乙方承担由此给甲方造成的损失。</w:t>
      </w:r>
    </w:p>
    <w:p w14:paraId="6214843A">
      <w:pPr>
        <w:snapToGrid w:val="0"/>
        <w:spacing w:line="400" w:lineRule="exact"/>
        <w:ind w:firstLine="480" w:firstLineChars="200"/>
        <w:jc w:val="left"/>
        <w:rPr>
          <w:sz w:val="21"/>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）甲方不得以行政区划调整、政府换届、机构或者职能调整以及相关责任人更替为由中止合同。</w:t>
      </w:r>
    </w:p>
    <w:p w14:paraId="1B7DCAEA">
      <w:pPr>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合同的终止</w:t>
      </w:r>
    </w:p>
    <w:p w14:paraId="1404FEED">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（1）合同因有效期限届满而终止；</w:t>
      </w:r>
    </w:p>
    <w:p w14:paraId="451F725F">
      <w:pPr>
        <w:snapToGrid w:val="0"/>
        <w:spacing w:line="400" w:lineRule="exact"/>
        <w:ind w:firstLine="480" w:firstLineChars="200"/>
        <w:rPr>
          <w:rFonts w:hint="eastAsia" w:ascii="宋体" w:hAnsi="宋体" w:eastAsia="宋体" w:cs="宋体"/>
          <w:szCs w:val="21"/>
          <w:lang w:eastAsia="zh-CN"/>
        </w:rPr>
      </w:pPr>
      <w:r>
        <w:rPr>
          <w:rFonts w:hint="eastAsia" w:ascii="宋体" w:hAnsi="宋体"/>
          <w:color w:val="auto"/>
          <w:szCs w:val="21"/>
          <w:highlight w:val="none"/>
        </w:rPr>
        <w:t>（2）乙方未</w:t>
      </w:r>
      <w:r>
        <w:rPr>
          <w:rFonts w:hint="eastAsia" w:ascii="宋体" w:hAnsi="宋体"/>
          <w:color w:val="auto"/>
          <w:szCs w:val="21"/>
          <w:highlight w:val="none"/>
          <w:lang w:eastAsia="zh-CN"/>
        </w:rPr>
        <w:t>按</w:t>
      </w:r>
      <w:r>
        <w:rPr>
          <w:rFonts w:hint="eastAsia" w:ascii="宋体" w:hAnsi="宋体"/>
          <w:color w:val="auto"/>
          <w:szCs w:val="21"/>
          <w:highlight w:val="none"/>
        </w:rPr>
        <w:t>合同约定履行，构成根本性违约的，甲方有权终止合同</w:t>
      </w:r>
      <w:r>
        <w:rPr>
          <w:rFonts w:hint="eastAsia" w:ascii="宋体" w:hAnsi="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cs="宋体"/>
          <w:szCs w:val="21"/>
          <w:lang w:val="en-US" w:eastAsia="zh-CN"/>
        </w:rPr>
        <w:t>任</w:t>
      </w:r>
      <w:r>
        <w:rPr>
          <w:rFonts w:hint="eastAsia" w:ascii="宋体" w:hAnsi="宋体"/>
          <w:color w:val="auto"/>
          <w:szCs w:val="21"/>
          <w:highlight w:val="none"/>
        </w:rPr>
        <w:t>。</w:t>
      </w:r>
    </w:p>
    <w:p w14:paraId="24859316">
      <w:pPr>
        <w:pStyle w:val="66"/>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16.4 </w:t>
      </w:r>
      <w:r>
        <w:rPr>
          <w:rFonts w:hint="eastAsia" w:ascii="宋体" w:hAnsi="宋体" w:eastAsia="宋体" w:cs="Times New Roman"/>
          <w:color w:val="auto"/>
          <w:kern w:val="2"/>
          <w:sz w:val="21"/>
          <w:szCs w:val="21"/>
          <w:highlight w:val="none"/>
          <w:lang w:val="en-US" w:eastAsia="zh-CN"/>
        </w:rPr>
        <w:t>涉及国家利益、社会公共利益的情形</w:t>
      </w:r>
    </w:p>
    <w:p w14:paraId="47D92FD8">
      <w:pPr>
        <w:pStyle w:val="66"/>
        <w:jc w:val="both"/>
        <w:rPr>
          <w:sz w:val="21"/>
        </w:rPr>
      </w:pPr>
      <w:r>
        <w:rPr>
          <w:rFonts w:hint="eastAsia" w:ascii="宋体" w:hAnsi="宋体" w:eastAsia="宋体" w:cs="宋体"/>
          <w:sz w:val="21"/>
        </w:rPr>
        <w:t>政府采购合同继续履行将损害国家利益和社会公共利益的，双方当事人</w:t>
      </w:r>
      <w:r>
        <w:rPr>
          <w:rFonts w:hint="eastAsia" w:ascii="宋体" w:hAnsi="宋体" w:eastAsia="宋体" w:cs="宋体"/>
          <w:sz w:val="21"/>
          <w:highlight w:val="none"/>
          <w:lang w:val="en-US" w:eastAsia="zh-CN"/>
        </w:rPr>
        <w:t>应当变更、</w:t>
      </w:r>
      <w:r>
        <w:rPr>
          <w:rFonts w:hint="eastAsia" w:ascii="宋体" w:hAnsi="宋体" w:eastAsia="宋体" w:cs="宋体"/>
          <w:sz w:val="21"/>
        </w:rPr>
        <w:t>中止</w:t>
      </w:r>
      <w:r>
        <w:rPr>
          <w:rFonts w:hint="eastAsia" w:ascii="宋体" w:hAnsi="宋体" w:eastAsia="宋体" w:cs="宋体"/>
          <w:sz w:val="21"/>
          <w:lang w:eastAsia="zh-CN"/>
        </w:rPr>
        <w:t>或者终止</w:t>
      </w:r>
      <w:r>
        <w:rPr>
          <w:rFonts w:hint="eastAsia" w:ascii="宋体" w:hAnsi="宋体" w:eastAsia="宋体" w:cs="宋体"/>
          <w:sz w:val="21"/>
        </w:rPr>
        <w:t>合同。有过错的一方应当承担赔偿责任，双方都有过错的，各自承担相应的责任。</w:t>
      </w:r>
    </w:p>
    <w:p w14:paraId="6A809CA8">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val="en-US" w:eastAsia="zh-CN"/>
        </w:rPr>
        <w:t>7</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合同分包</w:t>
      </w:r>
    </w:p>
    <w:p w14:paraId="1E422D74">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.1 乙方不得</w:t>
      </w:r>
      <w:r>
        <w:rPr>
          <w:rFonts w:hint="eastAsia" w:ascii="宋体" w:hAnsi="宋体"/>
          <w:color w:val="auto"/>
          <w:szCs w:val="21"/>
          <w:highlight w:val="none"/>
          <w:lang w:eastAsia="zh-CN"/>
        </w:rPr>
        <w:t>将合同转包给其他供应商。涉及合同分包的，乙方</w:t>
      </w:r>
      <w:r>
        <w:rPr>
          <w:rFonts w:hint="eastAsia" w:ascii="宋体" w:hAnsi="宋体"/>
          <w:color w:val="auto"/>
          <w:szCs w:val="21"/>
          <w:highlight w:val="none"/>
          <w:lang w:val="en-US" w:eastAsia="zh-CN"/>
        </w:rPr>
        <w:t>应</w:t>
      </w:r>
      <w:r>
        <w:rPr>
          <w:rFonts w:hint="eastAsia" w:ascii="宋体" w:hAnsi="宋体"/>
          <w:color w:val="auto"/>
          <w:szCs w:val="21"/>
          <w:highlight w:val="none"/>
          <w:lang w:eastAsia="zh-CN"/>
        </w:rPr>
        <w:t>根据采购文件和投标（响应）文件规定进行</w:t>
      </w:r>
      <w:r>
        <w:rPr>
          <w:rFonts w:hint="eastAsia" w:ascii="宋体" w:hAnsi="宋体"/>
          <w:color w:val="auto"/>
          <w:szCs w:val="21"/>
          <w:highlight w:val="none"/>
        </w:rPr>
        <w:t>合同分包。</w:t>
      </w:r>
    </w:p>
    <w:p w14:paraId="5E7D262F">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.2 乙方执行政府采购政策向中小企业依法分包的</w:t>
      </w:r>
      <w:r>
        <w:rPr>
          <w:rFonts w:hint="eastAsia" w:ascii="宋体" w:hAnsi="宋体"/>
          <w:color w:val="auto"/>
          <w:szCs w:val="21"/>
          <w:highlight w:val="none"/>
          <w:lang w:eastAsia="zh-CN"/>
        </w:rPr>
        <w:t>，</w:t>
      </w:r>
      <w:r>
        <w:rPr>
          <w:rFonts w:hint="eastAsia" w:ascii="宋体" w:hAnsi="宋体"/>
          <w:color w:val="auto"/>
          <w:szCs w:val="21"/>
          <w:highlight w:val="none"/>
        </w:rPr>
        <w:t>乙方应当按采购文件</w:t>
      </w:r>
      <w:r>
        <w:rPr>
          <w:rFonts w:hint="eastAsia" w:ascii="宋体" w:hAnsi="宋体"/>
          <w:color w:val="auto"/>
          <w:szCs w:val="21"/>
          <w:highlight w:val="none"/>
          <w:lang w:eastAsia="zh-CN"/>
        </w:rPr>
        <w:t>和</w:t>
      </w:r>
      <w:r>
        <w:rPr>
          <w:rFonts w:hint="eastAsia" w:ascii="宋体" w:hAnsi="宋体"/>
          <w:color w:val="auto"/>
          <w:szCs w:val="21"/>
          <w:highlight w:val="none"/>
        </w:rPr>
        <w:t>投标（响应）文件签订分包</w:t>
      </w:r>
      <w:r>
        <w:rPr>
          <w:rFonts w:hint="eastAsia" w:ascii="宋体" w:hAnsi="宋体"/>
          <w:color w:val="auto"/>
          <w:szCs w:val="21"/>
          <w:highlight w:val="none"/>
          <w:lang w:eastAsia="zh-CN"/>
        </w:rPr>
        <w:t>意向</w:t>
      </w:r>
      <w:r>
        <w:rPr>
          <w:rFonts w:hint="eastAsia" w:ascii="宋体" w:hAnsi="宋体"/>
          <w:color w:val="auto"/>
          <w:szCs w:val="21"/>
          <w:highlight w:val="none"/>
        </w:rPr>
        <w:t>协议，分包</w:t>
      </w:r>
      <w:r>
        <w:rPr>
          <w:rFonts w:hint="eastAsia" w:ascii="宋体" w:hAnsi="宋体"/>
          <w:color w:val="auto"/>
          <w:szCs w:val="21"/>
          <w:highlight w:val="none"/>
          <w:lang w:eastAsia="zh-CN"/>
        </w:rPr>
        <w:t>意向</w:t>
      </w:r>
      <w:r>
        <w:rPr>
          <w:rFonts w:hint="eastAsia" w:ascii="宋体" w:hAnsi="宋体"/>
          <w:color w:val="auto"/>
          <w:szCs w:val="21"/>
          <w:highlight w:val="none"/>
        </w:rPr>
        <w:t>协议属于本合同组成部分。</w:t>
      </w:r>
    </w:p>
    <w:p w14:paraId="779D2156">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1</w:t>
      </w:r>
      <w:r>
        <w:rPr>
          <w:rFonts w:hint="eastAsia" w:ascii="宋体" w:hAnsi="宋体"/>
          <w:b/>
          <w:bCs/>
          <w:color w:val="auto"/>
          <w:sz w:val="24"/>
          <w:highlight w:val="none"/>
          <w:lang w:val="en-US" w:eastAsia="zh-CN"/>
        </w:rPr>
        <w:t>8</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不可抗力</w:t>
      </w:r>
    </w:p>
    <w:p w14:paraId="497790AC">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.1 不可抗力是指合同双方不能预见、不能避免且不能克服的客观情况。</w:t>
      </w:r>
    </w:p>
    <w:p w14:paraId="58A26C1C">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.2 任何一方对由于不可抗力造成的部分或全部不能履行合同不承担违约责任。但迟延履行后发生不可抗力的，不能免除责任。</w:t>
      </w:r>
    </w:p>
    <w:p w14:paraId="185C2131">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.3 遇有不可抗力的一方，应及时将事件情况以书面形式</w:t>
      </w:r>
      <w:r>
        <w:rPr>
          <w:rFonts w:hint="eastAsia" w:ascii="宋体" w:hAnsi="宋体"/>
          <w:color w:val="auto"/>
          <w:szCs w:val="21"/>
          <w:highlight w:val="none"/>
          <w:lang w:eastAsia="zh-CN"/>
        </w:rPr>
        <w:t>告</w:t>
      </w:r>
      <w:r>
        <w:rPr>
          <w:rFonts w:hint="eastAsia" w:ascii="宋体" w:hAnsi="宋体"/>
          <w:color w:val="auto"/>
          <w:szCs w:val="21"/>
          <w:highlight w:val="none"/>
        </w:rPr>
        <w:t>知另一方，并在事件发生后及时向另一方提交合同不能履行或部分不能履行或需要延期履行</w:t>
      </w:r>
      <w:r>
        <w:rPr>
          <w:rFonts w:hint="eastAsia" w:ascii="宋体" w:hAnsi="宋体"/>
          <w:color w:val="auto"/>
          <w:szCs w:val="21"/>
          <w:highlight w:val="none"/>
          <w:lang w:eastAsia="zh-CN"/>
        </w:rPr>
        <w:t>的详细</w:t>
      </w:r>
      <w:r>
        <w:rPr>
          <w:rFonts w:hint="eastAsia" w:ascii="宋体" w:hAnsi="宋体"/>
          <w:color w:val="auto"/>
          <w:szCs w:val="21"/>
          <w:highlight w:val="none"/>
        </w:rPr>
        <w:t>报告</w:t>
      </w:r>
      <w:r>
        <w:rPr>
          <w:rFonts w:hint="eastAsia" w:ascii="宋体" w:hAnsi="宋体"/>
          <w:color w:val="auto"/>
          <w:szCs w:val="21"/>
          <w:highlight w:val="none"/>
          <w:lang w:eastAsia="zh-CN"/>
        </w:rPr>
        <w:t>，以</w:t>
      </w:r>
      <w:r>
        <w:rPr>
          <w:rFonts w:hint="eastAsia" w:ascii="宋体" w:hAnsi="宋体"/>
          <w:color w:val="auto"/>
          <w:szCs w:val="21"/>
          <w:highlight w:val="none"/>
          <w:lang w:val="en-US" w:eastAsia="zh-CN"/>
        </w:rPr>
        <w:t>及证明不可抗力发生及其持续时间的证据</w:t>
      </w:r>
      <w:r>
        <w:rPr>
          <w:rFonts w:hint="eastAsia" w:ascii="宋体" w:hAnsi="宋体"/>
          <w:color w:val="auto"/>
          <w:szCs w:val="21"/>
          <w:highlight w:val="none"/>
        </w:rPr>
        <w:t>。</w:t>
      </w:r>
    </w:p>
    <w:p w14:paraId="37AED4EC">
      <w:pPr>
        <w:autoSpaceDE w:val="0"/>
        <w:autoSpaceDN w:val="0"/>
        <w:adjustRightInd w:val="0"/>
        <w:snapToGrid w:val="0"/>
        <w:spacing w:before="0" w:line="400" w:lineRule="exact"/>
        <w:jc w:val="left"/>
        <w:rPr>
          <w:rFonts w:hint="eastAsia" w:ascii="宋体" w:hAnsi="宋体"/>
          <w:b/>
          <w:bCs/>
          <w:color w:val="auto"/>
          <w:sz w:val="24"/>
          <w:highlight w:val="none"/>
        </w:rPr>
      </w:pPr>
      <w:r>
        <w:rPr>
          <w:rFonts w:hint="eastAsia" w:ascii="宋体" w:hAnsi="宋体"/>
          <w:b/>
          <w:bCs/>
          <w:color w:val="auto"/>
          <w:sz w:val="24"/>
          <w:highlight w:val="none"/>
          <w:lang w:val="en-US" w:eastAsia="zh-CN"/>
        </w:rPr>
        <w:t>19</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解决争议的方法</w:t>
      </w:r>
    </w:p>
    <w:p w14:paraId="00B6954C">
      <w:pPr>
        <w:pStyle w:val="66"/>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.1 因本合同及合同有关事项发生的争议，由</w:t>
      </w:r>
      <w:r>
        <w:rPr>
          <w:rFonts w:hint="eastAsia" w:ascii="宋体" w:hAnsi="宋体" w:eastAsia="宋体" w:cs="宋体"/>
          <w:sz w:val="21"/>
          <w:lang w:eastAsia="zh-CN"/>
        </w:rPr>
        <w:t>甲乙双</w:t>
      </w:r>
      <w:r>
        <w:rPr>
          <w:rFonts w:hint="eastAsia" w:ascii="宋体" w:hAnsi="宋体" w:eastAsia="宋体" w:cs="宋体"/>
          <w:sz w:val="21"/>
        </w:rPr>
        <w:t>方友好协商解决。协商不成时，可以</w:t>
      </w:r>
      <w:r>
        <w:rPr>
          <w:rFonts w:hint="eastAsia" w:ascii="宋体" w:hAnsi="宋体" w:eastAsia="宋体" w:cs="宋体"/>
          <w:sz w:val="21"/>
          <w:lang w:eastAsia="zh-CN"/>
        </w:rPr>
        <w:t>向有关组织申请</w:t>
      </w:r>
      <w:r>
        <w:rPr>
          <w:rFonts w:hint="eastAsia" w:ascii="宋体" w:hAnsi="宋体" w:eastAsia="宋体" w:cs="宋体"/>
          <w:sz w:val="21"/>
        </w:rPr>
        <w:t>调解。合同一方或</w:t>
      </w:r>
      <w:r>
        <w:rPr>
          <w:rFonts w:hint="eastAsia" w:ascii="宋体" w:hAnsi="宋体" w:eastAsia="宋体" w:cs="宋体"/>
          <w:sz w:val="21"/>
          <w:lang w:eastAsia="zh-CN"/>
        </w:rPr>
        <w:t>双</w:t>
      </w:r>
      <w:r>
        <w:rPr>
          <w:rFonts w:hint="eastAsia" w:ascii="宋体" w:hAnsi="宋体" w:eastAsia="宋体" w:cs="宋体"/>
          <w:sz w:val="21"/>
        </w:rPr>
        <w:t>方不愿调解或调解不成的，可以通过仲裁或诉讼的方式解决争议。</w:t>
      </w:r>
    </w:p>
    <w:p w14:paraId="1D53E280">
      <w:pPr>
        <w:pStyle w:val="66"/>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.2 选择仲裁的，应在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sz w:val="21"/>
        </w:rPr>
        <w:t>中明确仲裁机构及仲裁地；通过诉讼方式解决的，可以在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sz w:val="21"/>
        </w:rPr>
        <w:t>中进一步约定选择与争议有实际联系的地点的人民法院管辖，但管辖法院的约定不得违反级别管辖和专属管辖的规定。</w:t>
      </w:r>
    </w:p>
    <w:p w14:paraId="5CADF1FD">
      <w:pPr>
        <w:pStyle w:val="66"/>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.3 如</w:t>
      </w:r>
      <w:r>
        <w:rPr>
          <w:rFonts w:hint="eastAsia" w:ascii="宋体" w:hAnsi="宋体" w:eastAsia="宋体" w:cs="宋体"/>
          <w:sz w:val="21"/>
          <w:lang w:eastAsia="zh-CN"/>
        </w:rPr>
        <w:t>甲乙双方</w:t>
      </w:r>
      <w:r>
        <w:rPr>
          <w:rFonts w:hint="eastAsia" w:ascii="宋体" w:hAnsi="宋体" w:eastAsia="宋体" w:cs="宋体"/>
          <w:sz w:val="21"/>
        </w:rPr>
        <w:t>有争议的事项不影响合同其他部分的履行，在争议解决期间，合同其他部分应</w:t>
      </w:r>
      <w:r>
        <w:rPr>
          <w:rFonts w:hint="eastAsia" w:ascii="宋体" w:hAnsi="宋体" w:eastAsia="宋体" w:cs="宋体"/>
          <w:sz w:val="21"/>
          <w:lang w:eastAsia="zh-CN"/>
        </w:rPr>
        <w:t>当</w:t>
      </w:r>
      <w:r>
        <w:rPr>
          <w:rFonts w:hint="eastAsia" w:ascii="宋体" w:hAnsi="宋体" w:eastAsia="宋体" w:cs="宋体"/>
          <w:sz w:val="21"/>
        </w:rPr>
        <w:t>继续履行。</w:t>
      </w:r>
    </w:p>
    <w:p w14:paraId="6FF7955B">
      <w:pPr>
        <w:autoSpaceDE w:val="0"/>
        <w:autoSpaceDN w:val="0"/>
        <w:adjustRightInd w:val="0"/>
        <w:snapToGrid w:val="0"/>
        <w:spacing w:before="0" w:line="400" w:lineRule="exact"/>
        <w:jc w:val="left"/>
        <w:rPr>
          <w:rFonts w:ascii="宋体" w:hAnsi="宋体"/>
          <w:color w:val="auto"/>
          <w:sz w:val="24"/>
          <w:highlight w:val="none"/>
        </w:rPr>
      </w:pPr>
      <w:r>
        <w:rPr>
          <w:rFonts w:hint="eastAsia" w:ascii="宋体" w:hAnsi="宋体"/>
          <w:b/>
          <w:color w:val="auto"/>
          <w:sz w:val="24"/>
          <w:highlight w:val="none"/>
          <w:lang w:val="en-US" w:eastAsia="zh-CN"/>
        </w:rPr>
        <w:t>20</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政府采购政策</w:t>
      </w:r>
    </w:p>
    <w:p w14:paraId="73C95628">
      <w:pPr>
        <w:autoSpaceDE w:val="0"/>
        <w:autoSpaceDN w:val="0"/>
        <w:adjustRightInd w:val="0"/>
        <w:snapToGrid w:val="0"/>
        <w:spacing w:before="0" w:line="400" w:lineRule="exact"/>
        <w:ind w:firstLine="480" w:firstLineChars="20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14:paraId="669BE204">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color w:val="auto"/>
          <w:szCs w:val="21"/>
          <w:highlight w:val="none"/>
        </w:rPr>
        <w:t>，有过错的一方应当承担赔偿责任，双方都有过错的，各自承担相应的责任。</w:t>
      </w:r>
    </w:p>
    <w:p w14:paraId="5EC0D5FC">
      <w:pPr>
        <w:pStyle w:val="12"/>
        <w:numPr>
          <w:ilvl w:val="0"/>
          <w:numId w:val="0"/>
        </w:numPr>
        <w:spacing w:after="0" w:line="400" w:lineRule="exact"/>
        <w:ind w:left="0" w:leftChars="0" w:firstLine="440" w:firstLineChars="200"/>
        <w:rPr>
          <w:color w:val="auto"/>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 xml:space="preserve"> 对于</w:t>
      </w:r>
      <w:r>
        <w:rPr>
          <w:rFonts w:hint="eastAsia" w:ascii="宋体" w:hAnsi="宋体"/>
          <w:color w:val="auto"/>
          <w:szCs w:val="21"/>
          <w:highlight w:val="none"/>
          <w:lang w:eastAsia="zh-CN"/>
        </w:rPr>
        <w:t>为落实中小企业支持政策，</w:t>
      </w:r>
      <w:r>
        <w:rPr>
          <w:rFonts w:hint="eastAsia" w:ascii="宋体" w:hAnsi="宋体"/>
          <w:color w:val="auto"/>
          <w:szCs w:val="21"/>
          <w:highlight w:val="none"/>
        </w:rPr>
        <w:t>通过采购项目</w:t>
      </w:r>
      <w:r>
        <w:rPr>
          <w:rFonts w:hint="eastAsia" w:ascii="宋体" w:hAnsi="宋体"/>
          <w:color w:val="auto"/>
          <w:szCs w:val="21"/>
          <w:highlight w:val="none"/>
          <w:lang w:eastAsia="zh-CN"/>
        </w:rPr>
        <w:t>整体</w:t>
      </w:r>
      <w:r>
        <w:rPr>
          <w:rFonts w:hint="eastAsia" w:ascii="宋体" w:hAnsi="宋体"/>
          <w:color w:val="auto"/>
          <w:szCs w:val="21"/>
          <w:highlight w:val="none"/>
        </w:rPr>
        <w:t>预留、</w:t>
      </w:r>
      <w:r>
        <w:rPr>
          <w:rFonts w:hint="eastAsia" w:ascii="宋体" w:hAnsi="宋体"/>
          <w:color w:val="auto"/>
          <w:szCs w:val="21"/>
          <w:highlight w:val="none"/>
          <w:lang w:eastAsia="zh-CN"/>
        </w:rPr>
        <w:t>设置</w:t>
      </w:r>
      <w:r>
        <w:rPr>
          <w:rFonts w:hint="eastAsia" w:ascii="宋体" w:hAnsi="宋体"/>
          <w:color w:val="auto"/>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57163B28">
      <w:pPr>
        <w:autoSpaceDE w:val="0"/>
        <w:autoSpaceDN w:val="0"/>
        <w:adjustRightInd w:val="0"/>
        <w:snapToGrid w:val="0"/>
        <w:spacing w:before="0" w:line="400" w:lineRule="exact"/>
        <w:jc w:val="left"/>
        <w:rPr>
          <w:rFonts w:hint="eastAsia" w:ascii="宋体" w:hAnsi="宋体"/>
          <w:b/>
          <w:color w:val="auto"/>
          <w:sz w:val="24"/>
          <w:highlight w:val="none"/>
        </w:rPr>
      </w:pPr>
      <w:r>
        <w:rPr>
          <w:rFonts w:hint="eastAsia" w:ascii="宋体" w:hAnsi="宋体"/>
          <w:b/>
          <w:color w:val="auto"/>
          <w:sz w:val="24"/>
          <w:highlight w:val="none"/>
        </w:rPr>
        <w:t>2</w:t>
      </w:r>
      <w:r>
        <w:rPr>
          <w:rFonts w:hint="eastAsia" w:ascii="宋体" w:hAnsi="宋体"/>
          <w:b/>
          <w:color w:val="auto"/>
          <w:sz w:val="24"/>
          <w:highlight w:val="none"/>
          <w:lang w:val="en-US" w:eastAsia="zh-CN"/>
        </w:rPr>
        <w:t>1</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法律适用</w:t>
      </w:r>
    </w:p>
    <w:p w14:paraId="171C5ABA">
      <w:pPr>
        <w:pStyle w:val="66"/>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1</w:t>
      </w:r>
      <w:r>
        <w:rPr>
          <w:rFonts w:hint="eastAsia" w:ascii="宋体" w:hAnsi="宋体" w:eastAsia="宋体" w:cs="宋体"/>
          <w:sz w:val="21"/>
        </w:rPr>
        <w:t>.1 本合同的订立、生效、解释、履行及与本合同有关的争议解决，均适用法律、行政法规。</w:t>
      </w:r>
    </w:p>
    <w:p w14:paraId="5DCEA066">
      <w:pPr>
        <w:pStyle w:val="66"/>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1</w:t>
      </w:r>
      <w:r>
        <w:rPr>
          <w:rFonts w:hint="eastAsia" w:ascii="宋体" w:hAnsi="宋体" w:eastAsia="宋体" w:cs="宋体"/>
          <w:sz w:val="21"/>
        </w:rPr>
        <w:t>.2 本合同条款与法律、行政法规的强制性规定不一致的，双方当事人应按照法律、行政法规的强制性规定修改本合同的相关条款。</w:t>
      </w:r>
    </w:p>
    <w:p w14:paraId="218072DB">
      <w:pPr>
        <w:numPr>
          <w:ilvl w:val="-1"/>
          <w:numId w:val="0"/>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val="en-US" w:eastAsia="zh-CN"/>
        </w:rPr>
        <w:t xml:space="preserve">22. </w:t>
      </w:r>
      <w:r>
        <w:rPr>
          <w:rFonts w:hint="eastAsia" w:ascii="宋体" w:hAnsi="宋体"/>
          <w:b/>
          <w:color w:val="auto"/>
          <w:sz w:val="24"/>
          <w:highlight w:val="none"/>
        </w:rPr>
        <w:t>通知</w:t>
      </w:r>
    </w:p>
    <w:p w14:paraId="4D2DEA2E">
      <w:pPr>
        <w:pStyle w:val="66"/>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2</w:t>
      </w:r>
      <w:r>
        <w:rPr>
          <w:rFonts w:hint="eastAsia" w:ascii="宋体" w:hAnsi="宋体" w:eastAsia="宋体" w:cs="宋体"/>
          <w:sz w:val="21"/>
        </w:rPr>
        <w:t>.1</w:t>
      </w:r>
      <w:r>
        <w:rPr>
          <w:rFonts w:hint="eastAsia" w:ascii="宋体" w:hAnsi="宋体" w:eastAsia="宋体" w:cs="宋体"/>
          <w:sz w:val="21"/>
          <w:lang w:val="en-US" w:eastAsia="zh-CN"/>
        </w:rPr>
        <w:t xml:space="preserve"> </w:t>
      </w:r>
      <w:r>
        <w:rPr>
          <w:rFonts w:hint="eastAsia" w:ascii="宋体" w:hAnsi="宋体" w:eastAsia="宋体" w:cs="宋体"/>
          <w:sz w:val="21"/>
        </w:rPr>
        <w:t>本合同任何一方向对方发出的通知、信件、数据电文等，应当发送至本合同第一部分《政府采购合同协议书》所约定的通讯地址、联系人、联系电话或电子邮箱。</w:t>
      </w:r>
    </w:p>
    <w:p w14:paraId="17CDF06B">
      <w:pPr>
        <w:pStyle w:val="66"/>
        <w:ind w:firstLine="0" w:firstLineChars="0"/>
        <w:jc w:val="both"/>
        <w:rPr>
          <w:sz w:val="21"/>
        </w:rPr>
      </w:pPr>
      <w:r>
        <w:rPr>
          <w:rFonts w:hint="eastAsia" w:ascii="宋体" w:hAnsi="宋体" w:eastAsia="宋体" w:cs="宋体"/>
          <w:sz w:val="21"/>
          <w:lang w:val="en-US" w:eastAsia="zh-CN"/>
        </w:rPr>
        <w:t xml:space="preserve">    </w:t>
      </w:r>
      <w:r>
        <w:rPr>
          <w:rFonts w:hint="eastAsia" w:ascii="宋体" w:hAnsi="宋体" w:eastAsia="宋体" w:cs="宋体"/>
          <w:sz w:val="21"/>
        </w:rPr>
        <w:t>2</w:t>
      </w:r>
      <w:r>
        <w:rPr>
          <w:rFonts w:hint="eastAsia" w:ascii="宋体" w:hAnsi="宋体" w:eastAsia="宋体" w:cs="宋体"/>
          <w:sz w:val="21"/>
          <w:lang w:val="en-US" w:eastAsia="zh-CN"/>
        </w:rPr>
        <w:t>2</w:t>
      </w:r>
      <w:r>
        <w:rPr>
          <w:rFonts w:hint="eastAsia" w:ascii="宋体" w:hAnsi="宋体" w:eastAsia="宋体" w:cs="宋体"/>
          <w:sz w:val="21"/>
        </w:rPr>
        <w:t>.2</w:t>
      </w:r>
      <w:r>
        <w:rPr>
          <w:rFonts w:hint="eastAsia" w:ascii="宋体" w:hAnsi="宋体" w:eastAsia="宋体" w:cs="宋体"/>
          <w:sz w:val="21"/>
          <w:lang w:val="en-US" w:eastAsia="zh-CN"/>
        </w:rPr>
        <w:t xml:space="preserve"> </w:t>
      </w:r>
      <w:r>
        <w:rPr>
          <w:rFonts w:hint="eastAsia" w:ascii="宋体" w:hAnsi="宋体" w:eastAsia="宋体" w:cs="宋体"/>
          <w:sz w:val="21"/>
        </w:rPr>
        <w:t>一方当事人变更名称、</w:t>
      </w:r>
      <w:r>
        <w:rPr>
          <w:rFonts w:hint="eastAsia" w:ascii="宋体" w:hAnsi="宋体" w:eastAsia="宋体" w:cs="宋体"/>
          <w:sz w:val="21"/>
          <w:lang w:eastAsia="zh-CN"/>
        </w:rPr>
        <w:t>住所</w:t>
      </w:r>
      <w:r>
        <w:rPr>
          <w:rFonts w:hint="eastAsia" w:ascii="宋体" w:hAnsi="宋体" w:eastAsia="宋体" w:cs="宋体"/>
          <w:sz w:val="21"/>
        </w:rPr>
        <w:t>、联系人、联系电话或电子邮箱</w:t>
      </w:r>
      <w:r>
        <w:rPr>
          <w:rFonts w:hint="eastAsia" w:ascii="宋体" w:hAnsi="宋体" w:eastAsia="宋体" w:cs="宋体"/>
          <w:sz w:val="21"/>
          <w:lang w:eastAsia="zh-CN"/>
        </w:rPr>
        <w:t>等信息</w:t>
      </w:r>
      <w:r>
        <w:rPr>
          <w:rFonts w:hint="eastAsia" w:ascii="宋体" w:hAnsi="宋体" w:eastAsia="宋体" w:cs="宋体"/>
          <w:sz w:val="21"/>
        </w:rPr>
        <w:t>的，应当在变更后3日内及时书面通知对方，对方实际收到变更通知前的送达仍为有效送达。</w:t>
      </w:r>
    </w:p>
    <w:p w14:paraId="5375735A">
      <w:pPr>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本合同一方给另一方的通知均应采用书面形式，传真或快递送到本合同中规定的对方的地址和办理签收手续。</w:t>
      </w:r>
    </w:p>
    <w:p w14:paraId="0E64CC4E">
      <w:pPr>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通知以送达之日或通知书中规定的生效之日起生效，两者中以较迟之日为准。</w:t>
      </w:r>
    </w:p>
    <w:p w14:paraId="57BCBBBD">
      <w:pPr>
        <w:numPr>
          <w:ilvl w:val="0"/>
          <w:numId w:val="17"/>
        </w:num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合同未尽事项</w:t>
      </w:r>
    </w:p>
    <w:p w14:paraId="3DFB1868">
      <w:pPr>
        <w:adjustRightInd w:val="0"/>
        <w:snapToGrid w:val="0"/>
        <w:spacing w:before="0" w:line="400" w:lineRule="exact"/>
        <w:ind w:firstLine="480" w:firstLineChars="200"/>
        <w:jc w:val="left"/>
        <w:rPr>
          <w:rFonts w:hint="eastAsia" w:ascii="宋体" w:hAnsi="宋体"/>
          <w:bCs/>
          <w:color w:val="auto"/>
          <w:szCs w:val="21"/>
          <w:highlight w:val="none"/>
        </w:rPr>
      </w:pPr>
      <w:r>
        <w:rPr>
          <w:rFonts w:hint="eastAsia" w:ascii="宋体" w:hAnsi="宋体"/>
          <w:bCs/>
          <w:color w:val="auto"/>
          <w:szCs w:val="21"/>
          <w:highlight w:val="none"/>
        </w:rPr>
        <w:t>2</w:t>
      </w:r>
      <w:r>
        <w:rPr>
          <w:rFonts w:hint="eastAsia" w:ascii="宋体" w:hAnsi="宋体"/>
          <w:bCs/>
          <w:color w:val="auto"/>
          <w:szCs w:val="21"/>
          <w:highlight w:val="none"/>
          <w:lang w:val="en-US" w:eastAsia="zh-CN"/>
        </w:rPr>
        <w:t>3</w:t>
      </w:r>
      <w:r>
        <w:rPr>
          <w:rFonts w:hint="eastAsia" w:ascii="宋体" w:hAnsi="宋体"/>
          <w:bCs/>
          <w:color w:val="auto"/>
          <w:szCs w:val="21"/>
          <w:highlight w:val="none"/>
        </w:rPr>
        <w:t>.1合同未尽事项见</w:t>
      </w:r>
      <w:r>
        <w:rPr>
          <w:rFonts w:hint="eastAsia" w:ascii="宋体" w:hAnsi="宋体"/>
          <w:b/>
          <w:color w:val="auto"/>
          <w:szCs w:val="21"/>
          <w:highlight w:val="none"/>
        </w:rPr>
        <w:t>【政府采购合同专用条款】</w:t>
      </w:r>
      <w:r>
        <w:rPr>
          <w:rFonts w:hint="eastAsia" w:ascii="宋体" w:hAnsi="宋体"/>
          <w:bCs/>
          <w:color w:val="auto"/>
          <w:szCs w:val="21"/>
          <w:highlight w:val="none"/>
        </w:rPr>
        <w:t>。</w:t>
      </w:r>
    </w:p>
    <w:p w14:paraId="620D5F22">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bCs/>
          <w:color w:val="auto"/>
          <w:szCs w:val="21"/>
          <w:highlight w:val="none"/>
          <w:lang w:val="en-US" w:eastAsia="zh-CN"/>
        </w:rPr>
        <w:t xml:space="preserve">    23.2 合同附件与合同正文具有同等的法律效力。</w:t>
      </w:r>
      <w:bookmarkStart w:id="114" w:name="_Toc20313"/>
    </w:p>
    <w:p w14:paraId="07BF37ED">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14:paraId="09E68628">
      <w:pPr>
        <w:pStyle w:val="3"/>
        <w:adjustRightInd w:val="0"/>
        <w:snapToGrid w:val="0"/>
        <w:jc w:val="center"/>
        <w:rPr>
          <w:rFonts w:ascii="黑体" w:hAnsi="华文中宋" w:eastAsia="黑体"/>
          <w:b w:val="0"/>
          <w:bCs w:val="0"/>
          <w:sz w:val="28"/>
          <w:szCs w:val="28"/>
        </w:rPr>
      </w:pPr>
      <w:r>
        <w:rPr>
          <w:rFonts w:hint="eastAsia" w:ascii="黑体" w:hAnsi="华文中宋" w:eastAsia="黑体"/>
          <w:b w:val="0"/>
          <w:bCs w:val="0"/>
          <w:sz w:val="28"/>
          <w:szCs w:val="28"/>
        </w:rPr>
        <w:t>第三节 政府采购合同专用条款</w:t>
      </w:r>
      <w:bookmarkEnd w:id="114"/>
    </w:p>
    <w:tbl>
      <w:tblPr>
        <w:tblStyle w:val="25"/>
        <w:tblW w:w="8342"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4993"/>
      </w:tblGrid>
      <w:tr w14:paraId="6968D65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E82E6EF">
            <w:pPr>
              <w:adjustRightInd w:val="0"/>
              <w:snapToGrid w:val="0"/>
              <w:jc w:val="center"/>
              <w:rPr>
                <w:rFonts w:ascii="宋体" w:hAnsi="宋体"/>
                <w:szCs w:val="21"/>
              </w:rPr>
            </w:pPr>
            <w:r>
              <w:rPr>
                <w:rFonts w:hint="eastAsia" w:ascii="宋体" w:hAnsi="宋体"/>
                <w:szCs w:val="21"/>
              </w:rPr>
              <w:t>第二节</w:t>
            </w:r>
          </w:p>
          <w:p w14:paraId="091B5FC5">
            <w:pPr>
              <w:adjustRightInd w:val="0"/>
              <w:snapToGrid w:val="0"/>
              <w:jc w:val="center"/>
              <w:rPr>
                <w:rFonts w:ascii="宋体" w:hAnsi="宋体"/>
                <w:szCs w:val="21"/>
              </w:rPr>
            </w:pPr>
            <w:r>
              <w:rPr>
                <w:rFonts w:hint="eastAsia" w:ascii="宋体" w:hAnsi="宋体"/>
                <w:szCs w:val="21"/>
              </w:rPr>
              <w:t>第1.2（</w:t>
            </w:r>
            <w:r>
              <w:rPr>
                <w:rFonts w:hint="eastAsia" w:ascii="宋体" w:hAnsi="宋体"/>
                <w:szCs w:val="21"/>
                <w:lang w:val="en-US" w:eastAsia="zh-CN"/>
              </w:rPr>
              <w:t>6</w:t>
            </w:r>
            <w:r>
              <w:rPr>
                <w:rFonts w:hint="eastAsia" w:ascii="宋体" w:hAnsi="宋体"/>
                <w:szCs w:val="21"/>
              </w:rPr>
              <w:t>）项</w:t>
            </w:r>
          </w:p>
        </w:tc>
        <w:tc>
          <w:tcPr>
            <w:tcW w:w="1742" w:type="dxa"/>
            <w:vAlign w:val="center"/>
          </w:tcPr>
          <w:p w14:paraId="57164EF2">
            <w:pPr>
              <w:adjustRightInd w:val="0"/>
              <w:snapToGrid w:val="0"/>
              <w:jc w:val="left"/>
              <w:rPr>
                <w:rFonts w:ascii="宋体" w:hAnsi="宋体"/>
                <w:szCs w:val="21"/>
              </w:rPr>
            </w:pPr>
            <w:r>
              <w:rPr>
                <w:rFonts w:hint="eastAsia" w:ascii="宋体" w:hAnsi="宋体"/>
                <w:szCs w:val="21"/>
                <w:lang w:eastAsia="zh-CN"/>
              </w:rPr>
              <w:t>联合体具体要求</w:t>
            </w:r>
          </w:p>
        </w:tc>
        <w:tc>
          <w:tcPr>
            <w:tcW w:w="4993" w:type="dxa"/>
            <w:vAlign w:val="center"/>
          </w:tcPr>
          <w:p w14:paraId="53105D1A">
            <w:pPr>
              <w:adjustRightInd w:val="0"/>
              <w:snapToGrid w:val="0"/>
              <w:jc w:val="left"/>
              <w:rPr>
                <w:rFonts w:ascii="宋体" w:hAnsi="宋体"/>
                <w:szCs w:val="21"/>
              </w:rPr>
            </w:pPr>
          </w:p>
        </w:tc>
      </w:tr>
      <w:tr w14:paraId="4924078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057845FF">
            <w:pPr>
              <w:adjustRightInd w:val="0"/>
              <w:snapToGrid w:val="0"/>
              <w:jc w:val="center"/>
              <w:rPr>
                <w:rFonts w:ascii="宋体" w:hAnsi="宋体"/>
                <w:szCs w:val="21"/>
              </w:rPr>
            </w:pPr>
            <w:r>
              <w:rPr>
                <w:rFonts w:hint="eastAsia" w:ascii="宋体" w:hAnsi="宋体"/>
                <w:szCs w:val="21"/>
              </w:rPr>
              <w:t>第二节</w:t>
            </w:r>
          </w:p>
          <w:p w14:paraId="18E5CCBF">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szCs w:val="21"/>
              </w:rPr>
              <w:t>第1.2（</w:t>
            </w:r>
            <w:r>
              <w:rPr>
                <w:rFonts w:hint="eastAsia" w:ascii="宋体" w:hAnsi="宋体"/>
                <w:szCs w:val="21"/>
                <w:lang w:val="en-US" w:eastAsia="zh-CN"/>
              </w:rPr>
              <w:t>7</w:t>
            </w:r>
            <w:r>
              <w:rPr>
                <w:rFonts w:hint="eastAsia" w:ascii="宋体" w:hAnsi="宋体"/>
                <w:szCs w:val="21"/>
              </w:rPr>
              <w:t>）项</w:t>
            </w:r>
          </w:p>
        </w:tc>
        <w:tc>
          <w:tcPr>
            <w:tcW w:w="1742" w:type="dxa"/>
            <w:vAlign w:val="center"/>
          </w:tcPr>
          <w:p w14:paraId="52A3561B">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szCs w:val="21"/>
              </w:rPr>
              <w:t>其他术语解释</w:t>
            </w:r>
          </w:p>
        </w:tc>
        <w:tc>
          <w:tcPr>
            <w:tcW w:w="4993" w:type="dxa"/>
            <w:vAlign w:val="center"/>
          </w:tcPr>
          <w:p w14:paraId="5D45338F">
            <w:pPr>
              <w:adjustRightInd w:val="0"/>
              <w:snapToGrid w:val="0"/>
              <w:jc w:val="left"/>
              <w:rPr>
                <w:rFonts w:ascii="宋体" w:hAnsi="宋体" w:eastAsia="宋体" w:cs="Times New Roman"/>
                <w:kern w:val="2"/>
                <w:sz w:val="21"/>
                <w:szCs w:val="21"/>
                <w:lang w:val="en-US" w:eastAsia="zh-CN" w:bidi="ar-SA"/>
              </w:rPr>
            </w:pPr>
          </w:p>
        </w:tc>
      </w:tr>
      <w:tr w14:paraId="11C29EB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AE5B433">
            <w:pPr>
              <w:adjustRightInd w:val="0"/>
              <w:snapToGrid w:val="0"/>
              <w:jc w:val="center"/>
              <w:rPr>
                <w:rFonts w:ascii="宋体" w:hAnsi="宋体"/>
                <w:szCs w:val="21"/>
              </w:rPr>
            </w:pPr>
            <w:r>
              <w:rPr>
                <w:rFonts w:hint="eastAsia" w:ascii="宋体" w:hAnsi="宋体"/>
                <w:szCs w:val="21"/>
              </w:rPr>
              <w:t>第二节</w:t>
            </w:r>
          </w:p>
          <w:p w14:paraId="0B2F3A1A">
            <w:pPr>
              <w:adjustRightInd w:val="0"/>
              <w:snapToGrid w:val="0"/>
              <w:jc w:val="center"/>
              <w:rPr>
                <w:rFonts w:hint="default" w:ascii="宋体" w:hAnsi="宋体" w:eastAsia="宋体"/>
                <w:szCs w:val="21"/>
                <w:lang w:val="en-US" w:eastAsia="zh-CN"/>
              </w:rPr>
            </w:pPr>
            <w:r>
              <w:rPr>
                <w:rFonts w:hint="eastAsia" w:ascii="宋体" w:hAnsi="宋体"/>
                <w:szCs w:val="21"/>
                <w:lang w:eastAsia="zh-CN"/>
              </w:rPr>
              <w:t>第</w:t>
            </w:r>
            <w:r>
              <w:rPr>
                <w:rFonts w:hint="eastAsia" w:ascii="宋体" w:hAnsi="宋体"/>
                <w:szCs w:val="21"/>
                <w:lang w:val="en-US" w:eastAsia="zh-CN"/>
              </w:rPr>
              <w:t>4.4款</w:t>
            </w:r>
          </w:p>
        </w:tc>
        <w:tc>
          <w:tcPr>
            <w:tcW w:w="1742" w:type="dxa"/>
            <w:vAlign w:val="center"/>
          </w:tcPr>
          <w:p w14:paraId="15AEC459">
            <w:pPr>
              <w:adjustRightInd w:val="0"/>
              <w:snapToGrid w:val="0"/>
              <w:jc w:val="left"/>
              <w:rPr>
                <w:rFonts w:hint="eastAsia" w:ascii="宋体" w:hAnsi="宋体" w:eastAsia="宋体"/>
                <w:szCs w:val="21"/>
                <w:lang w:eastAsia="zh-CN"/>
              </w:rPr>
            </w:pPr>
            <w:r>
              <w:rPr>
                <w:rFonts w:hint="eastAsia" w:ascii="宋体" w:hAnsi="宋体"/>
                <w:szCs w:val="21"/>
                <w:lang w:eastAsia="zh-CN"/>
              </w:rPr>
              <w:t>履约验收中甲方提出异议或作出说明的期限</w:t>
            </w:r>
          </w:p>
        </w:tc>
        <w:tc>
          <w:tcPr>
            <w:tcW w:w="4993" w:type="dxa"/>
            <w:vAlign w:val="center"/>
          </w:tcPr>
          <w:p w14:paraId="09B7DDA4">
            <w:pPr>
              <w:adjustRightInd w:val="0"/>
              <w:snapToGrid w:val="0"/>
              <w:jc w:val="left"/>
              <w:rPr>
                <w:rFonts w:ascii="宋体" w:hAnsi="宋体" w:eastAsia="宋体" w:cs="Times New Roman"/>
                <w:kern w:val="2"/>
                <w:sz w:val="21"/>
                <w:szCs w:val="21"/>
                <w:lang w:val="en-US" w:eastAsia="zh-CN" w:bidi="ar-SA"/>
              </w:rPr>
            </w:pPr>
          </w:p>
        </w:tc>
      </w:tr>
      <w:tr w14:paraId="32092A6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F1B5B65">
            <w:pPr>
              <w:adjustRightInd w:val="0"/>
              <w:snapToGrid w:val="0"/>
              <w:jc w:val="center"/>
              <w:rPr>
                <w:rFonts w:ascii="宋体" w:hAnsi="宋体"/>
                <w:szCs w:val="21"/>
              </w:rPr>
            </w:pPr>
            <w:r>
              <w:rPr>
                <w:rFonts w:hint="eastAsia" w:ascii="宋体" w:hAnsi="宋体"/>
                <w:szCs w:val="21"/>
              </w:rPr>
              <w:t>第二节</w:t>
            </w:r>
          </w:p>
          <w:p w14:paraId="541894F9">
            <w:pPr>
              <w:adjustRightInd w:val="0"/>
              <w:snapToGrid w:val="0"/>
              <w:jc w:val="center"/>
              <w:rPr>
                <w:rFonts w:hint="eastAsia" w:ascii="宋体" w:hAnsi="宋体"/>
                <w:szCs w:val="21"/>
              </w:rPr>
            </w:pPr>
            <w:r>
              <w:rPr>
                <w:rFonts w:hint="eastAsia" w:ascii="宋体" w:hAnsi="宋体"/>
                <w:szCs w:val="21"/>
                <w:lang w:eastAsia="zh-CN"/>
              </w:rPr>
              <w:t>第</w:t>
            </w:r>
            <w:r>
              <w:rPr>
                <w:rFonts w:hint="eastAsia" w:ascii="宋体" w:hAnsi="宋体"/>
                <w:szCs w:val="21"/>
                <w:lang w:val="en-US" w:eastAsia="zh-CN"/>
              </w:rPr>
              <w:t>4.6款</w:t>
            </w:r>
          </w:p>
        </w:tc>
        <w:tc>
          <w:tcPr>
            <w:tcW w:w="1742" w:type="dxa"/>
            <w:vAlign w:val="center"/>
          </w:tcPr>
          <w:p w14:paraId="7DABE06D">
            <w:pPr>
              <w:adjustRightInd w:val="0"/>
              <w:snapToGrid w:val="0"/>
              <w:jc w:val="left"/>
              <w:rPr>
                <w:rFonts w:hint="eastAsia" w:ascii="宋体" w:hAnsi="宋体" w:eastAsia="宋体"/>
                <w:szCs w:val="21"/>
                <w:lang w:eastAsia="zh-CN"/>
              </w:rPr>
            </w:pPr>
            <w:r>
              <w:rPr>
                <w:rFonts w:hint="eastAsia" w:ascii="宋体" w:hAnsi="宋体"/>
                <w:szCs w:val="21"/>
                <w:lang w:eastAsia="zh-CN"/>
              </w:rPr>
              <w:t>约定甲方承担的其他义务和责任</w:t>
            </w:r>
          </w:p>
        </w:tc>
        <w:tc>
          <w:tcPr>
            <w:tcW w:w="4993" w:type="dxa"/>
            <w:vAlign w:val="center"/>
          </w:tcPr>
          <w:p w14:paraId="165AF3B1">
            <w:pPr>
              <w:adjustRightInd w:val="0"/>
              <w:snapToGrid w:val="0"/>
              <w:jc w:val="left"/>
              <w:rPr>
                <w:rFonts w:ascii="宋体" w:hAnsi="宋体" w:eastAsia="宋体" w:cs="Times New Roman"/>
                <w:kern w:val="2"/>
                <w:sz w:val="21"/>
                <w:szCs w:val="21"/>
                <w:lang w:val="en-US" w:eastAsia="zh-CN" w:bidi="ar-SA"/>
              </w:rPr>
            </w:pPr>
          </w:p>
        </w:tc>
      </w:tr>
      <w:tr w14:paraId="486358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32C605E">
            <w:pPr>
              <w:adjustRightInd w:val="0"/>
              <w:snapToGrid w:val="0"/>
              <w:jc w:val="center"/>
              <w:rPr>
                <w:rFonts w:hint="eastAsia" w:ascii="宋体" w:hAnsi="宋体"/>
                <w:szCs w:val="21"/>
                <w:lang w:eastAsia="zh-CN"/>
              </w:rPr>
            </w:pPr>
            <w:r>
              <w:rPr>
                <w:rFonts w:hint="eastAsia" w:ascii="宋体" w:hAnsi="宋体"/>
                <w:szCs w:val="21"/>
                <w:lang w:eastAsia="zh-CN"/>
              </w:rPr>
              <w:t>第二节</w:t>
            </w:r>
          </w:p>
          <w:p w14:paraId="00F342B2">
            <w:pPr>
              <w:snapToGrid w:val="0"/>
              <w:jc w:val="center"/>
              <w:rPr>
                <w:rFonts w:hint="default"/>
                <w:lang w:val="en-US" w:eastAsia="zh-CN"/>
              </w:rPr>
            </w:pPr>
            <w:r>
              <w:rPr>
                <w:rFonts w:hint="eastAsia" w:ascii="宋体" w:hAnsi="宋体"/>
                <w:szCs w:val="21"/>
                <w:lang w:eastAsia="zh-CN"/>
              </w:rPr>
              <w:t>第</w:t>
            </w:r>
            <w:r>
              <w:rPr>
                <w:rFonts w:hint="eastAsia" w:ascii="宋体" w:hAnsi="宋体"/>
                <w:szCs w:val="21"/>
                <w:lang w:val="en-US" w:eastAsia="zh-CN"/>
              </w:rPr>
              <w:t>5.4款</w:t>
            </w:r>
          </w:p>
        </w:tc>
        <w:tc>
          <w:tcPr>
            <w:tcW w:w="1742" w:type="dxa"/>
            <w:vAlign w:val="center"/>
          </w:tcPr>
          <w:p w14:paraId="5DCEB412">
            <w:pPr>
              <w:adjustRightInd w:val="0"/>
              <w:snapToGrid w:val="0"/>
              <w:jc w:val="left"/>
              <w:rPr>
                <w:rFonts w:hint="eastAsia" w:ascii="宋体" w:hAnsi="宋体"/>
                <w:szCs w:val="21"/>
                <w:lang w:eastAsia="zh-CN"/>
              </w:rPr>
            </w:pPr>
            <w:r>
              <w:rPr>
                <w:rFonts w:hint="eastAsia" w:ascii="宋体" w:hAnsi="宋体"/>
                <w:szCs w:val="21"/>
                <w:lang w:eastAsia="zh-CN"/>
              </w:rPr>
              <w:t>约定乙方承担的其他义务和责任</w:t>
            </w:r>
          </w:p>
        </w:tc>
        <w:tc>
          <w:tcPr>
            <w:tcW w:w="4993" w:type="dxa"/>
            <w:vAlign w:val="center"/>
          </w:tcPr>
          <w:p w14:paraId="24FD23C2">
            <w:pPr>
              <w:adjustRightInd w:val="0"/>
              <w:snapToGrid w:val="0"/>
              <w:jc w:val="left"/>
              <w:rPr>
                <w:rFonts w:ascii="宋体" w:hAnsi="宋体" w:eastAsia="宋体" w:cs="Times New Roman"/>
                <w:kern w:val="2"/>
                <w:sz w:val="21"/>
                <w:szCs w:val="21"/>
                <w:lang w:val="en-US" w:eastAsia="zh-CN" w:bidi="ar-SA"/>
              </w:rPr>
            </w:pPr>
          </w:p>
        </w:tc>
      </w:tr>
      <w:tr w14:paraId="21DE354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D420D41">
            <w:pPr>
              <w:adjustRightInd w:val="0"/>
              <w:snapToGrid w:val="0"/>
              <w:jc w:val="center"/>
              <w:rPr>
                <w:rFonts w:hint="eastAsia" w:ascii="宋体" w:hAnsi="宋体"/>
                <w:szCs w:val="21"/>
                <w:lang w:eastAsia="zh-CN"/>
              </w:rPr>
            </w:pPr>
            <w:r>
              <w:rPr>
                <w:rFonts w:hint="eastAsia" w:ascii="宋体" w:hAnsi="宋体"/>
                <w:szCs w:val="21"/>
                <w:lang w:eastAsia="zh-CN"/>
              </w:rPr>
              <w:t>第二节</w:t>
            </w:r>
          </w:p>
          <w:p w14:paraId="5D7D4C37">
            <w:pPr>
              <w:snapToGrid w:val="0"/>
              <w:jc w:val="center"/>
              <w:rPr>
                <w:rFonts w:hint="eastAsia" w:ascii="宋体" w:hAnsi="宋体"/>
                <w:szCs w:val="21"/>
                <w:lang w:eastAsia="zh-CN"/>
              </w:rPr>
            </w:pPr>
            <w:r>
              <w:rPr>
                <w:rFonts w:hint="eastAsia" w:ascii="宋体" w:hAnsi="宋体"/>
                <w:szCs w:val="21"/>
                <w:lang w:eastAsia="zh-CN"/>
              </w:rPr>
              <w:t>第</w:t>
            </w:r>
            <w:r>
              <w:rPr>
                <w:rFonts w:hint="eastAsia" w:ascii="宋体" w:hAnsi="宋体"/>
                <w:szCs w:val="21"/>
                <w:lang w:val="en-US" w:eastAsia="zh-CN"/>
              </w:rPr>
              <w:t>6.1款</w:t>
            </w:r>
          </w:p>
        </w:tc>
        <w:tc>
          <w:tcPr>
            <w:tcW w:w="1742" w:type="dxa"/>
            <w:vAlign w:val="center"/>
          </w:tcPr>
          <w:p w14:paraId="0DEDA7AB">
            <w:pPr>
              <w:adjustRightInd w:val="0"/>
              <w:snapToGrid w:val="0"/>
              <w:jc w:val="left"/>
              <w:rPr>
                <w:rFonts w:hint="eastAsia" w:ascii="宋体" w:hAnsi="宋体"/>
                <w:szCs w:val="21"/>
                <w:lang w:eastAsia="zh-CN"/>
              </w:rPr>
            </w:pPr>
            <w:r>
              <w:rPr>
                <w:rFonts w:hint="eastAsia" w:ascii="宋体" w:hAnsi="宋体"/>
                <w:szCs w:val="21"/>
                <w:lang w:eastAsia="zh-CN"/>
              </w:rPr>
              <w:t>履行合同义务的顺序</w:t>
            </w:r>
          </w:p>
        </w:tc>
        <w:tc>
          <w:tcPr>
            <w:tcW w:w="4993" w:type="dxa"/>
            <w:vAlign w:val="center"/>
          </w:tcPr>
          <w:p w14:paraId="0DB4EC6C">
            <w:pPr>
              <w:adjustRightInd w:val="0"/>
              <w:snapToGrid w:val="0"/>
              <w:jc w:val="left"/>
              <w:rPr>
                <w:rFonts w:ascii="宋体" w:hAnsi="宋体" w:eastAsia="宋体" w:cs="Times New Roman"/>
                <w:kern w:val="2"/>
                <w:sz w:val="21"/>
                <w:szCs w:val="21"/>
                <w:lang w:val="en-US" w:eastAsia="zh-CN" w:bidi="ar-SA"/>
              </w:rPr>
            </w:pPr>
          </w:p>
        </w:tc>
      </w:tr>
      <w:tr w14:paraId="450410A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0AFAEF3C">
            <w:pPr>
              <w:adjustRightInd w:val="0"/>
              <w:snapToGrid w:val="0"/>
              <w:jc w:val="center"/>
              <w:rPr>
                <w:rFonts w:ascii="宋体" w:hAnsi="宋体"/>
                <w:szCs w:val="21"/>
              </w:rPr>
            </w:pPr>
            <w:r>
              <w:rPr>
                <w:rFonts w:hint="eastAsia" w:ascii="宋体" w:hAnsi="宋体"/>
                <w:szCs w:val="21"/>
              </w:rPr>
              <w:t>第二节</w:t>
            </w:r>
          </w:p>
          <w:p w14:paraId="617A6BBF">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.1</w:t>
            </w:r>
            <w:r>
              <w:rPr>
                <w:rFonts w:hint="eastAsia" w:ascii="宋体" w:hAnsi="宋体"/>
                <w:szCs w:val="21"/>
                <w:lang w:val="en-US" w:eastAsia="zh-CN"/>
              </w:rPr>
              <w:t>款</w:t>
            </w:r>
          </w:p>
        </w:tc>
        <w:tc>
          <w:tcPr>
            <w:tcW w:w="1742" w:type="dxa"/>
            <w:vAlign w:val="center"/>
          </w:tcPr>
          <w:p w14:paraId="00265634">
            <w:pPr>
              <w:adjustRightInd w:val="0"/>
              <w:snapToGrid w:val="0"/>
              <w:jc w:val="left"/>
              <w:rPr>
                <w:rFonts w:ascii="宋体" w:hAnsi="宋体"/>
                <w:szCs w:val="21"/>
              </w:rPr>
            </w:pPr>
            <w:r>
              <w:rPr>
                <w:rFonts w:hint="eastAsia" w:ascii="宋体" w:hAnsi="宋体"/>
                <w:szCs w:val="21"/>
              </w:rPr>
              <w:t>包装</w:t>
            </w:r>
            <w:r>
              <w:rPr>
                <w:rFonts w:hint="eastAsia" w:ascii="宋体" w:hAnsi="宋体"/>
                <w:szCs w:val="21"/>
                <w:lang w:eastAsia="zh-CN"/>
              </w:rPr>
              <w:t>特殊要求</w:t>
            </w:r>
          </w:p>
        </w:tc>
        <w:tc>
          <w:tcPr>
            <w:tcW w:w="4993" w:type="dxa"/>
            <w:vAlign w:val="center"/>
          </w:tcPr>
          <w:p w14:paraId="398ECCC8"/>
        </w:tc>
      </w:tr>
      <w:tr w14:paraId="0E9061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307352AA">
            <w:pPr>
              <w:adjustRightInd w:val="0"/>
              <w:snapToGrid w:val="0"/>
              <w:jc w:val="center"/>
              <w:rPr>
                <w:rFonts w:hint="eastAsia" w:ascii="宋体" w:hAnsi="宋体"/>
                <w:szCs w:val="21"/>
              </w:rPr>
            </w:pPr>
          </w:p>
        </w:tc>
        <w:tc>
          <w:tcPr>
            <w:tcW w:w="1742" w:type="dxa"/>
            <w:vAlign w:val="center"/>
          </w:tcPr>
          <w:p w14:paraId="4EE9BD80">
            <w:pPr>
              <w:adjustRightInd w:val="0"/>
              <w:snapToGrid w:val="0"/>
              <w:jc w:val="left"/>
              <w:rPr>
                <w:rFonts w:hint="eastAsia" w:ascii="宋体" w:hAnsi="宋体" w:eastAsia="宋体"/>
                <w:szCs w:val="21"/>
                <w:lang w:eastAsia="zh-CN"/>
              </w:rPr>
            </w:pPr>
            <w:r>
              <w:rPr>
                <w:rFonts w:hint="eastAsia" w:ascii="宋体" w:hAnsi="宋体"/>
                <w:szCs w:val="21"/>
                <w:lang w:eastAsia="zh-CN"/>
              </w:rPr>
              <w:t>指定现场</w:t>
            </w:r>
          </w:p>
        </w:tc>
        <w:tc>
          <w:tcPr>
            <w:tcW w:w="4993" w:type="dxa"/>
            <w:vAlign w:val="center"/>
          </w:tcPr>
          <w:p w14:paraId="14B30D9B">
            <w:pPr>
              <w:rPr>
                <w:rFonts w:hint="eastAsia"/>
              </w:rPr>
            </w:pPr>
          </w:p>
        </w:tc>
      </w:tr>
      <w:tr w14:paraId="6CE03A2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1FDEFFE6">
            <w:pPr>
              <w:adjustRightInd w:val="0"/>
              <w:snapToGrid w:val="0"/>
              <w:jc w:val="center"/>
              <w:rPr>
                <w:rFonts w:ascii="宋体" w:hAnsi="宋体"/>
                <w:szCs w:val="21"/>
              </w:rPr>
            </w:pPr>
            <w:r>
              <w:rPr>
                <w:rFonts w:hint="eastAsia" w:ascii="宋体" w:hAnsi="宋体"/>
                <w:szCs w:val="21"/>
              </w:rPr>
              <w:t>第二节</w:t>
            </w:r>
          </w:p>
          <w:p w14:paraId="093F1037">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.2</w:t>
            </w:r>
            <w:r>
              <w:rPr>
                <w:rFonts w:hint="eastAsia" w:ascii="宋体" w:hAnsi="宋体"/>
                <w:szCs w:val="21"/>
                <w:lang w:val="en-US" w:eastAsia="zh-CN"/>
              </w:rPr>
              <w:t>款</w:t>
            </w:r>
          </w:p>
        </w:tc>
        <w:tc>
          <w:tcPr>
            <w:tcW w:w="1742" w:type="dxa"/>
            <w:vAlign w:val="center"/>
          </w:tcPr>
          <w:p w14:paraId="6D2C99EA">
            <w:pPr>
              <w:adjustRightInd w:val="0"/>
              <w:snapToGrid w:val="0"/>
              <w:jc w:val="left"/>
              <w:rPr>
                <w:rFonts w:hint="eastAsia" w:ascii="宋体" w:hAnsi="宋体" w:eastAsia="宋体"/>
                <w:szCs w:val="21"/>
                <w:lang w:eastAsia="zh-CN"/>
              </w:rPr>
            </w:pPr>
            <w:r>
              <w:rPr>
                <w:rFonts w:hint="eastAsia" w:ascii="宋体" w:hAnsi="宋体"/>
                <w:szCs w:val="21"/>
                <w:lang w:eastAsia="zh-CN"/>
              </w:rPr>
              <w:t>运输特殊要求</w:t>
            </w:r>
          </w:p>
        </w:tc>
        <w:tc>
          <w:tcPr>
            <w:tcW w:w="4993" w:type="dxa"/>
            <w:vAlign w:val="center"/>
          </w:tcPr>
          <w:p w14:paraId="622D7A2C">
            <w:pPr>
              <w:rPr>
                <w:rFonts w:hint="eastAsia"/>
              </w:rPr>
            </w:pPr>
          </w:p>
        </w:tc>
      </w:tr>
      <w:tr w14:paraId="0C89654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26365FAB">
            <w:pPr>
              <w:adjustRightInd w:val="0"/>
              <w:snapToGrid w:val="0"/>
              <w:jc w:val="center"/>
              <w:rPr>
                <w:rFonts w:ascii="宋体" w:hAnsi="宋体"/>
                <w:szCs w:val="21"/>
              </w:rPr>
            </w:pPr>
            <w:r>
              <w:rPr>
                <w:rFonts w:hint="eastAsia" w:ascii="宋体" w:hAnsi="宋体"/>
                <w:szCs w:val="21"/>
              </w:rPr>
              <w:t>第二节</w:t>
            </w:r>
          </w:p>
          <w:p w14:paraId="400BAFEC">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.3</w:t>
            </w:r>
            <w:r>
              <w:rPr>
                <w:rFonts w:hint="eastAsia" w:ascii="宋体" w:hAnsi="宋体"/>
                <w:szCs w:val="21"/>
                <w:lang w:val="en-US" w:eastAsia="zh-CN"/>
              </w:rPr>
              <w:t>款</w:t>
            </w:r>
          </w:p>
        </w:tc>
        <w:tc>
          <w:tcPr>
            <w:tcW w:w="1742" w:type="dxa"/>
            <w:vAlign w:val="center"/>
          </w:tcPr>
          <w:p w14:paraId="1F948D39">
            <w:pPr>
              <w:adjustRightInd w:val="0"/>
              <w:snapToGrid w:val="0"/>
              <w:jc w:val="left"/>
              <w:rPr>
                <w:rFonts w:hint="eastAsia" w:ascii="宋体" w:hAnsi="宋体" w:eastAsia="宋体"/>
                <w:szCs w:val="21"/>
                <w:lang w:eastAsia="zh-CN"/>
              </w:rPr>
            </w:pPr>
            <w:r>
              <w:rPr>
                <w:rFonts w:hint="eastAsia" w:ascii="宋体" w:hAnsi="宋体"/>
                <w:szCs w:val="21"/>
                <w:lang w:eastAsia="zh-CN"/>
              </w:rPr>
              <w:t>保险要求</w:t>
            </w:r>
          </w:p>
        </w:tc>
        <w:tc>
          <w:tcPr>
            <w:tcW w:w="4993" w:type="dxa"/>
            <w:vAlign w:val="center"/>
          </w:tcPr>
          <w:p w14:paraId="1F5FF35D">
            <w:pPr>
              <w:rPr>
                <w:rFonts w:hint="eastAsia"/>
              </w:rPr>
            </w:pPr>
          </w:p>
        </w:tc>
      </w:tr>
      <w:tr w14:paraId="1264AD2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4AA0598">
            <w:pPr>
              <w:adjustRightInd w:val="0"/>
              <w:snapToGrid w:val="0"/>
              <w:jc w:val="center"/>
              <w:rPr>
                <w:rFonts w:ascii="宋体" w:hAnsi="宋体"/>
                <w:szCs w:val="21"/>
              </w:rPr>
            </w:pPr>
            <w:r>
              <w:rPr>
                <w:rFonts w:hint="eastAsia" w:ascii="宋体" w:hAnsi="宋体"/>
                <w:szCs w:val="21"/>
              </w:rPr>
              <w:t>第二节</w:t>
            </w:r>
          </w:p>
          <w:p w14:paraId="12A97B8F">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8</w:t>
            </w:r>
            <w:r>
              <w:rPr>
                <w:rFonts w:hint="eastAsia" w:ascii="宋体" w:hAnsi="宋体"/>
                <w:szCs w:val="21"/>
              </w:rPr>
              <w:t>.2（1）项</w:t>
            </w:r>
          </w:p>
        </w:tc>
        <w:tc>
          <w:tcPr>
            <w:tcW w:w="1742" w:type="dxa"/>
            <w:vAlign w:val="center"/>
          </w:tcPr>
          <w:p w14:paraId="12CD8DAD">
            <w:pPr>
              <w:adjustRightInd w:val="0"/>
              <w:snapToGrid w:val="0"/>
              <w:jc w:val="left"/>
              <w:rPr>
                <w:rFonts w:ascii="宋体" w:hAnsi="宋体"/>
                <w:szCs w:val="21"/>
              </w:rPr>
            </w:pPr>
            <w:r>
              <w:rPr>
                <w:rFonts w:hint="eastAsia" w:ascii="宋体" w:hAnsi="宋体"/>
                <w:szCs w:val="21"/>
              </w:rPr>
              <w:t>质量保证期</w:t>
            </w:r>
          </w:p>
        </w:tc>
        <w:tc>
          <w:tcPr>
            <w:tcW w:w="4993" w:type="dxa"/>
            <w:vAlign w:val="center"/>
          </w:tcPr>
          <w:p w14:paraId="69704D4F">
            <w:pPr>
              <w:autoSpaceDE w:val="0"/>
              <w:autoSpaceDN w:val="0"/>
              <w:adjustRightInd w:val="0"/>
              <w:snapToGrid w:val="0"/>
              <w:ind w:firstLine="480" w:firstLineChars="200"/>
              <w:jc w:val="left"/>
              <w:rPr>
                <w:rFonts w:ascii="宋体" w:hAnsi="宋体"/>
                <w:szCs w:val="21"/>
              </w:rPr>
            </w:pPr>
          </w:p>
        </w:tc>
      </w:tr>
      <w:tr w14:paraId="16A9685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572E35D">
            <w:pPr>
              <w:adjustRightInd w:val="0"/>
              <w:snapToGrid w:val="0"/>
              <w:jc w:val="center"/>
              <w:rPr>
                <w:rFonts w:ascii="宋体" w:hAnsi="宋体"/>
                <w:szCs w:val="21"/>
              </w:rPr>
            </w:pPr>
            <w:r>
              <w:rPr>
                <w:rFonts w:hint="eastAsia" w:ascii="宋体" w:hAnsi="宋体"/>
                <w:szCs w:val="21"/>
              </w:rPr>
              <w:t>第二节</w:t>
            </w:r>
          </w:p>
          <w:p w14:paraId="53EB22D3">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8</w:t>
            </w:r>
            <w:r>
              <w:rPr>
                <w:rFonts w:hint="eastAsia" w:ascii="宋体" w:hAnsi="宋体"/>
                <w:szCs w:val="21"/>
              </w:rPr>
              <w:t>.2（3）项</w:t>
            </w:r>
          </w:p>
        </w:tc>
        <w:tc>
          <w:tcPr>
            <w:tcW w:w="1742" w:type="dxa"/>
            <w:vAlign w:val="center"/>
          </w:tcPr>
          <w:p w14:paraId="31037ABA">
            <w:pPr>
              <w:adjustRightInd w:val="0"/>
              <w:snapToGrid w:val="0"/>
              <w:jc w:val="left"/>
              <w:rPr>
                <w:rFonts w:hint="eastAsia" w:ascii="宋体" w:hAnsi="宋体"/>
                <w:szCs w:val="21"/>
                <w:lang w:eastAsia="zh-CN"/>
              </w:rPr>
            </w:pPr>
            <w:r>
              <w:rPr>
                <w:rFonts w:hint="eastAsia" w:ascii="宋体" w:hAnsi="宋体"/>
                <w:szCs w:val="21"/>
                <w:lang w:eastAsia="zh-CN"/>
              </w:rPr>
              <w:t>货物质量缺陷</w:t>
            </w:r>
          </w:p>
          <w:p w14:paraId="3DE00B30">
            <w:pPr>
              <w:adjustRightInd w:val="0"/>
              <w:snapToGrid w:val="0"/>
              <w:jc w:val="left"/>
              <w:rPr>
                <w:rFonts w:ascii="宋体" w:hAnsi="宋体"/>
                <w:szCs w:val="21"/>
              </w:rPr>
            </w:pPr>
            <w:r>
              <w:rPr>
                <w:rFonts w:hint="eastAsia" w:ascii="宋体" w:hAnsi="宋体"/>
                <w:szCs w:val="21"/>
              </w:rPr>
              <w:t>响应时间</w:t>
            </w:r>
          </w:p>
        </w:tc>
        <w:tc>
          <w:tcPr>
            <w:tcW w:w="4993" w:type="dxa"/>
            <w:vAlign w:val="center"/>
          </w:tcPr>
          <w:p w14:paraId="58957E1B">
            <w:pPr>
              <w:adjustRightInd w:val="0"/>
              <w:snapToGrid w:val="0"/>
              <w:jc w:val="left"/>
              <w:rPr>
                <w:rFonts w:ascii="宋体" w:hAnsi="宋体"/>
                <w:szCs w:val="21"/>
              </w:rPr>
            </w:pPr>
          </w:p>
        </w:tc>
      </w:tr>
      <w:tr w14:paraId="5FCB5E3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6179609">
            <w:pPr>
              <w:snapToGrid w:val="0"/>
              <w:jc w:val="center"/>
              <w:rPr>
                <w:rFonts w:hint="eastAsia" w:ascii="宋体" w:hAnsi="宋体" w:cs="宋体"/>
                <w:szCs w:val="21"/>
                <w:lang w:val="en-US" w:eastAsia="zh-CN"/>
              </w:rPr>
            </w:pPr>
            <w:r>
              <w:rPr>
                <w:rFonts w:hint="eastAsia" w:ascii="宋体" w:hAnsi="宋体" w:cs="宋体"/>
                <w:szCs w:val="21"/>
                <w:lang w:val="en-US" w:eastAsia="zh-CN"/>
              </w:rPr>
              <w:t>第二节</w:t>
            </w:r>
          </w:p>
          <w:p w14:paraId="470FD71A">
            <w:pPr>
              <w:pStyle w:val="66"/>
              <w:ind w:firstLine="0" w:firstLineChars="0"/>
              <w:jc w:val="center"/>
              <w:rPr>
                <w:rFonts w:hint="default"/>
                <w:lang w:val="en-US" w:eastAsia="zh-CN"/>
              </w:rPr>
            </w:pPr>
            <w:r>
              <w:rPr>
                <w:rFonts w:hint="eastAsia" w:ascii="宋体" w:hAnsi="宋体" w:eastAsia="宋体" w:cs="宋体"/>
                <w:szCs w:val="21"/>
                <w:lang w:val="en-US" w:eastAsia="zh-CN"/>
              </w:rPr>
              <w:t>第11.1款</w:t>
            </w:r>
          </w:p>
        </w:tc>
        <w:tc>
          <w:tcPr>
            <w:tcW w:w="1742" w:type="dxa"/>
            <w:vAlign w:val="center"/>
          </w:tcPr>
          <w:p w14:paraId="52B7B3A6">
            <w:pPr>
              <w:adjustRightInd w:val="0"/>
              <w:snapToGrid w:val="0"/>
              <w:jc w:val="both"/>
              <w:rPr>
                <w:rFonts w:hint="default" w:ascii="宋体" w:hAnsi="宋体" w:eastAsia="宋体"/>
                <w:szCs w:val="21"/>
                <w:lang w:val="en-US" w:eastAsia="zh-CN"/>
              </w:rPr>
            </w:pPr>
            <w:r>
              <w:rPr>
                <w:rFonts w:hint="eastAsia" w:ascii="宋体" w:hAnsi="宋体"/>
                <w:szCs w:val="21"/>
                <w:lang w:val="en-US" w:eastAsia="zh-CN"/>
              </w:rPr>
              <w:t>其他应当保密的信息</w:t>
            </w:r>
          </w:p>
        </w:tc>
        <w:tc>
          <w:tcPr>
            <w:tcW w:w="4993" w:type="dxa"/>
            <w:vAlign w:val="center"/>
          </w:tcPr>
          <w:p w14:paraId="5A10478F">
            <w:pPr>
              <w:adjustRightInd w:val="0"/>
              <w:snapToGrid w:val="0"/>
              <w:jc w:val="left"/>
              <w:rPr>
                <w:rFonts w:ascii="宋体" w:hAnsi="宋体"/>
                <w:szCs w:val="21"/>
              </w:rPr>
            </w:pPr>
          </w:p>
        </w:tc>
      </w:tr>
      <w:tr w14:paraId="5747937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75B4DCB1">
            <w:pPr>
              <w:adjustRightInd w:val="0"/>
              <w:snapToGrid w:val="0"/>
              <w:jc w:val="center"/>
              <w:rPr>
                <w:rFonts w:ascii="宋体" w:hAnsi="宋体"/>
                <w:szCs w:val="21"/>
              </w:rPr>
            </w:pPr>
            <w:r>
              <w:rPr>
                <w:rFonts w:hint="eastAsia" w:ascii="宋体" w:hAnsi="宋体"/>
                <w:szCs w:val="21"/>
              </w:rPr>
              <w:t>第二节</w:t>
            </w:r>
          </w:p>
          <w:p w14:paraId="6D04C2E4">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2</w:t>
            </w:r>
            <w:r>
              <w:rPr>
                <w:rFonts w:hint="eastAsia" w:ascii="宋体" w:hAnsi="宋体"/>
                <w:szCs w:val="21"/>
              </w:rPr>
              <w:t>.2款</w:t>
            </w:r>
          </w:p>
        </w:tc>
        <w:tc>
          <w:tcPr>
            <w:tcW w:w="1742" w:type="dxa"/>
            <w:vAlign w:val="center"/>
          </w:tcPr>
          <w:p w14:paraId="5C12E926">
            <w:pPr>
              <w:adjustRightInd w:val="0"/>
              <w:snapToGrid w:val="0"/>
              <w:jc w:val="left"/>
              <w:rPr>
                <w:rFonts w:hint="eastAsia" w:ascii="宋体" w:hAnsi="宋体" w:eastAsia="宋体"/>
                <w:szCs w:val="21"/>
                <w:lang w:eastAsia="zh-CN"/>
              </w:rPr>
            </w:pPr>
            <w:r>
              <w:rPr>
                <w:rFonts w:hint="eastAsia" w:ascii="宋体" w:hAnsi="宋体"/>
                <w:szCs w:val="21"/>
              </w:rPr>
              <w:t>合同价款支付</w:t>
            </w:r>
            <w:r>
              <w:rPr>
                <w:rFonts w:hint="eastAsia" w:ascii="宋体" w:hAnsi="宋体"/>
                <w:szCs w:val="21"/>
                <w:lang w:eastAsia="zh-CN"/>
              </w:rPr>
              <w:t>时间</w:t>
            </w:r>
          </w:p>
        </w:tc>
        <w:tc>
          <w:tcPr>
            <w:tcW w:w="4993" w:type="dxa"/>
            <w:vAlign w:val="center"/>
          </w:tcPr>
          <w:p w14:paraId="2EA7BC8A">
            <w:pPr>
              <w:adjustRightInd w:val="0"/>
              <w:snapToGrid w:val="0"/>
              <w:jc w:val="left"/>
              <w:rPr>
                <w:rFonts w:ascii="宋体" w:hAnsi="宋体"/>
                <w:szCs w:val="21"/>
              </w:rPr>
            </w:pPr>
          </w:p>
        </w:tc>
      </w:tr>
      <w:tr w14:paraId="69A0D94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7DFA930F">
            <w:pPr>
              <w:adjustRightInd w:val="0"/>
              <w:snapToGrid w:val="0"/>
              <w:jc w:val="center"/>
              <w:rPr>
                <w:rFonts w:hint="eastAsia" w:ascii="宋体" w:hAnsi="宋体"/>
                <w:szCs w:val="21"/>
              </w:rPr>
            </w:pPr>
            <w:r>
              <w:rPr>
                <w:rFonts w:hint="eastAsia" w:ascii="宋体" w:hAnsi="宋体"/>
                <w:szCs w:val="21"/>
              </w:rPr>
              <w:t>第二节</w:t>
            </w:r>
          </w:p>
          <w:p w14:paraId="45C254B9">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13.2</w:t>
            </w:r>
            <w:r>
              <w:rPr>
                <w:rFonts w:hint="eastAsia" w:ascii="宋体" w:hAnsi="宋体"/>
                <w:szCs w:val="21"/>
              </w:rPr>
              <w:t>款</w:t>
            </w:r>
          </w:p>
        </w:tc>
        <w:tc>
          <w:tcPr>
            <w:tcW w:w="1742" w:type="dxa"/>
            <w:vAlign w:val="center"/>
          </w:tcPr>
          <w:p w14:paraId="38D7D0BB">
            <w:pPr>
              <w:adjustRightInd w:val="0"/>
              <w:snapToGrid w:val="0"/>
              <w:jc w:val="left"/>
              <w:rPr>
                <w:rFonts w:hint="default" w:ascii="宋体" w:hAnsi="宋体" w:eastAsia="宋体"/>
                <w:szCs w:val="21"/>
                <w:lang w:val="en-US" w:eastAsia="zh-CN"/>
              </w:rPr>
            </w:pPr>
            <w:r>
              <w:rPr>
                <w:rFonts w:hint="eastAsia" w:ascii="宋体" w:hAnsi="宋体"/>
                <w:szCs w:val="21"/>
                <w:lang w:val="en-US" w:eastAsia="zh-CN"/>
              </w:rPr>
              <w:t>履约保证金不予退还的情形</w:t>
            </w:r>
          </w:p>
        </w:tc>
        <w:tc>
          <w:tcPr>
            <w:tcW w:w="4993" w:type="dxa"/>
            <w:vAlign w:val="center"/>
          </w:tcPr>
          <w:p w14:paraId="6D24BE71">
            <w:pPr>
              <w:adjustRightInd w:val="0"/>
              <w:snapToGrid w:val="0"/>
              <w:jc w:val="left"/>
              <w:rPr>
                <w:rFonts w:ascii="宋体" w:hAnsi="宋体"/>
                <w:szCs w:val="21"/>
              </w:rPr>
            </w:pPr>
          </w:p>
        </w:tc>
      </w:tr>
      <w:tr w14:paraId="2DB5853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3A43004">
            <w:pPr>
              <w:adjustRightInd w:val="0"/>
              <w:snapToGrid w:val="0"/>
              <w:jc w:val="center"/>
              <w:rPr>
                <w:rFonts w:hint="eastAsia" w:ascii="宋体" w:hAnsi="宋体"/>
                <w:szCs w:val="21"/>
              </w:rPr>
            </w:pPr>
            <w:r>
              <w:rPr>
                <w:rFonts w:hint="eastAsia" w:ascii="宋体" w:hAnsi="宋体"/>
                <w:szCs w:val="21"/>
              </w:rPr>
              <w:t>第二节</w:t>
            </w:r>
          </w:p>
          <w:p w14:paraId="218B012C">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13.3</w:t>
            </w:r>
            <w:r>
              <w:rPr>
                <w:rFonts w:hint="eastAsia" w:ascii="宋体" w:hAnsi="宋体"/>
                <w:szCs w:val="21"/>
              </w:rPr>
              <w:t>款</w:t>
            </w:r>
          </w:p>
        </w:tc>
        <w:tc>
          <w:tcPr>
            <w:tcW w:w="1742" w:type="dxa"/>
            <w:vAlign w:val="center"/>
          </w:tcPr>
          <w:p w14:paraId="47406B1D">
            <w:pPr>
              <w:adjustRightInd w:val="0"/>
              <w:snapToGrid w:val="0"/>
              <w:jc w:val="left"/>
              <w:rPr>
                <w:rFonts w:ascii="宋体" w:hAnsi="宋体"/>
                <w:szCs w:val="21"/>
              </w:rPr>
            </w:pPr>
            <w:r>
              <w:rPr>
                <w:rFonts w:hint="eastAsia" w:ascii="宋体" w:hAnsi="宋体"/>
                <w:szCs w:val="21"/>
              </w:rPr>
              <w:t>履约保证金退还时间及</w:t>
            </w:r>
            <w:r>
              <w:rPr>
                <w:rFonts w:hint="eastAsia" w:ascii="宋体" w:hAnsi="宋体"/>
                <w:szCs w:val="21"/>
                <w:lang w:eastAsia="zh-CN"/>
              </w:rPr>
              <w:t>逾期退还的</w:t>
            </w:r>
            <w:r>
              <w:rPr>
                <w:rFonts w:hint="eastAsia" w:ascii="宋体" w:hAnsi="宋体"/>
                <w:szCs w:val="21"/>
              </w:rPr>
              <w:t>违约金</w:t>
            </w:r>
          </w:p>
        </w:tc>
        <w:tc>
          <w:tcPr>
            <w:tcW w:w="4993" w:type="dxa"/>
            <w:vAlign w:val="center"/>
          </w:tcPr>
          <w:p w14:paraId="6C67000F">
            <w:pPr>
              <w:adjustRightInd w:val="0"/>
              <w:snapToGrid w:val="0"/>
              <w:jc w:val="left"/>
              <w:rPr>
                <w:rFonts w:ascii="宋体" w:hAnsi="宋体"/>
                <w:szCs w:val="21"/>
              </w:rPr>
            </w:pPr>
          </w:p>
        </w:tc>
      </w:tr>
      <w:tr w14:paraId="75E6F2C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6A7DCF55">
            <w:pPr>
              <w:adjustRightInd w:val="0"/>
              <w:snapToGrid w:val="0"/>
              <w:jc w:val="center"/>
              <w:rPr>
                <w:rFonts w:ascii="宋体" w:hAnsi="宋体"/>
                <w:szCs w:val="21"/>
              </w:rPr>
            </w:pPr>
            <w:r>
              <w:rPr>
                <w:rFonts w:hint="eastAsia" w:ascii="宋体" w:hAnsi="宋体"/>
                <w:szCs w:val="21"/>
              </w:rPr>
              <w:t>第二节</w:t>
            </w:r>
          </w:p>
          <w:p w14:paraId="066A972C">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3</w:t>
            </w:r>
            <w:r>
              <w:rPr>
                <w:rFonts w:hint="eastAsia" w:ascii="宋体" w:hAnsi="宋体"/>
                <w:szCs w:val="21"/>
              </w:rPr>
              <w:t>）项</w:t>
            </w:r>
          </w:p>
        </w:tc>
        <w:tc>
          <w:tcPr>
            <w:tcW w:w="1742" w:type="dxa"/>
            <w:vAlign w:val="center"/>
          </w:tcPr>
          <w:p w14:paraId="7068DF64">
            <w:pPr>
              <w:adjustRightInd w:val="0"/>
              <w:snapToGrid w:val="0"/>
              <w:jc w:val="left"/>
              <w:rPr>
                <w:rFonts w:hint="eastAsia" w:ascii="宋体" w:hAnsi="宋体"/>
                <w:szCs w:val="21"/>
                <w:lang w:val="en-US" w:eastAsia="zh-CN"/>
              </w:rPr>
            </w:pPr>
            <w:r>
              <w:rPr>
                <w:rFonts w:hint="eastAsia" w:ascii="宋体" w:hAnsi="宋体"/>
                <w:szCs w:val="21"/>
                <w:lang w:val="en-US" w:eastAsia="zh-CN"/>
              </w:rPr>
              <w:t>运行监督、维修期限</w:t>
            </w:r>
          </w:p>
        </w:tc>
        <w:tc>
          <w:tcPr>
            <w:tcW w:w="4993" w:type="dxa"/>
            <w:vAlign w:val="center"/>
          </w:tcPr>
          <w:p w14:paraId="7A72ED94">
            <w:pPr>
              <w:adjustRightInd w:val="0"/>
              <w:snapToGrid w:val="0"/>
              <w:jc w:val="left"/>
              <w:rPr>
                <w:rFonts w:ascii="宋体" w:hAnsi="宋体"/>
                <w:szCs w:val="21"/>
              </w:rPr>
            </w:pPr>
          </w:p>
        </w:tc>
      </w:tr>
      <w:tr w14:paraId="7E17B43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13EC8548">
            <w:pPr>
              <w:adjustRightInd w:val="0"/>
              <w:snapToGrid w:val="0"/>
              <w:jc w:val="center"/>
              <w:rPr>
                <w:rFonts w:ascii="宋体" w:hAnsi="宋体"/>
                <w:szCs w:val="21"/>
              </w:rPr>
            </w:pPr>
            <w:r>
              <w:rPr>
                <w:rFonts w:hint="eastAsia" w:ascii="宋体" w:hAnsi="宋体"/>
                <w:szCs w:val="21"/>
              </w:rPr>
              <w:t>第二节</w:t>
            </w:r>
          </w:p>
          <w:p w14:paraId="70EAB3C9">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5</w:t>
            </w:r>
            <w:r>
              <w:rPr>
                <w:rFonts w:hint="eastAsia" w:ascii="宋体" w:hAnsi="宋体"/>
                <w:szCs w:val="21"/>
              </w:rPr>
              <w:t>）项</w:t>
            </w:r>
          </w:p>
        </w:tc>
        <w:tc>
          <w:tcPr>
            <w:tcW w:w="1742" w:type="dxa"/>
            <w:vAlign w:val="center"/>
          </w:tcPr>
          <w:p w14:paraId="36E315D9">
            <w:pPr>
              <w:adjustRightInd w:val="0"/>
              <w:snapToGrid w:val="0"/>
              <w:jc w:val="left"/>
              <w:rPr>
                <w:rFonts w:hint="default" w:ascii="宋体" w:hAnsi="宋体" w:eastAsia="宋体"/>
                <w:szCs w:val="21"/>
                <w:lang w:val="en-US" w:eastAsia="zh-CN"/>
              </w:rPr>
            </w:pPr>
            <w:r>
              <w:rPr>
                <w:rFonts w:hint="eastAsia" w:ascii="宋体" w:hAnsi="宋体"/>
                <w:szCs w:val="21"/>
                <w:lang w:val="en-US" w:eastAsia="zh-CN"/>
              </w:rPr>
              <w:t>货物回收的约定</w:t>
            </w:r>
          </w:p>
        </w:tc>
        <w:tc>
          <w:tcPr>
            <w:tcW w:w="4993" w:type="dxa"/>
            <w:vAlign w:val="center"/>
          </w:tcPr>
          <w:p w14:paraId="6B43817A">
            <w:pPr>
              <w:adjustRightInd w:val="0"/>
              <w:snapToGrid w:val="0"/>
              <w:jc w:val="left"/>
              <w:rPr>
                <w:rFonts w:ascii="宋体" w:hAnsi="宋体"/>
                <w:szCs w:val="21"/>
              </w:rPr>
            </w:pPr>
          </w:p>
        </w:tc>
      </w:tr>
      <w:tr w14:paraId="27B5959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CD1E1FA">
            <w:pPr>
              <w:adjustRightInd w:val="0"/>
              <w:snapToGrid w:val="0"/>
              <w:jc w:val="center"/>
              <w:rPr>
                <w:rFonts w:ascii="宋体" w:hAnsi="宋体"/>
                <w:szCs w:val="21"/>
              </w:rPr>
            </w:pPr>
            <w:r>
              <w:rPr>
                <w:rFonts w:hint="eastAsia" w:ascii="宋体" w:hAnsi="宋体"/>
                <w:szCs w:val="21"/>
              </w:rPr>
              <w:t>第二节</w:t>
            </w:r>
          </w:p>
          <w:p w14:paraId="75952052">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6</w:t>
            </w:r>
            <w:r>
              <w:rPr>
                <w:rFonts w:hint="eastAsia" w:ascii="宋体" w:hAnsi="宋体"/>
                <w:szCs w:val="21"/>
              </w:rPr>
              <w:t>）项</w:t>
            </w:r>
          </w:p>
        </w:tc>
        <w:tc>
          <w:tcPr>
            <w:tcW w:w="1742" w:type="dxa"/>
            <w:vAlign w:val="center"/>
          </w:tcPr>
          <w:p w14:paraId="533E1E9F">
            <w:pPr>
              <w:adjustRightInd w:val="0"/>
              <w:snapToGrid w:val="0"/>
              <w:jc w:val="left"/>
              <w:rPr>
                <w:rFonts w:ascii="宋体" w:hAnsi="宋体"/>
                <w:szCs w:val="21"/>
              </w:rPr>
            </w:pPr>
            <w:r>
              <w:rPr>
                <w:rFonts w:hint="eastAsia" w:ascii="宋体" w:hAnsi="宋体"/>
                <w:szCs w:val="21"/>
              </w:rPr>
              <w:t>乙方提供的其他服务</w:t>
            </w:r>
          </w:p>
        </w:tc>
        <w:tc>
          <w:tcPr>
            <w:tcW w:w="4993" w:type="dxa"/>
            <w:vAlign w:val="center"/>
          </w:tcPr>
          <w:p w14:paraId="31939DCD">
            <w:pPr>
              <w:adjustRightInd w:val="0"/>
              <w:snapToGrid w:val="0"/>
              <w:jc w:val="left"/>
              <w:rPr>
                <w:rFonts w:ascii="宋体" w:hAnsi="宋体"/>
                <w:szCs w:val="21"/>
              </w:rPr>
            </w:pPr>
          </w:p>
        </w:tc>
      </w:tr>
      <w:tr w14:paraId="7BDB213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5C2C6AA">
            <w:pPr>
              <w:adjustRightInd w:val="0"/>
              <w:snapToGrid w:val="0"/>
              <w:jc w:val="center"/>
              <w:rPr>
                <w:rFonts w:ascii="宋体" w:hAnsi="宋体"/>
                <w:szCs w:val="21"/>
              </w:rPr>
            </w:pPr>
            <w:r>
              <w:rPr>
                <w:rFonts w:hint="eastAsia" w:ascii="宋体" w:hAnsi="宋体"/>
                <w:szCs w:val="21"/>
              </w:rPr>
              <w:t>第二节</w:t>
            </w:r>
          </w:p>
          <w:p w14:paraId="5A25D6DD">
            <w:pPr>
              <w:adjustRightInd w:val="0"/>
              <w:snapToGrid w:val="0"/>
              <w:jc w:val="center"/>
              <w:rPr>
                <w:rFonts w:hint="default" w:ascii="宋体" w:hAnsi="宋体" w:eastAsia="宋体"/>
                <w:szCs w:val="21"/>
                <w:lang w:val="en-US" w:eastAsia="zh-CN"/>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w:t>
            </w:r>
            <w:r>
              <w:rPr>
                <w:rFonts w:hint="eastAsia" w:ascii="宋体" w:hAnsi="宋体"/>
                <w:szCs w:val="21"/>
                <w:lang w:val="en-US" w:eastAsia="zh-CN"/>
              </w:rPr>
              <w:t>1款</w:t>
            </w:r>
          </w:p>
        </w:tc>
        <w:tc>
          <w:tcPr>
            <w:tcW w:w="1742" w:type="dxa"/>
            <w:vAlign w:val="center"/>
          </w:tcPr>
          <w:p w14:paraId="00024453">
            <w:pPr>
              <w:adjustRightInd w:val="0"/>
              <w:snapToGrid w:val="0"/>
              <w:jc w:val="left"/>
              <w:rPr>
                <w:rFonts w:hint="eastAsia" w:ascii="宋体" w:hAnsi="宋体"/>
                <w:szCs w:val="21"/>
              </w:rPr>
            </w:pPr>
            <w:r>
              <w:rPr>
                <w:rFonts w:hint="eastAsia" w:ascii="宋体" w:hAnsi="宋体"/>
                <w:color w:val="auto"/>
                <w:szCs w:val="21"/>
                <w:highlight w:val="none"/>
                <w:lang w:eastAsia="zh-CN"/>
              </w:rPr>
              <w:t>修理、重作、更换相关具体规定</w:t>
            </w:r>
          </w:p>
        </w:tc>
        <w:tc>
          <w:tcPr>
            <w:tcW w:w="4993" w:type="dxa"/>
            <w:vAlign w:val="center"/>
          </w:tcPr>
          <w:p w14:paraId="32A8352E">
            <w:pPr>
              <w:adjustRightInd w:val="0"/>
              <w:snapToGrid w:val="0"/>
              <w:jc w:val="left"/>
              <w:rPr>
                <w:rFonts w:ascii="宋体" w:hAnsi="宋体"/>
                <w:szCs w:val="21"/>
              </w:rPr>
            </w:pPr>
          </w:p>
        </w:tc>
      </w:tr>
      <w:tr w14:paraId="7AE25D3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A977A2B">
            <w:pPr>
              <w:adjustRightInd w:val="0"/>
              <w:snapToGrid w:val="0"/>
              <w:jc w:val="center"/>
              <w:rPr>
                <w:rFonts w:ascii="宋体" w:hAnsi="宋体"/>
                <w:szCs w:val="21"/>
              </w:rPr>
            </w:pPr>
            <w:r>
              <w:rPr>
                <w:rFonts w:hint="eastAsia" w:ascii="宋体" w:hAnsi="宋体"/>
                <w:szCs w:val="21"/>
              </w:rPr>
              <w:t>第二节</w:t>
            </w:r>
          </w:p>
          <w:p w14:paraId="76C54889">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.2（2）项</w:t>
            </w:r>
          </w:p>
        </w:tc>
        <w:tc>
          <w:tcPr>
            <w:tcW w:w="1742" w:type="dxa"/>
            <w:vAlign w:val="center"/>
          </w:tcPr>
          <w:p w14:paraId="2097C7BF">
            <w:pPr>
              <w:adjustRightInd w:val="0"/>
              <w:snapToGrid w:val="0"/>
              <w:jc w:val="left"/>
              <w:rPr>
                <w:rFonts w:ascii="宋体" w:hAnsi="宋体"/>
                <w:szCs w:val="21"/>
              </w:rPr>
            </w:pPr>
            <w:r>
              <w:rPr>
                <w:rFonts w:hint="eastAsia" w:ascii="宋体" w:hAnsi="宋体"/>
                <w:szCs w:val="21"/>
              </w:rPr>
              <w:t>迟延交货赔偿费</w:t>
            </w:r>
          </w:p>
        </w:tc>
        <w:tc>
          <w:tcPr>
            <w:tcW w:w="4993" w:type="dxa"/>
            <w:vAlign w:val="center"/>
          </w:tcPr>
          <w:p w14:paraId="611F0E5D">
            <w:pPr>
              <w:adjustRightInd w:val="0"/>
              <w:snapToGrid w:val="0"/>
              <w:jc w:val="left"/>
              <w:rPr>
                <w:rFonts w:ascii="宋体" w:hAnsi="宋体"/>
                <w:szCs w:val="21"/>
                <w:u w:val="single"/>
              </w:rPr>
            </w:pPr>
          </w:p>
        </w:tc>
      </w:tr>
      <w:tr w14:paraId="2FC744C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13C5482">
            <w:pPr>
              <w:adjustRightInd w:val="0"/>
              <w:snapToGrid w:val="0"/>
              <w:jc w:val="center"/>
              <w:rPr>
                <w:rFonts w:ascii="宋体" w:hAnsi="宋体"/>
                <w:szCs w:val="21"/>
              </w:rPr>
            </w:pPr>
            <w:r>
              <w:rPr>
                <w:rFonts w:hint="eastAsia" w:ascii="宋体" w:hAnsi="宋体"/>
                <w:szCs w:val="21"/>
              </w:rPr>
              <w:t>第二节</w:t>
            </w:r>
          </w:p>
          <w:p w14:paraId="732DE240">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w:t>
            </w:r>
            <w:r>
              <w:rPr>
                <w:rFonts w:hint="eastAsia" w:ascii="宋体" w:hAnsi="宋体"/>
                <w:szCs w:val="21"/>
                <w:lang w:val="en-US" w:eastAsia="zh-CN"/>
              </w:rPr>
              <w:t>3款</w:t>
            </w:r>
          </w:p>
        </w:tc>
        <w:tc>
          <w:tcPr>
            <w:tcW w:w="1742" w:type="dxa"/>
            <w:vAlign w:val="center"/>
          </w:tcPr>
          <w:p w14:paraId="004540BA">
            <w:pPr>
              <w:adjustRightInd w:val="0"/>
              <w:snapToGrid w:val="0"/>
              <w:jc w:val="left"/>
              <w:rPr>
                <w:rFonts w:hint="eastAsia" w:ascii="宋体" w:hAnsi="宋体"/>
                <w:szCs w:val="21"/>
              </w:rPr>
            </w:pPr>
            <w:r>
              <w:rPr>
                <w:rFonts w:hint="eastAsia" w:ascii="宋体" w:hAnsi="宋体"/>
                <w:szCs w:val="21"/>
              </w:rPr>
              <w:t>逾期付款利息</w:t>
            </w:r>
          </w:p>
        </w:tc>
        <w:tc>
          <w:tcPr>
            <w:tcW w:w="4993" w:type="dxa"/>
            <w:vAlign w:val="center"/>
          </w:tcPr>
          <w:p w14:paraId="1C8B27BA">
            <w:pPr>
              <w:adjustRightInd w:val="0"/>
              <w:snapToGrid w:val="0"/>
              <w:jc w:val="left"/>
              <w:rPr>
                <w:rFonts w:ascii="宋体" w:hAnsi="宋体"/>
                <w:szCs w:val="21"/>
                <w:u w:val="single"/>
              </w:rPr>
            </w:pPr>
          </w:p>
        </w:tc>
      </w:tr>
      <w:tr w14:paraId="3617E15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05441F78">
            <w:pPr>
              <w:adjustRightInd w:val="0"/>
              <w:snapToGrid w:val="0"/>
              <w:jc w:val="center"/>
              <w:rPr>
                <w:rFonts w:ascii="宋体" w:hAnsi="宋体"/>
                <w:szCs w:val="21"/>
              </w:rPr>
            </w:pPr>
            <w:r>
              <w:rPr>
                <w:rFonts w:hint="eastAsia" w:ascii="宋体" w:hAnsi="宋体"/>
                <w:szCs w:val="21"/>
              </w:rPr>
              <w:t>第二节</w:t>
            </w:r>
          </w:p>
          <w:p w14:paraId="26E5A527">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.4</w:t>
            </w:r>
            <w:r>
              <w:rPr>
                <w:rFonts w:hint="eastAsia" w:ascii="宋体" w:hAnsi="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35C7B66E">
            <w:pPr>
              <w:adjustRightInd w:val="0"/>
              <w:snapToGrid w:val="0"/>
              <w:jc w:val="left"/>
              <w:rPr>
                <w:rFonts w:ascii="宋体" w:hAnsi="宋体"/>
                <w:szCs w:val="21"/>
              </w:rPr>
            </w:pPr>
            <w:r>
              <w:rPr>
                <w:rFonts w:hint="eastAsia" w:ascii="宋体" w:hAnsi="宋体"/>
                <w:szCs w:val="21"/>
              </w:rPr>
              <w:t>其他违约责任</w:t>
            </w:r>
          </w:p>
        </w:tc>
        <w:tc>
          <w:tcPr>
            <w:tcW w:w="4993" w:type="dxa"/>
            <w:tcBorders>
              <w:left w:val="single" w:color="auto" w:sz="2" w:space="0"/>
              <w:bottom w:val="single" w:color="auto" w:sz="2" w:space="0"/>
            </w:tcBorders>
            <w:vAlign w:val="center"/>
          </w:tcPr>
          <w:p w14:paraId="7C6B3682">
            <w:pPr>
              <w:adjustRightInd w:val="0"/>
              <w:snapToGrid w:val="0"/>
              <w:jc w:val="left"/>
              <w:rPr>
                <w:rFonts w:ascii="宋体" w:hAnsi="宋体"/>
                <w:szCs w:val="21"/>
                <w:u w:val="single"/>
              </w:rPr>
            </w:pPr>
          </w:p>
        </w:tc>
      </w:tr>
      <w:tr w14:paraId="6CC0FC9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13C7A2E4">
            <w:pPr>
              <w:adjustRightInd w:val="0"/>
              <w:snapToGrid w:val="0"/>
              <w:jc w:val="center"/>
              <w:rPr>
                <w:rFonts w:ascii="宋体" w:hAnsi="宋体"/>
                <w:szCs w:val="21"/>
              </w:rPr>
            </w:pPr>
            <w:r>
              <w:rPr>
                <w:rFonts w:hint="eastAsia" w:ascii="宋体" w:hAnsi="宋体"/>
                <w:szCs w:val="21"/>
              </w:rPr>
              <w:t>第二节</w:t>
            </w:r>
          </w:p>
          <w:p w14:paraId="6151AD08">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19</w:t>
            </w:r>
            <w:r>
              <w:rPr>
                <w:rFonts w:hint="eastAsia" w:ascii="宋体" w:hAnsi="宋体"/>
                <w:szCs w:val="21"/>
              </w:rPr>
              <w:t>.2</w:t>
            </w:r>
            <w:r>
              <w:rPr>
                <w:rFonts w:hint="eastAsia" w:ascii="宋体" w:hAnsi="宋体"/>
                <w:szCs w:val="21"/>
                <w:lang w:val="en-US" w:eastAsia="zh-CN"/>
              </w:rPr>
              <w:t>款</w:t>
            </w:r>
          </w:p>
        </w:tc>
        <w:tc>
          <w:tcPr>
            <w:tcW w:w="1742" w:type="dxa"/>
            <w:tcBorders>
              <w:top w:val="single" w:color="auto" w:sz="2" w:space="0"/>
              <w:left w:val="single" w:color="auto" w:sz="2" w:space="0"/>
              <w:right w:val="single" w:color="auto" w:sz="2" w:space="0"/>
            </w:tcBorders>
            <w:vAlign w:val="center"/>
          </w:tcPr>
          <w:p w14:paraId="5B1CA80E">
            <w:pPr>
              <w:adjustRightInd w:val="0"/>
              <w:snapToGrid w:val="0"/>
              <w:jc w:val="left"/>
              <w:rPr>
                <w:rFonts w:ascii="宋体" w:hAnsi="宋体"/>
                <w:szCs w:val="21"/>
              </w:rPr>
            </w:pPr>
            <w:r>
              <w:rPr>
                <w:rFonts w:hint="eastAsia" w:ascii="宋体" w:hAnsi="宋体"/>
                <w:szCs w:val="21"/>
                <w:lang w:val="en-US" w:eastAsia="zh-CN"/>
              </w:rPr>
              <w:t>解决争议的方法</w:t>
            </w:r>
          </w:p>
        </w:tc>
        <w:tc>
          <w:tcPr>
            <w:tcW w:w="4993" w:type="dxa"/>
            <w:tcBorders>
              <w:top w:val="single" w:color="auto" w:sz="2" w:space="0"/>
              <w:left w:val="single" w:color="auto" w:sz="2" w:space="0"/>
            </w:tcBorders>
            <w:vAlign w:val="center"/>
          </w:tcPr>
          <w:p w14:paraId="285C5917">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14:paraId="0857E576">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14:paraId="4509BC5D">
            <w:pPr>
              <w:adjustRightInd w:val="0"/>
              <w:snapToGrid w:val="0"/>
              <w:ind w:firstLine="0" w:firstLineChars="0"/>
              <w:jc w:val="left"/>
              <w:rPr>
                <w:rFonts w:ascii="宋体" w:hAnsi="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14:paraId="0478998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73F73E72">
            <w:pPr>
              <w:adjustRightInd w:val="0"/>
              <w:snapToGrid w:val="0"/>
              <w:jc w:val="center"/>
              <w:rPr>
                <w:rFonts w:ascii="宋体" w:hAnsi="宋体"/>
                <w:szCs w:val="21"/>
              </w:rPr>
            </w:pPr>
            <w:r>
              <w:rPr>
                <w:rFonts w:hint="eastAsia" w:ascii="宋体" w:hAnsi="宋体"/>
                <w:szCs w:val="21"/>
              </w:rPr>
              <w:t>第二节</w:t>
            </w:r>
          </w:p>
          <w:p w14:paraId="594C4F32">
            <w:pPr>
              <w:adjustRightInd w:val="0"/>
              <w:snapToGrid w:val="0"/>
              <w:jc w:val="center"/>
              <w:rPr>
                <w:rFonts w:ascii="宋体" w:hAnsi="宋体"/>
                <w:szCs w:val="21"/>
              </w:rPr>
            </w:pPr>
            <w:r>
              <w:rPr>
                <w:rFonts w:hint="eastAsia" w:ascii="宋体" w:hAnsi="宋体"/>
                <w:szCs w:val="21"/>
              </w:rPr>
              <w:t>第2</w:t>
            </w:r>
            <w:r>
              <w:rPr>
                <w:rFonts w:hint="eastAsia" w:ascii="宋体" w:hAnsi="宋体"/>
                <w:szCs w:val="21"/>
                <w:lang w:val="en-US" w:eastAsia="zh-CN"/>
              </w:rPr>
              <w:t>3.1</w:t>
            </w:r>
            <w:r>
              <w:rPr>
                <w:rFonts w:hint="eastAsia" w:ascii="宋体" w:hAnsi="宋体"/>
                <w:szCs w:val="21"/>
                <w:lang w:eastAsia="zh-CN"/>
              </w:rPr>
              <w:t>款</w:t>
            </w:r>
          </w:p>
        </w:tc>
        <w:tc>
          <w:tcPr>
            <w:tcW w:w="1742" w:type="dxa"/>
            <w:vAlign w:val="center"/>
          </w:tcPr>
          <w:p w14:paraId="73C5C5E5">
            <w:pPr>
              <w:adjustRightInd w:val="0"/>
              <w:snapToGrid w:val="0"/>
              <w:jc w:val="left"/>
              <w:rPr>
                <w:rFonts w:ascii="宋体" w:hAnsi="宋体"/>
                <w:szCs w:val="21"/>
              </w:rPr>
            </w:pPr>
            <w:r>
              <w:rPr>
                <w:rFonts w:hint="eastAsia" w:ascii="宋体" w:hAnsi="宋体"/>
                <w:bCs/>
                <w:color w:val="auto"/>
                <w:szCs w:val="21"/>
                <w:highlight w:val="none"/>
                <w:lang w:eastAsia="zh-CN"/>
              </w:rPr>
              <w:t>其他专用条款</w:t>
            </w:r>
          </w:p>
        </w:tc>
        <w:tc>
          <w:tcPr>
            <w:tcW w:w="4993" w:type="dxa"/>
            <w:vAlign w:val="center"/>
          </w:tcPr>
          <w:p w14:paraId="3FF84C79">
            <w:pPr>
              <w:adjustRightInd w:val="0"/>
              <w:snapToGrid w:val="0"/>
              <w:jc w:val="left"/>
              <w:rPr>
                <w:rFonts w:hint="default" w:ascii="宋体" w:hAnsi="宋体" w:eastAsia="宋体"/>
                <w:szCs w:val="21"/>
                <w:lang w:val="en-US" w:eastAsia="zh-CN"/>
              </w:rPr>
            </w:pPr>
          </w:p>
        </w:tc>
      </w:tr>
    </w:tbl>
    <w:p w14:paraId="1B8F9AEC"/>
    <w:p w14:paraId="651C7A8F"/>
    <w:p w14:paraId="6DC4D0A9">
      <w:pPr>
        <w:pStyle w:val="34"/>
        <w:pBdr>
          <w:top w:val="none" w:color="auto" w:sz="0" w:space="0"/>
          <w:left w:val="none" w:color="auto" w:sz="0" w:space="0"/>
          <w:bottom w:val="none" w:color="auto" w:sz="0" w:space="0"/>
          <w:right w:val="none" w:color="auto" w:sz="0" w:space="0"/>
          <w:between w:val="none" w:color="auto" w:sz="0" w:space="0"/>
        </w:pBdr>
        <w:outlineLvl w:val="9"/>
        <w:rPr>
          <w:rFonts w:hint="eastAsia" w:asciiTheme="minorEastAsia" w:hAnsiTheme="minorEastAsia" w:eastAsiaTheme="minorEastAsia" w:cstheme="minorEastAsia"/>
          <w:color w:val="auto"/>
          <w:lang w:eastAsia="zh-CN"/>
        </w:rPr>
      </w:pPr>
    </w:p>
    <w:p w14:paraId="356EBB4C">
      <w:pPr>
        <w:pStyle w:val="34"/>
        <w:pBdr>
          <w:top w:val="none" w:color="auto" w:sz="0" w:space="0"/>
          <w:left w:val="none" w:color="auto" w:sz="0" w:space="0"/>
          <w:bottom w:val="none" w:color="auto" w:sz="0" w:space="0"/>
          <w:right w:val="none" w:color="auto" w:sz="0" w:space="0"/>
          <w:between w:val="none" w:color="auto" w:sz="0" w:space="0"/>
        </w:pBdr>
        <w:outlineLvl w:val="9"/>
        <w:rPr>
          <w:rFonts w:hint="eastAsia" w:asciiTheme="minorEastAsia" w:hAnsiTheme="minorEastAsia" w:eastAsiaTheme="minorEastAsia" w:cstheme="minorEastAsia"/>
          <w:color w:val="auto"/>
          <w:lang w:eastAsia="zh-CN"/>
        </w:rPr>
      </w:pPr>
    </w:p>
    <w:p w14:paraId="74141C56">
      <w:pPr>
        <w:pStyle w:val="34"/>
        <w:pBdr>
          <w:top w:val="none" w:color="auto" w:sz="0" w:space="0"/>
          <w:left w:val="none" w:color="auto" w:sz="0" w:space="0"/>
          <w:bottom w:val="none" w:color="auto" w:sz="0" w:space="0"/>
          <w:right w:val="none" w:color="auto" w:sz="0" w:space="0"/>
          <w:between w:val="none" w:color="auto" w:sz="0" w:space="0"/>
        </w:pBdr>
        <w:outlineLvl w:val="9"/>
        <w:rPr>
          <w:rFonts w:hint="eastAsia" w:asciiTheme="minorEastAsia" w:hAnsiTheme="minorEastAsia" w:eastAsiaTheme="minorEastAsia" w:cstheme="minorEastAsia"/>
          <w:color w:val="auto"/>
          <w:lang w:eastAsia="zh-CN"/>
        </w:rPr>
      </w:pPr>
    </w:p>
    <w:p w14:paraId="42900541">
      <w:pPr>
        <w:pStyle w:val="34"/>
        <w:pBdr>
          <w:top w:val="none" w:color="auto" w:sz="0" w:space="0"/>
          <w:left w:val="none" w:color="auto" w:sz="0" w:space="0"/>
          <w:bottom w:val="none" w:color="auto" w:sz="0" w:space="0"/>
          <w:right w:val="none" w:color="auto" w:sz="0" w:space="0"/>
          <w:between w:val="none" w:color="auto" w:sz="0" w:space="0"/>
        </w:pBdr>
        <w:outlineLvl w:val="9"/>
        <w:rPr>
          <w:rFonts w:hint="eastAsia" w:asciiTheme="minorEastAsia" w:hAnsiTheme="minorEastAsia" w:eastAsiaTheme="minorEastAsia" w:cstheme="minorEastAsia"/>
          <w:color w:val="auto"/>
          <w:lang w:eastAsia="zh-CN"/>
        </w:rPr>
      </w:pPr>
    </w:p>
    <w:p w14:paraId="2A266BC0">
      <w:pPr>
        <w:pStyle w:val="34"/>
        <w:pBdr>
          <w:top w:val="none" w:color="auto" w:sz="0" w:space="0"/>
          <w:left w:val="none" w:color="auto" w:sz="0" w:space="0"/>
          <w:bottom w:val="none" w:color="auto" w:sz="0" w:space="0"/>
          <w:right w:val="none" w:color="auto" w:sz="0" w:space="0"/>
          <w:between w:val="none" w:color="auto" w:sz="0" w:space="0"/>
        </w:pBdr>
        <w:outlineLvl w:val="9"/>
        <w:rPr>
          <w:rFonts w:hint="eastAsia" w:asciiTheme="minorEastAsia" w:hAnsiTheme="minorEastAsia" w:eastAsiaTheme="minorEastAsia" w:cstheme="minorEastAsia"/>
          <w:color w:val="auto"/>
          <w:lang w:eastAsia="zh-CN"/>
        </w:rPr>
      </w:pPr>
    </w:p>
    <w:p w14:paraId="1F007620">
      <w:pPr>
        <w:pStyle w:val="34"/>
        <w:pBdr>
          <w:top w:val="none" w:color="auto" w:sz="0" w:space="0"/>
          <w:left w:val="none" w:color="auto" w:sz="0" w:space="0"/>
          <w:bottom w:val="none" w:color="auto" w:sz="0" w:space="0"/>
          <w:right w:val="none" w:color="auto" w:sz="0" w:space="0"/>
          <w:between w:val="none" w:color="auto" w:sz="0" w:space="0"/>
        </w:pBdr>
        <w:outlineLvl w:val="9"/>
        <w:rPr>
          <w:rFonts w:hint="eastAsia" w:asciiTheme="minorEastAsia" w:hAnsiTheme="minorEastAsia" w:eastAsiaTheme="minorEastAsia" w:cstheme="minorEastAsia"/>
          <w:color w:val="auto"/>
          <w:lang w:eastAsia="zh-CN"/>
        </w:rPr>
      </w:pPr>
    </w:p>
    <w:p w14:paraId="6FC06723">
      <w:pPr>
        <w:pStyle w:val="34"/>
        <w:pBdr>
          <w:top w:val="none" w:color="auto" w:sz="0" w:space="0"/>
          <w:left w:val="none" w:color="auto" w:sz="0" w:space="0"/>
          <w:bottom w:val="none" w:color="auto" w:sz="0" w:space="0"/>
          <w:right w:val="none" w:color="auto" w:sz="0" w:space="0"/>
          <w:between w:val="none" w:color="auto" w:sz="0" w:space="0"/>
        </w:pBdr>
        <w:outlineLvl w:val="9"/>
        <w:rPr>
          <w:rFonts w:hint="eastAsia" w:asciiTheme="minorEastAsia" w:hAnsiTheme="minorEastAsia" w:eastAsiaTheme="minorEastAsia" w:cstheme="minorEastAsia"/>
          <w:color w:val="auto"/>
          <w:lang w:eastAsia="zh-CN"/>
        </w:rPr>
      </w:pPr>
    </w:p>
    <w:p w14:paraId="4341AECA">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p>
    <w:p w14:paraId="49DB45A3">
      <w:pPr>
        <w:pStyle w:val="37"/>
        <w:keepNext/>
        <w:keepLines/>
        <w:pBdr>
          <w:top w:val="none" w:color="auto" w:sz="0" w:space="0"/>
          <w:left w:val="none" w:color="auto" w:sz="0" w:space="0"/>
          <w:bottom w:val="none" w:color="auto" w:sz="0" w:space="0"/>
          <w:right w:val="none" w:color="auto" w:sz="0" w:space="0"/>
          <w:between w:val="none" w:color="auto" w:sz="0" w:space="0"/>
        </w:pBdr>
        <w:spacing w:before="0" w:after="1160"/>
        <w:outlineLvl w:val="0"/>
        <w:rPr>
          <w:rFonts w:hint="eastAsia" w:asciiTheme="minorEastAsia" w:hAnsiTheme="minorEastAsia" w:eastAsiaTheme="minorEastAsia" w:cstheme="minorEastAsia"/>
          <w:b/>
          <w:bCs/>
          <w:color w:val="auto"/>
        </w:rPr>
      </w:pPr>
      <w:bookmarkStart w:id="115" w:name="_Toc12625"/>
      <w:bookmarkStart w:id="116" w:name="_Toc21438"/>
      <w:r>
        <w:rPr>
          <w:rFonts w:hint="eastAsia" w:asciiTheme="minorEastAsia" w:hAnsiTheme="minorEastAsia" w:eastAsiaTheme="minorEastAsia" w:cstheme="minorEastAsia"/>
          <w:b/>
          <w:bCs/>
          <w:color w:val="auto"/>
        </w:rPr>
        <w:t>第</w:t>
      </w:r>
      <w:r>
        <w:rPr>
          <w:rFonts w:hint="eastAsia" w:asciiTheme="minorEastAsia" w:hAnsiTheme="minorEastAsia" w:eastAsiaTheme="minorEastAsia" w:cstheme="minorEastAsia"/>
          <w:b/>
          <w:bCs/>
          <w:color w:val="auto"/>
          <w:lang w:eastAsia="zh-CN"/>
        </w:rPr>
        <w:t>六</w:t>
      </w:r>
      <w:r>
        <w:rPr>
          <w:rFonts w:hint="eastAsia" w:asciiTheme="minorEastAsia" w:hAnsiTheme="minorEastAsia" w:eastAsiaTheme="minorEastAsia" w:cstheme="minorEastAsia"/>
          <w:b/>
          <w:bCs/>
          <w:color w:val="auto"/>
        </w:rPr>
        <w:t>部分</w:t>
      </w:r>
      <w:r>
        <w:rPr>
          <w:rFonts w:hint="eastAsia" w:asciiTheme="minorEastAsia" w:hAnsiTheme="minorEastAsia" w:eastAsiaTheme="minorEastAsia" w:cstheme="minorEastAsia"/>
          <w:b/>
          <w:bCs/>
          <w:color w:val="auto"/>
          <w:lang w:val="en-US" w:eastAsia="zh-CN"/>
        </w:rPr>
        <w:t xml:space="preserve">  </w:t>
      </w:r>
      <w:r>
        <w:rPr>
          <w:rFonts w:hint="eastAsia" w:asciiTheme="minorEastAsia" w:hAnsiTheme="minorEastAsia" w:eastAsiaTheme="minorEastAsia" w:cstheme="minorEastAsia"/>
          <w:b/>
          <w:bCs/>
          <w:color w:val="auto"/>
        </w:rPr>
        <w:t>投标文件格式</w:t>
      </w:r>
      <w:bookmarkEnd w:id="115"/>
      <w:bookmarkEnd w:id="116"/>
    </w:p>
    <w:p w14:paraId="64A2B45A">
      <w:pPr>
        <w:pBdr>
          <w:top w:val="none" w:color="auto" w:sz="0" w:space="0"/>
          <w:left w:val="none" w:color="auto" w:sz="0" w:space="0"/>
          <w:bottom w:val="none" w:color="auto" w:sz="0" w:space="0"/>
          <w:right w:val="none" w:color="auto" w:sz="0" w:space="0"/>
          <w:between w:val="none" w:color="auto" w:sz="0" w:space="0"/>
        </w:pBdr>
        <w:adjustRightInd w:val="0"/>
        <w:snapToGrid w:val="0"/>
        <w:spacing w:line="360" w:lineRule="auto"/>
        <w:ind w:left="602" w:right="70" w:hanging="602"/>
        <w:jc w:val="right"/>
        <w:rPr>
          <w:rFonts w:hint="eastAsia" w:asciiTheme="minorEastAsia" w:hAnsiTheme="minorEastAsia" w:eastAsiaTheme="minorEastAsia" w:cstheme="minorEastAsia"/>
          <w:bCs/>
          <w:color w:val="auto"/>
          <w:sz w:val="32"/>
          <w:szCs w:val="32"/>
          <w:lang w:eastAsia="zh-CN"/>
        </w:rPr>
      </w:pPr>
      <w:bookmarkStart w:id="117" w:name="bookmark196"/>
      <w:r>
        <w:rPr>
          <w:rFonts w:hint="eastAsia" w:asciiTheme="minorEastAsia" w:hAnsiTheme="minorEastAsia" w:eastAsiaTheme="minorEastAsia" w:cstheme="minorEastAsia"/>
          <w:b/>
          <w:bCs/>
          <w:color w:val="auto"/>
          <w:sz w:val="28"/>
          <w:szCs w:val="28"/>
          <w:bdr w:val="single" w:color="auto" w:sz="4" w:space="0"/>
          <w:lang w:eastAsia="zh-CN"/>
        </w:rPr>
        <w:t>正/副 本</w:t>
      </w:r>
    </w:p>
    <w:p w14:paraId="50EDC420">
      <w:pPr>
        <w:pBdr>
          <w:top w:val="none" w:color="auto" w:sz="0" w:space="0"/>
          <w:left w:val="none" w:color="auto" w:sz="0" w:space="0"/>
          <w:bottom w:val="none" w:color="auto" w:sz="0" w:space="0"/>
          <w:right w:val="none" w:color="auto" w:sz="0" w:space="0"/>
          <w:between w:val="none" w:color="auto" w:sz="0" w:space="0"/>
        </w:pBdr>
        <w:adjustRightInd w:val="0"/>
        <w:snapToGrid w:val="0"/>
        <w:spacing w:line="360" w:lineRule="auto"/>
        <w:jc w:val="center"/>
        <w:rPr>
          <w:rFonts w:hint="eastAsia" w:asciiTheme="minorEastAsia" w:hAnsiTheme="minorEastAsia" w:eastAsiaTheme="minorEastAsia" w:cstheme="minorEastAsia"/>
          <w:bCs/>
          <w:color w:val="auto"/>
          <w:sz w:val="32"/>
          <w:szCs w:val="32"/>
          <w:lang w:eastAsia="zh-CN"/>
        </w:rPr>
      </w:pPr>
    </w:p>
    <w:p w14:paraId="4C89DAE3">
      <w:pPr>
        <w:pBdr>
          <w:top w:val="none" w:color="auto" w:sz="0" w:space="0"/>
          <w:left w:val="none" w:color="auto" w:sz="0" w:space="0"/>
          <w:bottom w:val="none" w:color="auto" w:sz="0" w:space="0"/>
          <w:right w:val="none" w:color="auto" w:sz="0" w:space="0"/>
          <w:between w:val="none" w:color="auto" w:sz="0" w:space="0"/>
        </w:pBdr>
        <w:adjustRightInd w:val="0"/>
        <w:snapToGrid w:val="0"/>
        <w:spacing w:line="360" w:lineRule="auto"/>
        <w:jc w:val="center"/>
        <w:rPr>
          <w:rFonts w:hint="eastAsia" w:asciiTheme="minorEastAsia" w:hAnsiTheme="minorEastAsia" w:eastAsiaTheme="minorEastAsia" w:cstheme="minorEastAsia"/>
          <w:bCs/>
          <w:color w:val="auto"/>
          <w:sz w:val="32"/>
          <w:szCs w:val="32"/>
          <w:lang w:eastAsia="zh-CN"/>
        </w:rPr>
      </w:pPr>
      <w:r>
        <w:rPr>
          <w:rFonts w:hint="eastAsia" w:asciiTheme="minorEastAsia" w:hAnsiTheme="minorEastAsia" w:eastAsiaTheme="minorEastAsia" w:cstheme="minorEastAsia"/>
          <w:b/>
          <w:bCs/>
          <w:color w:val="auto"/>
          <w:sz w:val="44"/>
          <w:szCs w:val="44"/>
          <w:lang w:eastAsia="zh-CN"/>
        </w:rPr>
        <w:t>投标文件</w:t>
      </w:r>
    </w:p>
    <w:p w14:paraId="5F9F1972">
      <w:pPr>
        <w:pBdr>
          <w:top w:val="none" w:color="auto" w:sz="0" w:space="0"/>
          <w:left w:val="none" w:color="auto" w:sz="0" w:space="0"/>
          <w:bottom w:val="none" w:color="auto" w:sz="0" w:space="0"/>
          <w:right w:val="none" w:color="auto" w:sz="0" w:space="0"/>
          <w:between w:val="none" w:color="auto" w:sz="0" w:space="0"/>
        </w:pBdr>
        <w:adjustRightInd w:val="0"/>
        <w:snapToGrid w:val="0"/>
        <w:spacing w:line="360" w:lineRule="auto"/>
        <w:jc w:val="center"/>
        <w:rPr>
          <w:rFonts w:hint="eastAsia" w:asciiTheme="minorEastAsia" w:hAnsiTheme="minorEastAsia" w:eastAsiaTheme="minorEastAsia" w:cstheme="minorEastAsia"/>
          <w:bCs/>
          <w:color w:val="auto"/>
          <w:sz w:val="32"/>
          <w:szCs w:val="32"/>
          <w:lang w:eastAsia="zh-CN"/>
        </w:rPr>
      </w:pPr>
    </w:p>
    <w:p w14:paraId="3A4C85A1">
      <w:pPr>
        <w:pBdr>
          <w:top w:val="none" w:color="auto" w:sz="0" w:space="0"/>
          <w:left w:val="none" w:color="auto" w:sz="0" w:space="0"/>
          <w:bottom w:val="none" w:color="auto" w:sz="0" w:space="0"/>
          <w:right w:val="none" w:color="auto" w:sz="0" w:space="0"/>
          <w:between w:val="none" w:color="auto" w:sz="0" w:space="0"/>
        </w:pBdr>
        <w:adjustRightInd w:val="0"/>
        <w:snapToGrid w:val="0"/>
        <w:spacing w:line="480" w:lineRule="auto"/>
        <w:jc w:val="left"/>
        <w:rPr>
          <w:rFonts w:hint="eastAsia" w:asciiTheme="minorEastAsia" w:hAnsiTheme="minorEastAsia" w:eastAsiaTheme="minorEastAsia" w:cstheme="minorEastAsia"/>
          <w:b/>
          <w:caps/>
          <w:color w:val="auto"/>
          <w:sz w:val="28"/>
          <w:szCs w:val="28"/>
          <w:lang w:eastAsia="zh-CN"/>
        </w:rPr>
      </w:pPr>
      <w:r>
        <w:rPr>
          <w:rFonts w:hint="eastAsia" w:asciiTheme="minorEastAsia" w:hAnsiTheme="minorEastAsia" w:eastAsiaTheme="minorEastAsia" w:cstheme="minorEastAsia"/>
          <w:b/>
          <w:caps/>
          <w:color w:val="auto"/>
          <w:sz w:val="28"/>
          <w:szCs w:val="28"/>
          <w:lang w:eastAsia="zh-CN"/>
        </w:rPr>
        <w:t>项目名称：</w:t>
      </w:r>
    </w:p>
    <w:p w14:paraId="5FF10B44">
      <w:pPr>
        <w:pBdr>
          <w:top w:val="none" w:color="auto" w:sz="0" w:space="0"/>
          <w:left w:val="none" w:color="auto" w:sz="0" w:space="0"/>
          <w:bottom w:val="none" w:color="auto" w:sz="0" w:space="0"/>
          <w:right w:val="none" w:color="auto" w:sz="0" w:space="0"/>
          <w:between w:val="none" w:color="auto" w:sz="0" w:space="0"/>
        </w:pBdr>
        <w:adjustRightInd w:val="0"/>
        <w:snapToGrid w:val="0"/>
        <w:spacing w:line="480" w:lineRule="auto"/>
        <w:jc w:val="left"/>
        <w:rPr>
          <w:rFonts w:hint="eastAsia" w:asciiTheme="minorEastAsia" w:hAnsiTheme="minorEastAsia" w:eastAsiaTheme="minorEastAsia" w:cstheme="minorEastAsia"/>
          <w:b/>
          <w:caps/>
          <w:color w:val="auto"/>
          <w:sz w:val="28"/>
          <w:szCs w:val="28"/>
          <w:lang w:eastAsia="zh-CN"/>
        </w:rPr>
      </w:pPr>
      <w:r>
        <w:rPr>
          <w:rFonts w:hint="eastAsia" w:asciiTheme="minorEastAsia" w:hAnsiTheme="minorEastAsia" w:eastAsiaTheme="minorEastAsia" w:cstheme="minorEastAsia"/>
          <w:b/>
          <w:caps/>
          <w:color w:val="auto"/>
          <w:sz w:val="28"/>
          <w:szCs w:val="28"/>
          <w:lang w:eastAsia="zh-CN"/>
        </w:rPr>
        <w:t>项目编号：</w:t>
      </w:r>
    </w:p>
    <w:p w14:paraId="381D7157">
      <w:pPr>
        <w:pBdr>
          <w:top w:val="none" w:color="auto" w:sz="0" w:space="0"/>
          <w:left w:val="none" w:color="auto" w:sz="0" w:space="0"/>
          <w:bottom w:val="none" w:color="auto" w:sz="0" w:space="0"/>
          <w:right w:val="none" w:color="auto" w:sz="0" w:space="0"/>
          <w:between w:val="none" w:color="auto" w:sz="0" w:space="0"/>
        </w:pBdr>
        <w:adjustRightInd w:val="0"/>
        <w:snapToGrid w:val="0"/>
        <w:spacing w:line="480" w:lineRule="auto"/>
        <w:jc w:val="left"/>
        <w:rPr>
          <w:rFonts w:hint="eastAsia" w:asciiTheme="minorEastAsia" w:hAnsiTheme="minorEastAsia" w:eastAsiaTheme="minorEastAsia" w:cstheme="minorEastAsia"/>
          <w:b/>
          <w:caps/>
          <w:color w:val="auto"/>
          <w:sz w:val="28"/>
          <w:szCs w:val="28"/>
          <w:lang w:eastAsia="zh-CN"/>
        </w:rPr>
      </w:pPr>
      <w:r>
        <w:rPr>
          <w:rFonts w:hint="eastAsia" w:asciiTheme="minorEastAsia" w:hAnsiTheme="minorEastAsia" w:eastAsiaTheme="minorEastAsia" w:cstheme="minorEastAsia"/>
          <w:b/>
          <w:caps/>
          <w:color w:val="auto"/>
          <w:sz w:val="28"/>
          <w:szCs w:val="28"/>
          <w:lang w:eastAsia="zh-CN"/>
        </w:rPr>
        <w:t>采购人：</w:t>
      </w:r>
    </w:p>
    <w:p w14:paraId="5C243913">
      <w:pPr>
        <w:pBdr>
          <w:top w:val="none" w:color="auto" w:sz="0" w:space="0"/>
          <w:left w:val="none" w:color="auto" w:sz="0" w:space="0"/>
          <w:bottom w:val="none" w:color="auto" w:sz="0" w:space="0"/>
          <w:right w:val="none" w:color="auto" w:sz="0" w:space="0"/>
          <w:between w:val="none" w:color="auto" w:sz="0" w:space="0"/>
        </w:pBdr>
        <w:adjustRightInd w:val="0"/>
        <w:snapToGrid w:val="0"/>
        <w:spacing w:line="480" w:lineRule="auto"/>
        <w:jc w:val="left"/>
        <w:rPr>
          <w:rFonts w:hint="eastAsia" w:asciiTheme="minorEastAsia" w:hAnsiTheme="minorEastAsia" w:eastAsiaTheme="minorEastAsia" w:cstheme="minorEastAsia"/>
          <w:b/>
          <w:caps/>
          <w:color w:val="auto"/>
          <w:sz w:val="28"/>
          <w:szCs w:val="28"/>
          <w:lang w:eastAsia="zh-CN"/>
        </w:rPr>
      </w:pPr>
      <w:r>
        <w:rPr>
          <w:rFonts w:hint="eastAsia" w:asciiTheme="minorEastAsia" w:hAnsiTheme="minorEastAsia" w:eastAsiaTheme="minorEastAsia" w:cstheme="minorEastAsia"/>
          <w:b/>
          <w:caps/>
          <w:color w:val="auto"/>
          <w:sz w:val="28"/>
          <w:szCs w:val="28"/>
          <w:lang w:eastAsia="zh-CN"/>
        </w:rPr>
        <w:t>供应商名称：（盖章）</w:t>
      </w:r>
    </w:p>
    <w:p w14:paraId="1C124FE0">
      <w:pPr>
        <w:pBdr>
          <w:top w:val="none" w:color="auto" w:sz="0" w:space="0"/>
          <w:left w:val="none" w:color="auto" w:sz="0" w:space="0"/>
          <w:bottom w:val="none" w:color="auto" w:sz="0" w:space="0"/>
          <w:right w:val="none" w:color="auto" w:sz="0" w:space="0"/>
          <w:between w:val="none" w:color="auto" w:sz="0" w:space="0"/>
        </w:pBdr>
        <w:adjustRightInd w:val="0"/>
        <w:snapToGrid w:val="0"/>
        <w:spacing w:line="480" w:lineRule="auto"/>
        <w:jc w:val="left"/>
        <w:rPr>
          <w:rFonts w:hint="eastAsia" w:asciiTheme="minorEastAsia" w:hAnsiTheme="minorEastAsia" w:eastAsiaTheme="minorEastAsia" w:cstheme="minorEastAsia"/>
          <w:b/>
          <w:caps/>
          <w:color w:val="auto"/>
          <w:sz w:val="28"/>
          <w:szCs w:val="28"/>
          <w:lang w:eastAsia="zh-CN"/>
        </w:rPr>
      </w:pPr>
      <w:r>
        <w:rPr>
          <w:rFonts w:hint="eastAsia" w:asciiTheme="minorEastAsia" w:hAnsiTheme="minorEastAsia" w:eastAsiaTheme="minorEastAsia" w:cstheme="minorEastAsia"/>
          <w:b/>
          <w:caps/>
          <w:color w:val="auto"/>
          <w:sz w:val="28"/>
          <w:szCs w:val="28"/>
          <w:lang w:eastAsia="zh-CN"/>
        </w:rPr>
        <w:t>供应商单位地址：</w:t>
      </w:r>
    </w:p>
    <w:p w14:paraId="403F1027">
      <w:pPr>
        <w:pBdr>
          <w:top w:val="none" w:color="auto" w:sz="0" w:space="0"/>
          <w:left w:val="none" w:color="auto" w:sz="0" w:space="0"/>
          <w:bottom w:val="none" w:color="auto" w:sz="0" w:space="0"/>
          <w:right w:val="none" w:color="auto" w:sz="0" w:space="0"/>
          <w:between w:val="none" w:color="auto" w:sz="0" w:space="0"/>
        </w:pBdr>
        <w:adjustRightInd w:val="0"/>
        <w:snapToGrid w:val="0"/>
        <w:spacing w:line="480" w:lineRule="auto"/>
        <w:jc w:val="left"/>
        <w:rPr>
          <w:rFonts w:hint="eastAsia" w:asciiTheme="minorEastAsia" w:hAnsiTheme="minorEastAsia" w:eastAsiaTheme="minorEastAsia" w:cstheme="minorEastAsia"/>
          <w:b/>
          <w:caps/>
          <w:color w:val="auto"/>
          <w:sz w:val="28"/>
          <w:szCs w:val="28"/>
          <w:lang w:eastAsia="zh-CN"/>
        </w:rPr>
      </w:pPr>
      <w:r>
        <w:rPr>
          <w:rFonts w:hint="eastAsia" w:asciiTheme="minorEastAsia" w:hAnsiTheme="minorEastAsia" w:eastAsiaTheme="minorEastAsia" w:cstheme="minorEastAsia"/>
          <w:b/>
          <w:caps/>
          <w:color w:val="auto"/>
          <w:sz w:val="28"/>
          <w:szCs w:val="28"/>
          <w:lang w:eastAsia="zh-CN"/>
        </w:rPr>
        <w:t>法定代表人或授权代表：（签字或盖章）</w:t>
      </w:r>
    </w:p>
    <w:p w14:paraId="2263391F">
      <w:pPr>
        <w:pBdr>
          <w:top w:val="none" w:color="auto" w:sz="0" w:space="0"/>
          <w:left w:val="none" w:color="auto" w:sz="0" w:space="0"/>
          <w:bottom w:val="none" w:color="auto" w:sz="0" w:space="0"/>
          <w:right w:val="none" w:color="auto" w:sz="0" w:space="0"/>
          <w:between w:val="none" w:color="auto" w:sz="0" w:space="0"/>
        </w:pBdr>
        <w:adjustRightInd w:val="0"/>
        <w:snapToGrid w:val="0"/>
        <w:spacing w:line="480" w:lineRule="auto"/>
        <w:jc w:val="left"/>
        <w:rPr>
          <w:rFonts w:hint="eastAsia" w:asciiTheme="minorEastAsia" w:hAnsiTheme="minorEastAsia" w:eastAsiaTheme="minorEastAsia" w:cstheme="minorEastAsia"/>
          <w:b/>
          <w:caps/>
          <w:color w:val="auto"/>
          <w:sz w:val="28"/>
          <w:szCs w:val="28"/>
          <w:lang w:eastAsia="zh-CN"/>
        </w:rPr>
      </w:pPr>
      <w:r>
        <w:rPr>
          <w:rFonts w:hint="eastAsia" w:asciiTheme="minorEastAsia" w:hAnsiTheme="minorEastAsia" w:eastAsiaTheme="minorEastAsia" w:cstheme="minorEastAsia"/>
          <w:b/>
          <w:caps/>
          <w:color w:val="auto"/>
          <w:sz w:val="28"/>
          <w:szCs w:val="28"/>
          <w:lang w:eastAsia="zh-CN"/>
        </w:rPr>
        <w:t>联系电话：</w:t>
      </w:r>
    </w:p>
    <w:p w14:paraId="747DEBC2">
      <w:pPr>
        <w:pStyle w:val="24"/>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b/>
          <w:caps/>
          <w:color w:val="auto"/>
          <w:sz w:val="28"/>
          <w:szCs w:val="28"/>
          <w:lang w:eastAsia="zh-CN"/>
        </w:rPr>
      </w:pPr>
    </w:p>
    <w:p w14:paraId="0421E69A">
      <w:pPr>
        <w:pStyle w:val="12"/>
        <w:numPr>
          <w:ilvl w:val="0"/>
          <w:numId w:val="0"/>
        </w:numPr>
        <w:pBdr>
          <w:top w:val="none" w:color="auto" w:sz="0" w:space="0"/>
          <w:left w:val="none" w:color="auto" w:sz="0" w:space="0"/>
          <w:bottom w:val="none" w:color="auto" w:sz="0" w:space="0"/>
          <w:right w:val="none" w:color="auto" w:sz="0" w:space="0"/>
          <w:between w:val="none" w:color="auto" w:sz="0" w:space="0"/>
        </w:pBdr>
        <w:ind w:leftChars="0"/>
        <w:rPr>
          <w:rFonts w:hint="eastAsia"/>
          <w:lang w:eastAsia="zh-CN"/>
        </w:rPr>
      </w:pPr>
    </w:p>
    <w:p w14:paraId="38B786C7">
      <w:pPr>
        <w:pStyle w:val="32"/>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b/>
          <w:caps/>
          <w:color w:val="auto"/>
          <w:sz w:val="28"/>
          <w:szCs w:val="28"/>
          <w:lang w:eastAsia="zh-CN"/>
        </w:rPr>
      </w:pPr>
    </w:p>
    <w:p w14:paraId="0C3FAC9E">
      <w:pPr>
        <w:rPr>
          <w:rFonts w:hint="eastAsia" w:asciiTheme="minorEastAsia" w:hAnsiTheme="minorEastAsia" w:eastAsiaTheme="minorEastAsia" w:cstheme="minorEastAsia"/>
          <w:b/>
          <w:caps/>
          <w:color w:val="auto"/>
          <w:sz w:val="28"/>
          <w:szCs w:val="28"/>
          <w:lang w:eastAsia="zh-CN"/>
        </w:rPr>
      </w:pPr>
    </w:p>
    <w:p w14:paraId="5762DB47">
      <w:pPr>
        <w:rPr>
          <w:rFonts w:hint="eastAsia" w:asciiTheme="minorEastAsia" w:hAnsiTheme="minorEastAsia" w:eastAsiaTheme="minorEastAsia" w:cstheme="minorEastAsia"/>
          <w:b/>
          <w:caps/>
          <w:color w:val="auto"/>
          <w:sz w:val="28"/>
          <w:szCs w:val="28"/>
          <w:lang w:eastAsia="zh-CN"/>
        </w:rPr>
      </w:pPr>
    </w:p>
    <w:p w14:paraId="492B4E51">
      <w:pPr>
        <w:pBdr>
          <w:top w:val="none" w:color="auto" w:sz="0" w:space="0"/>
          <w:left w:val="none" w:color="auto" w:sz="0" w:space="0"/>
          <w:bottom w:val="none" w:color="auto" w:sz="0" w:space="0"/>
          <w:right w:val="none" w:color="auto" w:sz="0" w:space="0"/>
          <w:between w:val="none" w:color="auto" w:sz="0" w:space="0"/>
        </w:pBdr>
        <w:rPr>
          <w:rFonts w:hint="eastAsia"/>
          <w:lang w:eastAsia="zh-CN"/>
        </w:rPr>
      </w:pPr>
    </w:p>
    <w:p w14:paraId="1357ACBB">
      <w:pPr>
        <w:pBdr>
          <w:top w:val="none" w:color="auto" w:sz="0" w:space="0"/>
          <w:left w:val="none" w:color="auto" w:sz="0" w:space="0"/>
          <w:bottom w:val="none" w:color="auto" w:sz="0" w:space="0"/>
          <w:right w:val="none" w:color="auto" w:sz="0" w:space="0"/>
          <w:between w:val="none" w:color="auto" w:sz="0" w:space="0"/>
        </w:pBdr>
        <w:adjustRightInd w:val="0"/>
        <w:snapToGrid w:val="0"/>
        <w:spacing w:line="360" w:lineRule="auto"/>
        <w:jc w:val="center"/>
        <w:rPr>
          <w:rFonts w:hint="eastAsia" w:asciiTheme="minorEastAsia" w:hAnsiTheme="minorEastAsia" w:eastAsiaTheme="minorEastAsia" w:cstheme="minorEastAsia"/>
          <w:b/>
          <w:color w:val="auto"/>
          <w:sz w:val="28"/>
          <w:szCs w:val="28"/>
          <w:lang w:eastAsia="zh-CN"/>
        </w:rPr>
      </w:pPr>
      <w:r>
        <w:rPr>
          <w:rFonts w:hint="eastAsia" w:asciiTheme="minorEastAsia" w:hAnsiTheme="minorEastAsia" w:eastAsiaTheme="minorEastAsia" w:cstheme="minorEastAsia"/>
          <w:b/>
          <w:color w:val="auto"/>
          <w:sz w:val="28"/>
          <w:szCs w:val="28"/>
          <w:lang w:eastAsia="zh-CN"/>
        </w:rPr>
        <w:t xml:space="preserve"> </w:t>
      </w:r>
      <w:r>
        <w:rPr>
          <w:rFonts w:hint="eastAsia" w:ascii="宋体" w:hAnsi="宋体" w:eastAsia="宋体" w:cs="宋体"/>
          <w:szCs w:val="21"/>
        </w:rPr>
        <w:t xml:space="preserve">  年      月       日</w:t>
      </w:r>
    </w:p>
    <w:p w14:paraId="463AA042">
      <w:pPr>
        <w:pStyle w:val="3"/>
        <w:pBdr>
          <w:top w:val="none" w:color="auto" w:sz="0" w:space="0"/>
          <w:left w:val="none" w:color="auto" w:sz="0" w:space="0"/>
          <w:bottom w:val="none" w:color="auto" w:sz="0" w:space="0"/>
          <w:right w:val="none" w:color="auto" w:sz="0" w:space="0"/>
          <w:between w:val="none" w:color="auto" w:sz="0" w:space="0"/>
        </w:pBdr>
        <w:spacing w:line="240" w:lineRule="atLeast"/>
        <w:jc w:val="center"/>
        <w:rPr>
          <w:rFonts w:hint="eastAsia" w:asciiTheme="minorEastAsia" w:hAnsiTheme="minorEastAsia" w:eastAsiaTheme="minorEastAsia" w:cstheme="minorEastAsia"/>
          <w:color w:val="auto"/>
          <w:szCs w:val="21"/>
          <w:lang w:eastAsia="zh-CN"/>
        </w:rPr>
      </w:pPr>
      <w:bookmarkStart w:id="118" w:name="_Toc24662"/>
      <w:bookmarkStart w:id="119" w:name="_Toc3215"/>
      <w:r>
        <w:rPr>
          <w:rFonts w:hint="eastAsia" w:asciiTheme="minorEastAsia" w:hAnsiTheme="minorEastAsia" w:eastAsiaTheme="minorEastAsia" w:cstheme="minorEastAsia"/>
          <w:bCs/>
          <w:color w:val="auto"/>
          <w:szCs w:val="21"/>
          <w:lang w:eastAsia="zh-CN"/>
        </w:rPr>
        <w:t>第一部分 资格证明文件</w:t>
      </w:r>
      <w:bookmarkEnd w:id="118"/>
      <w:bookmarkEnd w:id="119"/>
    </w:p>
    <w:bookmarkEnd w:id="117"/>
    <w:p w14:paraId="207617A6">
      <w:pPr>
        <w:pBdr>
          <w:top w:val="none" w:color="auto" w:sz="0" w:space="0"/>
          <w:left w:val="none" w:color="auto" w:sz="0" w:space="0"/>
          <w:bottom w:val="none" w:color="auto" w:sz="0" w:space="0"/>
          <w:right w:val="none" w:color="auto" w:sz="0" w:space="0"/>
          <w:between w:val="none" w:color="auto" w:sz="0" w:space="0"/>
        </w:pBdr>
        <w:tabs>
          <w:tab w:val="left" w:pos="540"/>
        </w:tabs>
        <w:spacing w:line="240" w:lineRule="atLeast"/>
        <w:jc w:val="both"/>
        <w:outlineLvl w:val="9"/>
        <w:rPr>
          <w:rFonts w:hint="eastAsia" w:asciiTheme="minorEastAsia" w:hAnsiTheme="minorEastAsia" w:eastAsiaTheme="minorEastAsia" w:cstheme="minorEastAsia"/>
          <w:bCs/>
          <w:color w:val="auto"/>
          <w:sz w:val="24"/>
          <w:lang w:eastAsia="zh-CN"/>
        </w:rPr>
      </w:pPr>
      <w:bookmarkStart w:id="120" w:name="_Toc18694"/>
      <w:bookmarkStart w:id="121" w:name="_Toc8919"/>
      <w:bookmarkStart w:id="122" w:name="_Toc18974"/>
      <w:bookmarkStart w:id="123" w:name="_Toc515647803"/>
    </w:p>
    <w:bookmarkEnd w:id="120"/>
    <w:bookmarkEnd w:id="121"/>
    <w:bookmarkEnd w:id="122"/>
    <w:bookmarkEnd w:id="123"/>
    <w:p w14:paraId="2BF8F788">
      <w:pPr>
        <w:pBdr>
          <w:top w:val="none" w:color="auto" w:sz="0" w:space="0"/>
          <w:left w:val="none" w:color="auto" w:sz="0" w:space="0"/>
          <w:bottom w:val="none" w:color="auto" w:sz="0" w:space="0"/>
          <w:right w:val="none" w:color="auto" w:sz="0" w:space="0"/>
          <w:between w:val="none" w:color="auto" w:sz="0" w:space="0"/>
        </w:pBdr>
        <w:tabs>
          <w:tab w:val="left" w:pos="5580"/>
        </w:tabs>
        <w:spacing w:line="500" w:lineRule="atLeast"/>
        <w:ind w:left="1" w:firstLine="564" w:firstLineChars="235"/>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1、法人或者非法人组织的营业执照等证明文件原件扫描件（须加盖本单位公章）或自然人的身份证明原件扫描件；</w:t>
      </w:r>
    </w:p>
    <w:p w14:paraId="63B49987">
      <w:pPr>
        <w:pBdr>
          <w:top w:val="none" w:color="auto" w:sz="0" w:space="0"/>
          <w:left w:val="none" w:color="auto" w:sz="0" w:space="0"/>
          <w:bottom w:val="none" w:color="auto" w:sz="0" w:space="0"/>
          <w:right w:val="none" w:color="auto" w:sz="0" w:space="0"/>
          <w:between w:val="none" w:color="auto" w:sz="0" w:space="0"/>
        </w:pBdr>
        <w:tabs>
          <w:tab w:val="left" w:pos="5580"/>
        </w:tabs>
        <w:spacing w:line="500" w:lineRule="atLeast"/>
        <w:ind w:left="1" w:firstLine="564" w:firstLineChars="235"/>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2、法定代表人资格证明书；</w:t>
      </w:r>
    </w:p>
    <w:p w14:paraId="5A75C96A">
      <w:pPr>
        <w:pBdr>
          <w:top w:val="none" w:color="auto" w:sz="0" w:space="0"/>
          <w:left w:val="none" w:color="auto" w:sz="0" w:space="0"/>
          <w:bottom w:val="none" w:color="auto" w:sz="0" w:space="0"/>
          <w:right w:val="none" w:color="auto" w:sz="0" w:space="0"/>
          <w:between w:val="none" w:color="auto" w:sz="0" w:space="0"/>
        </w:pBdr>
        <w:tabs>
          <w:tab w:val="left" w:pos="5580"/>
        </w:tabs>
        <w:spacing w:line="500" w:lineRule="atLeast"/>
        <w:ind w:left="1" w:firstLine="564" w:firstLineChars="235"/>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3、法定代表人授权委托书；</w:t>
      </w:r>
    </w:p>
    <w:p w14:paraId="2852E214">
      <w:pPr>
        <w:pBdr>
          <w:top w:val="none" w:color="auto" w:sz="0" w:space="0"/>
          <w:left w:val="none" w:color="auto" w:sz="0" w:space="0"/>
          <w:bottom w:val="none" w:color="auto" w:sz="0" w:space="0"/>
          <w:right w:val="none" w:color="auto" w:sz="0" w:space="0"/>
          <w:between w:val="none" w:color="auto" w:sz="0" w:space="0"/>
        </w:pBdr>
        <w:tabs>
          <w:tab w:val="left" w:pos="5580"/>
        </w:tabs>
        <w:spacing w:line="500" w:lineRule="atLeast"/>
        <w:ind w:left="1" w:firstLine="564" w:firstLineChars="235"/>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val="en-US" w:eastAsia="zh-CN"/>
        </w:rPr>
        <w:t>4</w:t>
      </w:r>
      <w:r>
        <w:rPr>
          <w:rFonts w:hint="eastAsia" w:asciiTheme="minorEastAsia" w:hAnsiTheme="minorEastAsia" w:eastAsiaTheme="minorEastAsia" w:cstheme="minorEastAsia"/>
          <w:color w:val="auto"/>
          <w:lang w:eastAsia="zh-CN"/>
        </w:rPr>
        <w:t>、参加政府采购活动近三年无重大违法记录声明;</w:t>
      </w:r>
    </w:p>
    <w:p w14:paraId="0EB7EE76">
      <w:pPr>
        <w:pBdr>
          <w:top w:val="none" w:color="auto" w:sz="0" w:space="0"/>
          <w:left w:val="none" w:color="auto" w:sz="0" w:space="0"/>
          <w:bottom w:val="none" w:color="auto" w:sz="0" w:space="0"/>
          <w:right w:val="none" w:color="auto" w:sz="0" w:space="0"/>
          <w:between w:val="none" w:color="auto" w:sz="0" w:space="0"/>
        </w:pBdr>
        <w:tabs>
          <w:tab w:val="left" w:pos="5580"/>
        </w:tabs>
        <w:spacing w:line="500" w:lineRule="atLeast"/>
        <w:ind w:left="1" w:firstLine="564" w:firstLineChars="235"/>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5、投标保证金缴纳证明；</w:t>
      </w:r>
    </w:p>
    <w:p w14:paraId="4143EC80">
      <w:pPr>
        <w:pBdr>
          <w:top w:val="none" w:color="auto" w:sz="0" w:space="0"/>
          <w:left w:val="none" w:color="auto" w:sz="0" w:space="0"/>
          <w:bottom w:val="none" w:color="auto" w:sz="0" w:space="0"/>
          <w:right w:val="none" w:color="auto" w:sz="0" w:space="0"/>
          <w:between w:val="none" w:color="auto" w:sz="0" w:space="0"/>
        </w:pBdr>
        <w:tabs>
          <w:tab w:val="left" w:pos="5580"/>
        </w:tabs>
        <w:spacing w:line="500" w:lineRule="atLeast"/>
        <w:ind w:left="1" w:firstLine="564" w:firstLineChars="235"/>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6、投标企业须提供近一年内</w:t>
      </w:r>
      <w:r>
        <w:rPr>
          <w:rFonts w:hint="eastAsia" w:asciiTheme="minorEastAsia" w:hAnsiTheme="minorEastAsia" w:eastAsiaTheme="minorEastAsia" w:cstheme="minorEastAsia"/>
          <w:bCs/>
          <w:color w:val="auto"/>
          <w:szCs w:val="21"/>
          <w:lang w:eastAsia="zh-CN"/>
        </w:rPr>
        <w:t>（2023年11月-2024年10月）</w:t>
      </w:r>
      <w:r>
        <w:rPr>
          <w:rFonts w:hint="eastAsia" w:asciiTheme="minorEastAsia" w:hAnsiTheme="minorEastAsia" w:eastAsiaTheme="minorEastAsia" w:cstheme="minorEastAsia"/>
          <w:color w:val="auto"/>
          <w:lang w:eastAsia="zh-CN"/>
        </w:rPr>
        <w:t>任意三个月社保缴纳证明;</w:t>
      </w:r>
    </w:p>
    <w:p w14:paraId="65D4B6DA">
      <w:pPr>
        <w:pBdr>
          <w:top w:val="none" w:color="auto" w:sz="0" w:space="0"/>
          <w:left w:val="none" w:color="auto" w:sz="0" w:space="0"/>
          <w:bottom w:val="none" w:color="auto" w:sz="0" w:space="0"/>
          <w:right w:val="none" w:color="auto" w:sz="0" w:space="0"/>
          <w:between w:val="none" w:color="auto" w:sz="0" w:space="0"/>
        </w:pBdr>
        <w:tabs>
          <w:tab w:val="left" w:pos="5580"/>
        </w:tabs>
        <w:spacing w:line="500" w:lineRule="atLeast"/>
        <w:ind w:left="1" w:firstLine="564" w:firstLineChars="235"/>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7、提供税务机构出具的近一年内</w:t>
      </w:r>
      <w:r>
        <w:rPr>
          <w:rFonts w:hint="eastAsia" w:asciiTheme="minorEastAsia" w:hAnsiTheme="minorEastAsia" w:eastAsiaTheme="minorEastAsia" w:cstheme="minorEastAsia"/>
          <w:bCs/>
          <w:color w:val="auto"/>
          <w:szCs w:val="21"/>
          <w:lang w:eastAsia="zh-CN"/>
        </w:rPr>
        <w:t>（2023年11月-2024年10月）</w:t>
      </w:r>
      <w:r>
        <w:rPr>
          <w:rFonts w:hint="eastAsia" w:asciiTheme="minorEastAsia" w:hAnsiTheme="minorEastAsia" w:eastAsiaTheme="minorEastAsia" w:cstheme="minorEastAsia"/>
          <w:color w:val="auto"/>
          <w:lang w:eastAsia="zh-CN"/>
        </w:rPr>
        <w:t>任意三个月的依法缴纳税收等证明材料；</w:t>
      </w:r>
    </w:p>
    <w:p w14:paraId="2E380D8B">
      <w:pPr>
        <w:pBdr>
          <w:top w:val="none" w:color="auto" w:sz="0" w:space="0"/>
          <w:left w:val="none" w:color="auto" w:sz="0" w:space="0"/>
          <w:bottom w:val="none" w:color="auto" w:sz="0" w:space="0"/>
          <w:right w:val="none" w:color="auto" w:sz="0" w:space="0"/>
          <w:between w:val="none" w:color="auto" w:sz="0" w:space="0"/>
        </w:pBdr>
        <w:tabs>
          <w:tab w:val="left" w:pos="5580"/>
        </w:tabs>
        <w:spacing w:line="500" w:lineRule="atLeast"/>
        <w:ind w:left="1" w:firstLine="564" w:firstLineChars="235"/>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8、提供会计师事务所出具的2023年度财务审计报告（包含资产负债表、利润表、现金流量表等），成立不足一年的供应商可提供财务报表或银行出具的资信证明。</w:t>
      </w:r>
    </w:p>
    <w:p w14:paraId="053D7BDE">
      <w:pPr>
        <w:pBdr>
          <w:top w:val="none" w:color="auto" w:sz="0" w:space="0"/>
          <w:left w:val="none" w:color="auto" w:sz="0" w:space="0"/>
          <w:bottom w:val="none" w:color="auto" w:sz="0" w:space="0"/>
          <w:right w:val="none" w:color="auto" w:sz="0" w:space="0"/>
          <w:between w:val="none" w:color="auto" w:sz="0" w:space="0"/>
        </w:pBdr>
        <w:tabs>
          <w:tab w:val="left" w:pos="5580"/>
        </w:tabs>
        <w:spacing w:line="500" w:lineRule="atLeast"/>
        <w:ind w:left="1" w:firstLine="564" w:firstLineChars="235"/>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9、要求提供的其他资格证明文件</w:t>
      </w:r>
    </w:p>
    <w:p w14:paraId="22C5A4CE">
      <w:pPr>
        <w:pBdr>
          <w:top w:val="none" w:color="auto" w:sz="0" w:space="0"/>
          <w:left w:val="none" w:color="auto" w:sz="0" w:space="0"/>
          <w:bottom w:val="none" w:color="auto" w:sz="0" w:space="0"/>
          <w:right w:val="none" w:color="auto" w:sz="0" w:space="0"/>
          <w:between w:val="none" w:color="auto" w:sz="0" w:space="0"/>
        </w:pBdr>
        <w:tabs>
          <w:tab w:val="left" w:pos="5580"/>
        </w:tabs>
        <w:spacing w:line="500" w:lineRule="atLeast"/>
        <w:ind w:left="1" w:firstLine="564" w:firstLineChars="235"/>
        <w:rPr>
          <w:rFonts w:hint="eastAsia" w:asciiTheme="minorEastAsia" w:hAnsiTheme="minorEastAsia" w:eastAsiaTheme="minorEastAsia" w:cstheme="minorEastAsia"/>
          <w:color w:val="auto"/>
          <w:lang w:eastAsia="zh-CN"/>
        </w:rPr>
      </w:pPr>
    </w:p>
    <w:p w14:paraId="13502C4F">
      <w:pPr>
        <w:pStyle w:val="12"/>
        <w:numPr>
          <w:ilvl w:val="0"/>
          <w:numId w:val="0"/>
        </w:numPr>
        <w:pBdr>
          <w:top w:val="none" w:color="auto" w:sz="0" w:space="0"/>
          <w:left w:val="none" w:color="auto" w:sz="0" w:space="0"/>
          <w:bottom w:val="none" w:color="auto" w:sz="0" w:space="0"/>
          <w:right w:val="none" w:color="auto" w:sz="0" w:space="0"/>
          <w:between w:val="none" w:color="auto" w:sz="0" w:space="0"/>
        </w:pBdr>
        <w:kinsoku w:val="0"/>
        <w:overflowPunct w:val="0"/>
        <w:spacing w:before="130" w:line="355" w:lineRule="auto"/>
        <w:ind w:left="480" w:right="7"/>
        <w:jc w:val="center"/>
        <w:rPr>
          <w:rFonts w:hint="eastAsia" w:asciiTheme="minorEastAsia" w:hAnsiTheme="minorEastAsia" w:eastAsiaTheme="minorEastAsia" w:cstheme="minorEastAsia"/>
          <w:b/>
          <w:bCs/>
          <w:color w:val="auto"/>
          <w:sz w:val="36"/>
          <w:szCs w:val="36"/>
          <w:lang w:eastAsia="zh-CN"/>
        </w:rPr>
      </w:pPr>
    </w:p>
    <w:p w14:paraId="05C09264">
      <w:pPr>
        <w:pStyle w:val="12"/>
        <w:numPr>
          <w:ilvl w:val="0"/>
          <w:numId w:val="0"/>
        </w:numPr>
        <w:pBdr>
          <w:top w:val="none" w:color="auto" w:sz="0" w:space="0"/>
          <w:left w:val="none" w:color="auto" w:sz="0" w:space="0"/>
          <w:bottom w:val="none" w:color="auto" w:sz="0" w:space="0"/>
          <w:right w:val="none" w:color="auto" w:sz="0" w:space="0"/>
          <w:between w:val="none" w:color="auto" w:sz="0" w:space="0"/>
        </w:pBdr>
        <w:kinsoku w:val="0"/>
        <w:overflowPunct w:val="0"/>
        <w:spacing w:before="130" w:line="355" w:lineRule="auto"/>
        <w:ind w:left="480" w:right="7"/>
        <w:jc w:val="center"/>
        <w:rPr>
          <w:rFonts w:hint="eastAsia" w:asciiTheme="minorEastAsia" w:hAnsiTheme="minorEastAsia" w:eastAsiaTheme="minorEastAsia" w:cstheme="minorEastAsia"/>
          <w:b/>
          <w:bCs/>
          <w:color w:val="auto"/>
          <w:sz w:val="36"/>
          <w:szCs w:val="36"/>
          <w:lang w:eastAsia="zh-CN"/>
        </w:rPr>
      </w:pPr>
    </w:p>
    <w:p w14:paraId="47BCC8F0">
      <w:pPr>
        <w:pStyle w:val="13"/>
        <w:pBdr>
          <w:top w:val="none" w:color="auto" w:sz="0" w:space="0"/>
          <w:left w:val="none" w:color="auto" w:sz="0" w:space="0"/>
          <w:bottom w:val="none" w:color="auto" w:sz="0" w:space="0"/>
          <w:right w:val="none" w:color="auto" w:sz="0" w:space="0"/>
          <w:between w:val="none" w:color="auto" w:sz="0" w:space="0"/>
        </w:pBdr>
        <w:ind w:left="480"/>
        <w:rPr>
          <w:rFonts w:hint="eastAsia" w:asciiTheme="minorEastAsia" w:hAnsiTheme="minorEastAsia" w:eastAsiaTheme="minorEastAsia" w:cstheme="minorEastAsia"/>
          <w:b/>
          <w:bCs/>
          <w:color w:val="auto"/>
          <w:sz w:val="36"/>
          <w:szCs w:val="36"/>
          <w:lang w:eastAsia="zh-CN"/>
        </w:rPr>
      </w:pPr>
    </w:p>
    <w:p w14:paraId="30758B63">
      <w:pPr>
        <w:pStyle w:val="13"/>
        <w:pBdr>
          <w:top w:val="none" w:color="auto" w:sz="0" w:space="0"/>
          <w:left w:val="none" w:color="auto" w:sz="0" w:space="0"/>
          <w:bottom w:val="none" w:color="auto" w:sz="0" w:space="0"/>
          <w:right w:val="none" w:color="auto" w:sz="0" w:space="0"/>
          <w:between w:val="none" w:color="auto" w:sz="0" w:space="0"/>
        </w:pBdr>
        <w:ind w:left="480"/>
        <w:outlineLvl w:val="9"/>
        <w:rPr>
          <w:rFonts w:hint="eastAsia" w:asciiTheme="minorEastAsia" w:hAnsiTheme="minorEastAsia" w:eastAsiaTheme="minorEastAsia" w:cstheme="minorEastAsia"/>
          <w:b/>
          <w:bCs/>
          <w:color w:val="auto"/>
          <w:sz w:val="36"/>
          <w:szCs w:val="36"/>
          <w:lang w:eastAsia="zh-CN"/>
        </w:rPr>
      </w:pPr>
    </w:p>
    <w:p w14:paraId="28711388">
      <w:pPr>
        <w:pStyle w:val="13"/>
        <w:pBdr>
          <w:top w:val="none" w:color="auto" w:sz="0" w:space="0"/>
          <w:left w:val="none" w:color="auto" w:sz="0" w:space="0"/>
          <w:bottom w:val="none" w:color="auto" w:sz="0" w:space="0"/>
          <w:right w:val="none" w:color="auto" w:sz="0" w:space="0"/>
          <w:between w:val="none" w:color="auto" w:sz="0" w:space="0"/>
        </w:pBdr>
        <w:ind w:left="480"/>
        <w:outlineLvl w:val="9"/>
        <w:rPr>
          <w:rFonts w:hint="eastAsia" w:asciiTheme="minorEastAsia" w:hAnsiTheme="minorEastAsia" w:eastAsiaTheme="minorEastAsia" w:cstheme="minorEastAsia"/>
          <w:b/>
          <w:bCs/>
          <w:color w:val="auto"/>
          <w:sz w:val="36"/>
          <w:szCs w:val="36"/>
          <w:lang w:eastAsia="zh-CN"/>
        </w:rPr>
      </w:pPr>
    </w:p>
    <w:p w14:paraId="15071596">
      <w:pPr>
        <w:pStyle w:val="13"/>
        <w:pBdr>
          <w:top w:val="none" w:color="auto" w:sz="0" w:space="0"/>
          <w:left w:val="none" w:color="auto" w:sz="0" w:space="0"/>
          <w:bottom w:val="none" w:color="auto" w:sz="0" w:space="0"/>
          <w:right w:val="none" w:color="auto" w:sz="0" w:space="0"/>
          <w:between w:val="none" w:color="auto" w:sz="0" w:space="0"/>
        </w:pBdr>
        <w:ind w:left="480"/>
        <w:outlineLvl w:val="9"/>
        <w:rPr>
          <w:rFonts w:hint="eastAsia" w:asciiTheme="minorEastAsia" w:hAnsiTheme="minorEastAsia" w:eastAsiaTheme="minorEastAsia" w:cstheme="minorEastAsia"/>
          <w:color w:val="auto"/>
          <w:lang w:eastAsia="zh-CN"/>
        </w:rPr>
      </w:pPr>
    </w:p>
    <w:p w14:paraId="6CF72B03">
      <w:pPr>
        <w:pBdr>
          <w:top w:val="none" w:color="auto" w:sz="0" w:space="0"/>
          <w:left w:val="none" w:color="auto" w:sz="0" w:space="0"/>
          <w:bottom w:val="none" w:color="auto" w:sz="0" w:space="0"/>
          <w:right w:val="none" w:color="auto" w:sz="0" w:space="0"/>
          <w:between w:val="none" w:color="auto" w:sz="0" w:space="0"/>
        </w:pBdr>
        <w:outlineLvl w:val="9"/>
        <w:rPr>
          <w:rFonts w:hint="eastAsia"/>
          <w:lang w:eastAsia="zh-CN"/>
        </w:rPr>
      </w:pPr>
    </w:p>
    <w:p w14:paraId="4BD3D26A">
      <w:pPr>
        <w:pBdr>
          <w:top w:val="none" w:color="auto" w:sz="0" w:space="0"/>
          <w:left w:val="none" w:color="auto" w:sz="0" w:space="0"/>
          <w:bottom w:val="none" w:color="auto" w:sz="0" w:space="0"/>
          <w:right w:val="none" w:color="auto" w:sz="0" w:space="0"/>
          <w:between w:val="none" w:color="auto" w:sz="0" w:space="0"/>
        </w:pBdr>
        <w:outlineLvl w:val="9"/>
        <w:rPr>
          <w:rFonts w:hint="eastAsia" w:asciiTheme="minorEastAsia" w:hAnsiTheme="minorEastAsia" w:eastAsiaTheme="minorEastAsia" w:cstheme="minorEastAsia"/>
          <w:b/>
          <w:bCs/>
          <w:color w:val="auto"/>
          <w:sz w:val="36"/>
          <w:szCs w:val="36"/>
          <w:lang w:eastAsia="zh-CN"/>
        </w:rPr>
      </w:pPr>
    </w:p>
    <w:p w14:paraId="183C0BD2">
      <w:pPr>
        <w:pStyle w:val="34"/>
        <w:pBdr>
          <w:top w:val="none" w:color="auto" w:sz="0" w:space="0"/>
          <w:left w:val="none" w:color="auto" w:sz="0" w:space="0"/>
          <w:bottom w:val="none" w:color="auto" w:sz="0" w:space="0"/>
          <w:right w:val="none" w:color="auto" w:sz="0" w:space="0"/>
          <w:between w:val="none" w:color="auto" w:sz="0" w:space="0"/>
        </w:pBdr>
        <w:outlineLvl w:val="9"/>
        <w:rPr>
          <w:rFonts w:hint="eastAsia" w:asciiTheme="minorEastAsia" w:hAnsiTheme="minorEastAsia" w:eastAsiaTheme="minorEastAsia" w:cstheme="minorEastAsia"/>
          <w:b/>
          <w:bCs/>
          <w:color w:val="auto"/>
          <w:sz w:val="36"/>
          <w:szCs w:val="36"/>
          <w:lang w:eastAsia="zh-CN"/>
        </w:rPr>
      </w:pPr>
    </w:p>
    <w:p w14:paraId="5CCD6FF2">
      <w:pPr>
        <w:pStyle w:val="12"/>
        <w:numPr>
          <w:ilvl w:val="0"/>
          <w:numId w:val="0"/>
        </w:numPr>
        <w:pBdr>
          <w:top w:val="none" w:color="auto" w:sz="0" w:space="0"/>
          <w:left w:val="none" w:color="auto" w:sz="0" w:space="0"/>
          <w:bottom w:val="none" w:color="auto" w:sz="0" w:space="0"/>
          <w:right w:val="none" w:color="auto" w:sz="0" w:space="0"/>
          <w:between w:val="none" w:color="auto" w:sz="0" w:space="0"/>
        </w:pBdr>
        <w:kinsoku w:val="0"/>
        <w:overflowPunct w:val="0"/>
        <w:spacing w:before="34" w:line="440" w:lineRule="exact"/>
        <w:ind w:left="0" w:leftChars="0" w:right="126" w:rightChars="0" w:firstLine="0" w:firstLineChars="0"/>
        <w:jc w:val="both"/>
        <w:outlineLvl w:val="1"/>
        <w:rPr>
          <w:rFonts w:hint="eastAsia" w:asciiTheme="minorEastAsia" w:hAnsiTheme="minorEastAsia" w:eastAsiaTheme="minorEastAsia" w:cstheme="minorEastAsia"/>
          <w:b/>
          <w:bCs/>
          <w:color w:val="auto"/>
          <w:sz w:val="28"/>
          <w:szCs w:val="28"/>
          <w:lang w:eastAsia="zh-CN"/>
        </w:rPr>
      </w:pPr>
      <w:r>
        <w:rPr>
          <w:rFonts w:hint="eastAsia" w:asciiTheme="minorEastAsia" w:hAnsiTheme="minorEastAsia" w:eastAsiaTheme="minorEastAsia" w:cstheme="minorEastAsia"/>
          <w:b/>
          <w:bCs/>
          <w:color w:val="auto"/>
          <w:sz w:val="28"/>
          <w:szCs w:val="28"/>
          <w:lang w:val="en-US" w:eastAsia="zh-CN" w:bidi="en-US"/>
        </w:rPr>
        <w:t>1、法人或者非法人组织的营业执照等证明文件原件扫描件（须加盖本单位公章）或自然人的身份证明原件扫描件；</w:t>
      </w:r>
    </w:p>
    <w:p w14:paraId="703E4591">
      <w:pPr>
        <w:pStyle w:val="14"/>
        <w:pBdr>
          <w:top w:val="none" w:color="auto" w:sz="0" w:space="0"/>
          <w:left w:val="none" w:color="auto" w:sz="0" w:space="0"/>
          <w:bottom w:val="none" w:color="auto" w:sz="0" w:space="0"/>
          <w:right w:val="none" w:color="auto" w:sz="0" w:space="0"/>
          <w:between w:val="none" w:color="auto" w:sz="0" w:space="0"/>
        </w:pBdr>
        <w:tabs>
          <w:tab w:val="left" w:pos="5580"/>
        </w:tabs>
        <w:spacing w:line="400" w:lineRule="exact"/>
        <w:ind w:left="1157" w:leftChars="257" w:hanging="540"/>
        <w:jc w:val="center"/>
        <w:rPr>
          <w:rFonts w:hint="eastAsia" w:asciiTheme="minorEastAsia" w:hAnsiTheme="minorEastAsia" w:eastAsiaTheme="minorEastAsia" w:cstheme="minorEastAsia"/>
          <w:b/>
          <w:color w:val="auto"/>
          <w:lang w:eastAsia="zh-CN"/>
        </w:rPr>
      </w:pPr>
    </w:p>
    <w:p w14:paraId="1FFFC237">
      <w:pPr>
        <w:pStyle w:val="14"/>
        <w:pBdr>
          <w:top w:val="none" w:color="auto" w:sz="0" w:space="0"/>
          <w:left w:val="none" w:color="auto" w:sz="0" w:space="0"/>
          <w:bottom w:val="none" w:color="auto" w:sz="0" w:space="0"/>
          <w:right w:val="none" w:color="auto" w:sz="0" w:space="0"/>
          <w:between w:val="none" w:color="auto" w:sz="0" w:space="0"/>
        </w:pBdr>
        <w:tabs>
          <w:tab w:val="left" w:pos="5580"/>
        </w:tabs>
        <w:spacing w:line="400" w:lineRule="exact"/>
        <w:ind w:left="1157" w:leftChars="257" w:hanging="540"/>
        <w:rPr>
          <w:rFonts w:hint="eastAsia" w:asciiTheme="minorEastAsia" w:hAnsiTheme="minorEastAsia" w:eastAsiaTheme="minorEastAsia" w:cstheme="minorEastAsia"/>
          <w:b/>
          <w:color w:val="auto"/>
          <w:lang w:eastAsia="zh-CN"/>
        </w:rPr>
      </w:pPr>
    </w:p>
    <w:p w14:paraId="31CA793F">
      <w:pPr>
        <w:pStyle w:val="14"/>
        <w:pBdr>
          <w:top w:val="none" w:color="auto" w:sz="0" w:space="0"/>
          <w:left w:val="none" w:color="auto" w:sz="0" w:space="0"/>
          <w:bottom w:val="none" w:color="auto" w:sz="0" w:space="0"/>
          <w:right w:val="none" w:color="auto" w:sz="0" w:space="0"/>
          <w:between w:val="none" w:color="auto" w:sz="0" w:space="0"/>
        </w:pBdr>
        <w:tabs>
          <w:tab w:val="left" w:pos="5580"/>
        </w:tabs>
        <w:spacing w:line="400" w:lineRule="exact"/>
        <w:ind w:left="1157" w:leftChars="257" w:hanging="540"/>
        <w:rPr>
          <w:rFonts w:hint="eastAsia" w:asciiTheme="minorEastAsia" w:hAnsiTheme="minorEastAsia" w:eastAsiaTheme="minorEastAsia" w:cstheme="minorEastAsia"/>
          <w:b/>
          <w:color w:val="auto"/>
          <w:lang w:eastAsia="zh-CN"/>
        </w:rPr>
      </w:pPr>
    </w:p>
    <w:p w14:paraId="5F5D6231">
      <w:pPr>
        <w:pStyle w:val="12"/>
        <w:numPr>
          <w:ilvl w:val="0"/>
          <w:numId w:val="0"/>
        </w:numPr>
        <w:pBdr>
          <w:top w:val="none" w:color="auto" w:sz="0" w:space="0"/>
          <w:left w:val="none" w:color="auto" w:sz="0" w:space="0"/>
          <w:bottom w:val="none" w:color="auto" w:sz="0" w:space="0"/>
          <w:right w:val="none" w:color="auto" w:sz="0" w:space="0"/>
          <w:between w:val="none" w:color="auto" w:sz="0" w:space="0"/>
        </w:pBdr>
        <w:kinsoku w:val="0"/>
        <w:overflowPunct w:val="0"/>
        <w:spacing w:before="34" w:line="440" w:lineRule="exact"/>
        <w:ind w:left="480" w:right="126"/>
        <w:jc w:val="center"/>
        <w:rPr>
          <w:rFonts w:hint="eastAsia" w:asciiTheme="minorEastAsia" w:hAnsiTheme="minorEastAsia" w:eastAsiaTheme="minorEastAsia" w:cstheme="minorEastAsia"/>
          <w:b/>
          <w:bCs/>
          <w:color w:val="auto"/>
          <w:sz w:val="36"/>
          <w:szCs w:val="36"/>
          <w:lang w:eastAsia="zh-CN"/>
        </w:rPr>
      </w:pPr>
    </w:p>
    <w:p w14:paraId="1C8CE81D">
      <w:pPr>
        <w:pStyle w:val="12"/>
        <w:numPr>
          <w:ilvl w:val="0"/>
          <w:numId w:val="0"/>
        </w:numPr>
        <w:pBdr>
          <w:top w:val="none" w:color="auto" w:sz="0" w:space="0"/>
          <w:left w:val="none" w:color="auto" w:sz="0" w:space="0"/>
          <w:bottom w:val="none" w:color="auto" w:sz="0" w:space="0"/>
          <w:right w:val="none" w:color="auto" w:sz="0" w:space="0"/>
          <w:between w:val="none" w:color="auto" w:sz="0" w:space="0"/>
        </w:pBdr>
        <w:kinsoku w:val="0"/>
        <w:overflowPunct w:val="0"/>
        <w:spacing w:before="34" w:line="440" w:lineRule="exact"/>
        <w:ind w:left="480" w:right="126"/>
        <w:jc w:val="center"/>
        <w:rPr>
          <w:rFonts w:hint="eastAsia" w:asciiTheme="minorEastAsia" w:hAnsiTheme="minorEastAsia" w:eastAsiaTheme="minorEastAsia" w:cstheme="minorEastAsia"/>
          <w:b/>
          <w:bCs/>
          <w:color w:val="auto"/>
          <w:sz w:val="36"/>
          <w:szCs w:val="36"/>
          <w:lang w:eastAsia="zh-CN"/>
        </w:rPr>
      </w:pPr>
    </w:p>
    <w:p w14:paraId="64B1731B">
      <w:pPr>
        <w:pStyle w:val="12"/>
        <w:numPr>
          <w:ilvl w:val="0"/>
          <w:numId w:val="0"/>
        </w:numPr>
        <w:pBdr>
          <w:top w:val="none" w:color="auto" w:sz="0" w:space="0"/>
          <w:left w:val="none" w:color="auto" w:sz="0" w:space="0"/>
          <w:bottom w:val="none" w:color="auto" w:sz="0" w:space="0"/>
          <w:right w:val="none" w:color="auto" w:sz="0" w:space="0"/>
          <w:between w:val="none" w:color="auto" w:sz="0" w:space="0"/>
        </w:pBdr>
        <w:kinsoku w:val="0"/>
        <w:overflowPunct w:val="0"/>
        <w:spacing w:before="34" w:line="440" w:lineRule="exact"/>
        <w:ind w:left="480" w:right="126"/>
        <w:jc w:val="center"/>
        <w:rPr>
          <w:rFonts w:hint="eastAsia" w:asciiTheme="minorEastAsia" w:hAnsiTheme="minorEastAsia" w:eastAsiaTheme="minorEastAsia" w:cstheme="minorEastAsia"/>
          <w:b/>
          <w:bCs/>
          <w:color w:val="auto"/>
          <w:sz w:val="36"/>
          <w:szCs w:val="36"/>
          <w:lang w:eastAsia="zh-CN"/>
        </w:rPr>
      </w:pPr>
    </w:p>
    <w:p w14:paraId="0699B318">
      <w:pPr>
        <w:pStyle w:val="12"/>
        <w:numPr>
          <w:ilvl w:val="0"/>
          <w:numId w:val="0"/>
        </w:numPr>
        <w:pBdr>
          <w:top w:val="none" w:color="auto" w:sz="0" w:space="0"/>
          <w:left w:val="none" w:color="auto" w:sz="0" w:space="0"/>
          <w:bottom w:val="none" w:color="auto" w:sz="0" w:space="0"/>
          <w:right w:val="none" w:color="auto" w:sz="0" w:space="0"/>
          <w:between w:val="none" w:color="auto" w:sz="0" w:space="0"/>
        </w:pBdr>
        <w:kinsoku w:val="0"/>
        <w:overflowPunct w:val="0"/>
        <w:spacing w:before="34" w:line="440" w:lineRule="exact"/>
        <w:ind w:left="480" w:right="126"/>
        <w:jc w:val="center"/>
        <w:rPr>
          <w:rFonts w:hint="eastAsia" w:asciiTheme="minorEastAsia" w:hAnsiTheme="minorEastAsia" w:eastAsiaTheme="minorEastAsia" w:cstheme="minorEastAsia"/>
          <w:b/>
          <w:bCs/>
          <w:color w:val="auto"/>
          <w:sz w:val="36"/>
          <w:szCs w:val="36"/>
          <w:lang w:eastAsia="zh-CN"/>
        </w:rPr>
      </w:pPr>
    </w:p>
    <w:p w14:paraId="517862DB">
      <w:pPr>
        <w:pStyle w:val="12"/>
        <w:numPr>
          <w:ilvl w:val="0"/>
          <w:numId w:val="0"/>
        </w:numPr>
        <w:pBdr>
          <w:top w:val="none" w:color="auto" w:sz="0" w:space="0"/>
          <w:left w:val="none" w:color="auto" w:sz="0" w:space="0"/>
          <w:bottom w:val="none" w:color="auto" w:sz="0" w:space="0"/>
          <w:right w:val="none" w:color="auto" w:sz="0" w:space="0"/>
          <w:between w:val="none" w:color="auto" w:sz="0" w:space="0"/>
        </w:pBdr>
        <w:kinsoku w:val="0"/>
        <w:overflowPunct w:val="0"/>
        <w:spacing w:before="34" w:line="440" w:lineRule="exact"/>
        <w:ind w:left="480" w:right="126"/>
        <w:jc w:val="center"/>
        <w:rPr>
          <w:rFonts w:hint="eastAsia" w:asciiTheme="minorEastAsia" w:hAnsiTheme="minorEastAsia" w:eastAsiaTheme="minorEastAsia" w:cstheme="minorEastAsia"/>
          <w:b/>
          <w:bCs/>
          <w:color w:val="auto"/>
          <w:sz w:val="36"/>
          <w:szCs w:val="36"/>
          <w:lang w:eastAsia="zh-CN"/>
        </w:rPr>
      </w:pPr>
    </w:p>
    <w:p w14:paraId="12753BCF">
      <w:pPr>
        <w:pStyle w:val="12"/>
        <w:numPr>
          <w:ilvl w:val="0"/>
          <w:numId w:val="0"/>
        </w:numPr>
        <w:pBdr>
          <w:top w:val="none" w:color="auto" w:sz="0" w:space="0"/>
          <w:left w:val="none" w:color="auto" w:sz="0" w:space="0"/>
          <w:bottom w:val="none" w:color="auto" w:sz="0" w:space="0"/>
          <w:right w:val="none" w:color="auto" w:sz="0" w:space="0"/>
          <w:between w:val="none" w:color="auto" w:sz="0" w:space="0"/>
        </w:pBdr>
        <w:kinsoku w:val="0"/>
        <w:overflowPunct w:val="0"/>
        <w:spacing w:before="34" w:line="440" w:lineRule="exact"/>
        <w:ind w:right="126"/>
        <w:jc w:val="both"/>
        <w:rPr>
          <w:rFonts w:hint="eastAsia" w:asciiTheme="minorEastAsia" w:hAnsiTheme="minorEastAsia" w:eastAsiaTheme="minorEastAsia" w:cstheme="minorEastAsia"/>
          <w:b/>
          <w:bCs/>
          <w:color w:val="auto"/>
          <w:sz w:val="36"/>
          <w:szCs w:val="36"/>
          <w:lang w:eastAsia="zh-CN"/>
        </w:rPr>
      </w:pPr>
    </w:p>
    <w:p w14:paraId="36843C48">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b/>
          <w:bCs/>
          <w:color w:val="auto"/>
          <w:sz w:val="36"/>
          <w:szCs w:val="36"/>
          <w:lang w:eastAsia="zh-CN"/>
        </w:rPr>
      </w:pPr>
    </w:p>
    <w:p w14:paraId="0A0965F5">
      <w:pPr>
        <w:pStyle w:val="34"/>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b/>
          <w:bCs/>
          <w:color w:val="auto"/>
          <w:sz w:val="36"/>
          <w:szCs w:val="36"/>
          <w:lang w:eastAsia="zh-CN"/>
        </w:rPr>
      </w:pPr>
    </w:p>
    <w:p w14:paraId="25992CA4">
      <w:pPr>
        <w:pStyle w:val="34"/>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b/>
          <w:bCs/>
          <w:color w:val="auto"/>
          <w:sz w:val="36"/>
          <w:szCs w:val="36"/>
          <w:lang w:eastAsia="zh-CN"/>
        </w:rPr>
      </w:pPr>
    </w:p>
    <w:p w14:paraId="005251BE">
      <w:pPr>
        <w:pStyle w:val="34"/>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b/>
          <w:bCs/>
          <w:color w:val="auto"/>
          <w:sz w:val="36"/>
          <w:szCs w:val="36"/>
          <w:lang w:eastAsia="zh-CN"/>
        </w:rPr>
      </w:pPr>
    </w:p>
    <w:p w14:paraId="7116A868">
      <w:pPr>
        <w:pStyle w:val="34"/>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b/>
          <w:bCs/>
          <w:color w:val="auto"/>
          <w:sz w:val="36"/>
          <w:szCs w:val="36"/>
          <w:lang w:eastAsia="zh-CN"/>
        </w:rPr>
      </w:pPr>
    </w:p>
    <w:p w14:paraId="0D479B71">
      <w:pPr>
        <w:pStyle w:val="34"/>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b/>
          <w:bCs/>
          <w:color w:val="auto"/>
          <w:sz w:val="36"/>
          <w:szCs w:val="36"/>
          <w:lang w:eastAsia="zh-CN"/>
        </w:rPr>
      </w:pPr>
    </w:p>
    <w:p w14:paraId="0F22F115">
      <w:pPr>
        <w:pStyle w:val="34"/>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b/>
          <w:bCs/>
          <w:color w:val="auto"/>
          <w:sz w:val="36"/>
          <w:szCs w:val="36"/>
          <w:lang w:eastAsia="zh-CN"/>
        </w:rPr>
      </w:pPr>
    </w:p>
    <w:p w14:paraId="4A875A7E">
      <w:pPr>
        <w:pStyle w:val="34"/>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b/>
          <w:bCs/>
          <w:color w:val="auto"/>
          <w:sz w:val="36"/>
          <w:szCs w:val="36"/>
          <w:lang w:eastAsia="zh-CN"/>
        </w:rPr>
      </w:pPr>
    </w:p>
    <w:p w14:paraId="45A75F87">
      <w:pPr>
        <w:pStyle w:val="34"/>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b/>
          <w:bCs/>
          <w:color w:val="auto"/>
          <w:sz w:val="36"/>
          <w:szCs w:val="36"/>
          <w:lang w:eastAsia="zh-CN"/>
        </w:rPr>
      </w:pPr>
    </w:p>
    <w:p w14:paraId="41088A05">
      <w:pPr>
        <w:pStyle w:val="34"/>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b/>
          <w:bCs/>
          <w:color w:val="auto"/>
          <w:sz w:val="36"/>
          <w:szCs w:val="36"/>
          <w:lang w:eastAsia="zh-CN"/>
        </w:rPr>
      </w:pPr>
    </w:p>
    <w:p w14:paraId="7FA3C2B2">
      <w:pPr>
        <w:pStyle w:val="34"/>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b/>
          <w:bCs/>
          <w:color w:val="auto"/>
          <w:sz w:val="36"/>
          <w:szCs w:val="36"/>
          <w:lang w:eastAsia="zh-CN"/>
        </w:rPr>
      </w:pPr>
    </w:p>
    <w:p w14:paraId="4871218C">
      <w:pPr>
        <w:pStyle w:val="34"/>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b/>
          <w:bCs/>
          <w:color w:val="auto"/>
          <w:sz w:val="36"/>
          <w:szCs w:val="36"/>
          <w:lang w:eastAsia="zh-CN"/>
        </w:rPr>
      </w:pPr>
    </w:p>
    <w:p w14:paraId="3720CD81">
      <w:pPr>
        <w:pStyle w:val="34"/>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b/>
          <w:bCs/>
          <w:color w:val="auto"/>
          <w:sz w:val="36"/>
          <w:szCs w:val="36"/>
          <w:lang w:eastAsia="zh-CN"/>
        </w:rPr>
      </w:pPr>
    </w:p>
    <w:p w14:paraId="3FCF8FEE">
      <w:pPr>
        <w:pStyle w:val="34"/>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b/>
          <w:bCs/>
          <w:color w:val="auto"/>
          <w:sz w:val="36"/>
          <w:szCs w:val="36"/>
          <w:lang w:eastAsia="zh-CN"/>
        </w:rPr>
      </w:pPr>
    </w:p>
    <w:p w14:paraId="4B54FB1F">
      <w:pPr>
        <w:pStyle w:val="34"/>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b/>
          <w:bCs/>
          <w:color w:val="auto"/>
          <w:sz w:val="36"/>
          <w:szCs w:val="36"/>
          <w:lang w:eastAsia="zh-CN"/>
        </w:rPr>
      </w:pPr>
    </w:p>
    <w:p w14:paraId="007898F2">
      <w:pPr>
        <w:pStyle w:val="34"/>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b/>
          <w:bCs/>
          <w:color w:val="auto"/>
          <w:sz w:val="36"/>
          <w:szCs w:val="36"/>
          <w:lang w:eastAsia="zh-CN"/>
        </w:rPr>
      </w:pPr>
    </w:p>
    <w:p w14:paraId="726E6924">
      <w:pPr>
        <w:pStyle w:val="34"/>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b/>
          <w:bCs/>
          <w:color w:val="auto"/>
          <w:sz w:val="36"/>
          <w:szCs w:val="36"/>
          <w:lang w:eastAsia="zh-CN"/>
        </w:rPr>
      </w:pPr>
    </w:p>
    <w:p w14:paraId="5CA1BBD6">
      <w:pPr>
        <w:pStyle w:val="34"/>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b/>
          <w:bCs/>
          <w:color w:val="auto"/>
          <w:sz w:val="36"/>
          <w:szCs w:val="36"/>
          <w:lang w:eastAsia="zh-CN"/>
        </w:rPr>
      </w:pPr>
    </w:p>
    <w:p w14:paraId="26C2251C">
      <w:pPr>
        <w:pStyle w:val="12"/>
        <w:numPr>
          <w:ilvl w:val="0"/>
          <w:numId w:val="0"/>
        </w:numPr>
        <w:pBdr>
          <w:top w:val="none" w:color="auto" w:sz="0" w:space="0"/>
          <w:left w:val="none" w:color="auto" w:sz="0" w:space="0"/>
          <w:bottom w:val="none" w:color="auto" w:sz="0" w:space="0"/>
          <w:right w:val="none" w:color="auto" w:sz="0" w:space="0"/>
          <w:between w:val="none" w:color="auto" w:sz="0" w:space="0"/>
        </w:pBdr>
        <w:kinsoku w:val="0"/>
        <w:overflowPunct w:val="0"/>
        <w:spacing w:before="34" w:line="440" w:lineRule="exact"/>
        <w:ind w:right="126"/>
        <w:jc w:val="center"/>
        <w:outlineLvl w:val="1"/>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b/>
          <w:bCs/>
          <w:color w:val="auto"/>
          <w:sz w:val="28"/>
          <w:szCs w:val="28"/>
          <w:lang w:eastAsia="zh-CN"/>
        </w:rPr>
        <w:t>2、法定代表人资格证明书</w:t>
      </w:r>
    </w:p>
    <w:p w14:paraId="01166843">
      <w:pPr>
        <w:pBdr>
          <w:top w:val="none" w:color="auto" w:sz="0" w:space="0"/>
          <w:left w:val="none" w:color="auto" w:sz="0" w:space="0"/>
          <w:bottom w:val="none" w:color="auto" w:sz="0" w:space="0"/>
          <w:right w:val="none" w:color="auto" w:sz="0" w:space="0"/>
          <w:between w:val="none" w:color="auto" w:sz="0" w:space="0"/>
        </w:pBdr>
        <w:spacing w:line="420" w:lineRule="exact"/>
        <w:ind w:firstLine="480" w:firstLineChars="200"/>
        <w:rPr>
          <w:rFonts w:hint="eastAsia" w:asciiTheme="minorEastAsia" w:hAnsiTheme="minorEastAsia" w:eastAsiaTheme="minorEastAsia" w:cstheme="minorEastAsia"/>
          <w:color w:val="auto"/>
          <w:u w:val="single"/>
          <w:lang w:eastAsia="zh-CN"/>
        </w:rPr>
      </w:pPr>
      <w:r>
        <w:rPr>
          <w:rFonts w:hint="eastAsia" w:asciiTheme="minorEastAsia" w:hAnsiTheme="minorEastAsia" w:eastAsiaTheme="minorEastAsia" w:cstheme="minorEastAsia"/>
          <w:color w:val="auto"/>
          <w:lang w:eastAsia="zh-CN"/>
        </w:rPr>
        <w:t>投标单位名称：</w:t>
      </w:r>
      <w:r>
        <w:rPr>
          <w:rFonts w:hint="eastAsia" w:asciiTheme="minorEastAsia" w:hAnsiTheme="minorEastAsia" w:eastAsiaTheme="minorEastAsia" w:cstheme="minorEastAsia"/>
          <w:color w:val="auto"/>
          <w:u w:val="single"/>
          <w:lang w:eastAsia="zh-CN"/>
        </w:rPr>
        <w:t xml:space="preserve">                       </w:t>
      </w:r>
    </w:p>
    <w:p w14:paraId="53AA7196">
      <w:pPr>
        <w:pBdr>
          <w:top w:val="none" w:color="auto" w:sz="0" w:space="0"/>
          <w:left w:val="none" w:color="auto" w:sz="0" w:space="0"/>
          <w:bottom w:val="none" w:color="auto" w:sz="0" w:space="0"/>
          <w:right w:val="none" w:color="auto" w:sz="0" w:space="0"/>
          <w:between w:val="none" w:color="auto" w:sz="0" w:space="0"/>
        </w:pBdr>
        <w:spacing w:line="420" w:lineRule="exact"/>
        <w:ind w:firstLine="480" w:firstLineChars="200"/>
        <w:rPr>
          <w:rFonts w:hint="eastAsia" w:asciiTheme="minorEastAsia" w:hAnsiTheme="minorEastAsia" w:eastAsiaTheme="minorEastAsia" w:cstheme="minorEastAsia"/>
          <w:color w:val="auto"/>
          <w:u w:val="single"/>
          <w:lang w:eastAsia="zh-CN"/>
        </w:rPr>
      </w:pPr>
      <w:r>
        <w:rPr>
          <w:rFonts w:hint="eastAsia" w:asciiTheme="minorEastAsia" w:hAnsiTheme="minorEastAsia" w:eastAsiaTheme="minorEastAsia" w:cstheme="minorEastAsia"/>
          <w:color w:val="auto"/>
          <w:lang w:eastAsia="zh-CN"/>
        </w:rPr>
        <w:t>单位性质：</w:t>
      </w:r>
      <w:r>
        <w:rPr>
          <w:rFonts w:hint="eastAsia" w:asciiTheme="minorEastAsia" w:hAnsiTheme="minorEastAsia" w:eastAsiaTheme="minorEastAsia" w:cstheme="minorEastAsia"/>
          <w:color w:val="auto"/>
          <w:u w:val="single"/>
          <w:lang w:eastAsia="zh-CN"/>
        </w:rPr>
        <w:t xml:space="preserve">                           </w:t>
      </w:r>
    </w:p>
    <w:p w14:paraId="4CD45784">
      <w:pPr>
        <w:pBdr>
          <w:top w:val="none" w:color="auto" w:sz="0" w:space="0"/>
          <w:left w:val="none" w:color="auto" w:sz="0" w:space="0"/>
          <w:bottom w:val="none" w:color="auto" w:sz="0" w:space="0"/>
          <w:right w:val="none" w:color="auto" w:sz="0" w:space="0"/>
          <w:between w:val="none" w:color="auto" w:sz="0" w:space="0"/>
        </w:pBdr>
        <w:spacing w:line="420" w:lineRule="exact"/>
        <w:ind w:firstLine="480" w:firstLineChars="200"/>
        <w:rPr>
          <w:rFonts w:hint="eastAsia" w:asciiTheme="minorEastAsia" w:hAnsiTheme="minorEastAsia" w:eastAsiaTheme="minorEastAsia" w:cstheme="minorEastAsia"/>
          <w:color w:val="auto"/>
          <w:u w:val="single"/>
          <w:lang w:eastAsia="zh-CN"/>
        </w:rPr>
      </w:pPr>
      <w:r>
        <w:rPr>
          <w:rFonts w:hint="eastAsia" w:asciiTheme="minorEastAsia" w:hAnsiTheme="minorEastAsia" w:eastAsiaTheme="minorEastAsia" w:cstheme="minorEastAsia"/>
          <w:color w:val="auto"/>
          <w:lang w:eastAsia="zh-CN"/>
        </w:rPr>
        <w:t>地址：</w:t>
      </w:r>
      <w:r>
        <w:rPr>
          <w:rFonts w:hint="eastAsia" w:asciiTheme="minorEastAsia" w:hAnsiTheme="minorEastAsia" w:eastAsiaTheme="minorEastAsia" w:cstheme="minorEastAsia"/>
          <w:color w:val="auto"/>
          <w:u w:val="single"/>
          <w:lang w:eastAsia="zh-CN"/>
        </w:rPr>
        <w:t xml:space="preserve">                               </w:t>
      </w:r>
    </w:p>
    <w:p w14:paraId="092E47F6">
      <w:pPr>
        <w:pBdr>
          <w:top w:val="none" w:color="auto" w:sz="0" w:space="0"/>
          <w:left w:val="none" w:color="auto" w:sz="0" w:space="0"/>
          <w:bottom w:val="none" w:color="auto" w:sz="0" w:space="0"/>
          <w:right w:val="none" w:color="auto" w:sz="0" w:space="0"/>
          <w:between w:val="none" w:color="auto" w:sz="0" w:space="0"/>
        </w:pBdr>
        <w:spacing w:line="420" w:lineRule="exact"/>
        <w:ind w:firstLine="48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成立时间：</w:t>
      </w:r>
      <w:r>
        <w:rPr>
          <w:rFonts w:hint="eastAsia" w:asciiTheme="minorEastAsia" w:hAnsiTheme="minorEastAsia" w:eastAsiaTheme="minorEastAsia" w:cstheme="minorEastAsia"/>
          <w:color w:val="auto"/>
          <w:u w:val="single"/>
          <w:lang w:eastAsia="zh-CN"/>
        </w:rPr>
        <w:t xml:space="preserve">      </w:t>
      </w:r>
      <w:r>
        <w:rPr>
          <w:rFonts w:hint="eastAsia" w:asciiTheme="minorEastAsia" w:hAnsiTheme="minorEastAsia" w:eastAsiaTheme="minorEastAsia" w:cstheme="minorEastAsia"/>
          <w:color w:val="auto"/>
          <w:lang w:eastAsia="zh-CN"/>
        </w:rPr>
        <w:t>年</w:t>
      </w:r>
      <w:r>
        <w:rPr>
          <w:rFonts w:hint="eastAsia" w:asciiTheme="minorEastAsia" w:hAnsiTheme="minorEastAsia" w:eastAsiaTheme="minorEastAsia" w:cstheme="minorEastAsia"/>
          <w:color w:val="auto"/>
          <w:u w:val="single"/>
          <w:lang w:eastAsia="zh-CN"/>
        </w:rPr>
        <w:t xml:space="preserve">     </w:t>
      </w:r>
      <w:r>
        <w:rPr>
          <w:rFonts w:hint="eastAsia" w:asciiTheme="minorEastAsia" w:hAnsiTheme="minorEastAsia" w:eastAsiaTheme="minorEastAsia" w:cstheme="minorEastAsia"/>
          <w:color w:val="auto"/>
          <w:lang w:eastAsia="zh-CN"/>
        </w:rPr>
        <w:t>月</w:t>
      </w:r>
      <w:r>
        <w:rPr>
          <w:rFonts w:hint="eastAsia" w:asciiTheme="minorEastAsia" w:hAnsiTheme="minorEastAsia" w:eastAsiaTheme="minorEastAsia" w:cstheme="minorEastAsia"/>
          <w:color w:val="auto"/>
          <w:u w:val="single"/>
          <w:lang w:eastAsia="zh-CN"/>
        </w:rPr>
        <w:t xml:space="preserve">     </w:t>
      </w:r>
      <w:r>
        <w:rPr>
          <w:rFonts w:hint="eastAsia" w:asciiTheme="minorEastAsia" w:hAnsiTheme="minorEastAsia" w:eastAsiaTheme="minorEastAsia" w:cstheme="minorEastAsia"/>
          <w:color w:val="auto"/>
          <w:lang w:eastAsia="zh-CN"/>
        </w:rPr>
        <w:t>日</w:t>
      </w:r>
    </w:p>
    <w:p w14:paraId="4F8B5626">
      <w:pPr>
        <w:pBdr>
          <w:top w:val="none" w:color="auto" w:sz="0" w:space="0"/>
          <w:left w:val="none" w:color="auto" w:sz="0" w:space="0"/>
          <w:bottom w:val="none" w:color="auto" w:sz="0" w:space="0"/>
          <w:right w:val="none" w:color="auto" w:sz="0" w:space="0"/>
          <w:between w:val="none" w:color="auto" w:sz="0" w:space="0"/>
        </w:pBdr>
        <w:spacing w:line="420" w:lineRule="exact"/>
        <w:ind w:firstLine="480" w:firstLineChars="200"/>
        <w:rPr>
          <w:rFonts w:hint="eastAsia" w:asciiTheme="minorEastAsia" w:hAnsiTheme="minorEastAsia" w:eastAsiaTheme="minorEastAsia" w:cstheme="minorEastAsia"/>
          <w:color w:val="auto"/>
          <w:u w:val="single"/>
          <w:lang w:eastAsia="zh-CN"/>
        </w:rPr>
      </w:pPr>
      <w:r>
        <w:rPr>
          <w:rFonts w:hint="eastAsia" w:asciiTheme="minorEastAsia" w:hAnsiTheme="minorEastAsia" w:eastAsiaTheme="minorEastAsia" w:cstheme="minorEastAsia"/>
          <w:color w:val="auto"/>
          <w:lang w:eastAsia="zh-CN"/>
        </w:rPr>
        <w:t>经营期限：</w:t>
      </w:r>
      <w:r>
        <w:rPr>
          <w:rFonts w:hint="eastAsia" w:asciiTheme="minorEastAsia" w:hAnsiTheme="minorEastAsia" w:eastAsiaTheme="minorEastAsia" w:cstheme="minorEastAsia"/>
          <w:color w:val="auto"/>
          <w:u w:val="single"/>
          <w:lang w:eastAsia="zh-CN"/>
        </w:rPr>
        <w:t xml:space="preserve">             </w:t>
      </w:r>
    </w:p>
    <w:p w14:paraId="2F74C8F8">
      <w:pPr>
        <w:pBdr>
          <w:top w:val="none" w:color="auto" w:sz="0" w:space="0"/>
          <w:left w:val="none" w:color="auto" w:sz="0" w:space="0"/>
          <w:bottom w:val="none" w:color="auto" w:sz="0" w:space="0"/>
          <w:right w:val="none" w:color="auto" w:sz="0" w:space="0"/>
          <w:between w:val="none" w:color="auto" w:sz="0" w:space="0"/>
        </w:pBdr>
        <w:spacing w:line="420" w:lineRule="exact"/>
        <w:ind w:firstLine="480" w:firstLineChars="200"/>
        <w:rPr>
          <w:rFonts w:hint="eastAsia" w:asciiTheme="minorEastAsia" w:hAnsiTheme="minorEastAsia" w:eastAsiaTheme="minorEastAsia" w:cstheme="minorEastAsia"/>
          <w:color w:val="auto"/>
          <w:u w:val="single"/>
          <w:lang w:eastAsia="zh-CN"/>
        </w:rPr>
      </w:pPr>
      <w:r>
        <w:rPr>
          <w:rFonts w:hint="eastAsia" w:asciiTheme="minorEastAsia" w:hAnsiTheme="minorEastAsia" w:eastAsiaTheme="minorEastAsia" w:cstheme="minorEastAsia"/>
          <w:color w:val="auto"/>
          <w:lang w:eastAsia="zh-CN"/>
        </w:rPr>
        <w:t>姓名：</w:t>
      </w:r>
      <w:r>
        <w:rPr>
          <w:rFonts w:hint="eastAsia" w:asciiTheme="minorEastAsia" w:hAnsiTheme="minorEastAsia" w:eastAsiaTheme="minorEastAsia" w:cstheme="minorEastAsia"/>
          <w:color w:val="auto"/>
          <w:u w:val="single"/>
          <w:lang w:eastAsia="zh-CN"/>
        </w:rPr>
        <w:t xml:space="preserve">            </w:t>
      </w:r>
      <w:r>
        <w:rPr>
          <w:rFonts w:hint="eastAsia" w:asciiTheme="minorEastAsia" w:hAnsiTheme="minorEastAsia" w:eastAsiaTheme="minorEastAsia" w:cstheme="minorEastAsia"/>
          <w:color w:val="auto"/>
          <w:lang w:eastAsia="zh-CN"/>
        </w:rPr>
        <w:t xml:space="preserve"> 性别：</w:t>
      </w:r>
      <w:r>
        <w:rPr>
          <w:rFonts w:hint="eastAsia" w:asciiTheme="minorEastAsia" w:hAnsiTheme="minorEastAsia" w:eastAsiaTheme="minorEastAsia" w:cstheme="minorEastAsia"/>
          <w:color w:val="auto"/>
          <w:u w:val="single"/>
          <w:lang w:eastAsia="zh-CN"/>
        </w:rPr>
        <w:t xml:space="preserve">     </w:t>
      </w:r>
      <w:r>
        <w:rPr>
          <w:rFonts w:hint="eastAsia" w:asciiTheme="minorEastAsia" w:hAnsiTheme="minorEastAsia" w:eastAsiaTheme="minorEastAsia" w:cstheme="minorEastAsia"/>
          <w:color w:val="auto"/>
          <w:lang w:eastAsia="zh-CN"/>
        </w:rPr>
        <w:t xml:space="preserve"> 年龄：</w:t>
      </w:r>
      <w:r>
        <w:rPr>
          <w:rFonts w:hint="eastAsia" w:asciiTheme="minorEastAsia" w:hAnsiTheme="minorEastAsia" w:eastAsiaTheme="minorEastAsia" w:cstheme="minorEastAsia"/>
          <w:color w:val="auto"/>
          <w:u w:val="single"/>
          <w:lang w:eastAsia="zh-CN"/>
        </w:rPr>
        <w:t xml:space="preserve">          </w:t>
      </w:r>
      <w:r>
        <w:rPr>
          <w:rFonts w:hint="eastAsia" w:asciiTheme="minorEastAsia" w:hAnsiTheme="minorEastAsia" w:eastAsiaTheme="minorEastAsia" w:cstheme="minorEastAsia"/>
          <w:color w:val="auto"/>
          <w:lang w:eastAsia="zh-CN"/>
        </w:rPr>
        <w:t xml:space="preserve"> 职务：</w:t>
      </w:r>
      <w:r>
        <w:rPr>
          <w:rFonts w:hint="eastAsia" w:asciiTheme="minorEastAsia" w:hAnsiTheme="minorEastAsia" w:eastAsiaTheme="minorEastAsia" w:cstheme="minorEastAsia"/>
          <w:color w:val="auto"/>
          <w:u w:val="single"/>
          <w:lang w:eastAsia="zh-CN"/>
        </w:rPr>
        <w:t xml:space="preserve">           </w:t>
      </w:r>
    </w:p>
    <w:p w14:paraId="2E4EB1C7">
      <w:pPr>
        <w:pBdr>
          <w:top w:val="none" w:color="auto" w:sz="0" w:space="0"/>
          <w:left w:val="none" w:color="auto" w:sz="0" w:space="0"/>
          <w:bottom w:val="none" w:color="auto" w:sz="0" w:space="0"/>
          <w:right w:val="none" w:color="auto" w:sz="0" w:space="0"/>
          <w:between w:val="none" w:color="auto" w:sz="0" w:space="0"/>
        </w:pBdr>
        <w:spacing w:line="420" w:lineRule="exact"/>
        <w:ind w:firstLine="480" w:firstLineChars="200"/>
        <w:rPr>
          <w:rFonts w:hint="eastAsia" w:asciiTheme="minorEastAsia" w:hAnsiTheme="minorEastAsia" w:eastAsiaTheme="minorEastAsia" w:cstheme="minorEastAsia"/>
          <w:color w:val="auto"/>
          <w:u w:val="single"/>
          <w:lang w:eastAsia="zh-CN"/>
        </w:rPr>
      </w:pPr>
      <w:r>
        <w:rPr>
          <w:rFonts w:hint="eastAsia" w:asciiTheme="minorEastAsia" w:hAnsiTheme="minorEastAsia" w:eastAsiaTheme="minorEastAsia" w:cstheme="minorEastAsia"/>
          <w:color w:val="auto"/>
          <w:lang w:eastAsia="zh-CN"/>
        </w:rPr>
        <w:t>联系电话：</w:t>
      </w:r>
      <w:r>
        <w:rPr>
          <w:rFonts w:hint="eastAsia" w:asciiTheme="minorEastAsia" w:hAnsiTheme="minorEastAsia" w:eastAsiaTheme="minorEastAsia" w:cstheme="minorEastAsia"/>
          <w:color w:val="auto"/>
          <w:u w:val="single"/>
          <w:lang w:eastAsia="zh-CN"/>
        </w:rPr>
        <w:t xml:space="preserve">            </w:t>
      </w:r>
      <w:r>
        <w:rPr>
          <w:rFonts w:hint="eastAsia" w:asciiTheme="minorEastAsia" w:hAnsiTheme="minorEastAsia" w:eastAsiaTheme="minorEastAsia" w:cstheme="minorEastAsia"/>
          <w:color w:val="auto"/>
          <w:u w:val="single"/>
          <w:lang w:val="en-US" w:eastAsia="zh-CN"/>
        </w:rPr>
        <w:t xml:space="preserve">  </w:t>
      </w:r>
      <w:r>
        <w:rPr>
          <w:rFonts w:hint="eastAsia" w:asciiTheme="minorEastAsia" w:hAnsiTheme="minorEastAsia" w:eastAsiaTheme="minorEastAsia" w:cstheme="minorEastAsia"/>
          <w:color w:val="auto"/>
          <w:lang w:eastAsia="zh-CN"/>
        </w:rPr>
        <w:t>身份证号码：</w:t>
      </w:r>
      <w:r>
        <w:rPr>
          <w:rFonts w:hint="eastAsia" w:asciiTheme="minorEastAsia" w:hAnsiTheme="minorEastAsia" w:eastAsiaTheme="minorEastAsia" w:cstheme="minorEastAsia"/>
          <w:color w:val="auto"/>
          <w:u w:val="single"/>
          <w:lang w:eastAsia="zh-CN"/>
        </w:rPr>
        <w:t xml:space="preserve">                              </w:t>
      </w:r>
    </w:p>
    <w:p w14:paraId="1C06F769">
      <w:pPr>
        <w:pBdr>
          <w:top w:val="none" w:color="auto" w:sz="0" w:space="0"/>
          <w:left w:val="none" w:color="auto" w:sz="0" w:space="0"/>
          <w:bottom w:val="none" w:color="auto" w:sz="0" w:space="0"/>
          <w:right w:val="none" w:color="auto" w:sz="0" w:space="0"/>
          <w:between w:val="none" w:color="auto" w:sz="0" w:space="0"/>
        </w:pBdr>
        <w:spacing w:line="420" w:lineRule="exact"/>
        <w:ind w:firstLine="48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系</w:t>
      </w:r>
      <w:r>
        <w:rPr>
          <w:rFonts w:hint="eastAsia" w:asciiTheme="minorEastAsia" w:hAnsiTheme="minorEastAsia" w:eastAsiaTheme="minorEastAsia" w:cstheme="minorEastAsia"/>
          <w:color w:val="auto"/>
          <w:u w:val="single"/>
          <w:lang w:eastAsia="zh-CN"/>
        </w:rPr>
        <w:t xml:space="preserve">                            </w:t>
      </w:r>
      <w:r>
        <w:rPr>
          <w:rFonts w:hint="eastAsia" w:asciiTheme="minorEastAsia" w:hAnsiTheme="minorEastAsia" w:eastAsiaTheme="minorEastAsia" w:cstheme="minorEastAsia"/>
          <w:color w:val="auto"/>
          <w:lang w:eastAsia="zh-CN"/>
        </w:rPr>
        <w:t>（投标单位名称）的法定代表人。</w:t>
      </w:r>
    </w:p>
    <w:p w14:paraId="524E41FF">
      <w:pPr>
        <w:pBdr>
          <w:top w:val="none" w:color="auto" w:sz="0" w:space="0"/>
          <w:left w:val="none" w:color="auto" w:sz="0" w:space="0"/>
          <w:bottom w:val="none" w:color="auto" w:sz="0" w:space="0"/>
          <w:right w:val="none" w:color="auto" w:sz="0" w:space="0"/>
          <w:between w:val="none" w:color="auto" w:sz="0" w:space="0"/>
        </w:pBdr>
        <w:spacing w:line="420" w:lineRule="exact"/>
        <w:ind w:firstLine="960" w:firstLineChars="4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特此证明。</w:t>
      </w:r>
    </w:p>
    <w:p w14:paraId="1F46BF16">
      <w:pPr>
        <w:pStyle w:val="12"/>
        <w:numPr>
          <w:ilvl w:val="0"/>
          <w:numId w:val="0"/>
        </w:numPr>
        <w:pBdr>
          <w:top w:val="none" w:color="auto" w:sz="0" w:space="0"/>
          <w:left w:val="none" w:color="auto" w:sz="0" w:space="0"/>
          <w:bottom w:val="none" w:color="auto" w:sz="0" w:space="0"/>
          <w:right w:val="none" w:color="auto" w:sz="0" w:space="0"/>
          <w:between w:val="none" w:color="auto" w:sz="0" w:space="0"/>
        </w:pBdr>
        <w:kinsoku w:val="0"/>
        <w:overflowPunct w:val="0"/>
        <w:rPr>
          <w:rFonts w:hint="eastAsia" w:asciiTheme="minorEastAsia" w:hAnsiTheme="minorEastAsia" w:eastAsiaTheme="minorEastAsia" w:cstheme="minorEastAsia"/>
          <w:color w:val="auto"/>
          <w:sz w:val="20"/>
          <w:szCs w:val="20"/>
        </w:rPr>
      </w:pPr>
    </w:p>
    <w:p w14:paraId="781D7499">
      <w:pPr>
        <w:pStyle w:val="12"/>
        <w:numPr>
          <w:ilvl w:val="0"/>
          <w:numId w:val="0"/>
        </w:numPr>
        <w:pBdr>
          <w:top w:val="none" w:color="auto" w:sz="0" w:space="0"/>
          <w:left w:val="none" w:color="auto" w:sz="0" w:space="0"/>
          <w:bottom w:val="none" w:color="auto" w:sz="0" w:space="0"/>
          <w:right w:val="none" w:color="auto" w:sz="0" w:space="0"/>
          <w:between w:val="none" w:color="auto" w:sz="0" w:space="0"/>
        </w:pBdr>
        <w:kinsoku w:val="0"/>
        <w:overflowPunct w:val="0"/>
        <w:spacing w:before="7"/>
        <w:rPr>
          <w:rFonts w:hint="eastAsia" w:asciiTheme="minorEastAsia" w:hAnsiTheme="minorEastAsia" w:eastAsiaTheme="minorEastAsia" w:cstheme="minorEastAsia"/>
          <w:color w:val="auto"/>
          <w:sz w:val="25"/>
          <w:szCs w:val="25"/>
        </w:rPr>
      </w:pPr>
    </w:p>
    <w:p w14:paraId="1D0F07F9">
      <w:pPr>
        <w:pStyle w:val="12"/>
        <w:numPr>
          <w:ilvl w:val="0"/>
          <w:numId w:val="0"/>
        </w:numPr>
        <w:pBdr>
          <w:top w:val="none" w:color="auto" w:sz="0" w:space="0"/>
          <w:left w:val="none" w:color="auto" w:sz="0" w:space="0"/>
          <w:bottom w:val="none" w:color="auto" w:sz="0" w:space="0"/>
          <w:right w:val="none" w:color="auto" w:sz="0" w:space="0"/>
          <w:between w:val="none" w:color="auto" w:sz="0" w:space="0"/>
        </w:pBdr>
        <w:kinsoku w:val="0"/>
        <w:overflowPunct w:val="0"/>
        <w:spacing w:line="200" w:lineRule="atLeast"/>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mc:AlternateContent>
          <mc:Choice Requires="wpg">
            <w:drawing>
              <wp:inline distT="0" distB="0" distL="114300" distR="114300">
                <wp:extent cx="5136515" cy="1458595"/>
                <wp:effectExtent l="0" t="0" r="8255" b="9525"/>
                <wp:docPr id="34" name="组合 34"/>
                <wp:cNvGraphicFramePr/>
                <a:graphic xmlns:a="http://schemas.openxmlformats.org/drawingml/2006/main">
                  <a:graphicData uri="http://schemas.microsoft.com/office/word/2010/wordprocessingGroup">
                    <wpg:wgp>
                      <wpg:cNvGrpSpPr>
                        <a:grpSpLocks noRot="1"/>
                      </wpg:cNvGrpSpPr>
                      <wpg:grpSpPr>
                        <a:xfrm>
                          <a:off x="0" y="0"/>
                          <a:ext cx="5136515" cy="1458595"/>
                          <a:chOff x="0" y="0"/>
                          <a:chExt cx="8089" cy="2297"/>
                        </a:xfrm>
                      </wpg:grpSpPr>
                      <wps:wsp>
                        <wps:cNvPr id="14" name="任意多边形 14"/>
                        <wps:cNvSpPr/>
                        <wps:spPr>
                          <a:xfrm>
                            <a:off x="4" y="9"/>
                            <a:ext cx="8079" cy="20"/>
                          </a:xfrm>
                          <a:custGeom>
                            <a:avLst/>
                            <a:gdLst/>
                            <a:ahLst/>
                            <a:cxnLst/>
                            <a:rect l="0" t="0" r="0" b="0"/>
                            <a:pathLst>
                              <a:path w="8079" h="20">
                                <a:moveTo>
                                  <a:pt x="0" y="0"/>
                                </a:moveTo>
                                <a:lnTo>
                                  <a:pt x="8078" y="0"/>
                                </a:lnTo>
                              </a:path>
                            </a:pathLst>
                          </a:custGeom>
                          <a:noFill/>
                          <a:ln w="6096" cap="flat" cmpd="sng">
                            <a:solidFill>
                              <a:srgbClr val="000000"/>
                            </a:solidFill>
                            <a:prstDash val="solid"/>
                            <a:headEnd type="none" w="med" len="med"/>
                            <a:tailEnd type="none" w="med" len="med"/>
                          </a:ln>
                        </wps:spPr>
                        <wps:bodyPr upright="1"/>
                      </wps:wsp>
                      <wps:wsp>
                        <wps:cNvPr id="15" name="任意多边形 15"/>
                        <wps:cNvSpPr/>
                        <wps:spPr>
                          <a:xfrm>
                            <a:off x="24" y="28"/>
                            <a:ext cx="8041" cy="20"/>
                          </a:xfrm>
                          <a:custGeom>
                            <a:avLst/>
                            <a:gdLst/>
                            <a:ahLst/>
                            <a:cxnLst/>
                            <a:rect l="0" t="0" r="0" b="0"/>
                            <a:pathLst>
                              <a:path w="8041" h="20">
                                <a:moveTo>
                                  <a:pt x="0" y="0"/>
                                </a:moveTo>
                                <a:lnTo>
                                  <a:pt x="8040" y="0"/>
                                </a:lnTo>
                              </a:path>
                            </a:pathLst>
                          </a:custGeom>
                          <a:noFill/>
                          <a:ln w="6096" cap="flat" cmpd="sng">
                            <a:solidFill>
                              <a:srgbClr val="000000"/>
                            </a:solidFill>
                            <a:prstDash val="solid"/>
                            <a:headEnd type="none" w="med" len="med"/>
                            <a:tailEnd type="none" w="med" len="med"/>
                          </a:ln>
                        </wps:spPr>
                        <wps:bodyPr upright="1"/>
                      </wps:wsp>
                      <wps:wsp>
                        <wps:cNvPr id="16" name="任意多边形 16"/>
                        <wps:cNvSpPr/>
                        <wps:spPr>
                          <a:xfrm>
                            <a:off x="24" y="2267"/>
                            <a:ext cx="8041" cy="20"/>
                          </a:xfrm>
                          <a:custGeom>
                            <a:avLst/>
                            <a:gdLst/>
                            <a:ahLst/>
                            <a:cxnLst/>
                            <a:rect l="0" t="0" r="0" b="0"/>
                            <a:pathLst>
                              <a:path w="8041" h="20">
                                <a:moveTo>
                                  <a:pt x="0" y="0"/>
                                </a:moveTo>
                                <a:lnTo>
                                  <a:pt x="8040" y="0"/>
                                </a:lnTo>
                              </a:path>
                            </a:pathLst>
                          </a:custGeom>
                          <a:noFill/>
                          <a:ln w="6096" cap="flat" cmpd="sng">
                            <a:solidFill>
                              <a:srgbClr val="000000"/>
                            </a:solidFill>
                            <a:prstDash val="solid"/>
                            <a:headEnd type="none" w="med" len="med"/>
                            <a:tailEnd type="none" w="med" len="med"/>
                          </a:ln>
                        </wps:spPr>
                        <wps:bodyPr upright="1"/>
                      </wps:wsp>
                      <wps:wsp>
                        <wps:cNvPr id="17" name="任意多边形 17"/>
                        <wps:cNvSpPr/>
                        <wps:spPr>
                          <a:xfrm>
                            <a:off x="4" y="2286"/>
                            <a:ext cx="8079" cy="20"/>
                          </a:xfrm>
                          <a:custGeom>
                            <a:avLst/>
                            <a:gdLst/>
                            <a:ahLst/>
                            <a:cxnLst/>
                            <a:rect l="0" t="0" r="0" b="0"/>
                            <a:pathLst>
                              <a:path w="8079" h="20">
                                <a:moveTo>
                                  <a:pt x="0" y="0"/>
                                </a:moveTo>
                                <a:lnTo>
                                  <a:pt x="8078" y="0"/>
                                </a:lnTo>
                              </a:path>
                            </a:pathLst>
                          </a:custGeom>
                          <a:noFill/>
                          <a:ln w="6096" cap="flat" cmpd="sng">
                            <a:solidFill>
                              <a:srgbClr val="000000"/>
                            </a:solidFill>
                            <a:prstDash val="solid"/>
                            <a:headEnd type="none" w="med" len="med"/>
                            <a:tailEnd type="none" w="med" len="med"/>
                          </a:ln>
                        </wps:spPr>
                        <wps:bodyPr upright="1"/>
                      </wps:wsp>
                      <wps:wsp>
                        <wps:cNvPr id="19" name="任意多边形 19"/>
                        <wps:cNvSpPr/>
                        <wps:spPr>
                          <a:xfrm>
                            <a:off x="9" y="4"/>
                            <a:ext cx="20" cy="2287"/>
                          </a:xfrm>
                          <a:custGeom>
                            <a:avLst/>
                            <a:gdLst/>
                            <a:ahLst/>
                            <a:cxnLst/>
                            <a:rect l="0" t="0" r="0" b="0"/>
                            <a:pathLst>
                              <a:path w="20" h="2287">
                                <a:moveTo>
                                  <a:pt x="0" y="0"/>
                                </a:moveTo>
                                <a:lnTo>
                                  <a:pt x="0" y="2286"/>
                                </a:lnTo>
                              </a:path>
                            </a:pathLst>
                          </a:custGeom>
                          <a:noFill/>
                          <a:ln w="6096" cap="flat" cmpd="sng">
                            <a:solidFill>
                              <a:srgbClr val="000000"/>
                            </a:solidFill>
                            <a:prstDash val="solid"/>
                            <a:headEnd type="none" w="med" len="med"/>
                            <a:tailEnd type="none" w="med" len="med"/>
                          </a:ln>
                        </wps:spPr>
                        <wps:bodyPr upright="1"/>
                      </wps:wsp>
                      <wps:wsp>
                        <wps:cNvPr id="20" name="任意多边形 20"/>
                        <wps:cNvSpPr/>
                        <wps:spPr>
                          <a:xfrm>
                            <a:off x="28" y="24"/>
                            <a:ext cx="20" cy="2249"/>
                          </a:xfrm>
                          <a:custGeom>
                            <a:avLst/>
                            <a:gdLst/>
                            <a:ahLst/>
                            <a:cxnLst/>
                            <a:rect l="0" t="0" r="0" b="0"/>
                            <a:pathLst>
                              <a:path w="20" h="2249">
                                <a:moveTo>
                                  <a:pt x="0" y="0"/>
                                </a:moveTo>
                                <a:lnTo>
                                  <a:pt x="0" y="2248"/>
                                </a:lnTo>
                              </a:path>
                            </a:pathLst>
                          </a:custGeom>
                          <a:noFill/>
                          <a:ln w="6096" cap="flat" cmpd="sng">
                            <a:solidFill>
                              <a:srgbClr val="000000"/>
                            </a:solidFill>
                            <a:prstDash val="solid"/>
                            <a:headEnd type="none" w="med" len="med"/>
                            <a:tailEnd type="none" w="med" len="med"/>
                          </a:ln>
                        </wps:spPr>
                        <wps:bodyPr upright="1"/>
                      </wps:wsp>
                      <wps:wsp>
                        <wps:cNvPr id="21" name="任意多边形 21"/>
                        <wps:cNvSpPr/>
                        <wps:spPr>
                          <a:xfrm>
                            <a:off x="4034" y="24"/>
                            <a:ext cx="20" cy="2239"/>
                          </a:xfrm>
                          <a:custGeom>
                            <a:avLst/>
                            <a:gdLst/>
                            <a:ahLst/>
                            <a:cxnLst/>
                            <a:rect l="0" t="0" r="0" b="0"/>
                            <a:pathLst>
                              <a:path w="20" h="2239">
                                <a:moveTo>
                                  <a:pt x="0" y="0"/>
                                </a:moveTo>
                                <a:lnTo>
                                  <a:pt x="0" y="2238"/>
                                </a:lnTo>
                              </a:path>
                            </a:pathLst>
                          </a:custGeom>
                          <a:noFill/>
                          <a:ln w="6096" cap="flat" cmpd="sng">
                            <a:solidFill>
                              <a:srgbClr val="000000"/>
                            </a:solidFill>
                            <a:prstDash val="solid"/>
                            <a:headEnd type="none" w="med" len="med"/>
                            <a:tailEnd type="none" w="med" len="med"/>
                          </a:ln>
                        </wps:spPr>
                        <wps:bodyPr upright="1"/>
                      </wps:wsp>
                      <wps:wsp>
                        <wps:cNvPr id="22" name="任意多边形 22"/>
                        <wps:cNvSpPr/>
                        <wps:spPr>
                          <a:xfrm>
                            <a:off x="4053" y="24"/>
                            <a:ext cx="20" cy="2239"/>
                          </a:xfrm>
                          <a:custGeom>
                            <a:avLst/>
                            <a:gdLst/>
                            <a:ahLst/>
                            <a:cxnLst/>
                            <a:rect l="0" t="0" r="0" b="0"/>
                            <a:pathLst>
                              <a:path w="20" h="2239">
                                <a:moveTo>
                                  <a:pt x="0" y="0"/>
                                </a:moveTo>
                                <a:lnTo>
                                  <a:pt x="0" y="2238"/>
                                </a:lnTo>
                              </a:path>
                            </a:pathLst>
                          </a:custGeom>
                          <a:noFill/>
                          <a:ln w="6096" cap="flat" cmpd="sng">
                            <a:solidFill>
                              <a:srgbClr val="000000"/>
                            </a:solidFill>
                            <a:prstDash val="solid"/>
                            <a:headEnd type="none" w="med" len="med"/>
                            <a:tailEnd type="none" w="med" len="med"/>
                          </a:ln>
                        </wps:spPr>
                        <wps:bodyPr upright="1"/>
                      </wps:wsp>
                      <wps:wsp>
                        <wps:cNvPr id="23" name="任意多边形 23"/>
                        <wps:cNvSpPr/>
                        <wps:spPr>
                          <a:xfrm>
                            <a:off x="8059" y="33"/>
                            <a:ext cx="20" cy="2239"/>
                          </a:xfrm>
                          <a:custGeom>
                            <a:avLst/>
                            <a:gdLst/>
                            <a:ahLst/>
                            <a:cxnLst/>
                            <a:rect l="0" t="0" r="0" b="0"/>
                            <a:pathLst>
                              <a:path w="20" h="2239">
                                <a:moveTo>
                                  <a:pt x="0" y="0"/>
                                </a:moveTo>
                                <a:lnTo>
                                  <a:pt x="0" y="2238"/>
                                </a:lnTo>
                              </a:path>
                            </a:pathLst>
                          </a:custGeom>
                          <a:noFill/>
                          <a:ln w="6096" cap="flat" cmpd="sng">
                            <a:solidFill>
                              <a:srgbClr val="000000"/>
                            </a:solidFill>
                            <a:prstDash val="solid"/>
                            <a:headEnd type="none" w="med" len="med"/>
                            <a:tailEnd type="none" w="med" len="med"/>
                          </a:ln>
                        </wps:spPr>
                        <wps:bodyPr upright="1"/>
                      </wps:wsp>
                      <wps:wsp>
                        <wps:cNvPr id="24" name="任意多边形 24"/>
                        <wps:cNvSpPr/>
                        <wps:spPr>
                          <a:xfrm>
                            <a:off x="8078" y="14"/>
                            <a:ext cx="20" cy="2278"/>
                          </a:xfrm>
                          <a:custGeom>
                            <a:avLst/>
                            <a:gdLst/>
                            <a:ahLst/>
                            <a:cxnLst/>
                            <a:rect l="0" t="0" r="0" b="0"/>
                            <a:pathLst>
                              <a:path w="20" h="2278">
                                <a:moveTo>
                                  <a:pt x="0" y="0"/>
                                </a:moveTo>
                                <a:lnTo>
                                  <a:pt x="0" y="2277"/>
                                </a:lnTo>
                              </a:path>
                            </a:pathLst>
                          </a:custGeom>
                          <a:noFill/>
                          <a:ln w="6096" cap="flat" cmpd="sng">
                            <a:solidFill>
                              <a:srgbClr val="000000"/>
                            </a:solidFill>
                            <a:prstDash val="solid"/>
                            <a:headEnd type="none" w="med" len="med"/>
                            <a:tailEnd type="none" w="med" len="med"/>
                          </a:ln>
                        </wps:spPr>
                        <wps:bodyPr upright="1"/>
                      </wps:wsp>
                      <wps:wsp>
                        <wps:cNvPr id="27" name="文本框 27"/>
                        <wps:cNvSpPr txBox="1"/>
                        <wps:spPr>
                          <a:xfrm>
                            <a:off x="19" y="19"/>
                            <a:ext cx="4025" cy="2258"/>
                          </a:xfrm>
                          <a:prstGeom prst="rect">
                            <a:avLst/>
                          </a:prstGeom>
                          <a:noFill/>
                          <a:ln>
                            <a:noFill/>
                          </a:ln>
                        </wps:spPr>
                        <wps:txbx>
                          <w:txbxContent>
                            <w:p w14:paraId="76422D51">
                              <w:pPr>
                                <w:pStyle w:val="12"/>
                                <w:numPr>
                                  <w:ilvl w:val="0"/>
                                  <w:numId w:val="0"/>
                                </w:numPr>
                                <w:kinsoku w:val="0"/>
                                <w:overflowPunct w:val="0"/>
                                <w:spacing w:before="13"/>
                                <w:rPr>
                                  <w:sz w:val="28"/>
                                  <w:szCs w:val="28"/>
                                </w:rPr>
                              </w:pPr>
                            </w:p>
                            <w:p w14:paraId="63D160AE">
                              <w:pPr>
                                <w:pStyle w:val="12"/>
                                <w:numPr>
                                  <w:ilvl w:val="0"/>
                                  <w:numId w:val="0"/>
                                </w:numPr>
                                <w:kinsoku w:val="0"/>
                                <w:overflowPunct w:val="0"/>
                                <w:jc w:val="center"/>
                                <w:rPr>
                                  <w:lang w:eastAsia="zh-CN"/>
                                </w:rPr>
                              </w:pPr>
                              <w:r>
                                <w:rPr>
                                  <w:rFonts w:hint="eastAsia"/>
                                  <w:lang w:eastAsia="zh-CN"/>
                                </w:rPr>
                                <w:t>法定代表人身份证复印件（正面）</w:t>
                              </w:r>
                            </w:p>
                          </w:txbxContent>
                        </wps:txbx>
                        <wps:bodyPr lIns="0" tIns="0" rIns="0" bIns="0" upright="1"/>
                      </wps:wsp>
                      <wps:wsp>
                        <wps:cNvPr id="32" name="文本框 32"/>
                        <wps:cNvSpPr txBox="1"/>
                        <wps:spPr>
                          <a:xfrm>
                            <a:off x="4044" y="19"/>
                            <a:ext cx="4025" cy="2258"/>
                          </a:xfrm>
                          <a:prstGeom prst="rect">
                            <a:avLst/>
                          </a:prstGeom>
                          <a:noFill/>
                          <a:ln>
                            <a:noFill/>
                          </a:ln>
                        </wps:spPr>
                        <wps:txbx>
                          <w:txbxContent>
                            <w:p w14:paraId="52DEBACF">
                              <w:pPr>
                                <w:pStyle w:val="12"/>
                                <w:numPr>
                                  <w:ilvl w:val="0"/>
                                  <w:numId w:val="0"/>
                                </w:numPr>
                                <w:kinsoku w:val="0"/>
                                <w:overflowPunct w:val="0"/>
                                <w:spacing w:before="13"/>
                                <w:rPr>
                                  <w:sz w:val="28"/>
                                  <w:szCs w:val="28"/>
                                </w:rPr>
                              </w:pPr>
                            </w:p>
                            <w:p w14:paraId="45B16B0B">
                              <w:pPr>
                                <w:pStyle w:val="12"/>
                                <w:numPr>
                                  <w:ilvl w:val="0"/>
                                  <w:numId w:val="0"/>
                                </w:numPr>
                                <w:kinsoku w:val="0"/>
                                <w:overflowPunct w:val="0"/>
                                <w:jc w:val="center"/>
                                <w:rPr>
                                  <w:lang w:eastAsia="zh-CN"/>
                                </w:rPr>
                              </w:pPr>
                              <w:r>
                                <w:rPr>
                                  <w:rFonts w:hint="eastAsia"/>
                                  <w:lang w:eastAsia="zh-CN"/>
                                </w:rPr>
                                <w:t>法定代表人身份证复印件（反面）</w:t>
                              </w:r>
                            </w:p>
                          </w:txbxContent>
                        </wps:txbx>
                        <wps:bodyPr lIns="0" tIns="0" rIns="0" bIns="0" upright="1"/>
                      </wps:wsp>
                    </wpg:wgp>
                  </a:graphicData>
                </a:graphic>
              </wp:inline>
            </w:drawing>
          </mc:Choice>
          <mc:Fallback>
            <w:pict>
              <v:group id="_x0000_s1026" o:spid="_x0000_s1026" o:spt="203" style="height:114.85pt;width:404.45pt;" coordsize="8089,2297" o:gfxdata="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">
                <o:lock v:ext="edit" rotation="t" aspectratio="f"/>
                <v:shape id="_x0000_s1026" o:spid="_x0000_s1026" o:spt="100" style="position:absolute;left:4;top:9;height:20;width:8079;" filled="f" stroked="t" coordsize="8079,20" o:gfxdata="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niTFugAAANsA&#10;AAAPAAAAAAAAAAEAIAAAACIAAABkcnMvZG93bnJldi54bWxQSwECFAAUAAAACACHTuJAMy8FnjsA&#10;AAA5AAAAEAAAAAAAAAABACAAAAAJAQAAZHJzL3NoYXBleG1sLnhtbFBLBQYAAAAABgAGAFsBAACz&#10;AwAAAAA=&#10;" path="m0,0l8078,0e">
                  <v:fill on="f" focussize="0,0"/>
                  <v:stroke weight="0.48pt" color="#000000" joinstyle="round"/>
                  <v:imagedata o:title=""/>
                  <o:lock v:ext="edit" aspectratio="f"/>
                </v:shape>
                <v:shape id="_x0000_s1026" o:spid="_x0000_s1026" o:spt="100" style="position:absolute;left:24;top:28;height:20;width:8041;" filled="f" stroked="t" coordsize="8041,20" o:gfxdata="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7PROugAAANsA&#10;AAAPAAAAAAAAAAEAIAAAACIAAABkcnMvZG93bnJldi54bWxQSwECFAAUAAAACACHTuJAMy8FnjsA&#10;AAA5AAAAEAAAAAAAAAABACAAAAAJAQAAZHJzL3NoYXBleG1sLnhtbFBLBQYAAAAABgAGAFsBAACz&#10;AwAAAAA=&#10;" path="m0,0l8040,0e">
                  <v:fill on="f" focussize="0,0"/>
                  <v:stroke weight="0.48pt" color="#000000" joinstyle="round"/>
                  <v:imagedata o:title=""/>
                  <o:lock v:ext="edit" aspectratio="f"/>
                </v:shape>
                <v:shape id="_x0000_s1026" o:spid="_x0000_s1026" o:spt="100" style="position:absolute;left:24;top:2267;height:20;width:8041;" filled="f" stroked="t" coordsize="8041,20" o:gfxdata="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Pmo5ugAAANsA&#10;AAAPAAAAAAAAAAEAIAAAACIAAABkcnMvZG93bnJldi54bWxQSwECFAAUAAAACACHTuJAMy8FnjsA&#10;AAA5AAAAEAAAAAAAAAABACAAAAAJAQAAZHJzL3NoYXBleG1sLnhtbFBLBQYAAAAABgAGAFsBAACz&#10;AwAAAAA=&#10;" path="m0,0l8040,0e">
                  <v:fill on="f" focussize="0,0"/>
                  <v:stroke weight="0.48pt" color="#000000" joinstyle="round"/>
                  <v:imagedata o:title=""/>
                  <o:lock v:ext="edit" aspectratio="f"/>
                </v:shape>
                <v:shape id="_x0000_s1026" o:spid="_x0000_s1026" o:spt="100" style="position:absolute;left:4;top:2286;height:20;width:8079;" filled="f" stroked="t" coordsize="8079,20" o:gfxdata="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TLqyugAAANsA&#10;AAAPAAAAAAAAAAEAIAAAACIAAABkcnMvZG93bnJldi54bWxQSwECFAAUAAAACACHTuJAMy8FnjsA&#10;AAA5AAAAEAAAAAAAAAABACAAAAAJAQAAZHJzL3NoYXBleG1sLnhtbFBLBQYAAAAABgAGAFsBAACz&#10;AwAAAAA=&#10;" path="m0,0l8078,0e">
                  <v:fill on="f" focussize="0,0"/>
                  <v:stroke weight="0.48pt" color="#000000" joinstyle="round"/>
                  <v:imagedata o:title=""/>
                  <o:lock v:ext="edit" aspectratio="f"/>
                </v:shape>
                <v:shape id="_x0000_s1026" o:spid="_x0000_s1026" o:spt="100" style="position:absolute;left:9;top:4;height:2287;width:20;" filled="f" stroked="t" coordsize="20,2287" o:gfxdata="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EV/JugAAANsA&#10;AAAPAAAAAAAAAAEAIAAAACIAAABkcnMvZG93bnJldi54bWxQSwECFAAUAAAACACHTuJAMy8FnjsA&#10;AAA5AAAAEAAAAAAAAAABACAAAAAJAQAAZHJzL3NoYXBleG1sLnhtbFBLBQYAAAAABgAGAFsBAACz&#10;AwAAAAA=&#10;" path="m0,0l0,2286e">
                  <v:fill on="f" focussize="0,0"/>
                  <v:stroke weight="0.48pt" color="#000000" joinstyle="round"/>
                  <v:imagedata o:title=""/>
                  <o:lock v:ext="edit" aspectratio="f"/>
                </v:shape>
                <v:shape id="_x0000_s1026" o:spid="_x0000_s1026" o:spt="100" style="position:absolute;left:28;top:24;height:2249;width:20;" filled="f" stroked="t" coordsize="20,2249" o:gfxdata="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0FDO8AAAA&#10;2wAAAA8AAAAAAAAAAQAgAAAAIgAAAGRycy9kb3ducmV2LnhtbFBLAQIUABQAAAAIAIdO4kAzLwWe&#10;OwAAADkAAAAQAAAAAAAAAAEAIAAAAAsBAABkcnMvc2hhcGV4bWwueG1sUEsFBgAAAAAGAAYAWwEA&#10;ALUDAAAAAA==&#10;" path="m0,0l0,2248e">
                  <v:fill on="f" focussize="0,0"/>
                  <v:stroke weight="0.48pt" color="#000000" joinstyle="round"/>
                  <v:imagedata o:title=""/>
                  <o:lock v:ext="edit" aspectratio="f"/>
                </v:shape>
                <v:shape id="_x0000_s1026" o:spid="_x0000_s1026" o:spt="100" style="position:absolute;left:4034;top:24;height:2239;width:20;" filled="f" stroked="t" coordsize="20,2239" o:gfxdata="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M7irbsAAADb&#10;AAAADwAAAAAAAAABACAAAAAiAAAAZHJzL2Rvd25yZXYueG1sUEsBAhQAFAAAAAgAh07iQDMvBZ47&#10;AAAAOQAAABAAAAAAAAAAAQAgAAAACgEAAGRycy9zaGFwZXhtbC54bWxQSwUGAAAAAAYABgBbAQAA&#10;tAMAAAAA&#10;" path="m0,0l0,2238e">
                  <v:fill on="f" focussize="0,0"/>
                  <v:stroke weight="0.48pt" color="#000000" joinstyle="round"/>
                  <v:imagedata o:title=""/>
                  <o:lock v:ext="edit" aspectratio="f"/>
                </v:shape>
                <v:shape id="_x0000_s1026" o:spid="_x0000_s1026" o:spt="100" style="position:absolute;left:4053;top:24;height:2239;width:20;" filled="f" stroked="t" coordsize="20,2239" o:gfxdata="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Bx82rsAAADb&#10;AAAADwAAAAAAAAABACAAAAAiAAAAZHJzL2Rvd25yZXYueG1sUEsBAhQAFAAAAAgAh07iQDMvBZ47&#10;AAAAOQAAABAAAAAAAAAAAQAgAAAACgEAAGRycy9zaGFwZXhtbC54bWxQSwUGAAAAAAYABgBbAQAA&#10;tAMAAAAA&#10;" path="m0,0l0,2238e">
                  <v:fill on="f" focussize="0,0"/>
                  <v:stroke weight="0.48pt" color="#000000" joinstyle="round"/>
                  <v:imagedata o:title=""/>
                  <o:lock v:ext="edit" aspectratio="f"/>
                </v:shape>
                <v:shape id="_x0000_s1026" o:spid="_x0000_s1026" o:spt="100" style="position:absolute;left:8059;top:33;height:2239;width:20;" filled="f" stroked="t" coordsize="20,2239" o:gfxdata="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tQ2UG5AAAA2wAA&#10;AA8AAAAAAAAAAQAgAAAAIgAAAGRycy9kb3ducmV2LnhtbFBLAQIUABQAAAAIAIdO4kAzLwWeOwAA&#10;ADkAAAAQAAAAAAAAAAEAIAAAAAgBAABkcnMvc2hhcGV4bWwueG1sUEsFBgAAAAAGAAYAWwEAALID&#10;AAAAAA==&#10;" path="m0,0l0,2238e">
                  <v:fill on="f" focussize="0,0"/>
                  <v:stroke weight="0.48pt" color="#000000" joinstyle="round"/>
                  <v:imagedata o:title=""/>
                  <o:lock v:ext="edit" aspectratio="f"/>
                </v:shape>
                <v:shape id="_x0000_s1026" o:spid="_x0000_s1026" o:spt="100" style="position:absolute;left:8078;top:14;height:2278;width:20;" filled="f" stroked="t" coordsize="20,2278" o:gfxdata="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B+w7vQAA&#10;ANsAAAAPAAAAAAAAAAEAIAAAACIAAABkcnMvZG93bnJldi54bWxQSwECFAAUAAAACACHTuJAMy8F&#10;njsAAAA5AAAAEAAAAAAAAAABACAAAAAMAQAAZHJzL3NoYXBleG1sLnhtbFBLBQYAAAAABgAGAFsB&#10;AAC2AwAAAAA=&#10;" path="m0,0l0,2277e">
                  <v:fill on="f" focussize="0,0"/>
                  <v:stroke weight="0.48pt" color="#000000" joinstyle="round"/>
                  <v:imagedata o:title=""/>
                  <o:lock v:ext="edit" aspectratio="f"/>
                </v:shape>
                <v:shape id="_x0000_s1026" o:spid="_x0000_s1026" o:spt="202" type="#_x0000_t202" style="position:absolute;left:19;top:19;height:2258;width:4025;" filled="f" stroked="f" coordsize="21600,21600" o:gfxdata="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j6Nx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6422D51">
                        <w:pPr>
                          <w:pStyle w:val="12"/>
                          <w:numPr>
                            <w:ilvl w:val="0"/>
                            <w:numId w:val="0"/>
                          </w:numPr>
                          <w:kinsoku w:val="0"/>
                          <w:overflowPunct w:val="0"/>
                          <w:spacing w:before="13"/>
                          <w:rPr>
                            <w:sz w:val="28"/>
                            <w:szCs w:val="28"/>
                          </w:rPr>
                        </w:pPr>
                      </w:p>
                      <w:p w14:paraId="63D160AE">
                        <w:pPr>
                          <w:pStyle w:val="12"/>
                          <w:numPr>
                            <w:ilvl w:val="0"/>
                            <w:numId w:val="0"/>
                          </w:numPr>
                          <w:kinsoku w:val="0"/>
                          <w:overflowPunct w:val="0"/>
                          <w:jc w:val="center"/>
                          <w:rPr>
                            <w:lang w:eastAsia="zh-CN"/>
                          </w:rPr>
                        </w:pPr>
                        <w:r>
                          <w:rPr>
                            <w:rFonts w:hint="eastAsia"/>
                            <w:lang w:eastAsia="zh-CN"/>
                          </w:rPr>
                          <w:t>法定代表人身份证复印件（正面）</w:t>
                        </w:r>
                      </w:p>
                    </w:txbxContent>
                  </v:textbox>
                </v:shape>
                <v:shape id="_x0000_s1026" o:spid="_x0000_s1026" o:spt="202" type="#_x0000_t202" style="position:absolute;left:4044;top:19;height:2258;width:4025;" filled="f" stroked="f" coordsize="21600,21600" o:gfxdata="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iGWN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2DEBACF">
                        <w:pPr>
                          <w:pStyle w:val="12"/>
                          <w:numPr>
                            <w:ilvl w:val="0"/>
                            <w:numId w:val="0"/>
                          </w:numPr>
                          <w:kinsoku w:val="0"/>
                          <w:overflowPunct w:val="0"/>
                          <w:spacing w:before="13"/>
                          <w:rPr>
                            <w:sz w:val="28"/>
                            <w:szCs w:val="28"/>
                          </w:rPr>
                        </w:pPr>
                      </w:p>
                      <w:p w14:paraId="45B16B0B">
                        <w:pPr>
                          <w:pStyle w:val="12"/>
                          <w:numPr>
                            <w:ilvl w:val="0"/>
                            <w:numId w:val="0"/>
                          </w:numPr>
                          <w:kinsoku w:val="0"/>
                          <w:overflowPunct w:val="0"/>
                          <w:jc w:val="center"/>
                          <w:rPr>
                            <w:lang w:eastAsia="zh-CN"/>
                          </w:rPr>
                        </w:pPr>
                        <w:r>
                          <w:rPr>
                            <w:rFonts w:hint="eastAsia"/>
                            <w:lang w:eastAsia="zh-CN"/>
                          </w:rPr>
                          <w:t>法定代表人身份证复印件（反面）</w:t>
                        </w:r>
                      </w:p>
                    </w:txbxContent>
                  </v:textbox>
                </v:shape>
                <w10:wrap type="none"/>
                <w10:anchorlock/>
              </v:group>
            </w:pict>
          </mc:Fallback>
        </mc:AlternateContent>
      </w:r>
    </w:p>
    <w:p w14:paraId="64B18EA2">
      <w:pPr>
        <w:pBdr>
          <w:top w:val="none" w:color="auto" w:sz="0" w:space="0"/>
          <w:left w:val="none" w:color="auto" w:sz="0" w:space="0"/>
          <w:bottom w:val="none" w:color="auto" w:sz="0" w:space="0"/>
          <w:right w:val="none" w:color="auto" w:sz="0" w:space="0"/>
          <w:between w:val="none" w:color="auto" w:sz="0" w:space="0"/>
        </w:pBdr>
        <w:wordWrap w:val="0"/>
        <w:spacing w:line="420" w:lineRule="exact"/>
        <w:ind w:firstLine="480" w:firstLineChars="200"/>
        <w:jc w:val="right"/>
        <w:rPr>
          <w:rFonts w:hint="eastAsia" w:asciiTheme="minorEastAsia" w:hAnsiTheme="minorEastAsia" w:eastAsiaTheme="minorEastAsia" w:cstheme="minorEastAsia"/>
          <w:color w:val="auto"/>
        </w:rPr>
      </w:pPr>
    </w:p>
    <w:p w14:paraId="0AB9B904">
      <w:pPr>
        <w:pBdr>
          <w:top w:val="none" w:color="auto" w:sz="0" w:space="0"/>
          <w:left w:val="none" w:color="auto" w:sz="0" w:space="0"/>
          <w:bottom w:val="none" w:color="auto" w:sz="0" w:space="0"/>
          <w:right w:val="none" w:color="auto" w:sz="0" w:space="0"/>
          <w:between w:val="none" w:color="auto" w:sz="0" w:space="0"/>
        </w:pBdr>
        <w:spacing w:line="420" w:lineRule="exact"/>
        <w:ind w:firstLine="480" w:firstLineChars="200"/>
        <w:jc w:val="right"/>
        <w:rPr>
          <w:rFonts w:hint="eastAsia" w:asciiTheme="minorEastAsia" w:hAnsiTheme="minorEastAsia" w:eastAsiaTheme="minorEastAsia" w:cstheme="minorEastAsia"/>
          <w:color w:val="auto"/>
        </w:rPr>
      </w:pPr>
    </w:p>
    <w:p w14:paraId="11FB91F7">
      <w:pPr>
        <w:pBdr>
          <w:top w:val="none" w:color="auto" w:sz="0" w:space="0"/>
          <w:left w:val="none" w:color="auto" w:sz="0" w:space="0"/>
          <w:bottom w:val="none" w:color="auto" w:sz="0" w:space="0"/>
          <w:right w:val="none" w:color="auto" w:sz="0" w:space="0"/>
          <w:between w:val="none" w:color="auto" w:sz="0" w:space="0"/>
        </w:pBdr>
        <w:spacing w:line="420" w:lineRule="exact"/>
        <w:ind w:firstLine="480" w:firstLineChars="200"/>
        <w:jc w:val="right"/>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投标人：</w:t>
      </w:r>
      <w:r>
        <w:rPr>
          <w:rFonts w:hint="eastAsia" w:asciiTheme="minorEastAsia" w:hAnsiTheme="minorEastAsia" w:eastAsiaTheme="minorEastAsia" w:cstheme="minorEastAsia"/>
          <w:color w:val="auto"/>
          <w:u w:val="single"/>
          <w:lang w:eastAsia="zh-CN"/>
        </w:rPr>
        <w:t xml:space="preserve">                </w:t>
      </w:r>
      <w:r>
        <w:rPr>
          <w:rFonts w:hint="eastAsia" w:asciiTheme="minorEastAsia" w:hAnsiTheme="minorEastAsia" w:eastAsiaTheme="minorEastAsia" w:cstheme="minorEastAsia"/>
          <w:color w:val="auto"/>
          <w:lang w:eastAsia="zh-CN"/>
        </w:rPr>
        <w:t>（公章）</w:t>
      </w:r>
    </w:p>
    <w:p w14:paraId="7B1B7D74">
      <w:pPr>
        <w:pBdr>
          <w:top w:val="none" w:color="auto" w:sz="0" w:space="0"/>
          <w:left w:val="none" w:color="auto" w:sz="0" w:space="0"/>
          <w:bottom w:val="none" w:color="auto" w:sz="0" w:space="0"/>
          <w:right w:val="none" w:color="auto" w:sz="0" w:space="0"/>
          <w:between w:val="none" w:color="auto" w:sz="0" w:space="0"/>
        </w:pBdr>
        <w:wordWrap w:val="0"/>
        <w:spacing w:line="420" w:lineRule="exact"/>
        <w:ind w:right="480" w:firstLine="480" w:firstLineChars="200"/>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color w:val="auto"/>
          <w:u w:val="single"/>
          <w:lang w:eastAsia="zh-CN"/>
        </w:rPr>
        <w:t xml:space="preserve">      </w:t>
      </w:r>
      <w:r>
        <w:rPr>
          <w:rFonts w:hint="eastAsia" w:asciiTheme="minorEastAsia" w:hAnsiTheme="minorEastAsia" w:eastAsiaTheme="minorEastAsia" w:cstheme="minorEastAsia"/>
          <w:color w:val="auto"/>
          <w:lang w:eastAsia="zh-CN"/>
        </w:rPr>
        <w:t>年</w:t>
      </w:r>
      <w:r>
        <w:rPr>
          <w:rFonts w:hint="eastAsia" w:asciiTheme="minorEastAsia" w:hAnsiTheme="minorEastAsia" w:eastAsiaTheme="minorEastAsia" w:cstheme="minorEastAsia"/>
          <w:color w:val="auto"/>
          <w:u w:val="single"/>
          <w:lang w:eastAsia="zh-CN"/>
        </w:rPr>
        <w:t xml:space="preserve">   </w:t>
      </w:r>
      <w:r>
        <w:rPr>
          <w:rFonts w:hint="eastAsia" w:asciiTheme="minorEastAsia" w:hAnsiTheme="minorEastAsia" w:eastAsiaTheme="minorEastAsia" w:cstheme="minorEastAsia"/>
          <w:color w:val="auto"/>
          <w:lang w:eastAsia="zh-CN"/>
        </w:rPr>
        <w:t>月</w:t>
      </w:r>
      <w:r>
        <w:rPr>
          <w:rFonts w:hint="eastAsia" w:asciiTheme="minorEastAsia" w:hAnsiTheme="minorEastAsia" w:eastAsiaTheme="minorEastAsia" w:cstheme="minorEastAsia"/>
          <w:color w:val="auto"/>
          <w:u w:val="single"/>
          <w:lang w:eastAsia="zh-CN"/>
        </w:rPr>
        <w:t xml:space="preserve">   </w:t>
      </w:r>
      <w:r>
        <w:rPr>
          <w:rFonts w:hint="eastAsia" w:asciiTheme="minorEastAsia" w:hAnsiTheme="minorEastAsia" w:eastAsiaTheme="minorEastAsia" w:cstheme="minorEastAsia"/>
          <w:color w:val="auto"/>
          <w:lang w:eastAsia="zh-CN"/>
        </w:rPr>
        <w:t xml:space="preserve">日 </w:t>
      </w:r>
    </w:p>
    <w:p w14:paraId="68A8CB57">
      <w:pPr>
        <w:pStyle w:val="12"/>
        <w:numPr>
          <w:ilvl w:val="0"/>
          <w:numId w:val="0"/>
        </w:numPr>
        <w:pBdr>
          <w:top w:val="none" w:color="auto" w:sz="0" w:space="0"/>
          <w:left w:val="none" w:color="auto" w:sz="0" w:space="0"/>
          <w:bottom w:val="none" w:color="auto" w:sz="0" w:space="0"/>
          <w:right w:val="none" w:color="auto" w:sz="0" w:space="0"/>
          <w:between w:val="none" w:color="auto" w:sz="0" w:space="0"/>
        </w:pBdr>
        <w:kinsoku w:val="0"/>
        <w:overflowPunct w:val="0"/>
        <w:spacing w:before="34" w:line="357" w:lineRule="auto"/>
        <w:ind w:left="480" w:right="126"/>
        <w:jc w:val="center"/>
        <w:outlineLvl w:val="1"/>
        <w:rPr>
          <w:rFonts w:hint="eastAsia" w:asciiTheme="minorEastAsia" w:hAnsiTheme="minorEastAsia" w:eastAsiaTheme="minorEastAsia" w:cstheme="minorEastAsia"/>
          <w:b/>
          <w:bCs/>
          <w:color w:val="auto"/>
          <w:szCs w:val="21"/>
          <w:lang w:eastAsia="zh-CN"/>
        </w:rPr>
      </w:pPr>
      <w:r>
        <w:rPr>
          <w:rFonts w:hint="eastAsia" w:asciiTheme="minorEastAsia" w:hAnsiTheme="minorEastAsia" w:eastAsiaTheme="minorEastAsia" w:cstheme="minorEastAsia"/>
          <w:color w:val="auto"/>
          <w:lang w:eastAsia="zh-CN"/>
        </w:rPr>
        <w:br w:type="page"/>
      </w:r>
      <w:r>
        <w:rPr>
          <w:rFonts w:hint="eastAsia" w:asciiTheme="minorEastAsia" w:hAnsiTheme="minorEastAsia" w:eastAsiaTheme="minorEastAsia" w:cstheme="minorEastAsia"/>
          <w:b/>
          <w:bCs/>
          <w:color w:val="auto"/>
          <w:sz w:val="28"/>
          <w:szCs w:val="28"/>
          <w:lang w:eastAsia="zh-CN"/>
        </w:rPr>
        <w:t>3、法定代表人授权委托书</w:t>
      </w:r>
    </w:p>
    <w:p w14:paraId="2E8DC0B8">
      <w:pPr>
        <w:pBdr>
          <w:top w:val="none" w:color="auto" w:sz="0" w:space="0"/>
          <w:left w:val="none" w:color="auto" w:sz="0" w:space="0"/>
          <w:bottom w:val="none" w:color="auto" w:sz="0" w:space="0"/>
          <w:right w:val="none" w:color="auto" w:sz="0" w:space="0"/>
          <w:between w:val="none" w:color="auto" w:sz="0" w:space="0"/>
        </w:pBdr>
        <w:spacing w:line="420" w:lineRule="exact"/>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致：</w:t>
      </w:r>
      <w:r>
        <w:rPr>
          <w:rFonts w:hint="eastAsia" w:asciiTheme="minorEastAsia" w:hAnsiTheme="minorEastAsia" w:eastAsiaTheme="minorEastAsia" w:cstheme="minorEastAsia"/>
          <w:color w:val="auto"/>
          <w:u w:val="single"/>
          <w:lang w:eastAsia="zh-CN"/>
        </w:rPr>
        <w:t xml:space="preserve">     （采购人名称）</w:t>
      </w:r>
      <w:r>
        <w:rPr>
          <w:rFonts w:hint="eastAsia" w:asciiTheme="minorEastAsia" w:hAnsiTheme="minorEastAsia" w:eastAsiaTheme="minorEastAsia" w:cstheme="minorEastAsia"/>
          <w:color w:val="auto"/>
          <w:lang w:eastAsia="zh-CN"/>
        </w:rPr>
        <w:t xml:space="preserve"> </w:t>
      </w:r>
    </w:p>
    <w:p w14:paraId="0F270CD7">
      <w:pPr>
        <w:pBdr>
          <w:top w:val="none" w:color="auto" w:sz="0" w:space="0"/>
          <w:left w:val="none" w:color="auto" w:sz="0" w:space="0"/>
          <w:bottom w:val="none" w:color="auto" w:sz="0" w:space="0"/>
          <w:right w:val="none" w:color="auto" w:sz="0" w:space="0"/>
          <w:between w:val="none" w:color="auto" w:sz="0" w:space="0"/>
        </w:pBdr>
        <w:spacing w:line="420" w:lineRule="exact"/>
        <w:ind w:firstLine="48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本授权书声明：注册于</w:t>
      </w:r>
      <w:r>
        <w:rPr>
          <w:rFonts w:hint="eastAsia" w:asciiTheme="minorEastAsia" w:hAnsiTheme="minorEastAsia" w:eastAsiaTheme="minorEastAsia" w:cstheme="minorEastAsia"/>
          <w:color w:val="auto"/>
          <w:u w:val="single"/>
          <w:lang w:eastAsia="zh-CN"/>
        </w:rPr>
        <w:t>（投标人地址）</w:t>
      </w:r>
      <w:r>
        <w:rPr>
          <w:rFonts w:hint="eastAsia" w:asciiTheme="minorEastAsia" w:hAnsiTheme="minorEastAsia" w:eastAsiaTheme="minorEastAsia" w:cstheme="minorEastAsia"/>
          <w:color w:val="auto"/>
          <w:lang w:eastAsia="zh-CN"/>
        </w:rPr>
        <w:t>的</w:t>
      </w:r>
      <w:r>
        <w:rPr>
          <w:rFonts w:hint="eastAsia" w:asciiTheme="minorEastAsia" w:hAnsiTheme="minorEastAsia" w:eastAsiaTheme="minorEastAsia" w:cstheme="minorEastAsia"/>
          <w:color w:val="auto"/>
          <w:u w:val="single"/>
          <w:lang w:eastAsia="zh-CN"/>
        </w:rPr>
        <w:t>（投标人名称）</w:t>
      </w:r>
      <w:r>
        <w:rPr>
          <w:rFonts w:hint="eastAsia" w:asciiTheme="minorEastAsia" w:hAnsiTheme="minorEastAsia" w:eastAsiaTheme="minorEastAsia" w:cstheme="minorEastAsia"/>
          <w:color w:val="auto"/>
          <w:lang w:eastAsia="zh-CN"/>
        </w:rPr>
        <w:t>法定代表人（负责人）</w:t>
      </w:r>
      <w:r>
        <w:rPr>
          <w:rFonts w:hint="eastAsia" w:asciiTheme="minorEastAsia" w:hAnsiTheme="minorEastAsia" w:eastAsiaTheme="minorEastAsia" w:cstheme="minorEastAsia"/>
          <w:color w:val="auto"/>
          <w:u w:val="single"/>
          <w:lang w:eastAsia="zh-CN"/>
        </w:rPr>
        <w:t>姓名、职务或职称）</w:t>
      </w:r>
      <w:r>
        <w:rPr>
          <w:rFonts w:hint="eastAsia" w:asciiTheme="minorEastAsia" w:hAnsiTheme="minorEastAsia" w:eastAsiaTheme="minorEastAsia" w:cstheme="minorEastAsia"/>
          <w:color w:val="auto"/>
          <w:lang w:eastAsia="zh-CN"/>
        </w:rPr>
        <w:t>代表本公司授权</w:t>
      </w:r>
      <w:r>
        <w:rPr>
          <w:rFonts w:hint="eastAsia" w:asciiTheme="minorEastAsia" w:hAnsiTheme="minorEastAsia" w:eastAsiaTheme="minorEastAsia" w:cstheme="minorEastAsia"/>
          <w:color w:val="auto"/>
          <w:u w:val="single"/>
          <w:lang w:eastAsia="zh-CN"/>
        </w:rPr>
        <w:t>（姓名）</w:t>
      </w:r>
      <w:r>
        <w:rPr>
          <w:rFonts w:hint="eastAsia" w:asciiTheme="minorEastAsia" w:hAnsiTheme="minorEastAsia" w:eastAsiaTheme="minorEastAsia" w:cstheme="minorEastAsia"/>
          <w:color w:val="auto"/>
          <w:lang w:eastAsia="zh-CN"/>
        </w:rPr>
        <w:t>为本单位的合法代理人，参与贵方组织的</w:t>
      </w:r>
      <w:r>
        <w:rPr>
          <w:rFonts w:hint="eastAsia" w:asciiTheme="minorEastAsia" w:hAnsiTheme="minorEastAsia" w:eastAsiaTheme="minorEastAsia" w:cstheme="minorEastAsia"/>
          <w:color w:val="auto"/>
          <w:u w:val="single"/>
          <w:lang w:eastAsia="zh-CN"/>
        </w:rPr>
        <w:t>（项目名称及项目编号）</w:t>
      </w:r>
      <w:r>
        <w:rPr>
          <w:rFonts w:hint="eastAsia" w:asciiTheme="minorEastAsia" w:hAnsiTheme="minorEastAsia" w:eastAsiaTheme="minorEastAsia" w:cstheme="minorEastAsia"/>
          <w:color w:val="auto"/>
          <w:lang w:eastAsia="zh-CN"/>
        </w:rPr>
        <w:t xml:space="preserve"> 的投标、谈判、签约等具体工作，并签署全部有关文件、协议及合同。</w:t>
      </w:r>
    </w:p>
    <w:p w14:paraId="68245E35">
      <w:pPr>
        <w:pBdr>
          <w:top w:val="none" w:color="auto" w:sz="0" w:space="0"/>
          <w:left w:val="none" w:color="auto" w:sz="0" w:space="0"/>
          <w:bottom w:val="none" w:color="auto" w:sz="0" w:space="0"/>
          <w:right w:val="none" w:color="auto" w:sz="0" w:space="0"/>
          <w:between w:val="none" w:color="auto" w:sz="0" w:space="0"/>
        </w:pBdr>
        <w:adjustRightInd w:val="0"/>
        <w:snapToGrid w:val="0"/>
        <w:spacing w:line="420" w:lineRule="exact"/>
        <w:ind w:firstLine="48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我单位对被授权人的上述经济活动负全部责任。在撤销授权的书面通知前，本授权书一直有效，被授权人在授权书有效期内签署的所有文件不因授权的撤消而失效。</w:t>
      </w:r>
    </w:p>
    <w:p w14:paraId="563F09BE">
      <w:pPr>
        <w:pStyle w:val="12"/>
        <w:numPr>
          <w:ilvl w:val="0"/>
          <w:numId w:val="0"/>
        </w:numPr>
        <w:pBdr>
          <w:top w:val="none" w:color="auto" w:sz="0" w:space="0"/>
          <w:left w:val="none" w:color="auto" w:sz="0" w:space="0"/>
          <w:bottom w:val="none" w:color="auto" w:sz="0" w:space="0"/>
          <w:right w:val="none" w:color="auto" w:sz="0" w:space="0"/>
          <w:between w:val="none" w:color="auto" w:sz="0" w:space="0"/>
        </w:pBdr>
        <w:kinsoku w:val="0"/>
        <w:overflowPunct w:val="0"/>
        <w:adjustRightInd w:val="0"/>
        <w:snapToGrid w:val="0"/>
        <w:spacing w:before="12"/>
        <w:ind w:left="0" w:leftChars="0" w:firstLine="0" w:firstLineChars="0"/>
        <w:rPr>
          <w:rFonts w:hint="eastAsia" w:asciiTheme="minorEastAsia" w:hAnsiTheme="minorEastAsia" w:eastAsiaTheme="minorEastAsia" w:cstheme="minorEastAsia"/>
          <w:color w:val="auto"/>
          <w:sz w:val="4"/>
          <w:szCs w:val="4"/>
          <w:lang w:eastAsia="zh-CN"/>
        </w:rPr>
      </w:pPr>
      <w:r>
        <w:rPr>
          <w:rFonts w:hint="eastAsia" w:asciiTheme="minorEastAsia" w:hAnsiTheme="minorEastAsia" w:eastAsiaTheme="minorEastAsia" w:cstheme="minorEastAsia"/>
          <w:color w:val="auto"/>
          <w:sz w:val="4"/>
          <w:szCs w:val="4"/>
          <w:lang w:val="en-US" w:eastAsia="zh-CN" w:bidi="en-US"/>
        </w:rPr>
        <w:t>6.</w:t>
      </w:r>
    </w:p>
    <w:p w14:paraId="4B65ACD8">
      <w:pPr>
        <w:pStyle w:val="12"/>
        <w:numPr>
          <w:ilvl w:val="0"/>
          <w:numId w:val="0"/>
        </w:numPr>
        <w:pBdr>
          <w:top w:val="none" w:color="auto" w:sz="0" w:space="0"/>
          <w:left w:val="none" w:color="auto" w:sz="0" w:space="0"/>
          <w:bottom w:val="none" w:color="auto" w:sz="0" w:space="0"/>
          <w:right w:val="none" w:color="auto" w:sz="0" w:space="0"/>
          <w:between w:val="none" w:color="auto" w:sz="0" w:space="0"/>
        </w:pBdr>
        <w:kinsoku w:val="0"/>
        <w:overflowPunct w:val="0"/>
        <w:adjustRightInd w:val="0"/>
        <w:snapToGrid w:val="0"/>
        <w:spacing w:line="200" w:lineRule="atLeast"/>
        <w:ind w:right="1908" w:rightChars="795"/>
        <w:jc w:val="center"/>
        <w:rPr>
          <w:rFonts w:hint="eastAsia" w:asciiTheme="minorEastAsia" w:hAnsiTheme="minorEastAsia" w:eastAsiaTheme="minorEastAsia" w:cstheme="minorEastAsia"/>
          <w:color w:val="auto"/>
          <w:sz w:val="18"/>
          <w:szCs w:val="20"/>
        </w:rPr>
      </w:pPr>
      <w:r>
        <w:rPr>
          <w:rFonts w:hint="eastAsia" w:asciiTheme="minorEastAsia" w:hAnsiTheme="minorEastAsia" w:eastAsiaTheme="minorEastAsia" w:cstheme="minorEastAsia"/>
          <w:color w:val="auto"/>
          <w:sz w:val="18"/>
          <w:szCs w:val="20"/>
        </w:rPr>
        <mc:AlternateContent>
          <mc:Choice Requires="wpg">
            <w:drawing>
              <wp:inline distT="0" distB="0" distL="114300" distR="114300">
                <wp:extent cx="5136515" cy="1458595"/>
                <wp:effectExtent l="0" t="0" r="8255" b="9525"/>
                <wp:docPr id="35" name="组合 35"/>
                <wp:cNvGraphicFramePr/>
                <a:graphic xmlns:a="http://schemas.openxmlformats.org/drawingml/2006/main">
                  <a:graphicData uri="http://schemas.microsoft.com/office/word/2010/wordprocessingGroup">
                    <wpg:wgp>
                      <wpg:cNvGrpSpPr>
                        <a:grpSpLocks noRot="1"/>
                      </wpg:cNvGrpSpPr>
                      <wpg:grpSpPr>
                        <a:xfrm>
                          <a:off x="0" y="0"/>
                          <a:ext cx="5136515" cy="1458595"/>
                          <a:chOff x="0" y="0"/>
                          <a:chExt cx="8089" cy="2297"/>
                        </a:xfrm>
                      </wpg:grpSpPr>
                      <wps:wsp>
                        <wps:cNvPr id="28" name="任意多边形 1"/>
                        <wps:cNvSpPr/>
                        <wps:spPr>
                          <a:xfrm>
                            <a:off x="4" y="9"/>
                            <a:ext cx="8079" cy="20"/>
                          </a:xfrm>
                          <a:custGeom>
                            <a:avLst/>
                            <a:gdLst/>
                            <a:ahLst/>
                            <a:cxnLst/>
                            <a:rect l="0" t="0" r="0" b="0"/>
                            <a:pathLst>
                              <a:path w="8079" h="20">
                                <a:moveTo>
                                  <a:pt x="0" y="0"/>
                                </a:moveTo>
                                <a:lnTo>
                                  <a:pt x="8078" y="0"/>
                                </a:lnTo>
                              </a:path>
                            </a:pathLst>
                          </a:custGeom>
                          <a:noFill/>
                          <a:ln w="6096" cap="flat" cmpd="sng">
                            <a:solidFill>
                              <a:srgbClr val="000000"/>
                            </a:solidFill>
                            <a:prstDash val="solid"/>
                            <a:headEnd type="none" w="med" len="med"/>
                            <a:tailEnd type="none" w="med" len="med"/>
                          </a:ln>
                        </wps:spPr>
                        <wps:bodyPr upright="1"/>
                      </wps:wsp>
                      <wps:wsp>
                        <wps:cNvPr id="2" name="任意多边形 2"/>
                        <wps:cNvSpPr/>
                        <wps:spPr>
                          <a:xfrm>
                            <a:off x="24" y="28"/>
                            <a:ext cx="8041" cy="20"/>
                          </a:xfrm>
                          <a:custGeom>
                            <a:avLst/>
                            <a:gdLst/>
                            <a:ahLst/>
                            <a:cxnLst/>
                            <a:rect l="0" t="0" r="0" b="0"/>
                            <a:pathLst>
                              <a:path w="8041" h="20">
                                <a:moveTo>
                                  <a:pt x="0" y="0"/>
                                </a:moveTo>
                                <a:lnTo>
                                  <a:pt x="8040" y="0"/>
                                </a:lnTo>
                              </a:path>
                            </a:pathLst>
                          </a:custGeom>
                          <a:noFill/>
                          <a:ln w="6096" cap="flat" cmpd="sng">
                            <a:solidFill>
                              <a:srgbClr val="000000"/>
                            </a:solidFill>
                            <a:prstDash val="solid"/>
                            <a:headEnd type="none" w="med" len="med"/>
                            <a:tailEnd type="none" w="med" len="med"/>
                          </a:ln>
                        </wps:spPr>
                        <wps:bodyPr upright="1"/>
                      </wps:wsp>
                      <wps:wsp>
                        <wps:cNvPr id="3" name="任意多边形 3"/>
                        <wps:cNvSpPr/>
                        <wps:spPr>
                          <a:xfrm>
                            <a:off x="24" y="2267"/>
                            <a:ext cx="8041" cy="20"/>
                          </a:xfrm>
                          <a:custGeom>
                            <a:avLst/>
                            <a:gdLst/>
                            <a:ahLst/>
                            <a:cxnLst/>
                            <a:rect l="0" t="0" r="0" b="0"/>
                            <a:pathLst>
                              <a:path w="8041" h="20">
                                <a:moveTo>
                                  <a:pt x="0" y="0"/>
                                </a:moveTo>
                                <a:lnTo>
                                  <a:pt x="8040" y="0"/>
                                </a:lnTo>
                              </a:path>
                            </a:pathLst>
                          </a:custGeom>
                          <a:noFill/>
                          <a:ln w="6096" cap="flat" cmpd="sng">
                            <a:solidFill>
                              <a:srgbClr val="000000"/>
                            </a:solidFill>
                            <a:prstDash val="solid"/>
                            <a:headEnd type="none" w="med" len="med"/>
                            <a:tailEnd type="none" w="med" len="med"/>
                          </a:ln>
                        </wps:spPr>
                        <wps:bodyPr upright="1"/>
                      </wps:wsp>
                      <wps:wsp>
                        <wps:cNvPr id="4" name="任意多边形 4"/>
                        <wps:cNvSpPr/>
                        <wps:spPr>
                          <a:xfrm>
                            <a:off x="4" y="2286"/>
                            <a:ext cx="8079" cy="20"/>
                          </a:xfrm>
                          <a:custGeom>
                            <a:avLst/>
                            <a:gdLst/>
                            <a:ahLst/>
                            <a:cxnLst/>
                            <a:rect l="0" t="0" r="0" b="0"/>
                            <a:pathLst>
                              <a:path w="8079" h="20">
                                <a:moveTo>
                                  <a:pt x="0" y="0"/>
                                </a:moveTo>
                                <a:lnTo>
                                  <a:pt x="8078" y="0"/>
                                </a:lnTo>
                              </a:path>
                            </a:pathLst>
                          </a:custGeom>
                          <a:noFill/>
                          <a:ln w="6096" cap="flat" cmpd="sng">
                            <a:solidFill>
                              <a:srgbClr val="000000"/>
                            </a:solidFill>
                            <a:prstDash val="solid"/>
                            <a:headEnd type="none" w="med" len="med"/>
                            <a:tailEnd type="none" w="med" len="med"/>
                          </a:ln>
                        </wps:spPr>
                        <wps:bodyPr upright="1"/>
                      </wps:wsp>
                      <wps:wsp>
                        <wps:cNvPr id="5" name="任意多边形 5"/>
                        <wps:cNvSpPr/>
                        <wps:spPr>
                          <a:xfrm>
                            <a:off x="9" y="4"/>
                            <a:ext cx="20" cy="2287"/>
                          </a:xfrm>
                          <a:custGeom>
                            <a:avLst/>
                            <a:gdLst/>
                            <a:ahLst/>
                            <a:cxnLst/>
                            <a:rect l="0" t="0" r="0" b="0"/>
                            <a:pathLst>
                              <a:path w="20" h="2287">
                                <a:moveTo>
                                  <a:pt x="0" y="0"/>
                                </a:moveTo>
                                <a:lnTo>
                                  <a:pt x="0" y="2286"/>
                                </a:lnTo>
                              </a:path>
                            </a:pathLst>
                          </a:custGeom>
                          <a:noFill/>
                          <a:ln w="6096" cap="flat" cmpd="sng">
                            <a:solidFill>
                              <a:srgbClr val="000000"/>
                            </a:solidFill>
                            <a:prstDash val="solid"/>
                            <a:headEnd type="none" w="med" len="med"/>
                            <a:tailEnd type="none" w="med" len="med"/>
                          </a:ln>
                        </wps:spPr>
                        <wps:bodyPr upright="1"/>
                      </wps:wsp>
                      <wps:wsp>
                        <wps:cNvPr id="6" name="任意多边形 6"/>
                        <wps:cNvSpPr/>
                        <wps:spPr>
                          <a:xfrm>
                            <a:off x="28" y="24"/>
                            <a:ext cx="20" cy="2249"/>
                          </a:xfrm>
                          <a:custGeom>
                            <a:avLst/>
                            <a:gdLst/>
                            <a:ahLst/>
                            <a:cxnLst/>
                            <a:rect l="0" t="0" r="0" b="0"/>
                            <a:pathLst>
                              <a:path w="20" h="2249">
                                <a:moveTo>
                                  <a:pt x="0" y="0"/>
                                </a:moveTo>
                                <a:lnTo>
                                  <a:pt x="0" y="2248"/>
                                </a:lnTo>
                              </a:path>
                            </a:pathLst>
                          </a:custGeom>
                          <a:noFill/>
                          <a:ln w="6096" cap="flat" cmpd="sng">
                            <a:solidFill>
                              <a:srgbClr val="000000"/>
                            </a:solidFill>
                            <a:prstDash val="solid"/>
                            <a:headEnd type="none" w="med" len="med"/>
                            <a:tailEnd type="none" w="med" len="med"/>
                          </a:ln>
                        </wps:spPr>
                        <wps:bodyPr upright="1"/>
                      </wps:wsp>
                      <wps:wsp>
                        <wps:cNvPr id="7" name="任意多边形 7"/>
                        <wps:cNvSpPr/>
                        <wps:spPr>
                          <a:xfrm>
                            <a:off x="4034" y="24"/>
                            <a:ext cx="20" cy="2239"/>
                          </a:xfrm>
                          <a:custGeom>
                            <a:avLst/>
                            <a:gdLst/>
                            <a:ahLst/>
                            <a:cxnLst/>
                            <a:rect l="0" t="0" r="0" b="0"/>
                            <a:pathLst>
                              <a:path w="20" h="2239">
                                <a:moveTo>
                                  <a:pt x="0" y="0"/>
                                </a:moveTo>
                                <a:lnTo>
                                  <a:pt x="0" y="2238"/>
                                </a:lnTo>
                              </a:path>
                            </a:pathLst>
                          </a:custGeom>
                          <a:noFill/>
                          <a:ln w="6096" cap="flat" cmpd="sng">
                            <a:solidFill>
                              <a:srgbClr val="000000"/>
                            </a:solidFill>
                            <a:prstDash val="solid"/>
                            <a:headEnd type="none" w="med" len="med"/>
                            <a:tailEnd type="none" w="med" len="med"/>
                          </a:ln>
                        </wps:spPr>
                        <wps:bodyPr upright="1"/>
                      </wps:wsp>
                      <wps:wsp>
                        <wps:cNvPr id="8" name="任意多边形 8"/>
                        <wps:cNvSpPr/>
                        <wps:spPr>
                          <a:xfrm>
                            <a:off x="4053" y="24"/>
                            <a:ext cx="20" cy="2239"/>
                          </a:xfrm>
                          <a:custGeom>
                            <a:avLst/>
                            <a:gdLst/>
                            <a:ahLst/>
                            <a:cxnLst/>
                            <a:rect l="0" t="0" r="0" b="0"/>
                            <a:pathLst>
                              <a:path w="20" h="2239">
                                <a:moveTo>
                                  <a:pt x="0" y="0"/>
                                </a:moveTo>
                                <a:lnTo>
                                  <a:pt x="0" y="2238"/>
                                </a:lnTo>
                              </a:path>
                            </a:pathLst>
                          </a:custGeom>
                          <a:noFill/>
                          <a:ln w="6096" cap="flat" cmpd="sng">
                            <a:solidFill>
                              <a:srgbClr val="000000"/>
                            </a:solidFill>
                            <a:prstDash val="solid"/>
                            <a:headEnd type="none" w="med" len="med"/>
                            <a:tailEnd type="none" w="med" len="med"/>
                          </a:ln>
                        </wps:spPr>
                        <wps:bodyPr upright="1"/>
                      </wps:wsp>
                      <wps:wsp>
                        <wps:cNvPr id="9" name="任意多边形 9"/>
                        <wps:cNvSpPr/>
                        <wps:spPr>
                          <a:xfrm>
                            <a:off x="8059" y="33"/>
                            <a:ext cx="20" cy="2239"/>
                          </a:xfrm>
                          <a:custGeom>
                            <a:avLst/>
                            <a:gdLst/>
                            <a:ahLst/>
                            <a:cxnLst/>
                            <a:rect l="0" t="0" r="0" b="0"/>
                            <a:pathLst>
                              <a:path w="20" h="2239">
                                <a:moveTo>
                                  <a:pt x="0" y="0"/>
                                </a:moveTo>
                                <a:lnTo>
                                  <a:pt x="0" y="2238"/>
                                </a:lnTo>
                              </a:path>
                            </a:pathLst>
                          </a:custGeom>
                          <a:noFill/>
                          <a:ln w="6096" cap="flat" cmpd="sng">
                            <a:solidFill>
                              <a:srgbClr val="000000"/>
                            </a:solidFill>
                            <a:prstDash val="solid"/>
                            <a:headEnd type="none" w="med" len="med"/>
                            <a:tailEnd type="none" w="med" len="med"/>
                          </a:ln>
                        </wps:spPr>
                        <wps:bodyPr upright="1"/>
                      </wps:wsp>
                      <wps:wsp>
                        <wps:cNvPr id="10" name="任意多边形 10"/>
                        <wps:cNvSpPr/>
                        <wps:spPr>
                          <a:xfrm>
                            <a:off x="8078" y="14"/>
                            <a:ext cx="20" cy="2278"/>
                          </a:xfrm>
                          <a:custGeom>
                            <a:avLst/>
                            <a:gdLst/>
                            <a:ahLst/>
                            <a:cxnLst/>
                            <a:rect l="0" t="0" r="0" b="0"/>
                            <a:pathLst>
                              <a:path w="20" h="2278">
                                <a:moveTo>
                                  <a:pt x="0" y="0"/>
                                </a:moveTo>
                                <a:lnTo>
                                  <a:pt x="0" y="2277"/>
                                </a:lnTo>
                              </a:path>
                            </a:pathLst>
                          </a:custGeom>
                          <a:noFill/>
                          <a:ln w="6096" cap="flat" cmpd="sng">
                            <a:solidFill>
                              <a:srgbClr val="000000"/>
                            </a:solidFill>
                            <a:prstDash val="solid"/>
                            <a:headEnd type="none" w="med" len="med"/>
                            <a:tailEnd type="none" w="med" len="med"/>
                          </a:ln>
                        </wps:spPr>
                        <wps:bodyPr upright="1"/>
                      </wps:wsp>
                      <wps:wsp>
                        <wps:cNvPr id="11" name="文本框 11"/>
                        <wps:cNvSpPr txBox="1"/>
                        <wps:spPr>
                          <a:xfrm>
                            <a:off x="19" y="19"/>
                            <a:ext cx="4025" cy="2258"/>
                          </a:xfrm>
                          <a:prstGeom prst="rect">
                            <a:avLst/>
                          </a:prstGeom>
                          <a:noFill/>
                          <a:ln>
                            <a:noFill/>
                          </a:ln>
                        </wps:spPr>
                        <wps:txbx>
                          <w:txbxContent>
                            <w:p w14:paraId="210F9879">
                              <w:pPr>
                                <w:pStyle w:val="12"/>
                                <w:numPr>
                                  <w:ilvl w:val="0"/>
                                  <w:numId w:val="0"/>
                                </w:numPr>
                                <w:kinsoku w:val="0"/>
                                <w:overflowPunct w:val="0"/>
                                <w:spacing w:before="12"/>
                                <w:rPr>
                                  <w:sz w:val="28"/>
                                  <w:szCs w:val="28"/>
                                </w:rPr>
                              </w:pPr>
                            </w:p>
                            <w:p w14:paraId="6E593092">
                              <w:pPr>
                                <w:pStyle w:val="12"/>
                                <w:numPr>
                                  <w:ilvl w:val="0"/>
                                  <w:numId w:val="0"/>
                                </w:numPr>
                                <w:kinsoku w:val="0"/>
                                <w:overflowPunct w:val="0"/>
                                <w:jc w:val="center"/>
                              </w:pPr>
                            </w:p>
                            <w:p w14:paraId="6EA95057">
                              <w:pPr>
                                <w:pStyle w:val="12"/>
                                <w:numPr>
                                  <w:ilvl w:val="0"/>
                                  <w:numId w:val="0"/>
                                </w:numPr>
                                <w:kinsoku w:val="0"/>
                                <w:overflowPunct w:val="0"/>
                                <w:jc w:val="center"/>
                                <w:rPr>
                                  <w:lang w:eastAsia="zh-CN"/>
                                </w:rPr>
                              </w:pPr>
                              <w:r>
                                <w:rPr>
                                  <w:rFonts w:hint="eastAsia"/>
                                  <w:lang w:eastAsia="zh-CN"/>
                                </w:rPr>
                                <w:t>授权人身份证复印件（正面）</w:t>
                              </w:r>
                            </w:p>
                          </w:txbxContent>
                        </wps:txbx>
                        <wps:bodyPr lIns="0" tIns="0" rIns="0" bIns="0" upright="1"/>
                      </wps:wsp>
                      <wps:wsp>
                        <wps:cNvPr id="12" name="文本框 12"/>
                        <wps:cNvSpPr txBox="1"/>
                        <wps:spPr>
                          <a:xfrm>
                            <a:off x="4044" y="19"/>
                            <a:ext cx="4025" cy="2258"/>
                          </a:xfrm>
                          <a:prstGeom prst="rect">
                            <a:avLst/>
                          </a:prstGeom>
                          <a:noFill/>
                          <a:ln>
                            <a:noFill/>
                          </a:ln>
                        </wps:spPr>
                        <wps:txbx>
                          <w:txbxContent>
                            <w:p w14:paraId="61B805CF">
                              <w:pPr>
                                <w:pStyle w:val="12"/>
                                <w:numPr>
                                  <w:ilvl w:val="0"/>
                                  <w:numId w:val="0"/>
                                </w:numPr>
                                <w:kinsoku w:val="0"/>
                                <w:overflowPunct w:val="0"/>
                              </w:pPr>
                            </w:p>
                            <w:p w14:paraId="6BC3C936">
                              <w:pPr>
                                <w:pStyle w:val="12"/>
                                <w:numPr>
                                  <w:ilvl w:val="0"/>
                                  <w:numId w:val="0"/>
                                </w:numPr>
                                <w:kinsoku w:val="0"/>
                                <w:overflowPunct w:val="0"/>
                              </w:pPr>
                            </w:p>
                            <w:p w14:paraId="510B15DA">
                              <w:pPr>
                                <w:pStyle w:val="12"/>
                                <w:numPr>
                                  <w:ilvl w:val="0"/>
                                  <w:numId w:val="0"/>
                                </w:numPr>
                                <w:kinsoku w:val="0"/>
                                <w:overflowPunct w:val="0"/>
                              </w:pPr>
                            </w:p>
                            <w:p w14:paraId="31522224">
                              <w:pPr>
                                <w:pStyle w:val="12"/>
                                <w:numPr>
                                  <w:ilvl w:val="0"/>
                                  <w:numId w:val="0"/>
                                </w:numPr>
                                <w:kinsoku w:val="0"/>
                                <w:overflowPunct w:val="0"/>
                                <w:ind w:firstLine="660" w:firstLineChars="300"/>
                                <w:rPr>
                                  <w:lang w:eastAsia="zh-CN"/>
                                </w:rPr>
                              </w:pPr>
                              <w:r>
                                <w:rPr>
                                  <w:rFonts w:hint="eastAsia"/>
                                  <w:lang w:eastAsia="zh-CN"/>
                                </w:rPr>
                                <w:t>授权人身份证复印件（反面）</w:t>
                              </w:r>
                            </w:p>
                          </w:txbxContent>
                        </wps:txbx>
                        <wps:bodyPr lIns="0" tIns="0" rIns="0" bIns="0" upright="1"/>
                      </wps:wsp>
                    </wpg:wgp>
                  </a:graphicData>
                </a:graphic>
              </wp:inline>
            </w:drawing>
          </mc:Choice>
          <mc:Fallback>
            <w:pict>
              <v:group id="_x0000_s1026" o:spid="_x0000_s1026" o:spt="203" style="height:114.85pt;width:404.45pt;" coordsize="8089,2297" o:gfxdata="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">
                <o:lock v:ext="edit" rotation="t" aspectratio="f"/>
                <v:shape id="任意多边形 1" o:spid="_x0000_s1026" o:spt="100" style="position:absolute;left:4;top:9;height:20;width:8079;" filled="f" stroked="t" coordsize="8079,20" o:gfxdata="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W/5H25AAAA2wAA&#10;AA8AAAAAAAAAAQAgAAAAIgAAAGRycy9kb3ducmV2LnhtbFBLAQIUABQAAAAIAIdO4kAzLwWeOwAA&#10;ADkAAAAQAAAAAAAAAAEAIAAAAAgBAABkcnMvc2hhcGV4bWwueG1sUEsFBgAAAAAGAAYAWwEAALID&#10;AAAAAA==&#10;" path="m0,0l8078,0e">
                  <v:fill on="f" focussize="0,0"/>
                  <v:stroke weight="0.48pt" color="#000000" joinstyle="round"/>
                  <v:imagedata o:title=""/>
                  <o:lock v:ext="edit" aspectratio="f"/>
                </v:shape>
                <v:shape id="_x0000_s1026" o:spid="_x0000_s1026" o:spt="100" style="position:absolute;left:24;top:28;height:20;width:8041;" filled="f" stroked="t" coordsize="8041,20" o:gfxdata="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tvKxbsAAADa&#10;AAAADwAAAAAAAAABACAAAAAiAAAAZHJzL2Rvd25yZXYueG1sUEsBAhQAFAAAAAgAh07iQDMvBZ47&#10;AAAAOQAAABAAAAAAAAAAAQAgAAAACgEAAGRycy9zaGFwZXhtbC54bWxQSwUGAAAAAAYABgBbAQAA&#10;tAMAAAAA&#10;" path="m0,0l8040,0e">
                  <v:fill on="f" focussize="0,0"/>
                  <v:stroke weight="0.48pt" color="#000000" joinstyle="round"/>
                  <v:imagedata o:title=""/>
                  <o:lock v:ext="edit" aspectratio="f"/>
                </v:shape>
                <v:shape id="_x0000_s1026" o:spid="_x0000_s1026" o:spt="100" style="position:absolute;left:24;top:2267;height:20;width:8041;" filled="f" stroked="t" coordsize="8041,20" o:gfxdata="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Xb168AAAA&#10;2gAAAA8AAAAAAAAAAQAgAAAAIgAAAGRycy9kb3ducmV2LnhtbFBLAQIUABQAAAAIAIdO4kAzLwWe&#10;OwAAADkAAAAQAAAAAAAAAAEAIAAAAAsBAABkcnMvc2hhcGV4bWwueG1sUEsFBgAAAAAGAAYAWwEA&#10;ALUDAAAAAA==&#10;" path="m0,0l8040,0e">
                  <v:fill on="f" focussize="0,0"/>
                  <v:stroke weight="0.48pt" color="#000000" joinstyle="round"/>
                  <v:imagedata o:title=""/>
                  <o:lock v:ext="edit" aspectratio="f"/>
                </v:shape>
                <v:shape id="_x0000_s1026" o:spid="_x0000_s1026" o:spt="100" style="position:absolute;left:4;top:2286;height:20;width:8079;" filled="f" stroked="t" coordsize="8079,20" o:gfxdata="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xCs4W8AAAA&#10;2gAAAA8AAAAAAAAAAQAgAAAAIgAAAGRycy9kb3ducmV2LnhtbFBLAQIUABQAAAAIAIdO4kAzLwWe&#10;OwAAADkAAAAQAAAAAAAAAAEAIAAAAAsBAABkcnMvc2hhcGV4bWwueG1sUEsFBgAAAAAGAAYAWwEA&#10;ALUDAAAAAA==&#10;" path="m0,0l8078,0e">
                  <v:fill on="f" focussize="0,0"/>
                  <v:stroke weight="0.48pt" color="#000000" joinstyle="round"/>
                  <v:imagedata o:title=""/>
                  <o:lock v:ext="edit" aspectratio="f"/>
                </v:shape>
                <v:shape id="_x0000_s1026" o:spid="_x0000_s1026" o:spt="100" style="position:absolute;left:9;top:4;height:2287;width:20;" filled="f" stroked="t" coordsize="20,2287" o:gfxdata="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MWGLsAAADa&#10;AAAADwAAAAAAAAABACAAAAAiAAAAZHJzL2Rvd25yZXYueG1sUEsBAhQAFAAAAAgAh07iQDMvBZ47&#10;AAAAOQAAABAAAAAAAAAAAQAgAAAACgEAAGRycy9zaGFwZXhtbC54bWxQSwUGAAAAAAYABgBbAQAA&#10;tAMAAAAA&#10;" path="m0,0l0,2286e">
                  <v:fill on="f" focussize="0,0"/>
                  <v:stroke weight="0.48pt" color="#000000" joinstyle="round"/>
                  <v:imagedata o:title=""/>
                  <o:lock v:ext="edit" aspectratio="f"/>
                </v:shape>
                <v:shape id="_x0000_s1026" o:spid="_x0000_s1026" o:spt="100" style="position:absolute;left:28;top:24;height:2249;width:20;" filled="f" stroked="t" coordsize="20,2249" o:gfxdata="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ZDJ74A&#10;AADaAAAADwAAAAAAAAABACAAAAAiAAAAZHJzL2Rvd25yZXYueG1sUEsBAhQAFAAAAAgAh07iQDMv&#10;BZ47AAAAOQAAABAAAAAAAAAAAQAgAAAADQEAAGRycy9zaGFwZXhtbC54bWxQSwUGAAAAAAYABgBb&#10;AQAAtwMAAAAA&#10;" path="m0,0l0,2248e">
                  <v:fill on="f" focussize="0,0"/>
                  <v:stroke weight="0.48pt" color="#000000" joinstyle="round"/>
                  <v:imagedata o:title=""/>
                  <o:lock v:ext="edit" aspectratio="f"/>
                </v:shape>
                <v:shape id="_x0000_s1026" o:spid="_x0000_s1026" o:spt="100" style="position:absolute;left:4034;top:24;height:2239;width:20;" filled="f" stroked="t" coordsize="20,2239" o:gfxdata="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qAfvugAAANoA&#10;AAAPAAAAAAAAAAEAIAAAACIAAABkcnMvZG93bnJldi54bWxQSwECFAAUAAAACACHTuJAMy8FnjsA&#10;AAA5AAAAEAAAAAAAAAABACAAAAAJAQAAZHJzL3NoYXBleG1sLnhtbFBLBQYAAAAABgAGAFsBAACz&#10;AwAAAAA=&#10;" path="m0,0l0,2238e">
                  <v:fill on="f" focussize="0,0"/>
                  <v:stroke weight="0.48pt" color="#000000" joinstyle="round"/>
                  <v:imagedata o:title=""/>
                  <o:lock v:ext="edit" aspectratio="f"/>
                </v:shape>
                <v:shape id="_x0000_s1026" o:spid="_x0000_s1026" o:spt="100" style="position:absolute;left:4053;top:24;height:2239;width:20;" filled="f" stroked="t" coordsize="20,2239" o:gfxdata="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03k522AAAA2gAAAA8A&#10;AAAAAAAAAQAgAAAAIgAAAGRycy9kb3ducmV2LnhtbFBLAQIUABQAAAAIAIdO4kAzLwWeOwAAADkA&#10;AAAQAAAAAAAAAAEAIAAAAAUBAABkcnMvc2hhcGV4bWwueG1sUEsFBgAAAAAGAAYAWwEAAK8DAAAA&#10;AA==&#10;" path="m0,0l0,2238e">
                  <v:fill on="f" focussize="0,0"/>
                  <v:stroke weight="0.48pt" color="#000000" joinstyle="round"/>
                  <v:imagedata o:title=""/>
                  <o:lock v:ext="edit" aspectratio="f"/>
                </v:shape>
                <v:shape id="_x0000_s1026" o:spid="_x0000_s1026" o:spt="100" style="position:absolute;left:8059;top:33;height:2239;width:20;" filled="f" stroked="t" coordsize="20,2239" o:gfxdata="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ezYGugAAANoA&#10;AAAPAAAAAAAAAAEAIAAAACIAAABkcnMvZG93bnJldi54bWxQSwECFAAUAAAACACHTuJAMy8FnjsA&#10;AAA5AAAAEAAAAAAAAAABACAAAAAJAQAAZHJzL3NoYXBleG1sLnhtbFBLBQYAAAAABgAGAFsBAACz&#10;AwAAAAA=&#10;" path="m0,0l0,2238e">
                  <v:fill on="f" focussize="0,0"/>
                  <v:stroke weight="0.48pt" color="#000000" joinstyle="round"/>
                  <v:imagedata o:title=""/>
                  <o:lock v:ext="edit" aspectratio="f"/>
                </v:shape>
                <v:shape id="_x0000_s1026" o:spid="_x0000_s1026" o:spt="100" style="position:absolute;left:8078;top:14;height:2278;width:20;" filled="f" stroked="t" coordsize="20,2278" o:gfxdata="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Aghb4A&#10;AADbAAAADwAAAAAAAAABACAAAAAiAAAAZHJzL2Rvd25yZXYueG1sUEsBAhQAFAAAAAgAh07iQDMv&#10;BZ47AAAAOQAAABAAAAAAAAAAAQAgAAAADQEAAGRycy9zaGFwZXhtbC54bWxQSwUGAAAAAAYABgBb&#10;AQAAtwMAAAAA&#10;" path="m0,0l0,2277e">
                  <v:fill on="f" focussize="0,0"/>
                  <v:stroke weight="0.48pt" color="#000000" joinstyle="round"/>
                  <v:imagedata o:title=""/>
                  <o:lock v:ext="edit" aspectratio="f"/>
                </v:shape>
                <v:shape id="_x0000_s1026" o:spid="_x0000_s1026" o:spt="202" type="#_x0000_t202" style="position:absolute;left:19;top:19;height:2258;width:4025;" filled="f" stroked="f" coordsize="21600,21600" o:gfxdata="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UZUI7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210F9879">
                        <w:pPr>
                          <w:pStyle w:val="12"/>
                          <w:numPr>
                            <w:ilvl w:val="0"/>
                            <w:numId w:val="0"/>
                          </w:numPr>
                          <w:kinsoku w:val="0"/>
                          <w:overflowPunct w:val="0"/>
                          <w:spacing w:before="12"/>
                          <w:rPr>
                            <w:sz w:val="28"/>
                            <w:szCs w:val="28"/>
                          </w:rPr>
                        </w:pPr>
                      </w:p>
                      <w:p w14:paraId="6E593092">
                        <w:pPr>
                          <w:pStyle w:val="12"/>
                          <w:numPr>
                            <w:ilvl w:val="0"/>
                            <w:numId w:val="0"/>
                          </w:numPr>
                          <w:kinsoku w:val="0"/>
                          <w:overflowPunct w:val="0"/>
                          <w:jc w:val="center"/>
                        </w:pPr>
                      </w:p>
                      <w:p w14:paraId="6EA95057">
                        <w:pPr>
                          <w:pStyle w:val="12"/>
                          <w:numPr>
                            <w:ilvl w:val="0"/>
                            <w:numId w:val="0"/>
                          </w:numPr>
                          <w:kinsoku w:val="0"/>
                          <w:overflowPunct w:val="0"/>
                          <w:jc w:val="center"/>
                          <w:rPr>
                            <w:lang w:eastAsia="zh-CN"/>
                          </w:rPr>
                        </w:pPr>
                        <w:r>
                          <w:rPr>
                            <w:rFonts w:hint="eastAsia"/>
                            <w:lang w:eastAsia="zh-CN"/>
                          </w:rPr>
                          <w:t>授权人身份证复印件（正面）</w:t>
                        </w:r>
                      </w:p>
                    </w:txbxContent>
                  </v:textbox>
                </v:shape>
                <v:shape id="_x0000_s1026" o:spid="_x0000_s1026" o:spt="202" type="#_x0000_t202" style="position:absolute;left:4044;top:19;height:2258;width:4025;" filled="f" stroked="f" coordsize="21600,21600" o:gfxdata="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yl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61B805CF">
                        <w:pPr>
                          <w:pStyle w:val="12"/>
                          <w:numPr>
                            <w:ilvl w:val="0"/>
                            <w:numId w:val="0"/>
                          </w:numPr>
                          <w:kinsoku w:val="0"/>
                          <w:overflowPunct w:val="0"/>
                        </w:pPr>
                      </w:p>
                      <w:p w14:paraId="6BC3C936">
                        <w:pPr>
                          <w:pStyle w:val="12"/>
                          <w:numPr>
                            <w:ilvl w:val="0"/>
                            <w:numId w:val="0"/>
                          </w:numPr>
                          <w:kinsoku w:val="0"/>
                          <w:overflowPunct w:val="0"/>
                        </w:pPr>
                      </w:p>
                      <w:p w14:paraId="510B15DA">
                        <w:pPr>
                          <w:pStyle w:val="12"/>
                          <w:numPr>
                            <w:ilvl w:val="0"/>
                            <w:numId w:val="0"/>
                          </w:numPr>
                          <w:kinsoku w:val="0"/>
                          <w:overflowPunct w:val="0"/>
                        </w:pPr>
                      </w:p>
                      <w:p w14:paraId="31522224">
                        <w:pPr>
                          <w:pStyle w:val="12"/>
                          <w:numPr>
                            <w:ilvl w:val="0"/>
                            <w:numId w:val="0"/>
                          </w:numPr>
                          <w:kinsoku w:val="0"/>
                          <w:overflowPunct w:val="0"/>
                          <w:ind w:firstLine="660" w:firstLineChars="300"/>
                          <w:rPr>
                            <w:lang w:eastAsia="zh-CN"/>
                          </w:rPr>
                        </w:pPr>
                        <w:r>
                          <w:rPr>
                            <w:rFonts w:hint="eastAsia"/>
                            <w:lang w:eastAsia="zh-CN"/>
                          </w:rPr>
                          <w:t>授权人身份证复印件（反面）</w:t>
                        </w:r>
                      </w:p>
                    </w:txbxContent>
                  </v:textbox>
                </v:shape>
                <w10:wrap type="none"/>
                <w10:anchorlock/>
              </v:group>
            </w:pict>
          </mc:Fallback>
        </mc:AlternateContent>
      </w:r>
    </w:p>
    <w:p w14:paraId="16A4A6C0">
      <w:pPr>
        <w:pStyle w:val="12"/>
        <w:numPr>
          <w:ilvl w:val="0"/>
          <w:numId w:val="0"/>
        </w:numPr>
        <w:pBdr>
          <w:top w:val="none" w:color="auto" w:sz="0" w:space="0"/>
          <w:left w:val="none" w:color="auto" w:sz="0" w:space="0"/>
          <w:bottom w:val="none" w:color="auto" w:sz="0" w:space="0"/>
          <w:right w:val="none" w:color="auto" w:sz="0" w:space="0"/>
          <w:between w:val="none" w:color="auto" w:sz="0" w:space="0"/>
        </w:pBdr>
        <w:kinsoku w:val="0"/>
        <w:overflowPunct w:val="0"/>
        <w:adjustRightInd w:val="0"/>
        <w:snapToGrid w:val="0"/>
        <w:spacing w:line="200" w:lineRule="atLeast"/>
        <w:rPr>
          <w:rFonts w:hint="eastAsia" w:asciiTheme="minorEastAsia" w:hAnsiTheme="minorEastAsia" w:eastAsiaTheme="minorEastAsia" w:cstheme="minorEastAsia"/>
          <w:color w:val="auto"/>
          <w:sz w:val="18"/>
          <w:szCs w:val="20"/>
        </w:rPr>
      </w:pPr>
      <w:r>
        <w:rPr>
          <w:rFonts w:hint="eastAsia" w:asciiTheme="minorEastAsia" w:hAnsiTheme="minorEastAsia" w:eastAsiaTheme="minorEastAsia" w:cstheme="minorEastAsia"/>
          <w:color w:val="auto"/>
          <w:sz w:val="18"/>
          <w:szCs w:val="20"/>
        </w:rPr>
        <mc:AlternateContent>
          <mc:Choice Requires="wpg">
            <w:drawing>
              <wp:inline distT="0" distB="0" distL="114300" distR="114300">
                <wp:extent cx="5136515" cy="1384935"/>
                <wp:effectExtent l="0" t="0" r="7620" b="6985"/>
                <wp:docPr id="36" name="组合 36"/>
                <wp:cNvGraphicFramePr/>
                <a:graphic xmlns:a="http://schemas.openxmlformats.org/drawingml/2006/main">
                  <a:graphicData uri="http://schemas.microsoft.com/office/word/2010/wordprocessingGroup">
                    <wpg:wgp>
                      <wpg:cNvGrpSpPr>
                        <a:grpSpLocks noRot="1"/>
                      </wpg:cNvGrpSpPr>
                      <wpg:grpSpPr>
                        <a:xfrm>
                          <a:off x="0" y="0"/>
                          <a:ext cx="5136515" cy="1384935"/>
                          <a:chOff x="0" y="0"/>
                          <a:chExt cx="8089" cy="2181"/>
                        </a:xfrm>
                      </wpg:grpSpPr>
                      <wps:wsp>
                        <wps:cNvPr id="37" name="任意多边形 34"/>
                        <wps:cNvSpPr/>
                        <wps:spPr>
                          <a:xfrm>
                            <a:off x="4" y="9"/>
                            <a:ext cx="8079" cy="20"/>
                          </a:xfrm>
                          <a:custGeom>
                            <a:avLst/>
                            <a:gdLst/>
                            <a:ahLst/>
                            <a:cxnLst/>
                            <a:rect l="0" t="0" r="0" b="0"/>
                            <a:pathLst>
                              <a:path w="8079" h="20">
                                <a:moveTo>
                                  <a:pt x="0" y="0"/>
                                </a:moveTo>
                                <a:lnTo>
                                  <a:pt x="8078" y="0"/>
                                </a:lnTo>
                              </a:path>
                            </a:pathLst>
                          </a:custGeom>
                          <a:noFill/>
                          <a:ln w="6096" cap="flat" cmpd="sng">
                            <a:solidFill>
                              <a:srgbClr val="000000"/>
                            </a:solidFill>
                            <a:prstDash val="solid"/>
                            <a:headEnd type="none" w="med" len="med"/>
                            <a:tailEnd type="none" w="med" len="med"/>
                          </a:ln>
                        </wps:spPr>
                        <wps:bodyPr upright="1"/>
                      </wps:wsp>
                      <wps:wsp>
                        <wps:cNvPr id="38" name="任意多边形 35"/>
                        <wps:cNvSpPr/>
                        <wps:spPr>
                          <a:xfrm>
                            <a:off x="24" y="28"/>
                            <a:ext cx="8041" cy="20"/>
                          </a:xfrm>
                          <a:custGeom>
                            <a:avLst/>
                            <a:gdLst/>
                            <a:ahLst/>
                            <a:cxnLst/>
                            <a:rect l="0" t="0" r="0" b="0"/>
                            <a:pathLst>
                              <a:path w="8041" h="20">
                                <a:moveTo>
                                  <a:pt x="0" y="0"/>
                                </a:moveTo>
                                <a:lnTo>
                                  <a:pt x="8040" y="0"/>
                                </a:lnTo>
                              </a:path>
                            </a:pathLst>
                          </a:custGeom>
                          <a:noFill/>
                          <a:ln w="6096" cap="flat" cmpd="sng">
                            <a:solidFill>
                              <a:srgbClr val="000000"/>
                            </a:solidFill>
                            <a:prstDash val="solid"/>
                            <a:headEnd type="none" w="med" len="med"/>
                            <a:tailEnd type="none" w="med" len="med"/>
                          </a:ln>
                        </wps:spPr>
                        <wps:bodyPr upright="1"/>
                      </wps:wsp>
                      <wps:wsp>
                        <wps:cNvPr id="39" name="任意多边形 36"/>
                        <wps:cNvSpPr/>
                        <wps:spPr>
                          <a:xfrm>
                            <a:off x="24" y="2151"/>
                            <a:ext cx="8041" cy="20"/>
                          </a:xfrm>
                          <a:custGeom>
                            <a:avLst/>
                            <a:gdLst/>
                            <a:ahLst/>
                            <a:cxnLst/>
                            <a:rect l="0" t="0" r="0" b="0"/>
                            <a:pathLst>
                              <a:path w="8041" h="20">
                                <a:moveTo>
                                  <a:pt x="0" y="0"/>
                                </a:moveTo>
                                <a:lnTo>
                                  <a:pt x="8040" y="0"/>
                                </a:lnTo>
                              </a:path>
                            </a:pathLst>
                          </a:custGeom>
                          <a:noFill/>
                          <a:ln w="6096" cap="flat" cmpd="sng">
                            <a:solidFill>
                              <a:srgbClr val="000000"/>
                            </a:solidFill>
                            <a:prstDash val="solid"/>
                            <a:headEnd type="none" w="med" len="med"/>
                            <a:tailEnd type="none" w="med" len="med"/>
                          </a:ln>
                        </wps:spPr>
                        <wps:bodyPr upright="1"/>
                      </wps:wsp>
                      <wps:wsp>
                        <wps:cNvPr id="40" name="任意多边形 37"/>
                        <wps:cNvSpPr/>
                        <wps:spPr>
                          <a:xfrm>
                            <a:off x="4" y="2170"/>
                            <a:ext cx="8079" cy="20"/>
                          </a:xfrm>
                          <a:custGeom>
                            <a:avLst/>
                            <a:gdLst/>
                            <a:ahLst/>
                            <a:cxnLst/>
                            <a:rect l="0" t="0" r="0" b="0"/>
                            <a:pathLst>
                              <a:path w="8079" h="20">
                                <a:moveTo>
                                  <a:pt x="0" y="0"/>
                                </a:moveTo>
                                <a:lnTo>
                                  <a:pt x="8078" y="0"/>
                                </a:lnTo>
                              </a:path>
                            </a:pathLst>
                          </a:custGeom>
                          <a:noFill/>
                          <a:ln w="6096" cap="flat" cmpd="sng">
                            <a:solidFill>
                              <a:srgbClr val="000000"/>
                            </a:solidFill>
                            <a:prstDash val="solid"/>
                            <a:headEnd type="none" w="med" len="med"/>
                            <a:tailEnd type="none" w="med" len="med"/>
                          </a:ln>
                        </wps:spPr>
                        <wps:bodyPr upright="1"/>
                      </wps:wsp>
                      <wps:wsp>
                        <wps:cNvPr id="41" name="任意多边形 38"/>
                        <wps:cNvSpPr/>
                        <wps:spPr>
                          <a:xfrm>
                            <a:off x="9" y="4"/>
                            <a:ext cx="20" cy="2171"/>
                          </a:xfrm>
                          <a:custGeom>
                            <a:avLst/>
                            <a:gdLst/>
                            <a:ahLst/>
                            <a:cxnLst/>
                            <a:rect l="0" t="0" r="0" b="0"/>
                            <a:pathLst>
                              <a:path w="20" h="2171">
                                <a:moveTo>
                                  <a:pt x="0" y="0"/>
                                </a:moveTo>
                                <a:lnTo>
                                  <a:pt x="0" y="2170"/>
                                </a:lnTo>
                              </a:path>
                            </a:pathLst>
                          </a:custGeom>
                          <a:noFill/>
                          <a:ln w="6096" cap="flat" cmpd="sng">
                            <a:solidFill>
                              <a:srgbClr val="000000"/>
                            </a:solidFill>
                            <a:prstDash val="solid"/>
                            <a:headEnd type="none" w="med" len="med"/>
                            <a:tailEnd type="none" w="med" len="med"/>
                          </a:ln>
                        </wps:spPr>
                        <wps:bodyPr upright="1"/>
                      </wps:wsp>
                      <wps:wsp>
                        <wps:cNvPr id="42" name="任意多边形 39"/>
                        <wps:cNvSpPr/>
                        <wps:spPr>
                          <a:xfrm>
                            <a:off x="28" y="24"/>
                            <a:ext cx="20" cy="2133"/>
                          </a:xfrm>
                          <a:custGeom>
                            <a:avLst/>
                            <a:gdLst/>
                            <a:ahLst/>
                            <a:cxnLst/>
                            <a:rect l="0" t="0" r="0" b="0"/>
                            <a:pathLst>
                              <a:path w="20" h="2133">
                                <a:moveTo>
                                  <a:pt x="0" y="0"/>
                                </a:moveTo>
                                <a:lnTo>
                                  <a:pt x="0" y="2132"/>
                                </a:lnTo>
                              </a:path>
                            </a:pathLst>
                          </a:custGeom>
                          <a:noFill/>
                          <a:ln w="6096" cap="flat" cmpd="sng">
                            <a:solidFill>
                              <a:srgbClr val="000000"/>
                            </a:solidFill>
                            <a:prstDash val="solid"/>
                            <a:headEnd type="none" w="med" len="med"/>
                            <a:tailEnd type="none" w="med" len="med"/>
                          </a:ln>
                        </wps:spPr>
                        <wps:bodyPr upright="1"/>
                      </wps:wsp>
                      <wps:wsp>
                        <wps:cNvPr id="43" name="任意多边形 40"/>
                        <wps:cNvSpPr/>
                        <wps:spPr>
                          <a:xfrm>
                            <a:off x="4034" y="24"/>
                            <a:ext cx="20" cy="2123"/>
                          </a:xfrm>
                          <a:custGeom>
                            <a:avLst/>
                            <a:gdLst/>
                            <a:ahLst/>
                            <a:cxnLst/>
                            <a:rect l="0" t="0" r="0" b="0"/>
                            <a:pathLst>
                              <a:path w="20" h="2123">
                                <a:moveTo>
                                  <a:pt x="0" y="0"/>
                                </a:moveTo>
                                <a:lnTo>
                                  <a:pt x="0" y="2122"/>
                                </a:lnTo>
                              </a:path>
                            </a:pathLst>
                          </a:custGeom>
                          <a:noFill/>
                          <a:ln w="6096" cap="flat" cmpd="sng">
                            <a:solidFill>
                              <a:srgbClr val="000000"/>
                            </a:solidFill>
                            <a:prstDash val="solid"/>
                            <a:headEnd type="none" w="med" len="med"/>
                            <a:tailEnd type="none" w="med" len="med"/>
                          </a:ln>
                        </wps:spPr>
                        <wps:bodyPr upright="1"/>
                      </wps:wsp>
                      <wps:wsp>
                        <wps:cNvPr id="44" name="任意多边形 41"/>
                        <wps:cNvSpPr/>
                        <wps:spPr>
                          <a:xfrm>
                            <a:off x="4053" y="24"/>
                            <a:ext cx="20" cy="2123"/>
                          </a:xfrm>
                          <a:custGeom>
                            <a:avLst/>
                            <a:gdLst/>
                            <a:ahLst/>
                            <a:cxnLst/>
                            <a:rect l="0" t="0" r="0" b="0"/>
                            <a:pathLst>
                              <a:path w="20" h="2123">
                                <a:moveTo>
                                  <a:pt x="0" y="0"/>
                                </a:moveTo>
                                <a:lnTo>
                                  <a:pt x="0" y="2122"/>
                                </a:lnTo>
                              </a:path>
                            </a:pathLst>
                          </a:custGeom>
                          <a:noFill/>
                          <a:ln w="6096" cap="flat" cmpd="sng">
                            <a:solidFill>
                              <a:srgbClr val="000000"/>
                            </a:solidFill>
                            <a:prstDash val="solid"/>
                            <a:headEnd type="none" w="med" len="med"/>
                            <a:tailEnd type="none" w="med" len="med"/>
                          </a:ln>
                        </wps:spPr>
                        <wps:bodyPr upright="1"/>
                      </wps:wsp>
                      <wps:wsp>
                        <wps:cNvPr id="45" name="任意多边形 42"/>
                        <wps:cNvSpPr/>
                        <wps:spPr>
                          <a:xfrm>
                            <a:off x="8059" y="33"/>
                            <a:ext cx="20" cy="2123"/>
                          </a:xfrm>
                          <a:custGeom>
                            <a:avLst/>
                            <a:gdLst/>
                            <a:ahLst/>
                            <a:cxnLst/>
                            <a:rect l="0" t="0" r="0" b="0"/>
                            <a:pathLst>
                              <a:path w="20" h="2123">
                                <a:moveTo>
                                  <a:pt x="0" y="0"/>
                                </a:moveTo>
                                <a:lnTo>
                                  <a:pt x="0" y="2122"/>
                                </a:lnTo>
                              </a:path>
                            </a:pathLst>
                          </a:custGeom>
                          <a:noFill/>
                          <a:ln w="6096" cap="flat" cmpd="sng">
                            <a:solidFill>
                              <a:srgbClr val="000000"/>
                            </a:solidFill>
                            <a:prstDash val="solid"/>
                            <a:headEnd type="none" w="med" len="med"/>
                            <a:tailEnd type="none" w="med" len="med"/>
                          </a:ln>
                        </wps:spPr>
                        <wps:bodyPr upright="1"/>
                      </wps:wsp>
                      <wps:wsp>
                        <wps:cNvPr id="46" name="任意多边形 43"/>
                        <wps:cNvSpPr/>
                        <wps:spPr>
                          <a:xfrm>
                            <a:off x="8078" y="14"/>
                            <a:ext cx="20" cy="2162"/>
                          </a:xfrm>
                          <a:custGeom>
                            <a:avLst/>
                            <a:gdLst/>
                            <a:ahLst/>
                            <a:cxnLst/>
                            <a:rect l="0" t="0" r="0" b="0"/>
                            <a:pathLst>
                              <a:path w="20" h="2162">
                                <a:moveTo>
                                  <a:pt x="0" y="0"/>
                                </a:moveTo>
                                <a:lnTo>
                                  <a:pt x="0" y="2161"/>
                                </a:lnTo>
                              </a:path>
                            </a:pathLst>
                          </a:custGeom>
                          <a:noFill/>
                          <a:ln w="6096" cap="flat" cmpd="sng">
                            <a:solidFill>
                              <a:srgbClr val="000000"/>
                            </a:solidFill>
                            <a:prstDash val="solid"/>
                            <a:headEnd type="none" w="med" len="med"/>
                            <a:tailEnd type="none" w="med" len="med"/>
                          </a:ln>
                        </wps:spPr>
                        <wps:bodyPr upright="1"/>
                      </wps:wsp>
                      <wps:wsp>
                        <wps:cNvPr id="47" name="文本框 44"/>
                        <wps:cNvSpPr txBox="1"/>
                        <wps:spPr>
                          <a:xfrm>
                            <a:off x="19" y="19"/>
                            <a:ext cx="4025" cy="2142"/>
                          </a:xfrm>
                          <a:prstGeom prst="rect">
                            <a:avLst/>
                          </a:prstGeom>
                          <a:noFill/>
                          <a:ln>
                            <a:noFill/>
                          </a:ln>
                        </wps:spPr>
                        <wps:txbx>
                          <w:txbxContent>
                            <w:p w14:paraId="5CD28CA0">
                              <w:pPr>
                                <w:pStyle w:val="12"/>
                                <w:numPr>
                                  <w:ilvl w:val="0"/>
                                  <w:numId w:val="0"/>
                                </w:numPr>
                                <w:kinsoku w:val="0"/>
                                <w:overflowPunct w:val="0"/>
                              </w:pPr>
                            </w:p>
                            <w:p w14:paraId="1469B73C">
                              <w:pPr>
                                <w:pStyle w:val="12"/>
                                <w:numPr>
                                  <w:ilvl w:val="0"/>
                                  <w:numId w:val="0"/>
                                </w:numPr>
                                <w:kinsoku w:val="0"/>
                                <w:overflowPunct w:val="0"/>
                              </w:pPr>
                            </w:p>
                            <w:p w14:paraId="36A73BDC">
                              <w:pPr>
                                <w:pStyle w:val="12"/>
                                <w:numPr>
                                  <w:ilvl w:val="0"/>
                                  <w:numId w:val="0"/>
                                </w:numPr>
                                <w:kinsoku w:val="0"/>
                                <w:overflowPunct w:val="0"/>
                                <w:jc w:val="center"/>
                                <w:rPr>
                                  <w:lang w:eastAsia="zh-CN"/>
                                </w:rPr>
                              </w:pPr>
                              <w:r>
                                <w:rPr>
                                  <w:rFonts w:hint="eastAsia"/>
                                  <w:lang w:eastAsia="zh-CN"/>
                                </w:rPr>
                                <w:t>被授权代表身份证复印件（正面）</w:t>
                              </w:r>
                            </w:p>
                          </w:txbxContent>
                        </wps:txbx>
                        <wps:bodyPr lIns="0" tIns="0" rIns="0" bIns="0" upright="1"/>
                      </wps:wsp>
                      <wps:wsp>
                        <wps:cNvPr id="48" name="文本框 45"/>
                        <wps:cNvSpPr txBox="1"/>
                        <wps:spPr>
                          <a:xfrm>
                            <a:off x="4044" y="19"/>
                            <a:ext cx="4025" cy="2142"/>
                          </a:xfrm>
                          <a:prstGeom prst="rect">
                            <a:avLst/>
                          </a:prstGeom>
                          <a:noFill/>
                          <a:ln>
                            <a:noFill/>
                          </a:ln>
                        </wps:spPr>
                        <wps:txbx>
                          <w:txbxContent>
                            <w:p w14:paraId="2A360718">
                              <w:pPr>
                                <w:pStyle w:val="12"/>
                                <w:numPr>
                                  <w:ilvl w:val="0"/>
                                  <w:numId w:val="0"/>
                                </w:numPr>
                                <w:kinsoku w:val="0"/>
                                <w:overflowPunct w:val="0"/>
                              </w:pPr>
                            </w:p>
                            <w:p w14:paraId="75BAF324">
                              <w:pPr>
                                <w:pStyle w:val="12"/>
                                <w:numPr>
                                  <w:ilvl w:val="0"/>
                                  <w:numId w:val="0"/>
                                </w:numPr>
                                <w:kinsoku w:val="0"/>
                                <w:overflowPunct w:val="0"/>
                              </w:pPr>
                            </w:p>
                            <w:p w14:paraId="200E9A9A">
                              <w:pPr>
                                <w:pStyle w:val="12"/>
                                <w:numPr>
                                  <w:ilvl w:val="0"/>
                                  <w:numId w:val="0"/>
                                </w:numPr>
                                <w:kinsoku w:val="0"/>
                                <w:overflowPunct w:val="0"/>
                                <w:ind w:firstLine="660" w:firstLineChars="300"/>
                                <w:rPr>
                                  <w:lang w:eastAsia="zh-CN"/>
                                </w:rPr>
                              </w:pPr>
                              <w:r>
                                <w:rPr>
                                  <w:rFonts w:hint="eastAsia"/>
                                  <w:lang w:eastAsia="zh-CN"/>
                                </w:rPr>
                                <w:t>被授权代表身份证复印件（反面）</w:t>
                              </w:r>
                            </w:p>
                          </w:txbxContent>
                        </wps:txbx>
                        <wps:bodyPr lIns="0" tIns="0" rIns="0" bIns="0" upright="1"/>
                      </wps:wsp>
                    </wpg:wgp>
                  </a:graphicData>
                </a:graphic>
              </wp:inline>
            </w:drawing>
          </mc:Choice>
          <mc:Fallback>
            <w:pict>
              <v:group id="_x0000_s1026" o:spid="_x0000_s1026" o:spt="203" style="height:109.05pt;width:404.45pt;" coordsize="8089,2181" o:gfxdata="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">
                <o:lock v:ext="edit" rotation="t" aspectratio="f"/>
                <v:shape id="任意多边形 34" o:spid="_x0000_s1026" o:spt="100" style="position:absolute;left:4;top:9;height:20;width:8079;" filled="f" stroked="t" coordsize="8079,20" o:gfxdata="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ebSvQAA&#10;ANsAAAAPAAAAAAAAAAEAIAAAACIAAABkcnMvZG93bnJldi54bWxQSwECFAAUAAAACACHTuJAMy8F&#10;njsAAAA5AAAAEAAAAAAAAAABACAAAAAMAQAAZHJzL3NoYXBleG1sLnhtbFBLBQYAAAAABgAGAFsB&#10;AAC2AwAAAAA=&#10;" path="m0,0l8078,0e">
                  <v:fill on="f" focussize="0,0"/>
                  <v:stroke weight="0.48pt" color="#000000" joinstyle="round"/>
                  <v:imagedata o:title=""/>
                  <o:lock v:ext="edit" aspectratio="f"/>
                </v:shape>
                <v:shape id="任意多边形 35" o:spid="_x0000_s1026" o:spt="100" style="position:absolute;left:24;top:28;height:20;width:8041;" filled="f" stroked="t" coordsize="8041,20" o:gfxdata="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WAewugAAANsA&#10;AAAPAAAAAAAAAAEAIAAAACIAAABkcnMvZG93bnJldi54bWxQSwECFAAUAAAACACHTuJAMy8FnjsA&#10;AAA5AAAAEAAAAAAAAAABACAAAAAJAQAAZHJzL3NoYXBleG1sLnhtbFBLBQYAAAAABgAGAFsBAACz&#10;AwAAAAA=&#10;" path="m0,0l8040,0e">
                  <v:fill on="f" focussize="0,0"/>
                  <v:stroke weight="0.48pt" color="#000000" joinstyle="round"/>
                  <v:imagedata o:title=""/>
                  <o:lock v:ext="edit" aspectratio="f"/>
                </v:shape>
                <v:shape id="任意多边形 36" o:spid="_x0000_s1026" o:spt="100" style="position:absolute;left:24;top:2151;height:20;width:8041;" filled="f" stroked="t" coordsize="8041,20" o:gfxdata="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FKIrvQAA&#10;ANsAAAAPAAAAAAAAAAEAIAAAACIAAABkcnMvZG93bnJldi54bWxQSwECFAAUAAAACACHTuJAMy8F&#10;njsAAAA5AAAAEAAAAAAAAAABACAAAAAMAQAAZHJzL3NoYXBleG1sLnhtbFBLBQYAAAAABgAGAFsB&#10;AAC2AwAAAAA=&#10;" path="m0,0l8040,0e">
                  <v:fill on="f" focussize="0,0"/>
                  <v:stroke weight="0.48pt" color="#000000" joinstyle="round"/>
                  <v:imagedata o:title=""/>
                  <o:lock v:ext="edit" aspectratio="f"/>
                </v:shape>
                <v:shape id="任意多边形 37" o:spid="_x0000_s1026" o:spt="100" style="position:absolute;left:4;top:2170;height:20;width:8079;" filled="f" stroked="t" coordsize="8079,20" o:gfxdata="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YWDdu5AAAA2wAA&#10;AA8AAAAAAAAAAQAgAAAAIgAAAGRycy9kb3ducmV2LnhtbFBLAQIUABQAAAAIAIdO4kAzLwWeOwAA&#10;ADkAAAAQAAAAAAAAAAEAIAAAAAgBAABkcnMvc2hhcGV4bWwueG1sUEsFBgAAAAAGAAYAWwEAALID&#10;AAAAAA==&#10;" path="m0,0l8078,0e">
                  <v:fill on="f" focussize="0,0"/>
                  <v:stroke weight="0.48pt" color="#000000" joinstyle="round"/>
                  <v:imagedata o:title=""/>
                  <o:lock v:ext="edit" aspectratio="f"/>
                </v:shape>
                <v:shape id="任意多边形 38" o:spid="_x0000_s1026" o:spt="100" style="position:absolute;left:9;top:4;height:2171;width:20;" filled="f" stroked="t" coordsize="20,2171" o:gfxdata="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GrYT7sAAADb&#10;AAAADwAAAAAAAAABACAAAAAiAAAAZHJzL2Rvd25yZXYueG1sUEsBAhQAFAAAAAgAh07iQDMvBZ47&#10;AAAAOQAAABAAAAAAAAAAAQAgAAAACgEAAGRycy9zaGFwZXhtbC54bWxQSwUGAAAAAAYABgBbAQAA&#10;tAMAAAAA&#10;" path="m0,0l0,2170e">
                  <v:fill on="f" focussize="0,0"/>
                  <v:stroke weight="0.48pt" color="#000000" joinstyle="round"/>
                  <v:imagedata o:title=""/>
                  <o:lock v:ext="edit" aspectratio="f"/>
                </v:shape>
                <v:shape id="任意多边形 39" o:spid="_x0000_s1026" o:spt="100" style="position:absolute;left:28;top:24;height:2133;width:20;" filled="f" stroked="t" coordsize="20,2133" o:gfxdata="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3Uk7y/&#10;AAAA2wAAAA8AAAAAAAAAAQAgAAAAIgAAAGRycy9kb3ducmV2LnhtbFBLAQIUABQAAAAIAIdO4kAz&#10;LwWeOwAAADkAAAAQAAAAAAAAAAEAIAAAAA4BAABkcnMvc2hhcGV4bWwueG1sUEsFBgAAAAAGAAYA&#10;WwEAALgDAAAAAA==&#10;" path="m0,0l0,2132e">
                  <v:fill on="f" focussize="0,0"/>
                  <v:stroke weight="0.48pt" color="#000000" joinstyle="round"/>
                  <v:imagedata o:title=""/>
                  <o:lock v:ext="edit" aspectratio="f"/>
                </v:shape>
                <v:shape id="任意多边形 40" o:spid="_x0000_s1026" o:spt="100" style="position:absolute;left:4034;top:24;height:2123;width:20;" filled="f" stroked="t" coordsize="20,2123" o:gfxdata="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1HbS8AAAA&#10;2wAAAA8AAAAAAAAAAQAgAAAAIgAAAGRycy9kb3ducmV2LnhtbFBLAQIUABQAAAAIAIdO4kAzLwWe&#10;OwAAADkAAAAQAAAAAAAAAAEAIAAAAAsBAABkcnMvc2hhcGV4bWwueG1sUEsFBgAAAAAGAAYAWwEA&#10;ALUDAAAAAA==&#10;" path="m0,0l0,2122e">
                  <v:fill on="f" focussize="0,0"/>
                  <v:stroke weight="0.48pt" color="#000000" joinstyle="round"/>
                  <v:imagedata o:title=""/>
                  <o:lock v:ext="edit" aspectratio="f"/>
                </v:shape>
                <v:shape id="任意多边形 41" o:spid="_x0000_s1026" o:spt="100" style="position:absolute;left:4053;top:24;height:2123;width:20;" filled="f" stroked="t" coordsize="20,2123" o:gfxdata="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chcC8AAAA&#10;2wAAAA8AAAAAAAAAAQAgAAAAIgAAAGRycy9kb3ducmV2LnhtbFBLAQIUABQAAAAIAIdO4kAzLwWe&#10;OwAAADkAAAAQAAAAAAAAAAEAIAAAAAsBAABkcnMvc2hhcGV4bWwueG1sUEsFBgAAAAAGAAYAWwEA&#10;ALUDAAAAAA==&#10;" path="m0,0l0,2122e">
                  <v:fill on="f" focussize="0,0"/>
                  <v:stroke weight="0.48pt" color="#000000" joinstyle="round"/>
                  <v:imagedata o:title=""/>
                  <o:lock v:ext="edit" aspectratio="f"/>
                </v:shape>
                <v:shape id="任意多边形 42" o:spid="_x0000_s1026" o:spt="100" style="position:absolute;left:8059;top:33;height:2123;width:20;" filled="f" stroked="t" coordsize="20,2123" o:gfxdata="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QIFu8AAAA&#10;2wAAAA8AAAAAAAAAAQAgAAAAIgAAAGRycy9kb3ducmV2LnhtbFBLAQIUABQAAAAIAIdO4kAzLwWe&#10;OwAAADkAAAAQAAAAAAAAAAEAIAAAAAsBAABkcnMvc2hhcGV4bWwueG1sUEsFBgAAAAAGAAYAWwEA&#10;ALUDAAAAAA==&#10;" path="m0,0l0,2122e">
                  <v:fill on="f" focussize="0,0"/>
                  <v:stroke weight="0.48pt" color="#000000" joinstyle="round"/>
                  <v:imagedata o:title=""/>
                  <o:lock v:ext="edit" aspectratio="f"/>
                </v:shape>
                <v:shape id="任意多边形 43" o:spid="_x0000_s1026" o:spt="100" style="position:absolute;left:8078;top:14;height:2162;width:20;" filled="f" stroked="t" coordsize="20,2162" o:gfxdata="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2cm0ztwAAANsAAAAP&#10;AAAAAAAAAAEAIAAAACIAAABkcnMvZG93bnJldi54bWxQSwECFAAUAAAACACHTuJAMy8FnjsAAAA5&#10;AAAAEAAAAAAAAAABACAAAAAGAQAAZHJzL3NoYXBleG1sLnhtbFBLBQYAAAAABgAGAFsBAACwAwAA&#10;AAA=&#10;" path="m0,0l0,2161e">
                  <v:fill on="f" focussize="0,0"/>
                  <v:stroke weight="0.48pt" color="#000000" joinstyle="round"/>
                  <v:imagedata o:title=""/>
                  <o:lock v:ext="edit" aspectratio="f"/>
                </v:shape>
                <v:shape id="文本框 44" o:spid="_x0000_s1026" o:spt="202" type="#_x0000_t202" style="position:absolute;left:19;top:19;height:2142;width:4025;" filled="f" stroked="f" coordsize="21600,21600" o:gfxdata="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lBG0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CD28CA0">
                        <w:pPr>
                          <w:pStyle w:val="12"/>
                          <w:numPr>
                            <w:ilvl w:val="0"/>
                            <w:numId w:val="0"/>
                          </w:numPr>
                          <w:kinsoku w:val="0"/>
                          <w:overflowPunct w:val="0"/>
                        </w:pPr>
                      </w:p>
                      <w:p w14:paraId="1469B73C">
                        <w:pPr>
                          <w:pStyle w:val="12"/>
                          <w:numPr>
                            <w:ilvl w:val="0"/>
                            <w:numId w:val="0"/>
                          </w:numPr>
                          <w:kinsoku w:val="0"/>
                          <w:overflowPunct w:val="0"/>
                        </w:pPr>
                      </w:p>
                      <w:p w14:paraId="36A73BDC">
                        <w:pPr>
                          <w:pStyle w:val="12"/>
                          <w:numPr>
                            <w:ilvl w:val="0"/>
                            <w:numId w:val="0"/>
                          </w:numPr>
                          <w:kinsoku w:val="0"/>
                          <w:overflowPunct w:val="0"/>
                          <w:jc w:val="center"/>
                          <w:rPr>
                            <w:lang w:eastAsia="zh-CN"/>
                          </w:rPr>
                        </w:pPr>
                        <w:r>
                          <w:rPr>
                            <w:rFonts w:hint="eastAsia"/>
                            <w:lang w:eastAsia="zh-CN"/>
                          </w:rPr>
                          <w:t>被授权代表身份证复印件（正面）</w:t>
                        </w:r>
                      </w:p>
                    </w:txbxContent>
                  </v:textbox>
                </v:shape>
                <v:shape id="文本框 45" o:spid="_x0000_s1026" o:spt="202" type="#_x0000_t202" style="position:absolute;left:4044;top:19;height:2142;width:4025;" filled="f" stroked="f" coordsize="21600,21600" o:gfxdata="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z9Kj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2A360718">
                        <w:pPr>
                          <w:pStyle w:val="12"/>
                          <w:numPr>
                            <w:ilvl w:val="0"/>
                            <w:numId w:val="0"/>
                          </w:numPr>
                          <w:kinsoku w:val="0"/>
                          <w:overflowPunct w:val="0"/>
                        </w:pPr>
                      </w:p>
                      <w:p w14:paraId="75BAF324">
                        <w:pPr>
                          <w:pStyle w:val="12"/>
                          <w:numPr>
                            <w:ilvl w:val="0"/>
                            <w:numId w:val="0"/>
                          </w:numPr>
                          <w:kinsoku w:val="0"/>
                          <w:overflowPunct w:val="0"/>
                        </w:pPr>
                      </w:p>
                      <w:p w14:paraId="200E9A9A">
                        <w:pPr>
                          <w:pStyle w:val="12"/>
                          <w:numPr>
                            <w:ilvl w:val="0"/>
                            <w:numId w:val="0"/>
                          </w:numPr>
                          <w:kinsoku w:val="0"/>
                          <w:overflowPunct w:val="0"/>
                          <w:ind w:firstLine="660" w:firstLineChars="300"/>
                          <w:rPr>
                            <w:lang w:eastAsia="zh-CN"/>
                          </w:rPr>
                        </w:pPr>
                        <w:r>
                          <w:rPr>
                            <w:rFonts w:hint="eastAsia"/>
                            <w:lang w:eastAsia="zh-CN"/>
                          </w:rPr>
                          <w:t>被授权代表身份证复印件（反面）</w:t>
                        </w:r>
                      </w:p>
                    </w:txbxContent>
                  </v:textbox>
                </v:shape>
                <w10:wrap type="none"/>
                <w10:anchorlock/>
              </v:group>
            </w:pict>
          </mc:Fallback>
        </mc:AlternateContent>
      </w:r>
    </w:p>
    <w:p w14:paraId="459DC3C7">
      <w:pPr>
        <w:pStyle w:val="12"/>
        <w:numPr>
          <w:ilvl w:val="0"/>
          <w:numId w:val="0"/>
        </w:numPr>
        <w:pBdr>
          <w:top w:val="none" w:color="auto" w:sz="0" w:space="0"/>
          <w:left w:val="none" w:color="auto" w:sz="0" w:space="0"/>
          <w:bottom w:val="none" w:color="auto" w:sz="0" w:space="0"/>
          <w:right w:val="none" w:color="auto" w:sz="0" w:space="0"/>
          <w:between w:val="none" w:color="auto" w:sz="0" w:space="0"/>
        </w:pBdr>
        <w:tabs>
          <w:tab w:val="left" w:pos="5145"/>
          <w:tab w:val="left" w:pos="6591"/>
          <w:tab w:val="left" w:pos="7191"/>
          <w:tab w:val="left" w:pos="7791"/>
          <w:tab w:val="left" w:pos="8247"/>
        </w:tabs>
        <w:kinsoku w:val="0"/>
        <w:overflowPunct w:val="0"/>
        <w:adjustRightInd w:val="0"/>
        <w:snapToGrid w:val="0"/>
        <w:spacing w:line="360" w:lineRule="auto"/>
        <w:ind w:left="120" w:leftChars="50" w:right="238" w:firstLine="2400" w:firstLineChars="1200"/>
        <w:jc w:val="both"/>
        <w:rPr>
          <w:rFonts w:hint="eastAsia" w:asciiTheme="minorEastAsia" w:hAnsiTheme="minorEastAsia" w:eastAsiaTheme="minorEastAsia" w:cstheme="minorEastAsia"/>
          <w:color w:val="auto"/>
          <w:sz w:val="20"/>
        </w:rPr>
      </w:pPr>
    </w:p>
    <w:p w14:paraId="506C93B1">
      <w:pPr>
        <w:pStyle w:val="12"/>
        <w:numPr>
          <w:ilvl w:val="0"/>
          <w:numId w:val="0"/>
        </w:numPr>
        <w:pBdr>
          <w:top w:val="none" w:color="auto" w:sz="0" w:space="0"/>
          <w:left w:val="none" w:color="auto" w:sz="0" w:space="0"/>
          <w:bottom w:val="none" w:color="auto" w:sz="0" w:space="0"/>
          <w:right w:val="none" w:color="auto" w:sz="0" w:space="0"/>
          <w:between w:val="none" w:color="auto" w:sz="0" w:space="0"/>
        </w:pBdr>
        <w:tabs>
          <w:tab w:val="left" w:pos="5145"/>
          <w:tab w:val="left" w:pos="6591"/>
          <w:tab w:val="left" w:pos="7191"/>
          <w:tab w:val="left" w:pos="7791"/>
          <w:tab w:val="left" w:pos="8247"/>
        </w:tabs>
        <w:kinsoku w:val="0"/>
        <w:overflowPunct w:val="0"/>
        <w:adjustRightInd w:val="0"/>
        <w:snapToGrid w:val="0"/>
        <w:spacing w:line="360" w:lineRule="auto"/>
        <w:ind w:left="120" w:leftChars="50" w:right="238" w:firstLine="2400" w:firstLineChars="1200"/>
        <w:jc w:val="both"/>
        <w:rPr>
          <w:rFonts w:hint="eastAsia" w:asciiTheme="minorEastAsia" w:hAnsiTheme="minorEastAsia" w:eastAsiaTheme="minorEastAsia" w:cstheme="minorEastAsia"/>
          <w:color w:val="auto"/>
          <w:sz w:val="20"/>
        </w:rPr>
      </w:pPr>
    </w:p>
    <w:p w14:paraId="706AC471">
      <w:pPr>
        <w:pStyle w:val="12"/>
        <w:numPr>
          <w:ilvl w:val="0"/>
          <w:numId w:val="0"/>
        </w:numPr>
        <w:pBdr>
          <w:top w:val="none" w:color="auto" w:sz="0" w:space="0"/>
          <w:left w:val="none" w:color="auto" w:sz="0" w:space="0"/>
          <w:bottom w:val="none" w:color="auto" w:sz="0" w:space="0"/>
          <w:right w:val="none" w:color="auto" w:sz="0" w:space="0"/>
          <w:between w:val="none" w:color="auto" w:sz="0" w:space="0"/>
        </w:pBdr>
        <w:tabs>
          <w:tab w:val="left" w:pos="5145"/>
          <w:tab w:val="left" w:pos="6591"/>
          <w:tab w:val="left" w:pos="7191"/>
          <w:tab w:val="left" w:pos="7791"/>
          <w:tab w:val="left" w:pos="8247"/>
        </w:tabs>
        <w:kinsoku w:val="0"/>
        <w:overflowPunct w:val="0"/>
        <w:adjustRightInd w:val="0"/>
        <w:snapToGrid w:val="0"/>
        <w:spacing w:line="360" w:lineRule="auto"/>
        <w:ind w:left="120" w:leftChars="50" w:right="238" w:firstLine="2400" w:firstLineChars="1200"/>
        <w:jc w:val="both"/>
        <w:rPr>
          <w:rFonts w:hint="eastAsia" w:asciiTheme="minorEastAsia" w:hAnsiTheme="minorEastAsia" w:eastAsiaTheme="minorEastAsia" w:cstheme="minorEastAsia"/>
          <w:color w:val="auto"/>
          <w:sz w:val="20"/>
        </w:rPr>
      </w:pPr>
    </w:p>
    <w:p w14:paraId="4AFF0668">
      <w:pPr>
        <w:pStyle w:val="12"/>
        <w:numPr>
          <w:ilvl w:val="0"/>
          <w:numId w:val="0"/>
        </w:numPr>
        <w:pBdr>
          <w:top w:val="none" w:color="auto" w:sz="0" w:space="0"/>
          <w:left w:val="none" w:color="auto" w:sz="0" w:space="0"/>
          <w:bottom w:val="none" w:color="auto" w:sz="0" w:space="0"/>
          <w:right w:val="none" w:color="auto" w:sz="0" w:space="0"/>
          <w:between w:val="none" w:color="auto" w:sz="0" w:space="0"/>
        </w:pBdr>
        <w:tabs>
          <w:tab w:val="left" w:pos="5145"/>
          <w:tab w:val="left" w:pos="6591"/>
          <w:tab w:val="left" w:pos="7191"/>
          <w:tab w:val="left" w:pos="7791"/>
          <w:tab w:val="left" w:pos="8247"/>
        </w:tabs>
        <w:kinsoku w:val="0"/>
        <w:overflowPunct w:val="0"/>
        <w:adjustRightInd w:val="0"/>
        <w:snapToGrid w:val="0"/>
        <w:spacing w:line="360" w:lineRule="auto"/>
        <w:ind w:left="120" w:leftChars="50" w:right="238" w:firstLine="2880" w:firstLineChars="1200"/>
        <w:jc w:val="both"/>
        <w:rPr>
          <w:rFonts w:hint="eastAsia" w:asciiTheme="minorEastAsia" w:hAnsiTheme="minorEastAsia" w:eastAsiaTheme="minorEastAsia" w:cstheme="minorEastAsia"/>
          <w:color w:val="auto"/>
          <w:sz w:val="24"/>
          <w:lang w:eastAsia="zh-CN"/>
        </w:rPr>
      </w:pPr>
      <w:r>
        <w:rPr>
          <w:rFonts w:hint="eastAsia" w:asciiTheme="minorEastAsia" w:hAnsiTheme="minorEastAsia" w:eastAsiaTheme="minorEastAsia" w:cstheme="minorEastAsia"/>
          <w:color w:val="auto"/>
          <w:sz w:val="24"/>
          <w:lang w:eastAsia="zh-CN"/>
        </w:rPr>
        <w:t>供应商名称（盖章）：</w:t>
      </w:r>
      <w:r>
        <w:rPr>
          <w:rFonts w:hint="eastAsia" w:asciiTheme="minorEastAsia" w:hAnsiTheme="minorEastAsia" w:eastAsiaTheme="minorEastAsia" w:cstheme="minorEastAsia"/>
          <w:color w:val="auto"/>
          <w:sz w:val="24"/>
          <w:u w:val="single"/>
          <w:lang w:eastAsia="zh-CN"/>
        </w:rPr>
        <w:t xml:space="preserve">          </w:t>
      </w:r>
      <w:r>
        <w:rPr>
          <w:rFonts w:hint="eastAsia" w:asciiTheme="minorEastAsia" w:hAnsiTheme="minorEastAsia" w:eastAsiaTheme="minorEastAsia" w:cstheme="minorEastAsia"/>
          <w:color w:val="auto"/>
          <w:sz w:val="24"/>
          <w:u w:val="single"/>
          <w:lang w:val="en-US" w:eastAsia="zh-CN"/>
        </w:rPr>
        <w:t xml:space="preserve">    </w:t>
      </w:r>
      <w:r>
        <w:rPr>
          <w:rFonts w:hint="eastAsia" w:asciiTheme="minorEastAsia" w:hAnsiTheme="minorEastAsia" w:eastAsiaTheme="minorEastAsia" w:cstheme="minorEastAsia"/>
          <w:color w:val="auto"/>
          <w:sz w:val="24"/>
          <w:u w:val="single"/>
          <w:lang w:eastAsia="zh-CN"/>
        </w:rPr>
        <w:t xml:space="preserve">       </w:t>
      </w:r>
      <w:r>
        <w:rPr>
          <w:rFonts w:hint="eastAsia" w:asciiTheme="minorEastAsia" w:hAnsiTheme="minorEastAsia" w:eastAsiaTheme="minorEastAsia" w:cstheme="minorEastAsia"/>
          <w:color w:val="auto"/>
          <w:sz w:val="24"/>
          <w:lang w:eastAsia="zh-CN"/>
        </w:rPr>
        <w:t xml:space="preserve">               </w:t>
      </w:r>
    </w:p>
    <w:p w14:paraId="34A5983A">
      <w:pPr>
        <w:pStyle w:val="12"/>
        <w:numPr>
          <w:ilvl w:val="0"/>
          <w:numId w:val="0"/>
        </w:numPr>
        <w:pBdr>
          <w:top w:val="none" w:color="auto" w:sz="0" w:space="0"/>
          <w:left w:val="none" w:color="auto" w:sz="0" w:space="0"/>
          <w:bottom w:val="none" w:color="auto" w:sz="0" w:space="0"/>
          <w:right w:val="none" w:color="auto" w:sz="0" w:space="0"/>
          <w:between w:val="none" w:color="auto" w:sz="0" w:space="0"/>
        </w:pBdr>
        <w:tabs>
          <w:tab w:val="left" w:pos="5145"/>
          <w:tab w:val="left" w:pos="6591"/>
          <w:tab w:val="left" w:pos="7191"/>
          <w:tab w:val="left" w:pos="7791"/>
          <w:tab w:val="left" w:pos="8247"/>
        </w:tabs>
        <w:kinsoku w:val="0"/>
        <w:overflowPunct w:val="0"/>
        <w:adjustRightInd w:val="0"/>
        <w:snapToGrid w:val="0"/>
        <w:spacing w:line="360" w:lineRule="auto"/>
        <w:ind w:left="120" w:leftChars="50" w:right="238" w:firstLine="2880" w:firstLineChars="1200"/>
        <w:jc w:val="both"/>
        <w:rPr>
          <w:rFonts w:hint="eastAsia" w:asciiTheme="minorEastAsia" w:hAnsiTheme="minorEastAsia" w:eastAsiaTheme="minorEastAsia" w:cstheme="minorEastAsia"/>
          <w:color w:val="auto"/>
          <w:sz w:val="24"/>
          <w:lang w:eastAsia="zh-CN"/>
        </w:rPr>
      </w:pPr>
      <w:r>
        <w:rPr>
          <w:rFonts w:hint="eastAsia" w:asciiTheme="minorEastAsia" w:hAnsiTheme="minorEastAsia" w:eastAsiaTheme="minorEastAsia" w:cstheme="minorEastAsia"/>
          <w:color w:val="auto"/>
          <w:sz w:val="24"/>
          <w:lang w:eastAsia="zh-CN"/>
        </w:rPr>
        <w:t xml:space="preserve">法定代表人（签字或盖章）： </w:t>
      </w:r>
      <w:r>
        <w:rPr>
          <w:rFonts w:hint="eastAsia" w:asciiTheme="minorEastAsia" w:hAnsiTheme="minorEastAsia" w:eastAsiaTheme="minorEastAsia" w:cstheme="minorEastAsia"/>
          <w:color w:val="auto"/>
          <w:sz w:val="24"/>
          <w:u w:val="single"/>
          <w:lang w:eastAsia="zh-CN"/>
        </w:rPr>
        <w:t xml:space="preserve">              </w:t>
      </w:r>
      <w:r>
        <w:rPr>
          <w:rFonts w:hint="eastAsia" w:asciiTheme="minorEastAsia" w:hAnsiTheme="minorEastAsia" w:eastAsiaTheme="minorEastAsia" w:cstheme="minorEastAsia"/>
          <w:color w:val="auto"/>
          <w:sz w:val="24"/>
          <w:lang w:eastAsia="zh-CN"/>
        </w:rPr>
        <w:t xml:space="preserve">      </w:t>
      </w:r>
    </w:p>
    <w:p w14:paraId="4FCDB7BF">
      <w:pPr>
        <w:pStyle w:val="12"/>
        <w:numPr>
          <w:ilvl w:val="0"/>
          <w:numId w:val="0"/>
        </w:numPr>
        <w:pBdr>
          <w:top w:val="none" w:color="auto" w:sz="0" w:space="0"/>
          <w:left w:val="none" w:color="auto" w:sz="0" w:space="0"/>
          <w:bottom w:val="none" w:color="auto" w:sz="0" w:space="0"/>
          <w:right w:val="none" w:color="auto" w:sz="0" w:space="0"/>
          <w:between w:val="none" w:color="auto" w:sz="0" w:space="0"/>
        </w:pBdr>
        <w:tabs>
          <w:tab w:val="left" w:pos="5145"/>
          <w:tab w:val="left" w:pos="6591"/>
          <w:tab w:val="left" w:pos="7191"/>
          <w:tab w:val="left" w:pos="7791"/>
          <w:tab w:val="left" w:pos="8247"/>
        </w:tabs>
        <w:kinsoku w:val="0"/>
        <w:overflowPunct w:val="0"/>
        <w:adjustRightInd w:val="0"/>
        <w:snapToGrid w:val="0"/>
        <w:spacing w:line="360" w:lineRule="auto"/>
        <w:ind w:left="120" w:leftChars="50" w:right="238" w:firstLine="2880" w:firstLineChars="1200"/>
        <w:jc w:val="both"/>
        <w:rPr>
          <w:rFonts w:hint="eastAsia" w:asciiTheme="minorEastAsia" w:hAnsiTheme="minorEastAsia" w:eastAsiaTheme="minorEastAsia" w:cstheme="minorEastAsia"/>
          <w:color w:val="auto"/>
          <w:sz w:val="24"/>
          <w:lang w:eastAsia="zh-CN"/>
        </w:rPr>
      </w:pPr>
      <w:r>
        <w:rPr>
          <w:rFonts w:hint="eastAsia" w:asciiTheme="minorEastAsia" w:hAnsiTheme="minorEastAsia" w:eastAsiaTheme="minorEastAsia" w:cstheme="minorEastAsia"/>
          <w:color w:val="auto"/>
          <w:sz w:val="24"/>
          <w:lang w:eastAsia="zh-CN"/>
        </w:rPr>
        <w:t>委托代理人（签字或盖章）：</w:t>
      </w:r>
      <w:r>
        <w:rPr>
          <w:rFonts w:hint="eastAsia" w:asciiTheme="minorEastAsia" w:hAnsiTheme="minorEastAsia" w:eastAsiaTheme="minorEastAsia" w:cstheme="minorEastAsia"/>
          <w:color w:val="auto"/>
          <w:sz w:val="24"/>
          <w:u w:val="single"/>
          <w:lang w:eastAsia="zh-CN"/>
        </w:rPr>
        <w:t xml:space="preserve">               </w:t>
      </w:r>
      <w:r>
        <w:rPr>
          <w:rFonts w:hint="eastAsia" w:asciiTheme="minorEastAsia" w:hAnsiTheme="minorEastAsia" w:eastAsiaTheme="minorEastAsia" w:cstheme="minorEastAsia"/>
          <w:color w:val="auto"/>
          <w:sz w:val="24"/>
          <w:lang w:eastAsia="zh-CN"/>
        </w:rPr>
        <w:t xml:space="preserve">      </w:t>
      </w:r>
    </w:p>
    <w:p w14:paraId="06816465">
      <w:pPr>
        <w:pStyle w:val="12"/>
        <w:numPr>
          <w:ilvl w:val="0"/>
          <w:numId w:val="0"/>
        </w:numPr>
        <w:pBdr>
          <w:top w:val="none" w:color="auto" w:sz="0" w:space="0"/>
          <w:left w:val="none" w:color="auto" w:sz="0" w:space="0"/>
          <w:bottom w:val="none" w:color="auto" w:sz="0" w:space="0"/>
          <w:right w:val="none" w:color="auto" w:sz="0" w:space="0"/>
          <w:between w:val="none" w:color="auto" w:sz="0" w:space="0"/>
        </w:pBdr>
        <w:tabs>
          <w:tab w:val="left" w:pos="5145"/>
          <w:tab w:val="left" w:pos="6591"/>
          <w:tab w:val="left" w:pos="7191"/>
          <w:tab w:val="left" w:pos="7791"/>
          <w:tab w:val="left" w:pos="8247"/>
        </w:tabs>
        <w:kinsoku w:val="0"/>
        <w:overflowPunct w:val="0"/>
        <w:adjustRightInd w:val="0"/>
        <w:snapToGrid w:val="0"/>
        <w:spacing w:line="360" w:lineRule="auto"/>
        <w:ind w:left="120" w:leftChars="50" w:right="238" w:firstLine="2880" w:firstLineChars="1200"/>
        <w:jc w:val="both"/>
        <w:rPr>
          <w:rFonts w:hint="eastAsia" w:asciiTheme="minorEastAsia" w:hAnsiTheme="minorEastAsia" w:eastAsiaTheme="minorEastAsia" w:cstheme="minorEastAsia"/>
          <w:color w:val="auto"/>
          <w:sz w:val="24"/>
          <w:lang w:eastAsia="zh-CN"/>
        </w:rPr>
      </w:pPr>
      <w:r>
        <w:rPr>
          <w:rFonts w:hint="eastAsia" w:asciiTheme="minorEastAsia" w:hAnsiTheme="minorEastAsia" w:eastAsiaTheme="minorEastAsia" w:cstheme="minorEastAsia"/>
          <w:color w:val="auto"/>
          <w:sz w:val="24"/>
          <w:lang w:eastAsia="zh-CN"/>
        </w:rPr>
        <w:t>联系电话：</w:t>
      </w:r>
      <w:r>
        <w:rPr>
          <w:rFonts w:hint="eastAsia" w:asciiTheme="minorEastAsia" w:hAnsiTheme="minorEastAsia" w:eastAsiaTheme="minorEastAsia" w:cstheme="minorEastAsia"/>
          <w:color w:val="auto"/>
          <w:sz w:val="24"/>
          <w:u w:val="single"/>
          <w:lang w:eastAsia="zh-CN"/>
        </w:rPr>
        <w:t xml:space="preserve">              </w:t>
      </w:r>
    </w:p>
    <w:p w14:paraId="220EE997">
      <w:pPr>
        <w:pStyle w:val="12"/>
        <w:numPr>
          <w:ilvl w:val="0"/>
          <w:numId w:val="0"/>
        </w:numPr>
        <w:pBdr>
          <w:top w:val="none" w:color="auto" w:sz="0" w:space="0"/>
          <w:left w:val="none" w:color="auto" w:sz="0" w:space="0"/>
          <w:bottom w:val="none" w:color="auto" w:sz="0" w:space="0"/>
          <w:right w:val="none" w:color="auto" w:sz="0" w:space="0"/>
          <w:between w:val="none" w:color="auto" w:sz="0" w:space="0"/>
        </w:pBdr>
        <w:tabs>
          <w:tab w:val="left" w:pos="5145"/>
          <w:tab w:val="left" w:pos="6591"/>
          <w:tab w:val="left" w:pos="7191"/>
          <w:tab w:val="left" w:pos="7791"/>
          <w:tab w:val="left" w:pos="8247"/>
        </w:tabs>
        <w:kinsoku w:val="0"/>
        <w:overflowPunct w:val="0"/>
        <w:adjustRightInd w:val="0"/>
        <w:snapToGrid w:val="0"/>
        <w:spacing w:line="360" w:lineRule="auto"/>
        <w:ind w:left="120" w:leftChars="50" w:right="238" w:firstLine="2880" w:firstLineChars="1200"/>
        <w:jc w:val="both"/>
        <w:rPr>
          <w:rFonts w:hint="eastAsia" w:asciiTheme="minorEastAsia" w:hAnsiTheme="minorEastAsia" w:eastAsiaTheme="minorEastAsia" w:cstheme="minorEastAsia"/>
          <w:color w:val="auto"/>
          <w:sz w:val="20"/>
        </w:rPr>
      </w:pPr>
      <w:r>
        <w:rPr>
          <w:rFonts w:hint="eastAsia" w:asciiTheme="minorEastAsia" w:hAnsiTheme="minorEastAsia" w:eastAsiaTheme="minorEastAsia" w:cstheme="minorEastAsia"/>
          <w:color w:val="auto"/>
          <w:sz w:val="24"/>
        </w:rPr>
        <w:t>日期：</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年</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月</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 xml:space="preserve">日    </w:t>
      </w:r>
      <w:r>
        <w:rPr>
          <w:rFonts w:hint="eastAsia" w:asciiTheme="minorEastAsia" w:hAnsiTheme="minorEastAsia" w:eastAsiaTheme="minorEastAsia" w:cstheme="minorEastAsia"/>
          <w:color w:val="auto"/>
          <w:sz w:val="20"/>
        </w:rPr>
        <w:t xml:space="preserve">    </w:t>
      </w:r>
    </w:p>
    <w:p w14:paraId="3123F91C">
      <w:pPr>
        <w:pStyle w:val="34"/>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b/>
          <w:bCs/>
          <w:color w:val="auto"/>
          <w:sz w:val="36"/>
          <w:szCs w:val="36"/>
        </w:rPr>
      </w:pPr>
      <w:r>
        <w:rPr>
          <w:rFonts w:hint="eastAsia" w:asciiTheme="minorEastAsia" w:hAnsiTheme="minorEastAsia" w:eastAsiaTheme="minorEastAsia" w:cstheme="minorEastAsia"/>
          <w:color w:val="auto"/>
        </w:rPr>
        <w:br w:type="page"/>
      </w:r>
    </w:p>
    <w:p w14:paraId="5EBED3F0">
      <w:pPr>
        <w:pStyle w:val="3"/>
        <w:pBdr>
          <w:top w:val="none" w:color="auto" w:sz="0" w:space="0"/>
          <w:left w:val="none" w:color="auto" w:sz="0" w:space="0"/>
          <w:bottom w:val="none" w:color="auto" w:sz="0" w:space="0"/>
          <w:right w:val="none" w:color="auto" w:sz="0" w:space="0"/>
          <w:between w:val="none" w:color="auto" w:sz="0" w:space="0"/>
        </w:pBdr>
        <w:spacing w:line="240" w:lineRule="atLeast"/>
        <w:rPr>
          <w:rFonts w:hint="eastAsia" w:asciiTheme="minorEastAsia" w:hAnsiTheme="minorEastAsia" w:eastAsiaTheme="minorEastAsia" w:cstheme="minorEastAsia"/>
          <w:color w:val="auto"/>
          <w:szCs w:val="28"/>
          <w:lang w:eastAsia="zh-CN"/>
        </w:rPr>
      </w:pPr>
      <w:r>
        <w:rPr>
          <w:rFonts w:hint="eastAsia" w:asciiTheme="minorEastAsia" w:hAnsiTheme="minorEastAsia" w:eastAsiaTheme="minorEastAsia" w:cstheme="minorEastAsia"/>
          <w:color w:val="auto"/>
          <w:szCs w:val="28"/>
          <w:lang w:val="en-US" w:eastAsia="zh-CN"/>
        </w:rPr>
        <w:t>4、参加政府采购活动近三年无重大违法记录声明</w:t>
      </w:r>
    </w:p>
    <w:p w14:paraId="59D591A7">
      <w:pPr>
        <w:pStyle w:val="14"/>
        <w:pBdr>
          <w:top w:val="none" w:color="auto" w:sz="0" w:space="0"/>
          <w:left w:val="none" w:color="auto" w:sz="0" w:space="0"/>
          <w:bottom w:val="none" w:color="auto" w:sz="0" w:space="0"/>
          <w:right w:val="none" w:color="auto" w:sz="0" w:space="0"/>
          <w:between w:val="none" w:color="auto" w:sz="0" w:space="0"/>
        </w:pBdr>
        <w:tabs>
          <w:tab w:val="left" w:pos="5580"/>
        </w:tabs>
        <w:spacing w:line="240" w:lineRule="atLeast"/>
        <w:ind w:left="1157" w:leftChars="257" w:hanging="540"/>
        <w:jc w:val="center"/>
        <w:rPr>
          <w:rFonts w:hint="eastAsia" w:asciiTheme="minorEastAsia" w:hAnsiTheme="minorEastAsia" w:eastAsiaTheme="minorEastAsia" w:cstheme="minorEastAsia"/>
          <w:b/>
          <w:color w:val="auto"/>
          <w:lang w:eastAsia="zh-CN"/>
        </w:rPr>
      </w:pPr>
    </w:p>
    <w:p w14:paraId="714189FC">
      <w:pPr>
        <w:pStyle w:val="14"/>
        <w:pBdr>
          <w:top w:val="none" w:color="auto" w:sz="0" w:space="0"/>
          <w:left w:val="none" w:color="auto" w:sz="0" w:space="0"/>
          <w:bottom w:val="none" w:color="auto" w:sz="0" w:space="0"/>
          <w:right w:val="none" w:color="auto" w:sz="0" w:space="0"/>
          <w:between w:val="none" w:color="auto" w:sz="0" w:space="0"/>
        </w:pBdr>
        <w:tabs>
          <w:tab w:val="left" w:pos="5580"/>
        </w:tabs>
        <w:spacing w:line="240" w:lineRule="atLeast"/>
        <w:ind w:left="1157" w:leftChars="257" w:hanging="540"/>
        <w:rPr>
          <w:rFonts w:hint="eastAsia" w:asciiTheme="minorEastAsia" w:hAnsiTheme="minorEastAsia" w:eastAsiaTheme="minorEastAsia" w:cstheme="minorEastAsia"/>
          <w:color w:val="auto"/>
          <w:lang w:eastAsia="zh-CN"/>
        </w:rPr>
      </w:pPr>
    </w:p>
    <w:p w14:paraId="7A576BF9">
      <w:pPr>
        <w:pStyle w:val="14"/>
        <w:pBdr>
          <w:top w:val="none" w:color="auto" w:sz="0" w:space="0"/>
          <w:left w:val="none" w:color="auto" w:sz="0" w:space="0"/>
          <w:bottom w:val="none" w:color="auto" w:sz="0" w:space="0"/>
          <w:right w:val="none" w:color="auto" w:sz="0" w:space="0"/>
          <w:between w:val="none" w:color="auto" w:sz="0" w:space="0"/>
        </w:pBdr>
        <w:tabs>
          <w:tab w:val="left" w:pos="5580"/>
        </w:tabs>
        <w:spacing w:line="240" w:lineRule="atLeast"/>
        <w:ind w:left="1157" w:leftChars="257" w:hanging="540"/>
        <w:rPr>
          <w:rFonts w:hint="eastAsia" w:asciiTheme="minorEastAsia" w:hAnsiTheme="minorEastAsia" w:eastAsiaTheme="minorEastAsia" w:cstheme="minorEastAsia"/>
          <w:color w:val="auto"/>
          <w:lang w:eastAsia="zh-CN"/>
        </w:rPr>
      </w:pPr>
    </w:p>
    <w:p w14:paraId="1CCA319E">
      <w:pPr>
        <w:pStyle w:val="14"/>
        <w:pBdr>
          <w:top w:val="none" w:color="auto" w:sz="0" w:space="0"/>
          <w:left w:val="none" w:color="auto" w:sz="0" w:space="0"/>
          <w:bottom w:val="none" w:color="auto" w:sz="0" w:space="0"/>
          <w:right w:val="none" w:color="auto" w:sz="0" w:space="0"/>
          <w:between w:val="none" w:color="auto" w:sz="0" w:space="0"/>
        </w:pBdr>
        <w:tabs>
          <w:tab w:val="left" w:pos="5580"/>
        </w:tabs>
        <w:spacing w:line="240" w:lineRule="atLeast"/>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说明：</w:t>
      </w:r>
    </w:p>
    <w:p w14:paraId="06D63129">
      <w:pPr>
        <w:pStyle w:val="14"/>
        <w:pBdr>
          <w:top w:val="none" w:color="auto" w:sz="0" w:space="0"/>
          <w:left w:val="none" w:color="auto" w:sz="0" w:space="0"/>
          <w:bottom w:val="none" w:color="auto" w:sz="0" w:space="0"/>
          <w:right w:val="none" w:color="auto" w:sz="0" w:space="0"/>
          <w:between w:val="none" w:color="auto" w:sz="0" w:space="0"/>
        </w:pBdr>
        <w:tabs>
          <w:tab w:val="left" w:pos="5580"/>
        </w:tabs>
        <w:spacing w:line="240" w:lineRule="atLeast"/>
        <w:ind w:firstLine="240" w:firstLineChars="1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1.投标人应按照相关法规规定如实作出说明（格式自拟）。</w:t>
      </w:r>
    </w:p>
    <w:p w14:paraId="6228B58E">
      <w:pPr>
        <w:pStyle w:val="14"/>
        <w:pBdr>
          <w:top w:val="none" w:color="auto" w:sz="0" w:space="0"/>
          <w:left w:val="none" w:color="auto" w:sz="0" w:space="0"/>
          <w:bottom w:val="none" w:color="auto" w:sz="0" w:space="0"/>
          <w:right w:val="none" w:color="auto" w:sz="0" w:space="0"/>
          <w:between w:val="none" w:color="auto" w:sz="0" w:space="0"/>
        </w:pBdr>
        <w:tabs>
          <w:tab w:val="left" w:pos="5580"/>
        </w:tabs>
        <w:spacing w:line="240" w:lineRule="atLeast"/>
        <w:ind w:firstLine="240" w:firstLineChars="1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2．按照招标文件的规定加盖单位公章（自然人投标的无需盖章，需要签字）。</w:t>
      </w:r>
    </w:p>
    <w:p w14:paraId="4EC9E340">
      <w:pPr>
        <w:pStyle w:val="14"/>
        <w:pBdr>
          <w:top w:val="none" w:color="auto" w:sz="0" w:space="0"/>
          <w:left w:val="none" w:color="auto" w:sz="0" w:space="0"/>
          <w:bottom w:val="none" w:color="auto" w:sz="0" w:space="0"/>
          <w:right w:val="none" w:color="auto" w:sz="0" w:space="0"/>
          <w:between w:val="none" w:color="auto" w:sz="0" w:space="0"/>
        </w:pBdr>
        <w:tabs>
          <w:tab w:val="left" w:pos="5580"/>
        </w:tabs>
        <w:spacing w:line="240" w:lineRule="atLeast"/>
        <w:ind w:left="1157" w:leftChars="257" w:hanging="54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 xml:space="preserve">      </w:t>
      </w:r>
    </w:p>
    <w:p w14:paraId="321FDFD9">
      <w:pPr>
        <w:pBdr>
          <w:top w:val="none" w:color="auto" w:sz="0" w:space="0"/>
          <w:left w:val="none" w:color="auto" w:sz="0" w:space="0"/>
          <w:bottom w:val="none" w:color="auto" w:sz="0" w:space="0"/>
          <w:right w:val="none" w:color="auto" w:sz="0" w:space="0"/>
          <w:between w:val="none" w:color="auto" w:sz="0" w:space="0"/>
        </w:pBdr>
        <w:outlineLvl w:val="9"/>
        <w:rPr>
          <w:rFonts w:hint="eastAsia" w:asciiTheme="minorEastAsia" w:hAnsiTheme="minorEastAsia" w:eastAsiaTheme="minorEastAsia" w:cstheme="minorEastAsia"/>
          <w:color w:val="auto"/>
          <w:sz w:val="36"/>
          <w:szCs w:val="36"/>
          <w:lang w:eastAsia="zh-CN"/>
        </w:rPr>
      </w:pPr>
    </w:p>
    <w:p w14:paraId="0BDB5A42">
      <w:pPr>
        <w:pBdr>
          <w:top w:val="none" w:color="auto" w:sz="0" w:space="0"/>
          <w:left w:val="none" w:color="auto" w:sz="0" w:space="0"/>
          <w:bottom w:val="none" w:color="auto" w:sz="0" w:space="0"/>
          <w:right w:val="none" w:color="auto" w:sz="0" w:space="0"/>
          <w:between w:val="none" w:color="auto" w:sz="0" w:space="0"/>
        </w:pBdr>
        <w:outlineLvl w:val="9"/>
        <w:rPr>
          <w:rFonts w:hint="eastAsia" w:asciiTheme="minorEastAsia" w:hAnsiTheme="minorEastAsia" w:eastAsiaTheme="minorEastAsia" w:cstheme="minorEastAsia"/>
          <w:b/>
          <w:bCs/>
          <w:color w:val="auto"/>
          <w:sz w:val="36"/>
          <w:szCs w:val="36"/>
          <w:lang w:eastAsia="zh-CN"/>
        </w:rPr>
      </w:pPr>
    </w:p>
    <w:p w14:paraId="792241F5">
      <w:pPr>
        <w:pBdr>
          <w:top w:val="none" w:color="auto" w:sz="0" w:space="0"/>
          <w:left w:val="none" w:color="auto" w:sz="0" w:space="0"/>
          <w:bottom w:val="none" w:color="auto" w:sz="0" w:space="0"/>
          <w:right w:val="none" w:color="auto" w:sz="0" w:space="0"/>
          <w:between w:val="none" w:color="auto" w:sz="0" w:space="0"/>
        </w:pBdr>
        <w:outlineLvl w:val="9"/>
        <w:rPr>
          <w:rFonts w:hint="eastAsia" w:asciiTheme="minorEastAsia" w:hAnsiTheme="minorEastAsia" w:eastAsiaTheme="minorEastAsia" w:cstheme="minorEastAsia"/>
          <w:color w:val="auto"/>
          <w:sz w:val="36"/>
          <w:szCs w:val="36"/>
          <w:lang w:eastAsia="zh-CN"/>
        </w:rPr>
      </w:pPr>
    </w:p>
    <w:p w14:paraId="324945BF">
      <w:pPr>
        <w:pBdr>
          <w:top w:val="none" w:color="auto" w:sz="0" w:space="0"/>
          <w:left w:val="none" w:color="auto" w:sz="0" w:space="0"/>
          <w:bottom w:val="none" w:color="auto" w:sz="0" w:space="0"/>
          <w:right w:val="none" w:color="auto" w:sz="0" w:space="0"/>
          <w:between w:val="none" w:color="auto" w:sz="0" w:space="0"/>
        </w:pBdr>
        <w:outlineLvl w:val="9"/>
        <w:rPr>
          <w:rFonts w:hint="eastAsia" w:asciiTheme="minorEastAsia" w:hAnsiTheme="minorEastAsia" w:eastAsiaTheme="minorEastAsia" w:cstheme="minorEastAsia"/>
          <w:b/>
          <w:bCs/>
          <w:color w:val="auto"/>
          <w:sz w:val="36"/>
          <w:szCs w:val="36"/>
          <w:lang w:eastAsia="zh-CN"/>
        </w:rPr>
      </w:pPr>
    </w:p>
    <w:p w14:paraId="40058009">
      <w:pPr>
        <w:pBdr>
          <w:top w:val="none" w:color="auto" w:sz="0" w:space="0"/>
          <w:left w:val="none" w:color="auto" w:sz="0" w:space="0"/>
          <w:bottom w:val="none" w:color="auto" w:sz="0" w:space="0"/>
          <w:right w:val="none" w:color="auto" w:sz="0" w:space="0"/>
          <w:between w:val="none" w:color="auto" w:sz="0" w:space="0"/>
        </w:pBdr>
        <w:outlineLvl w:val="9"/>
        <w:rPr>
          <w:rFonts w:hint="eastAsia" w:asciiTheme="minorEastAsia" w:hAnsiTheme="minorEastAsia" w:eastAsiaTheme="minorEastAsia" w:cstheme="minorEastAsia"/>
          <w:color w:val="auto"/>
          <w:sz w:val="36"/>
          <w:szCs w:val="36"/>
          <w:lang w:eastAsia="zh-CN"/>
        </w:rPr>
      </w:pPr>
    </w:p>
    <w:p w14:paraId="2E0DB655">
      <w:pPr>
        <w:pBdr>
          <w:top w:val="none" w:color="auto" w:sz="0" w:space="0"/>
          <w:left w:val="none" w:color="auto" w:sz="0" w:space="0"/>
          <w:bottom w:val="none" w:color="auto" w:sz="0" w:space="0"/>
          <w:right w:val="none" w:color="auto" w:sz="0" w:space="0"/>
          <w:between w:val="none" w:color="auto" w:sz="0" w:space="0"/>
        </w:pBdr>
        <w:outlineLvl w:val="9"/>
        <w:rPr>
          <w:rFonts w:hint="eastAsia" w:asciiTheme="minorEastAsia" w:hAnsiTheme="minorEastAsia" w:eastAsiaTheme="minorEastAsia" w:cstheme="minorEastAsia"/>
          <w:b/>
          <w:bCs/>
          <w:color w:val="auto"/>
          <w:sz w:val="36"/>
          <w:szCs w:val="36"/>
          <w:lang w:eastAsia="zh-CN"/>
        </w:rPr>
      </w:pPr>
    </w:p>
    <w:p w14:paraId="5F18A548">
      <w:pPr>
        <w:pBdr>
          <w:top w:val="none" w:color="auto" w:sz="0" w:space="0"/>
          <w:left w:val="none" w:color="auto" w:sz="0" w:space="0"/>
          <w:bottom w:val="none" w:color="auto" w:sz="0" w:space="0"/>
          <w:right w:val="none" w:color="auto" w:sz="0" w:space="0"/>
          <w:between w:val="none" w:color="auto" w:sz="0" w:space="0"/>
        </w:pBdr>
        <w:outlineLvl w:val="9"/>
        <w:rPr>
          <w:rFonts w:hint="eastAsia" w:asciiTheme="minorEastAsia" w:hAnsiTheme="minorEastAsia" w:eastAsiaTheme="minorEastAsia" w:cstheme="minorEastAsia"/>
          <w:color w:val="auto"/>
          <w:sz w:val="36"/>
          <w:szCs w:val="36"/>
          <w:lang w:eastAsia="zh-CN"/>
        </w:rPr>
      </w:pPr>
    </w:p>
    <w:p w14:paraId="4F89A328">
      <w:pPr>
        <w:pBdr>
          <w:top w:val="none" w:color="auto" w:sz="0" w:space="0"/>
          <w:left w:val="none" w:color="auto" w:sz="0" w:space="0"/>
          <w:bottom w:val="none" w:color="auto" w:sz="0" w:space="0"/>
          <w:right w:val="none" w:color="auto" w:sz="0" w:space="0"/>
          <w:between w:val="none" w:color="auto" w:sz="0" w:space="0"/>
        </w:pBdr>
        <w:outlineLvl w:val="9"/>
        <w:rPr>
          <w:rFonts w:hint="eastAsia" w:asciiTheme="minorEastAsia" w:hAnsiTheme="minorEastAsia" w:eastAsiaTheme="minorEastAsia" w:cstheme="minorEastAsia"/>
          <w:b/>
          <w:bCs/>
          <w:color w:val="auto"/>
          <w:sz w:val="36"/>
          <w:szCs w:val="36"/>
          <w:lang w:eastAsia="zh-CN"/>
        </w:rPr>
      </w:pPr>
    </w:p>
    <w:p w14:paraId="6E4513DD">
      <w:pPr>
        <w:pBdr>
          <w:top w:val="none" w:color="auto" w:sz="0" w:space="0"/>
          <w:left w:val="none" w:color="auto" w:sz="0" w:space="0"/>
          <w:bottom w:val="none" w:color="auto" w:sz="0" w:space="0"/>
          <w:right w:val="none" w:color="auto" w:sz="0" w:space="0"/>
          <w:between w:val="none" w:color="auto" w:sz="0" w:space="0"/>
        </w:pBdr>
        <w:outlineLvl w:val="9"/>
        <w:rPr>
          <w:rFonts w:hint="eastAsia" w:asciiTheme="minorEastAsia" w:hAnsiTheme="minorEastAsia" w:eastAsiaTheme="minorEastAsia" w:cstheme="minorEastAsia"/>
          <w:color w:val="auto"/>
          <w:sz w:val="36"/>
          <w:szCs w:val="36"/>
          <w:lang w:eastAsia="zh-CN"/>
        </w:rPr>
      </w:pPr>
    </w:p>
    <w:p w14:paraId="64169D62">
      <w:pPr>
        <w:pBdr>
          <w:top w:val="none" w:color="auto" w:sz="0" w:space="0"/>
          <w:left w:val="none" w:color="auto" w:sz="0" w:space="0"/>
          <w:bottom w:val="none" w:color="auto" w:sz="0" w:space="0"/>
          <w:right w:val="none" w:color="auto" w:sz="0" w:space="0"/>
          <w:between w:val="none" w:color="auto" w:sz="0" w:space="0"/>
        </w:pBdr>
        <w:outlineLvl w:val="9"/>
        <w:rPr>
          <w:rFonts w:hint="eastAsia" w:asciiTheme="minorEastAsia" w:hAnsiTheme="minorEastAsia" w:eastAsiaTheme="minorEastAsia" w:cstheme="minorEastAsia"/>
          <w:color w:val="auto"/>
          <w:sz w:val="36"/>
          <w:szCs w:val="36"/>
          <w:lang w:eastAsia="zh-CN"/>
        </w:rPr>
      </w:pPr>
    </w:p>
    <w:p w14:paraId="133CAC6B">
      <w:pPr>
        <w:pBdr>
          <w:top w:val="none" w:color="auto" w:sz="0" w:space="0"/>
          <w:left w:val="none" w:color="auto" w:sz="0" w:space="0"/>
          <w:bottom w:val="none" w:color="auto" w:sz="0" w:space="0"/>
          <w:right w:val="none" w:color="auto" w:sz="0" w:space="0"/>
          <w:between w:val="none" w:color="auto" w:sz="0" w:space="0"/>
        </w:pBdr>
        <w:outlineLvl w:val="9"/>
        <w:rPr>
          <w:rFonts w:hint="eastAsia" w:asciiTheme="minorEastAsia" w:hAnsiTheme="minorEastAsia" w:eastAsiaTheme="minorEastAsia" w:cstheme="minorEastAsia"/>
          <w:color w:val="auto"/>
          <w:sz w:val="36"/>
          <w:szCs w:val="36"/>
          <w:lang w:eastAsia="zh-CN"/>
        </w:rPr>
      </w:pPr>
    </w:p>
    <w:p w14:paraId="6453A580">
      <w:pPr>
        <w:pBdr>
          <w:top w:val="none" w:color="auto" w:sz="0" w:space="0"/>
          <w:left w:val="none" w:color="auto" w:sz="0" w:space="0"/>
          <w:bottom w:val="none" w:color="auto" w:sz="0" w:space="0"/>
          <w:right w:val="none" w:color="auto" w:sz="0" w:space="0"/>
          <w:between w:val="none" w:color="auto" w:sz="0" w:space="0"/>
        </w:pBdr>
        <w:outlineLvl w:val="9"/>
        <w:rPr>
          <w:rFonts w:hint="eastAsia" w:asciiTheme="minorEastAsia" w:hAnsiTheme="minorEastAsia" w:eastAsiaTheme="minorEastAsia" w:cstheme="minorEastAsia"/>
          <w:color w:val="auto"/>
          <w:sz w:val="36"/>
          <w:szCs w:val="36"/>
          <w:lang w:eastAsia="zh-CN"/>
        </w:rPr>
      </w:pPr>
    </w:p>
    <w:p w14:paraId="1D2D6090">
      <w:pPr>
        <w:pBdr>
          <w:top w:val="none" w:color="auto" w:sz="0" w:space="0"/>
          <w:left w:val="none" w:color="auto" w:sz="0" w:space="0"/>
          <w:bottom w:val="none" w:color="auto" w:sz="0" w:space="0"/>
          <w:right w:val="none" w:color="auto" w:sz="0" w:space="0"/>
          <w:between w:val="none" w:color="auto" w:sz="0" w:space="0"/>
        </w:pBdr>
        <w:outlineLvl w:val="9"/>
        <w:rPr>
          <w:rFonts w:hint="eastAsia" w:asciiTheme="minorEastAsia" w:hAnsiTheme="minorEastAsia" w:eastAsiaTheme="minorEastAsia" w:cstheme="minorEastAsia"/>
          <w:color w:val="auto"/>
          <w:sz w:val="36"/>
          <w:szCs w:val="36"/>
          <w:lang w:eastAsia="zh-CN"/>
        </w:rPr>
      </w:pPr>
    </w:p>
    <w:p w14:paraId="4498FAF1">
      <w:pPr>
        <w:pBdr>
          <w:top w:val="none" w:color="auto" w:sz="0" w:space="0"/>
          <w:left w:val="none" w:color="auto" w:sz="0" w:space="0"/>
          <w:bottom w:val="none" w:color="auto" w:sz="0" w:space="0"/>
          <w:right w:val="none" w:color="auto" w:sz="0" w:space="0"/>
          <w:between w:val="none" w:color="auto" w:sz="0" w:space="0"/>
        </w:pBdr>
        <w:outlineLvl w:val="9"/>
        <w:rPr>
          <w:rFonts w:hint="eastAsia" w:asciiTheme="minorEastAsia" w:hAnsiTheme="minorEastAsia" w:eastAsiaTheme="minorEastAsia" w:cstheme="minorEastAsia"/>
          <w:color w:val="auto"/>
          <w:sz w:val="36"/>
          <w:szCs w:val="36"/>
          <w:lang w:eastAsia="zh-CN"/>
        </w:rPr>
      </w:pPr>
    </w:p>
    <w:p w14:paraId="6B17F96C">
      <w:pPr>
        <w:pBdr>
          <w:top w:val="none" w:color="auto" w:sz="0" w:space="0"/>
          <w:left w:val="none" w:color="auto" w:sz="0" w:space="0"/>
          <w:bottom w:val="none" w:color="auto" w:sz="0" w:space="0"/>
          <w:right w:val="none" w:color="auto" w:sz="0" w:space="0"/>
          <w:between w:val="none" w:color="auto" w:sz="0" w:space="0"/>
        </w:pBdr>
        <w:outlineLvl w:val="9"/>
        <w:rPr>
          <w:rFonts w:hint="eastAsia" w:asciiTheme="minorEastAsia" w:hAnsiTheme="minorEastAsia" w:eastAsiaTheme="minorEastAsia" w:cstheme="minorEastAsia"/>
          <w:b/>
          <w:bCs/>
          <w:color w:val="auto"/>
          <w:sz w:val="36"/>
          <w:szCs w:val="36"/>
          <w:lang w:eastAsia="zh-CN"/>
        </w:rPr>
      </w:pPr>
    </w:p>
    <w:p w14:paraId="11C8930E">
      <w:pPr>
        <w:pBdr>
          <w:top w:val="none" w:color="auto" w:sz="0" w:space="0"/>
          <w:left w:val="none" w:color="auto" w:sz="0" w:space="0"/>
          <w:bottom w:val="none" w:color="auto" w:sz="0" w:space="0"/>
          <w:right w:val="none" w:color="auto" w:sz="0" w:space="0"/>
          <w:between w:val="none" w:color="auto" w:sz="0" w:space="0"/>
        </w:pBdr>
        <w:outlineLvl w:val="9"/>
        <w:rPr>
          <w:rFonts w:hint="eastAsia" w:asciiTheme="minorEastAsia" w:hAnsiTheme="minorEastAsia" w:eastAsiaTheme="minorEastAsia" w:cstheme="minorEastAsia"/>
          <w:color w:val="auto"/>
          <w:sz w:val="36"/>
          <w:szCs w:val="36"/>
          <w:lang w:eastAsia="zh-CN"/>
        </w:rPr>
      </w:pPr>
    </w:p>
    <w:p w14:paraId="5D87420C">
      <w:pPr>
        <w:pBdr>
          <w:top w:val="none" w:color="auto" w:sz="0" w:space="0"/>
          <w:left w:val="none" w:color="auto" w:sz="0" w:space="0"/>
          <w:bottom w:val="none" w:color="auto" w:sz="0" w:space="0"/>
          <w:right w:val="none" w:color="auto" w:sz="0" w:space="0"/>
          <w:between w:val="none" w:color="auto" w:sz="0" w:space="0"/>
        </w:pBdr>
        <w:tabs>
          <w:tab w:val="left" w:pos="540"/>
        </w:tabs>
        <w:spacing w:line="240" w:lineRule="atLeast"/>
        <w:jc w:val="both"/>
        <w:outlineLvl w:val="9"/>
        <w:rPr>
          <w:rFonts w:hint="eastAsia" w:asciiTheme="minorEastAsia" w:hAnsiTheme="minorEastAsia" w:eastAsiaTheme="minorEastAsia" w:cstheme="minorEastAsia"/>
          <w:bCs/>
          <w:color w:val="auto"/>
          <w:sz w:val="36"/>
          <w:szCs w:val="36"/>
          <w:lang w:eastAsia="zh-CN"/>
        </w:rPr>
      </w:pPr>
    </w:p>
    <w:p w14:paraId="36F526F1">
      <w:pPr>
        <w:pBdr>
          <w:top w:val="none" w:color="auto" w:sz="0" w:space="0"/>
          <w:left w:val="none" w:color="auto" w:sz="0" w:space="0"/>
          <w:bottom w:val="none" w:color="auto" w:sz="0" w:space="0"/>
          <w:right w:val="none" w:color="auto" w:sz="0" w:space="0"/>
          <w:between w:val="none" w:color="auto" w:sz="0" w:space="0"/>
        </w:pBdr>
        <w:tabs>
          <w:tab w:val="left" w:pos="540"/>
        </w:tabs>
        <w:spacing w:line="240" w:lineRule="atLeast"/>
        <w:ind w:firstLine="240" w:firstLineChars="100"/>
        <w:jc w:val="both"/>
        <w:outlineLvl w:val="9"/>
        <w:rPr>
          <w:rFonts w:hint="eastAsia" w:asciiTheme="minorEastAsia" w:hAnsiTheme="minorEastAsia" w:eastAsiaTheme="minorEastAsia" w:cstheme="minorEastAsia"/>
          <w:bCs/>
          <w:color w:val="auto"/>
          <w:szCs w:val="28"/>
          <w:lang w:eastAsia="zh-CN"/>
        </w:rPr>
      </w:pPr>
    </w:p>
    <w:p w14:paraId="4C5D6507">
      <w:pPr>
        <w:pStyle w:val="18"/>
        <w:rPr>
          <w:rFonts w:hint="eastAsia"/>
          <w:lang w:eastAsia="zh-CN"/>
        </w:rPr>
      </w:pPr>
    </w:p>
    <w:p w14:paraId="1D99D6F0">
      <w:pPr>
        <w:pStyle w:val="3"/>
        <w:pBdr>
          <w:top w:val="none" w:color="auto" w:sz="0" w:space="0"/>
          <w:left w:val="none" w:color="auto" w:sz="0" w:space="0"/>
          <w:bottom w:val="none" w:color="auto" w:sz="0" w:space="0"/>
          <w:right w:val="none" w:color="auto" w:sz="0" w:space="0"/>
          <w:between w:val="none" w:color="auto" w:sz="0" w:space="0"/>
        </w:pBdr>
        <w:spacing w:line="240" w:lineRule="atLeast"/>
        <w:ind w:firstLine="281" w:firstLineChars="100"/>
        <w:jc w:val="both"/>
        <w:rPr>
          <w:rFonts w:hint="eastAsia" w:asciiTheme="minorEastAsia" w:hAnsiTheme="minorEastAsia" w:eastAsiaTheme="minorEastAsia" w:cstheme="minorEastAsia"/>
          <w:bCs/>
          <w:color w:val="auto"/>
          <w:szCs w:val="28"/>
          <w:lang w:eastAsia="zh-CN"/>
        </w:rPr>
      </w:pPr>
      <w:r>
        <w:rPr>
          <w:rFonts w:hint="eastAsia" w:asciiTheme="minorEastAsia" w:hAnsiTheme="minorEastAsia" w:eastAsiaTheme="minorEastAsia" w:cstheme="minorEastAsia"/>
          <w:bCs/>
          <w:color w:val="auto"/>
          <w:szCs w:val="28"/>
          <w:lang w:eastAsia="zh-CN"/>
        </w:rPr>
        <w:t>5、投标保证金缴纳证明</w:t>
      </w:r>
    </w:p>
    <w:p w14:paraId="26D4C0BC">
      <w:pPr>
        <w:pBdr>
          <w:top w:val="none" w:color="auto" w:sz="0" w:space="0"/>
          <w:left w:val="none" w:color="auto" w:sz="0" w:space="0"/>
          <w:bottom w:val="none" w:color="auto" w:sz="0" w:space="0"/>
          <w:right w:val="none" w:color="auto" w:sz="0" w:space="0"/>
          <w:between w:val="none" w:color="auto" w:sz="0" w:space="0"/>
        </w:pBdr>
        <w:ind w:firstLine="480" w:firstLineChars="200"/>
        <w:rPr>
          <w:rFonts w:hint="eastAsia" w:asciiTheme="minorEastAsia" w:hAnsiTheme="minorEastAsia" w:eastAsiaTheme="minorEastAsia" w:cstheme="minorEastAsia"/>
          <w:color w:val="auto"/>
          <w:lang w:eastAsia="zh-CN"/>
        </w:rPr>
      </w:pPr>
      <w:bookmarkStart w:id="124" w:name="_Toc494296991"/>
      <w:bookmarkStart w:id="125" w:name="_Toc494296665"/>
    </w:p>
    <w:bookmarkEnd w:id="124"/>
    <w:bookmarkEnd w:id="125"/>
    <w:p w14:paraId="57044496">
      <w:pPr>
        <w:pBdr>
          <w:top w:val="none" w:color="auto" w:sz="0" w:space="0"/>
          <w:left w:val="none" w:color="auto" w:sz="0" w:space="0"/>
          <w:bottom w:val="none" w:color="auto" w:sz="0" w:space="0"/>
          <w:right w:val="none" w:color="auto" w:sz="0" w:space="0"/>
          <w:between w:val="none" w:color="auto" w:sz="0" w:space="0"/>
        </w:pBdr>
        <w:spacing w:line="360" w:lineRule="auto"/>
        <w:rPr>
          <w:rFonts w:hint="eastAsia" w:asciiTheme="minorEastAsia" w:hAnsiTheme="minorEastAsia" w:eastAsiaTheme="minorEastAsia" w:cstheme="minorEastAsia"/>
          <w:b w:val="0"/>
          <w:bCs w:val="0"/>
          <w:color w:val="auto"/>
          <w:szCs w:val="21"/>
          <w:lang w:eastAsia="zh-CN"/>
        </w:rPr>
      </w:pPr>
      <w:r>
        <w:rPr>
          <w:rFonts w:hint="eastAsia" w:asciiTheme="minorEastAsia" w:hAnsiTheme="minorEastAsia" w:eastAsiaTheme="minorEastAsia" w:cstheme="minorEastAsia"/>
          <w:b w:val="0"/>
          <w:bCs w:val="0"/>
          <w:color w:val="auto"/>
          <w:szCs w:val="21"/>
          <w:lang w:eastAsia="zh-CN"/>
        </w:rPr>
        <w:t>（投标保证金缴纳凭证加盖公章或合法真实有效的保函原件扫描件加盖公章）</w:t>
      </w:r>
    </w:p>
    <w:p w14:paraId="59C81AB0">
      <w:pPr>
        <w:pStyle w:val="5"/>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p>
    <w:p w14:paraId="70F0C73A">
      <w:pPr>
        <w:pBdr>
          <w:top w:val="none" w:color="auto" w:sz="0" w:space="0"/>
          <w:left w:val="none" w:color="auto" w:sz="0" w:space="0"/>
          <w:bottom w:val="none" w:color="auto" w:sz="0" w:space="0"/>
          <w:right w:val="none" w:color="auto" w:sz="0" w:space="0"/>
          <w:between w:val="none" w:color="auto" w:sz="0" w:space="0"/>
        </w:pBdr>
        <w:spacing w:line="400" w:lineRule="exact"/>
        <w:ind w:firstLine="281" w:firstLineChars="100"/>
        <w:outlineLvl w:val="9"/>
        <w:rPr>
          <w:rFonts w:hint="eastAsia" w:asciiTheme="minorEastAsia" w:hAnsiTheme="minorEastAsia" w:eastAsiaTheme="minorEastAsia" w:cstheme="minorEastAsia"/>
          <w:b/>
          <w:bCs/>
          <w:color w:val="auto"/>
          <w:sz w:val="28"/>
          <w:szCs w:val="28"/>
          <w:lang w:eastAsia="zh-CN"/>
        </w:rPr>
      </w:pPr>
    </w:p>
    <w:p w14:paraId="06DF18B2">
      <w:pPr>
        <w:pBdr>
          <w:top w:val="none" w:color="auto" w:sz="0" w:space="0"/>
          <w:left w:val="none" w:color="auto" w:sz="0" w:space="0"/>
          <w:bottom w:val="none" w:color="auto" w:sz="0" w:space="0"/>
          <w:right w:val="none" w:color="auto" w:sz="0" w:space="0"/>
          <w:between w:val="none" w:color="auto" w:sz="0" w:space="0"/>
        </w:pBdr>
        <w:spacing w:line="400" w:lineRule="exact"/>
        <w:ind w:firstLine="281" w:firstLineChars="100"/>
        <w:outlineLvl w:val="9"/>
        <w:rPr>
          <w:rFonts w:hint="eastAsia" w:asciiTheme="minorEastAsia" w:hAnsiTheme="minorEastAsia" w:eastAsiaTheme="minorEastAsia" w:cstheme="minorEastAsia"/>
          <w:b/>
          <w:bCs/>
          <w:color w:val="auto"/>
          <w:sz w:val="28"/>
          <w:szCs w:val="28"/>
          <w:lang w:eastAsia="zh-CN"/>
        </w:rPr>
      </w:pPr>
    </w:p>
    <w:p w14:paraId="46DDD36D">
      <w:pPr>
        <w:pBdr>
          <w:top w:val="none" w:color="auto" w:sz="0" w:space="0"/>
          <w:left w:val="none" w:color="auto" w:sz="0" w:space="0"/>
          <w:bottom w:val="none" w:color="auto" w:sz="0" w:space="0"/>
          <w:right w:val="none" w:color="auto" w:sz="0" w:space="0"/>
          <w:between w:val="none" w:color="auto" w:sz="0" w:space="0"/>
        </w:pBdr>
        <w:spacing w:line="400" w:lineRule="exact"/>
        <w:ind w:firstLine="281" w:firstLineChars="100"/>
        <w:outlineLvl w:val="1"/>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b/>
          <w:bCs/>
          <w:color w:val="auto"/>
          <w:sz w:val="28"/>
          <w:szCs w:val="28"/>
          <w:lang w:eastAsia="zh-CN"/>
        </w:rPr>
        <w:t>6、提供近一年内（2023年11月-2024年10月）任意三个月社保缴纳证明</w:t>
      </w:r>
    </w:p>
    <w:p w14:paraId="4704D8D6">
      <w:pPr>
        <w:pBdr>
          <w:top w:val="none" w:color="auto" w:sz="0" w:space="0"/>
          <w:left w:val="none" w:color="auto" w:sz="0" w:space="0"/>
          <w:bottom w:val="none" w:color="auto" w:sz="0" w:space="0"/>
          <w:right w:val="none" w:color="auto" w:sz="0" w:space="0"/>
          <w:between w:val="none" w:color="auto" w:sz="0" w:space="0"/>
        </w:pBdr>
        <w:spacing w:line="400" w:lineRule="exact"/>
        <w:ind w:firstLine="720" w:firstLineChars="3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说明：复印件上应加盖本单位公章</w:t>
      </w:r>
    </w:p>
    <w:p w14:paraId="5C07120D">
      <w:pPr>
        <w:pBdr>
          <w:top w:val="none" w:color="auto" w:sz="0" w:space="0"/>
          <w:left w:val="none" w:color="auto" w:sz="0" w:space="0"/>
          <w:bottom w:val="none" w:color="auto" w:sz="0" w:space="0"/>
          <w:right w:val="none" w:color="auto" w:sz="0" w:space="0"/>
          <w:between w:val="none" w:color="auto" w:sz="0" w:space="0"/>
        </w:pBdr>
        <w:spacing w:line="400" w:lineRule="exact"/>
        <w:ind w:firstLine="281" w:firstLineChars="100"/>
        <w:outlineLvl w:val="9"/>
        <w:rPr>
          <w:rFonts w:hint="eastAsia" w:asciiTheme="minorEastAsia" w:hAnsiTheme="minorEastAsia" w:eastAsiaTheme="minorEastAsia" w:cstheme="minorEastAsia"/>
          <w:b/>
          <w:bCs/>
          <w:color w:val="auto"/>
          <w:sz w:val="28"/>
          <w:szCs w:val="28"/>
          <w:lang w:eastAsia="zh-CN"/>
        </w:rPr>
      </w:pPr>
    </w:p>
    <w:p w14:paraId="6CCA4116">
      <w:pPr>
        <w:pBdr>
          <w:top w:val="none" w:color="auto" w:sz="0" w:space="0"/>
          <w:left w:val="none" w:color="auto" w:sz="0" w:space="0"/>
          <w:bottom w:val="none" w:color="auto" w:sz="0" w:space="0"/>
          <w:right w:val="none" w:color="auto" w:sz="0" w:space="0"/>
          <w:between w:val="none" w:color="auto" w:sz="0" w:space="0"/>
        </w:pBdr>
        <w:spacing w:line="400" w:lineRule="exact"/>
        <w:ind w:firstLine="281" w:firstLineChars="100"/>
        <w:outlineLvl w:val="9"/>
        <w:rPr>
          <w:rFonts w:hint="eastAsia" w:asciiTheme="minorEastAsia" w:hAnsiTheme="minorEastAsia" w:eastAsiaTheme="minorEastAsia" w:cstheme="minorEastAsia"/>
          <w:b/>
          <w:bCs/>
          <w:color w:val="auto"/>
          <w:sz w:val="28"/>
          <w:szCs w:val="28"/>
          <w:lang w:eastAsia="zh-CN"/>
        </w:rPr>
      </w:pPr>
    </w:p>
    <w:p w14:paraId="2411DFB1">
      <w:pPr>
        <w:pBdr>
          <w:top w:val="none" w:color="auto" w:sz="0" w:space="0"/>
          <w:left w:val="none" w:color="auto" w:sz="0" w:space="0"/>
          <w:bottom w:val="none" w:color="auto" w:sz="0" w:space="0"/>
          <w:right w:val="none" w:color="auto" w:sz="0" w:space="0"/>
          <w:between w:val="none" w:color="auto" w:sz="0" w:space="0"/>
        </w:pBdr>
        <w:spacing w:line="400" w:lineRule="exact"/>
        <w:rPr>
          <w:rFonts w:hint="eastAsia" w:asciiTheme="minorEastAsia" w:hAnsiTheme="minorEastAsia" w:eastAsiaTheme="minorEastAsia" w:cstheme="minorEastAsia"/>
          <w:color w:val="auto"/>
          <w:lang w:eastAsia="zh-CN"/>
        </w:rPr>
      </w:pPr>
    </w:p>
    <w:p w14:paraId="214ED751">
      <w:pPr>
        <w:pBdr>
          <w:top w:val="none" w:color="auto" w:sz="0" w:space="0"/>
          <w:left w:val="none" w:color="auto" w:sz="0" w:space="0"/>
          <w:bottom w:val="none" w:color="auto" w:sz="0" w:space="0"/>
          <w:right w:val="none" w:color="auto" w:sz="0" w:space="0"/>
          <w:between w:val="none" w:color="auto" w:sz="0" w:space="0"/>
        </w:pBdr>
        <w:spacing w:line="400" w:lineRule="exact"/>
        <w:ind w:firstLine="281" w:firstLineChars="100"/>
        <w:outlineLvl w:val="1"/>
        <w:rPr>
          <w:rFonts w:hint="eastAsia" w:asciiTheme="minorEastAsia" w:hAnsiTheme="minorEastAsia" w:eastAsiaTheme="minorEastAsia" w:cstheme="minorEastAsia"/>
          <w:b/>
          <w:bCs/>
          <w:color w:val="auto"/>
          <w:sz w:val="28"/>
          <w:szCs w:val="28"/>
          <w:lang w:eastAsia="zh-CN"/>
        </w:rPr>
      </w:pPr>
      <w:r>
        <w:rPr>
          <w:rFonts w:hint="eastAsia" w:asciiTheme="minorEastAsia" w:hAnsiTheme="minorEastAsia" w:eastAsiaTheme="minorEastAsia" w:cstheme="minorEastAsia"/>
          <w:b/>
          <w:bCs/>
          <w:color w:val="auto"/>
          <w:sz w:val="28"/>
          <w:szCs w:val="28"/>
          <w:lang w:eastAsia="zh-CN"/>
        </w:rPr>
        <w:t>7、提供税务机构出具的近一年内（2023年11月-2024年10月）任意三个月的依法缴纳税收等证明材料</w:t>
      </w:r>
    </w:p>
    <w:p w14:paraId="68A6F246">
      <w:pPr>
        <w:pBdr>
          <w:top w:val="none" w:color="auto" w:sz="0" w:space="0"/>
          <w:left w:val="none" w:color="auto" w:sz="0" w:space="0"/>
          <w:bottom w:val="none" w:color="auto" w:sz="0" w:space="0"/>
          <w:right w:val="none" w:color="auto" w:sz="0" w:space="0"/>
          <w:between w:val="none" w:color="auto" w:sz="0" w:space="0"/>
        </w:pBdr>
        <w:spacing w:line="400" w:lineRule="exact"/>
        <w:ind w:firstLine="720" w:firstLineChars="3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说明：复印件上应加盖本单位公章</w:t>
      </w:r>
    </w:p>
    <w:p w14:paraId="3BE6BCBE">
      <w:pPr>
        <w:pBdr>
          <w:top w:val="none" w:color="auto" w:sz="0" w:space="0"/>
          <w:left w:val="none" w:color="auto" w:sz="0" w:space="0"/>
          <w:bottom w:val="none" w:color="auto" w:sz="0" w:space="0"/>
          <w:right w:val="none" w:color="auto" w:sz="0" w:space="0"/>
          <w:between w:val="none" w:color="auto" w:sz="0" w:space="0"/>
        </w:pBdr>
        <w:spacing w:line="400" w:lineRule="exact"/>
        <w:ind w:firstLine="281" w:firstLineChars="100"/>
        <w:outlineLvl w:val="9"/>
        <w:rPr>
          <w:rFonts w:hint="eastAsia" w:asciiTheme="minorEastAsia" w:hAnsiTheme="minorEastAsia" w:eastAsiaTheme="minorEastAsia" w:cstheme="minorEastAsia"/>
          <w:b/>
          <w:bCs/>
          <w:color w:val="auto"/>
          <w:sz w:val="28"/>
          <w:szCs w:val="28"/>
          <w:lang w:eastAsia="zh-CN"/>
        </w:rPr>
      </w:pPr>
    </w:p>
    <w:p w14:paraId="53977045">
      <w:pPr>
        <w:pBdr>
          <w:top w:val="none" w:color="auto" w:sz="0" w:space="0"/>
          <w:left w:val="none" w:color="auto" w:sz="0" w:space="0"/>
          <w:bottom w:val="none" w:color="auto" w:sz="0" w:space="0"/>
          <w:right w:val="none" w:color="auto" w:sz="0" w:space="0"/>
          <w:between w:val="none" w:color="auto" w:sz="0" w:space="0"/>
        </w:pBdr>
        <w:spacing w:line="400" w:lineRule="exact"/>
        <w:ind w:firstLine="281" w:firstLineChars="100"/>
        <w:outlineLvl w:val="9"/>
        <w:rPr>
          <w:rFonts w:hint="eastAsia" w:asciiTheme="minorEastAsia" w:hAnsiTheme="minorEastAsia" w:eastAsiaTheme="minorEastAsia" w:cstheme="minorEastAsia"/>
          <w:b/>
          <w:bCs/>
          <w:color w:val="auto"/>
          <w:sz w:val="28"/>
          <w:szCs w:val="28"/>
          <w:lang w:eastAsia="zh-CN"/>
        </w:rPr>
      </w:pPr>
    </w:p>
    <w:p w14:paraId="5104987B">
      <w:pPr>
        <w:pBdr>
          <w:top w:val="none" w:color="auto" w:sz="0" w:space="0"/>
          <w:left w:val="none" w:color="auto" w:sz="0" w:space="0"/>
          <w:bottom w:val="none" w:color="auto" w:sz="0" w:space="0"/>
          <w:right w:val="none" w:color="auto" w:sz="0" w:space="0"/>
          <w:between w:val="none" w:color="auto" w:sz="0" w:space="0"/>
        </w:pBdr>
        <w:spacing w:line="400" w:lineRule="exact"/>
        <w:ind w:firstLine="240" w:firstLineChars="100"/>
        <w:rPr>
          <w:rFonts w:hint="eastAsia" w:asciiTheme="minorEastAsia" w:hAnsiTheme="minorEastAsia" w:eastAsiaTheme="minorEastAsia" w:cstheme="minorEastAsia"/>
          <w:color w:val="auto"/>
          <w:lang w:eastAsia="zh-CN"/>
        </w:rPr>
      </w:pPr>
    </w:p>
    <w:p w14:paraId="713AAD73">
      <w:pPr>
        <w:numPr>
          <w:ilvl w:val="0"/>
          <w:numId w:val="0"/>
        </w:numPr>
        <w:pBdr>
          <w:top w:val="none" w:color="auto" w:sz="0" w:space="0"/>
          <w:left w:val="none" w:color="auto" w:sz="0" w:space="0"/>
          <w:bottom w:val="none" w:color="auto" w:sz="0" w:space="0"/>
          <w:right w:val="none" w:color="auto" w:sz="0" w:space="0"/>
          <w:between w:val="none" w:color="auto" w:sz="0" w:space="0"/>
        </w:pBdr>
        <w:spacing w:line="400" w:lineRule="exact"/>
        <w:ind w:firstLine="281" w:firstLineChars="100"/>
        <w:rPr>
          <w:rFonts w:hint="eastAsia" w:asciiTheme="minorEastAsia" w:hAnsiTheme="minorEastAsia" w:eastAsiaTheme="minorEastAsia" w:cstheme="minorEastAsia"/>
          <w:b/>
          <w:bCs/>
          <w:color w:val="auto"/>
          <w:sz w:val="28"/>
          <w:szCs w:val="28"/>
          <w:lang w:val="en-US" w:eastAsia="zh-CN" w:bidi="en-US"/>
        </w:rPr>
      </w:pPr>
      <w:r>
        <w:rPr>
          <w:rFonts w:hint="eastAsia" w:asciiTheme="minorEastAsia" w:hAnsiTheme="minorEastAsia" w:eastAsiaTheme="minorEastAsia" w:cstheme="minorEastAsia"/>
          <w:b/>
          <w:bCs/>
          <w:color w:val="auto"/>
          <w:sz w:val="28"/>
          <w:szCs w:val="28"/>
          <w:lang w:val="en-US" w:eastAsia="zh-CN" w:bidi="en-US"/>
        </w:rPr>
        <w:t>8、提供会计师事务所出具的2023年度财务审计报告（包含资产负债表、利润表、现金流量表等），成立不足一年的供应商可提供财务报表或银行出具的资信证明。</w:t>
      </w:r>
    </w:p>
    <w:p w14:paraId="144EFE21">
      <w:pPr>
        <w:numPr>
          <w:ilvl w:val="0"/>
          <w:numId w:val="0"/>
        </w:numPr>
        <w:pBdr>
          <w:top w:val="none" w:color="auto" w:sz="0" w:space="0"/>
          <w:left w:val="none" w:color="auto" w:sz="0" w:space="0"/>
          <w:bottom w:val="none" w:color="auto" w:sz="0" w:space="0"/>
          <w:right w:val="none" w:color="auto" w:sz="0" w:space="0"/>
          <w:between w:val="none" w:color="auto" w:sz="0" w:space="0"/>
        </w:pBdr>
        <w:spacing w:line="400" w:lineRule="exact"/>
        <w:ind w:firstLine="720" w:firstLineChars="3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说明：复印件上应加盖公章</w:t>
      </w:r>
    </w:p>
    <w:p w14:paraId="3577F222">
      <w:pPr>
        <w:pBdr>
          <w:top w:val="none" w:color="auto" w:sz="0" w:space="0"/>
          <w:left w:val="none" w:color="auto" w:sz="0" w:space="0"/>
          <w:bottom w:val="none" w:color="auto" w:sz="0" w:space="0"/>
          <w:right w:val="none" w:color="auto" w:sz="0" w:space="0"/>
          <w:between w:val="none" w:color="auto" w:sz="0" w:space="0"/>
        </w:pBdr>
        <w:spacing w:line="400" w:lineRule="exact"/>
        <w:ind w:left="240" w:leftChars="100"/>
        <w:rPr>
          <w:rFonts w:hint="eastAsia" w:asciiTheme="minorEastAsia" w:hAnsiTheme="minorEastAsia" w:eastAsiaTheme="minorEastAsia" w:cstheme="minorEastAsia"/>
          <w:b/>
          <w:bCs/>
          <w:color w:val="auto"/>
          <w:sz w:val="28"/>
          <w:szCs w:val="28"/>
          <w:lang w:eastAsia="zh-CN"/>
        </w:rPr>
      </w:pPr>
    </w:p>
    <w:p w14:paraId="5590DA64">
      <w:pPr>
        <w:pBdr>
          <w:top w:val="none" w:color="auto" w:sz="0" w:space="0"/>
          <w:left w:val="none" w:color="auto" w:sz="0" w:space="0"/>
          <w:bottom w:val="none" w:color="auto" w:sz="0" w:space="0"/>
          <w:right w:val="none" w:color="auto" w:sz="0" w:space="0"/>
          <w:between w:val="none" w:color="auto" w:sz="0" w:space="0"/>
        </w:pBdr>
        <w:spacing w:line="400" w:lineRule="exact"/>
        <w:ind w:left="240" w:leftChars="100"/>
        <w:rPr>
          <w:rFonts w:hint="eastAsia" w:asciiTheme="minorEastAsia" w:hAnsiTheme="minorEastAsia" w:eastAsiaTheme="minorEastAsia" w:cstheme="minorEastAsia"/>
          <w:b/>
          <w:bCs/>
          <w:color w:val="auto"/>
          <w:sz w:val="28"/>
          <w:szCs w:val="28"/>
          <w:lang w:eastAsia="zh-CN"/>
        </w:rPr>
      </w:pPr>
    </w:p>
    <w:p w14:paraId="31171894">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sz w:val="28"/>
          <w:szCs w:val="28"/>
          <w:lang w:eastAsia="zh-CN"/>
        </w:rPr>
      </w:pPr>
    </w:p>
    <w:p w14:paraId="5E16AEF8">
      <w:pPr>
        <w:pBdr>
          <w:top w:val="none" w:color="auto" w:sz="0" w:space="0"/>
          <w:left w:val="none" w:color="auto" w:sz="0" w:space="0"/>
          <w:bottom w:val="none" w:color="auto" w:sz="0" w:space="0"/>
          <w:right w:val="none" w:color="auto" w:sz="0" w:space="0"/>
          <w:between w:val="none" w:color="auto" w:sz="0" w:space="0"/>
        </w:pBdr>
        <w:spacing w:line="400" w:lineRule="exact"/>
        <w:ind w:firstLine="281" w:firstLineChars="100"/>
        <w:outlineLvl w:val="1"/>
        <w:rPr>
          <w:rFonts w:hint="eastAsia" w:asciiTheme="minorEastAsia" w:hAnsiTheme="minorEastAsia" w:eastAsiaTheme="minorEastAsia" w:cstheme="minorEastAsia"/>
          <w:b/>
          <w:bCs/>
          <w:color w:val="auto"/>
          <w:sz w:val="28"/>
          <w:szCs w:val="28"/>
          <w:lang w:eastAsia="zh-CN"/>
        </w:rPr>
      </w:pPr>
      <w:r>
        <w:rPr>
          <w:rFonts w:hint="eastAsia" w:asciiTheme="minorEastAsia" w:hAnsiTheme="minorEastAsia" w:eastAsiaTheme="minorEastAsia" w:cstheme="minorEastAsia"/>
          <w:b/>
          <w:bCs/>
          <w:color w:val="auto"/>
          <w:sz w:val="28"/>
          <w:szCs w:val="28"/>
          <w:lang w:eastAsia="zh-CN"/>
        </w:rPr>
        <w:t>9、要求提供的其他资格证明文件</w:t>
      </w:r>
    </w:p>
    <w:p w14:paraId="27434BB1">
      <w:pPr>
        <w:pStyle w:val="34"/>
        <w:pBdr>
          <w:top w:val="none" w:color="auto" w:sz="0" w:space="0"/>
          <w:left w:val="none" w:color="auto" w:sz="0" w:space="0"/>
          <w:bottom w:val="none" w:color="auto" w:sz="0" w:space="0"/>
          <w:right w:val="none" w:color="auto" w:sz="0" w:space="0"/>
          <w:between w:val="none" w:color="auto" w:sz="0" w:space="0"/>
        </w:pBdr>
        <w:ind w:firstLine="0"/>
        <w:rPr>
          <w:rFonts w:hint="default" w:asciiTheme="minorEastAsia" w:hAnsiTheme="minorEastAsia" w:eastAsiaTheme="minorEastAsia" w:cstheme="minorEastAsia"/>
          <w:b/>
          <w:bCs/>
          <w:color w:val="auto"/>
          <w:sz w:val="30"/>
          <w:szCs w:val="30"/>
          <w:lang w:val="en-US" w:eastAsia="zh-CN"/>
        </w:rPr>
      </w:pPr>
      <w:r>
        <w:rPr>
          <w:rFonts w:hint="eastAsia" w:asciiTheme="minorEastAsia" w:hAnsiTheme="minorEastAsia" w:eastAsiaTheme="minorEastAsia" w:cstheme="minorEastAsia"/>
          <w:b/>
          <w:bCs/>
          <w:color w:val="auto"/>
          <w:sz w:val="30"/>
          <w:szCs w:val="30"/>
          <w:lang w:val="en-US" w:eastAsia="zh-CN"/>
        </w:rPr>
        <w:t xml:space="preserve"> </w:t>
      </w:r>
    </w:p>
    <w:p w14:paraId="5BBB98D8">
      <w:pPr>
        <w:pStyle w:val="34"/>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b/>
          <w:bCs/>
          <w:color w:val="auto"/>
          <w:lang w:eastAsia="zh-CN"/>
        </w:rPr>
      </w:pPr>
    </w:p>
    <w:p w14:paraId="4EC0652A">
      <w:pPr>
        <w:pStyle w:val="34"/>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b/>
          <w:bCs/>
          <w:color w:val="auto"/>
          <w:lang w:eastAsia="zh-CN"/>
        </w:rPr>
      </w:pPr>
    </w:p>
    <w:p w14:paraId="3B94B16C">
      <w:pPr>
        <w:pStyle w:val="34"/>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b/>
          <w:bCs/>
          <w:color w:val="auto"/>
          <w:lang w:eastAsia="zh-CN"/>
        </w:rPr>
      </w:pPr>
    </w:p>
    <w:p w14:paraId="5E5D46DC">
      <w:pPr>
        <w:pStyle w:val="34"/>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b/>
          <w:bCs/>
          <w:color w:val="auto"/>
          <w:lang w:eastAsia="zh-CN"/>
        </w:rPr>
      </w:pPr>
    </w:p>
    <w:p w14:paraId="1A5B5FD3">
      <w:pPr>
        <w:pStyle w:val="34"/>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b/>
          <w:bCs/>
          <w:color w:val="auto"/>
          <w:lang w:eastAsia="zh-CN"/>
        </w:rPr>
      </w:pPr>
    </w:p>
    <w:p w14:paraId="6DAB4DC9">
      <w:pPr>
        <w:pStyle w:val="34"/>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b/>
          <w:bCs/>
          <w:color w:val="auto"/>
          <w:lang w:eastAsia="zh-CN"/>
        </w:rPr>
      </w:pPr>
    </w:p>
    <w:p w14:paraId="7F3122DC">
      <w:pPr>
        <w:pStyle w:val="34"/>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b/>
          <w:bCs/>
          <w:color w:val="auto"/>
          <w:lang w:eastAsia="zh-CN"/>
        </w:rPr>
      </w:pPr>
    </w:p>
    <w:p w14:paraId="699203B5">
      <w:pPr>
        <w:pStyle w:val="3"/>
        <w:keepNext/>
        <w:keepLines/>
        <w:pBdr>
          <w:top w:val="none" w:color="auto" w:sz="0" w:space="0"/>
          <w:left w:val="none" w:color="auto" w:sz="0" w:space="0"/>
          <w:bottom w:val="none" w:color="auto" w:sz="0" w:space="0"/>
          <w:right w:val="none" w:color="auto" w:sz="0" w:space="0"/>
          <w:between w:val="none" w:color="auto" w:sz="0" w:space="0"/>
        </w:pBdr>
        <w:adjustRightInd/>
        <w:snapToGrid/>
        <w:spacing w:before="40" w:after="40" w:line="579" w:lineRule="auto"/>
        <w:rPr>
          <w:rFonts w:hint="eastAsia" w:asciiTheme="minorEastAsia" w:hAnsiTheme="minorEastAsia" w:eastAsiaTheme="minorEastAsia" w:cstheme="minorEastAsia"/>
          <w:color w:val="auto"/>
          <w:sz w:val="32"/>
          <w:szCs w:val="32"/>
          <w:lang w:eastAsia="zh-CN"/>
        </w:rPr>
      </w:pPr>
      <w:bookmarkStart w:id="126" w:name="_Toc22967"/>
      <w:bookmarkStart w:id="127" w:name="_Toc22731"/>
      <w:bookmarkStart w:id="128" w:name="_Toc5695"/>
      <w:bookmarkStart w:id="129" w:name="_Toc11180"/>
      <w:bookmarkStart w:id="130" w:name="_Toc515647816"/>
      <w:bookmarkStart w:id="131" w:name="_Toc1027"/>
      <w:r>
        <w:rPr>
          <w:rFonts w:hint="eastAsia" w:asciiTheme="minorEastAsia" w:hAnsiTheme="minorEastAsia" w:eastAsiaTheme="minorEastAsia" w:cstheme="minorEastAsia"/>
          <w:color w:val="auto"/>
          <w:sz w:val="32"/>
          <w:szCs w:val="32"/>
          <w:lang w:eastAsia="zh-CN"/>
        </w:rPr>
        <w:t>第二部分  商务及技术文件</w:t>
      </w:r>
      <w:bookmarkEnd w:id="126"/>
      <w:bookmarkEnd w:id="127"/>
      <w:bookmarkEnd w:id="128"/>
      <w:bookmarkEnd w:id="129"/>
      <w:bookmarkEnd w:id="130"/>
      <w:bookmarkEnd w:id="131"/>
    </w:p>
    <w:p w14:paraId="21A52341">
      <w:pPr>
        <w:pStyle w:val="14"/>
        <w:pBdr>
          <w:top w:val="none" w:color="auto" w:sz="0" w:space="0"/>
          <w:left w:val="none" w:color="auto" w:sz="0" w:space="0"/>
          <w:bottom w:val="none" w:color="auto" w:sz="0" w:space="0"/>
          <w:right w:val="none" w:color="auto" w:sz="0" w:space="0"/>
          <w:between w:val="none" w:color="auto" w:sz="0" w:space="0"/>
        </w:pBdr>
        <w:tabs>
          <w:tab w:val="left" w:pos="5580"/>
        </w:tabs>
        <w:spacing w:line="360" w:lineRule="auto"/>
        <w:ind w:left="641" w:leftChars="267"/>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eastAsia="zh-CN"/>
        </w:rPr>
        <w:t>1、投标函</w:t>
      </w:r>
    </w:p>
    <w:p w14:paraId="574628B0">
      <w:pPr>
        <w:pStyle w:val="14"/>
        <w:pBdr>
          <w:top w:val="none" w:color="auto" w:sz="0" w:space="0"/>
          <w:left w:val="none" w:color="auto" w:sz="0" w:space="0"/>
          <w:bottom w:val="none" w:color="auto" w:sz="0" w:space="0"/>
          <w:right w:val="none" w:color="auto" w:sz="0" w:space="0"/>
          <w:between w:val="none" w:color="auto" w:sz="0" w:space="0"/>
        </w:pBdr>
        <w:tabs>
          <w:tab w:val="left" w:pos="5580"/>
        </w:tabs>
        <w:spacing w:line="360" w:lineRule="auto"/>
        <w:ind w:left="641" w:leftChars="267"/>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eastAsia="zh-CN"/>
        </w:rPr>
        <w:t>2、开标一览表</w:t>
      </w:r>
    </w:p>
    <w:p w14:paraId="3993CAFE">
      <w:pPr>
        <w:pStyle w:val="14"/>
        <w:pBdr>
          <w:top w:val="none" w:color="auto" w:sz="0" w:space="0"/>
          <w:left w:val="none" w:color="auto" w:sz="0" w:space="0"/>
          <w:bottom w:val="none" w:color="auto" w:sz="0" w:space="0"/>
          <w:right w:val="none" w:color="auto" w:sz="0" w:space="0"/>
          <w:between w:val="none" w:color="auto" w:sz="0" w:space="0"/>
        </w:pBdr>
        <w:tabs>
          <w:tab w:val="left" w:pos="5580"/>
        </w:tabs>
        <w:spacing w:line="360" w:lineRule="auto"/>
        <w:ind w:left="641" w:leftChars="267"/>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eastAsia="zh-CN"/>
        </w:rPr>
        <w:t>3、投标报价明细表</w:t>
      </w:r>
    </w:p>
    <w:p w14:paraId="75DF510E">
      <w:pPr>
        <w:pStyle w:val="14"/>
        <w:pBdr>
          <w:top w:val="none" w:color="auto" w:sz="0" w:space="0"/>
          <w:left w:val="none" w:color="auto" w:sz="0" w:space="0"/>
          <w:bottom w:val="none" w:color="auto" w:sz="0" w:space="0"/>
          <w:right w:val="none" w:color="auto" w:sz="0" w:space="0"/>
          <w:between w:val="none" w:color="auto" w:sz="0" w:space="0"/>
        </w:pBdr>
        <w:tabs>
          <w:tab w:val="left" w:pos="5580"/>
        </w:tabs>
        <w:spacing w:line="360" w:lineRule="auto"/>
        <w:ind w:left="641" w:leftChars="267"/>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eastAsia="zh-CN"/>
        </w:rPr>
        <w:t>4、商务条款偏离表</w:t>
      </w:r>
    </w:p>
    <w:p w14:paraId="13357DAD">
      <w:pPr>
        <w:pStyle w:val="14"/>
        <w:pBdr>
          <w:top w:val="none" w:color="auto" w:sz="0" w:space="0"/>
          <w:left w:val="none" w:color="auto" w:sz="0" w:space="0"/>
          <w:bottom w:val="none" w:color="auto" w:sz="0" w:space="0"/>
          <w:right w:val="none" w:color="auto" w:sz="0" w:space="0"/>
          <w:between w:val="none" w:color="auto" w:sz="0" w:space="0"/>
        </w:pBdr>
        <w:tabs>
          <w:tab w:val="left" w:pos="5580"/>
        </w:tabs>
        <w:spacing w:line="360" w:lineRule="auto"/>
        <w:ind w:left="641" w:leftChars="267"/>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eastAsia="zh-CN"/>
        </w:rPr>
        <w:t>5、技术条款偏离表</w:t>
      </w:r>
    </w:p>
    <w:p w14:paraId="0623056E">
      <w:pPr>
        <w:pStyle w:val="14"/>
        <w:pBdr>
          <w:top w:val="none" w:color="auto" w:sz="0" w:space="0"/>
          <w:left w:val="none" w:color="auto" w:sz="0" w:space="0"/>
          <w:bottom w:val="none" w:color="auto" w:sz="0" w:space="0"/>
          <w:right w:val="none" w:color="auto" w:sz="0" w:space="0"/>
          <w:between w:val="none" w:color="auto" w:sz="0" w:space="0"/>
        </w:pBdr>
        <w:tabs>
          <w:tab w:val="left" w:pos="5580"/>
        </w:tabs>
        <w:spacing w:line="360" w:lineRule="auto"/>
        <w:ind w:left="641" w:leftChars="267"/>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eastAsia="zh-CN"/>
        </w:rPr>
        <w:t>6、投标人基本情况表</w:t>
      </w:r>
    </w:p>
    <w:p w14:paraId="08940D8E">
      <w:pPr>
        <w:pStyle w:val="14"/>
        <w:pBdr>
          <w:top w:val="none" w:color="auto" w:sz="0" w:space="0"/>
          <w:left w:val="none" w:color="auto" w:sz="0" w:space="0"/>
          <w:bottom w:val="none" w:color="auto" w:sz="0" w:space="0"/>
          <w:right w:val="none" w:color="auto" w:sz="0" w:space="0"/>
          <w:between w:val="none" w:color="auto" w:sz="0" w:space="0"/>
        </w:pBdr>
        <w:tabs>
          <w:tab w:val="left" w:pos="5580"/>
        </w:tabs>
        <w:spacing w:line="360" w:lineRule="auto"/>
        <w:ind w:left="641" w:leftChars="267"/>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eastAsia="zh-CN"/>
        </w:rPr>
        <w:t>7、近五年(2019年1月1日至今)类似项目业绩表</w:t>
      </w:r>
    </w:p>
    <w:p w14:paraId="183FD900">
      <w:pPr>
        <w:pStyle w:val="14"/>
        <w:pBdr>
          <w:top w:val="none" w:color="auto" w:sz="0" w:space="0"/>
          <w:left w:val="none" w:color="auto" w:sz="0" w:space="0"/>
          <w:bottom w:val="none" w:color="auto" w:sz="0" w:space="0"/>
          <w:right w:val="none" w:color="auto" w:sz="0" w:space="0"/>
          <w:between w:val="none" w:color="auto" w:sz="0" w:space="0"/>
        </w:pBdr>
        <w:tabs>
          <w:tab w:val="left" w:pos="5580"/>
        </w:tabs>
        <w:spacing w:line="360" w:lineRule="auto"/>
        <w:ind w:left="641" w:leftChars="267"/>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eastAsia="zh-CN"/>
        </w:rPr>
        <w:t>8、评分标准和细则中商务技术部分证明材料（格式自拟）</w:t>
      </w:r>
    </w:p>
    <w:p w14:paraId="26ED3BB1">
      <w:pPr>
        <w:pStyle w:val="14"/>
        <w:pBdr>
          <w:top w:val="none" w:color="auto" w:sz="0" w:space="0"/>
          <w:left w:val="none" w:color="auto" w:sz="0" w:space="0"/>
          <w:bottom w:val="none" w:color="auto" w:sz="0" w:space="0"/>
          <w:right w:val="none" w:color="auto" w:sz="0" w:space="0"/>
          <w:between w:val="none" w:color="auto" w:sz="0" w:space="0"/>
        </w:pBdr>
        <w:tabs>
          <w:tab w:val="left" w:pos="5580"/>
        </w:tabs>
        <w:spacing w:line="360" w:lineRule="auto"/>
        <w:ind w:left="641" w:leftChars="267"/>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eastAsia="zh-CN"/>
        </w:rPr>
        <w:t>9、投标人认为有必要提供的其他证明材料</w:t>
      </w:r>
    </w:p>
    <w:p w14:paraId="7EE39145">
      <w:pPr>
        <w:pStyle w:val="14"/>
        <w:pBdr>
          <w:top w:val="none" w:color="auto" w:sz="0" w:space="0"/>
          <w:left w:val="none" w:color="auto" w:sz="0" w:space="0"/>
          <w:bottom w:val="none" w:color="auto" w:sz="0" w:space="0"/>
          <w:right w:val="none" w:color="auto" w:sz="0" w:space="0"/>
          <w:between w:val="none" w:color="auto" w:sz="0" w:space="0"/>
        </w:pBdr>
        <w:tabs>
          <w:tab w:val="left" w:pos="5580"/>
        </w:tabs>
        <w:spacing w:line="360" w:lineRule="auto"/>
        <w:ind w:left="641" w:leftChars="267"/>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8"/>
          <w:szCs w:val="28"/>
          <w:lang w:eastAsia="zh-CN"/>
        </w:rPr>
        <w:t>10、中小企业声明函格式（可选）</w:t>
      </w:r>
      <w:r>
        <w:rPr>
          <w:rFonts w:hint="eastAsia" w:asciiTheme="minorEastAsia" w:hAnsiTheme="minorEastAsia" w:eastAsiaTheme="minorEastAsia" w:cstheme="minorEastAsia"/>
          <w:color w:val="auto"/>
          <w:sz w:val="28"/>
          <w:szCs w:val="28"/>
          <w:lang w:eastAsia="zh-CN"/>
        </w:rPr>
        <w:br w:type="page"/>
      </w:r>
    </w:p>
    <w:p w14:paraId="7B48F3B5">
      <w:pPr>
        <w:pStyle w:val="12"/>
        <w:numPr>
          <w:ilvl w:val="0"/>
          <w:numId w:val="0"/>
        </w:numPr>
        <w:pBdr>
          <w:top w:val="none" w:color="auto" w:sz="0" w:space="0"/>
          <w:left w:val="none" w:color="auto" w:sz="0" w:space="0"/>
          <w:bottom w:val="none" w:color="auto" w:sz="0" w:space="0"/>
          <w:right w:val="none" w:color="auto" w:sz="0" w:space="0"/>
          <w:between w:val="none" w:color="auto" w:sz="0" w:space="0"/>
        </w:pBdr>
        <w:kinsoku w:val="0"/>
        <w:overflowPunct w:val="0"/>
        <w:spacing w:before="130" w:line="355" w:lineRule="auto"/>
        <w:ind w:right="7"/>
        <w:jc w:val="center"/>
        <w:outlineLvl w:val="1"/>
        <w:rPr>
          <w:rFonts w:hint="eastAsia" w:asciiTheme="minorEastAsia" w:hAnsiTheme="minorEastAsia" w:eastAsiaTheme="minorEastAsia" w:cstheme="minorEastAsia"/>
          <w:b/>
          <w:bCs/>
          <w:color w:val="auto"/>
          <w:sz w:val="36"/>
          <w:szCs w:val="36"/>
          <w:lang w:eastAsia="zh-CN"/>
        </w:rPr>
      </w:pPr>
      <w:r>
        <w:rPr>
          <w:rFonts w:hint="eastAsia" w:asciiTheme="minorEastAsia" w:hAnsiTheme="minorEastAsia" w:eastAsiaTheme="minorEastAsia" w:cstheme="minorEastAsia"/>
          <w:b/>
          <w:bCs/>
          <w:color w:val="auto"/>
          <w:sz w:val="36"/>
          <w:szCs w:val="36"/>
          <w:lang w:eastAsia="zh-CN"/>
        </w:rPr>
        <w:t>1、投标函</w:t>
      </w:r>
    </w:p>
    <w:p w14:paraId="38BA5978">
      <w:pPr>
        <w:pBdr>
          <w:top w:val="none" w:color="auto" w:sz="0" w:space="0"/>
          <w:left w:val="none" w:color="auto" w:sz="0" w:space="0"/>
          <w:bottom w:val="none" w:color="auto" w:sz="0" w:space="0"/>
          <w:right w:val="none" w:color="auto" w:sz="0" w:space="0"/>
          <w:between w:val="none" w:color="auto" w:sz="0" w:space="0"/>
        </w:pBdr>
        <w:spacing w:line="440" w:lineRule="exact"/>
        <w:ind w:firstLine="480" w:firstLineChars="200"/>
        <w:rPr>
          <w:rFonts w:hint="eastAsia" w:asciiTheme="minorEastAsia" w:hAnsiTheme="minorEastAsia" w:eastAsiaTheme="minorEastAsia" w:cstheme="minorEastAsia"/>
          <w:color w:val="auto"/>
          <w:u w:val="single"/>
          <w:lang w:eastAsia="zh-CN"/>
        </w:rPr>
      </w:pPr>
      <w:r>
        <w:rPr>
          <w:rFonts w:hint="eastAsia" w:asciiTheme="minorEastAsia" w:hAnsiTheme="minorEastAsia" w:eastAsiaTheme="minorEastAsia" w:cstheme="minorEastAsia"/>
          <w:color w:val="auto"/>
          <w:lang w:eastAsia="zh-CN"/>
        </w:rPr>
        <w:t>致：</w:t>
      </w:r>
      <w:r>
        <w:rPr>
          <w:rFonts w:hint="eastAsia" w:asciiTheme="minorEastAsia" w:hAnsiTheme="minorEastAsia" w:eastAsiaTheme="minorEastAsia" w:cstheme="minorEastAsia"/>
          <w:color w:val="auto"/>
          <w:u w:val="single"/>
          <w:lang w:eastAsia="zh-CN"/>
        </w:rPr>
        <w:t xml:space="preserve">                     </w:t>
      </w:r>
    </w:p>
    <w:p w14:paraId="60072E07">
      <w:pPr>
        <w:pBdr>
          <w:top w:val="none" w:color="auto" w:sz="0" w:space="0"/>
          <w:left w:val="none" w:color="auto" w:sz="0" w:space="0"/>
          <w:bottom w:val="none" w:color="auto" w:sz="0" w:space="0"/>
          <w:right w:val="none" w:color="auto" w:sz="0" w:space="0"/>
          <w:between w:val="none" w:color="auto" w:sz="0" w:space="0"/>
        </w:pBdr>
        <w:spacing w:line="440" w:lineRule="exact"/>
        <w:ind w:firstLine="48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为响应你方组织的</w:t>
      </w:r>
      <w:r>
        <w:rPr>
          <w:rFonts w:hint="eastAsia" w:asciiTheme="minorEastAsia" w:hAnsiTheme="minorEastAsia" w:eastAsiaTheme="minorEastAsia" w:cstheme="minorEastAsia"/>
          <w:color w:val="auto"/>
          <w:u w:val="single"/>
          <w:lang w:eastAsia="zh-CN"/>
        </w:rPr>
        <w:t xml:space="preserve">                   </w:t>
      </w:r>
      <w:r>
        <w:rPr>
          <w:rFonts w:hint="eastAsia" w:asciiTheme="minorEastAsia" w:hAnsiTheme="minorEastAsia" w:eastAsiaTheme="minorEastAsia" w:cstheme="minorEastAsia"/>
          <w:color w:val="auto"/>
          <w:lang w:eastAsia="zh-CN"/>
        </w:rPr>
        <w:t>项目的招标[项目编号为：</w:t>
      </w:r>
      <w:r>
        <w:rPr>
          <w:rFonts w:hint="eastAsia" w:asciiTheme="minorEastAsia" w:hAnsiTheme="minorEastAsia" w:eastAsiaTheme="minorEastAsia" w:cstheme="minorEastAsia"/>
          <w:color w:val="auto"/>
          <w:u w:val="single"/>
          <w:lang w:eastAsia="zh-CN"/>
        </w:rPr>
        <w:t xml:space="preserve">     </w:t>
      </w:r>
      <w:r>
        <w:rPr>
          <w:rFonts w:hint="eastAsia" w:asciiTheme="minorEastAsia" w:hAnsiTheme="minorEastAsia" w:eastAsiaTheme="minorEastAsia" w:cstheme="minorEastAsia"/>
          <w:color w:val="auto"/>
          <w:lang w:eastAsia="zh-CN"/>
        </w:rPr>
        <w:t>]，我方愿参与投标。</w:t>
      </w:r>
    </w:p>
    <w:p w14:paraId="0E7DAFCB">
      <w:pPr>
        <w:pBdr>
          <w:top w:val="none" w:color="auto" w:sz="0" w:space="0"/>
          <w:left w:val="none" w:color="auto" w:sz="0" w:space="0"/>
          <w:bottom w:val="none" w:color="auto" w:sz="0" w:space="0"/>
          <w:right w:val="none" w:color="auto" w:sz="0" w:space="0"/>
          <w:between w:val="none" w:color="auto" w:sz="0" w:space="0"/>
        </w:pBdr>
        <w:spacing w:line="440" w:lineRule="exact"/>
        <w:ind w:firstLine="48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我方确认收到贵方提供的</w:t>
      </w:r>
      <w:r>
        <w:rPr>
          <w:rFonts w:hint="eastAsia" w:asciiTheme="minorEastAsia" w:hAnsiTheme="minorEastAsia" w:eastAsiaTheme="minorEastAsia" w:cstheme="minorEastAsia"/>
          <w:color w:val="auto"/>
          <w:u w:val="single"/>
          <w:lang w:eastAsia="zh-CN"/>
        </w:rPr>
        <w:t xml:space="preserve">                                     </w:t>
      </w:r>
      <w:r>
        <w:rPr>
          <w:rFonts w:hint="eastAsia" w:asciiTheme="minorEastAsia" w:hAnsiTheme="minorEastAsia" w:eastAsiaTheme="minorEastAsia" w:cstheme="minorEastAsia"/>
          <w:color w:val="auto"/>
          <w:lang w:eastAsia="zh-CN"/>
        </w:rPr>
        <w:t>招标文件的全部内容。</w:t>
      </w:r>
    </w:p>
    <w:p w14:paraId="06CDABC8">
      <w:pPr>
        <w:pBdr>
          <w:top w:val="none" w:color="auto" w:sz="0" w:space="0"/>
          <w:left w:val="none" w:color="auto" w:sz="0" w:space="0"/>
          <w:bottom w:val="none" w:color="auto" w:sz="0" w:space="0"/>
          <w:right w:val="none" w:color="auto" w:sz="0" w:space="0"/>
          <w:between w:val="none" w:color="auto" w:sz="0" w:space="0"/>
        </w:pBdr>
        <w:spacing w:line="440" w:lineRule="exact"/>
        <w:ind w:firstLine="48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我方在参与投标前已详细研究了招标文件的所有内容，包括澄清、修改文件（如果有）和所有已提供的参考资料以及有关附件，我方完全明白并认为此招标文件没有倾向性，也不存在排斥潜在报价投标人的内容，我方同意招标文件的相关条款，放弃对招标文件提出误解和质疑的一切权力。</w:t>
      </w:r>
    </w:p>
    <w:p w14:paraId="1B43D181">
      <w:pPr>
        <w:pBdr>
          <w:top w:val="none" w:color="auto" w:sz="0" w:space="0"/>
          <w:left w:val="none" w:color="auto" w:sz="0" w:space="0"/>
          <w:bottom w:val="none" w:color="auto" w:sz="0" w:space="0"/>
          <w:right w:val="none" w:color="auto" w:sz="0" w:space="0"/>
          <w:between w:val="none" w:color="auto" w:sz="0" w:space="0"/>
        </w:pBdr>
        <w:spacing w:line="440" w:lineRule="exact"/>
        <w:ind w:firstLine="48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u w:val="single"/>
          <w:lang w:eastAsia="zh-CN"/>
        </w:rPr>
        <w:t xml:space="preserve">      (投标人名称)      </w:t>
      </w:r>
      <w:r>
        <w:rPr>
          <w:rFonts w:hint="eastAsia" w:asciiTheme="minorEastAsia" w:hAnsiTheme="minorEastAsia" w:eastAsiaTheme="minorEastAsia" w:cstheme="minorEastAsia"/>
          <w:color w:val="auto"/>
          <w:lang w:eastAsia="zh-CN"/>
        </w:rPr>
        <w:t>作为投标人正式授权</w:t>
      </w:r>
      <w:r>
        <w:rPr>
          <w:rFonts w:hint="eastAsia" w:asciiTheme="minorEastAsia" w:hAnsiTheme="minorEastAsia" w:eastAsiaTheme="minorEastAsia" w:cstheme="minorEastAsia"/>
          <w:color w:val="auto"/>
          <w:u w:val="single"/>
          <w:lang w:eastAsia="zh-CN"/>
        </w:rPr>
        <w:t xml:space="preserve">  (授权代表全名, 职务)  </w:t>
      </w:r>
      <w:r>
        <w:rPr>
          <w:rFonts w:hint="eastAsia" w:asciiTheme="minorEastAsia" w:hAnsiTheme="minorEastAsia" w:eastAsiaTheme="minorEastAsia" w:cstheme="minorEastAsia"/>
          <w:color w:val="auto"/>
          <w:lang w:eastAsia="zh-CN"/>
        </w:rPr>
        <w:t>代表我方全权处理有关本报价的一切事宜。</w:t>
      </w:r>
    </w:p>
    <w:p w14:paraId="13C8FE09">
      <w:pPr>
        <w:pBdr>
          <w:top w:val="none" w:color="auto" w:sz="0" w:space="0"/>
          <w:left w:val="none" w:color="auto" w:sz="0" w:space="0"/>
          <w:bottom w:val="none" w:color="auto" w:sz="0" w:space="0"/>
          <w:right w:val="none" w:color="auto" w:sz="0" w:space="0"/>
          <w:between w:val="none" w:color="auto" w:sz="0" w:space="0"/>
        </w:pBdr>
        <w:spacing w:line="440" w:lineRule="exact"/>
        <w:ind w:firstLine="48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我方已完全明白招标文件的所有条款要求，并申明如下：</w:t>
      </w:r>
    </w:p>
    <w:p w14:paraId="20C64D47">
      <w:pPr>
        <w:pBdr>
          <w:top w:val="none" w:color="auto" w:sz="0" w:space="0"/>
          <w:left w:val="none" w:color="auto" w:sz="0" w:space="0"/>
          <w:bottom w:val="none" w:color="auto" w:sz="0" w:space="0"/>
          <w:right w:val="none" w:color="auto" w:sz="0" w:space="0"/>
          <w:between w:val="none" w:color="auto" w:sz="0" w:space="0"/>
        </w:pBdr>
        <w:spacing w:line="480" w:lineRule="exact"/>
        <w:ind w:firstLine="48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（一）按招标文件提供的全部货物与相关服务的投标总价详见《开标一览表》。</w:t>
      </w:r>
    </w:p>
    <w:p w14:paraId="728F647F">
      <w:pPr>
        <w:pBdr>
          <w:top w:val="none" w:color="auto" w:sz="0" w:space="0"/>
          <w:left w:val="none" w:color="auto" w:sz="0" w:space="0"/>
          <w:bottom w:val="none" w:color="auto" w:sz="0" w:space="0"/>
          <w:right w:val="none" w:color="auto" w:sz="0" w:space="0"/>
          <w:between w:val="none" w:color="auto" w:sz="0" w:space="0"/>
        </w:pBdr>
        <w:spacing w:line="480" w:lineRule="exact"/>
        <w:ind w:firstLine="48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（二）本投标文件的有效期为投标截止时间起</w:t>
      </w:r>
      <w:r>
        <w:rPr>
          <w:rFonts w:hint="eastAsia" w:asciiTheme="minorEastAsia" w:hAnsiTheme="minorEastAsia" w:eastAsiaTheme="minorEastAsia" w:cstheme="minorEastAsia"/>
          <w:color w:val="auto"/>
          <w:u w:val="single"/>
          <w:lang w:eastAsia="zh-CN"/>
        </w:rPr>
        <w:t>60</w:t>
      </w:r>
      <w:r>
        <w:rPr>
          <w:rFonts w:hint="eastAsia" w:asciiTheme="minorEastAsia" w:hAnsiTheme="minorEastAsia" w:eastAsiaTheme="minorEastAsia" w:cstheme="minorEastAsia"/>
          <w:color w:val="auto"/>
          <w:lang w:eastAsia="zh-CN"/>
        </w:rPr>
        <w:t>天。如中标，有效期将延至合同终止日为止。在此提交的资格证明文件均至投标截止日有效，如有在投标有效期内失效的，我方承诺在中标后补齐一切手续，保证所有资格证明文件能在签订采购合同时直至采购合同终止日有效。</w:t>
      </w:r>
    </w:p>
    <w:p w14:paraId="020F55D3">
      <w:pPr>
        <w:pBdr>
          <w:top w:val="none" w:color="auto" w:sz="0" w:space="0"/>
          <w:left w:val="none" w:color="auto" w:sz="0" w:space="0"/>
          <w:bottom w:val="none" w:color="auto" w:sz="0" w:space="0"/>
          <w:right w:val="none" w:color="auto" w:sz="0" w:space="0"/>
          <w:between w:val="none" w:color="auto" w:sz="0" w:space="0"/>
        </w:pBdr>
        <w:spacing w:line="480" w:lineRule="exact"/>
        <w:ind w:firstLine="48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（三）我方同意按照贵方可能提出的要求而提供与投标有关的任何其它数据、信息或资料。</w:t>
      </w:r>
    </w:p>
    <w:p w14:paraId="215C3288">
      <w:pPr>
        <w:pBdr>
          <w:top w:val="none" w:color="auto" w:sz="0" w:space="0"/>
          <w:left w:val="none" w:color="auto" w:sz="0" w:space="0"/>
          <w:bottom w:val="none" w:color="auto" w:sz="0" w:space="0"/>
          <w:right w:val="none" w:color="auto" w:sz="0" w:space="0"/>
          <w:between w:val="none" w:color="auto" w:sz="0" w:space="0"/>
        </w:pBdr>
        <w:spacing w:line="480" w:lineRule="exact"/>
        <w:ind w:firstLine="48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（四）我方理解贵方不一定接受最低投标价或任何贵方可能收到的投标。</w:t>
      </w:r>
    </w:p>
    <w:p w14:paraId="690B4BB2">
      <w:pPr>
        <w:pBdr>
          <w:top w:val="none" w:color="auto" w:sz="0" w:space="0"/>
          <w:left w:val="none" w:color="auto" w:sz="0" w:space="0"/>
          <w:bottom w:val="none" w:color="auto" w:sz="0" w:space="0"/>
          <w:right w:val="none" w:color="auto" w:sz="0" w:space="0"/>
          <w:between w:val="none" w:color="auto" w:sz="0" w:space="0"/>
        </w:pBdr>
        <w:spacing w:line="480" w:lineRule="exact"/>
        <w:ind w:firstLine="48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（五）我方如果中标，将保证履行招标文件及其澄清、修改文件（如果有）中的全部责任和义务，按质、按量、按期完成《招标内容》及《合同书》中的全部任务。</w:t>
      </w:r>
    </w:p>
    <w:p w14:paraId="7163D6A9">
      <w:pPr>
        <w:pBdr>
          <w:top w:val="none" w:color="auto" w:sz="0" w:space="0"/>
          <w:left w:val="none" w:color="auto" w:sz="0" w:space="0"/>
          <w:bottom w:val="none" w:color="auto" w:sz="0" w:space="0"/>
          <w:right w:val="none" w:color="auto" w:sz="0" w:space="0"/>
          <w:between w:val="none" w:color="auto" w:sz="0" w:space="0"/>
        </w:pBdr>
        <w:spacing w:line="480" w:lineRule="exact"/>
        <w:ind w:firstLine="48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（六）如我方被授予合同，我方承诺支付就本次招标应支付或将支付的中标服务费（详见按招标文件要求格式填写的《中标服务费支付承诺书》）。</w:t>
      </w:r>
    </w:p>
    <w:p w14:paraId="1E2EF9EC">
      <w:pPr>
        <w:pBdr>
          <w:top w:val="none" w:color="auto" w:sz="0" w:space="0"/>
          <w:left w:val="none" w:color="auto" w:sz="0" w:space="0"/>
          <w:bottom w:val="none" w:color="auto" w:sz="0" w:space="0"/>
          <w:right w:val="none" w:color="auto" w:sz="0" w:space="0"/>
          <w:between w:val="none" w:color="auto" w:sz="0" w:space="0"/>
        </w:pBdr>
        <w:spacing w:line="480" w:lineRule="exact"/>
        <w:ind w:firstLine="48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（七）我方作为在法律、财务和运作上独立于采购人、采购代理机构的投标人，在此保证所提交的所有文件和全部说明是真实的和正确的。</w:t>
      </w:r>
    </w:p>
    <w:p w14:paraId="0B369533">
      <w:pPr>
        <w:pBdr>
          <w:top w:val="none" w:color="auto" w:sz="0" w:space="0"/>
          <w:left w:val="none" w:color="auto" w:sz="0" w:space="0"/>
          <w:bottom w:val="none" w:color="auto" w:sz="0" w:space="0"/>
          <w:right w:val="none" w:color="auto" w:sz="0" w:space="0"/>
          <w:between w:val="none" w:color="auto" w:sz="0" w:space="0"/>
        </w:pBdr>
        <w:spacing w:line="480" w:lineRule="exact"/>
        <w:ind w:firstLine="48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（八）我方投标报价已包含应向知识产权所有权人支付的所有相关税费，并保证采购人在中国使用我方提供的货物时，如有第三方提出侵犯其知识产权主张的，责任由我方承担。</w:t>
      </w:r>
    </w:p>
    <w:p w14:paraId="48067D6C">
      <w:pPr>
        <w:pBdr>
          <w:top w:val="none" w:color="auto" w:sz="0" w:space="0"/>
          <w:left w:val="none" w:color="auto" w:sz="0" w:space="0"/>
          <w:bottom w:val="none" w:color="auto" w:sz="0" w:space="0"/>
          <w:right w:val="none" w:color="auto" w:sz="0" w:space="0"/>
          <w:between w:val="none" w:color="auto" w:sz="0" w:space="0"/>
        </w:pBdr>
        <w:spacing w:line="480" w:lineRule="exact"/>
        <w:ind w:firstLine="48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（九）我方与其他投标人不存在单位负责人为同一人或者存在直接控股、管理关系。</w:t>
      </w:r>
    </w:p>
    <w:p w14:paraId="3C068568">
      <w:pPr>
        <w:pBdr>
          <w:top w:val="none" w:color="auto" w:sz="0" w:space="0"/>
          <w:left w:val="none" w:color="auto" w:sz="0" w:space="0"/>
          <w:bottom w:val="none" w:color="auto" w:sz="0" w:space="0"/>
          <w:right w:val="none" w:color="auto" w:sz="0" w:space="0"/>
          <w:between w:val="none" w:color="auto" w:sz="0" w:space="0"/>
        </w:pBdr>
        <w:spacing w:line="480" w:lineRule="exact"/>
        <w:ind w:firstLine="48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（十）我方承诺未为本项目提供整体设计、规范编制或者项目管理、监理、检测等服务。</w:t>
      </w:r>
    </w:p>
    <w:p w14:paraId="6138B335">
      <w:pPr>
        <w:pBdr>
          <w:top w:val="none" w:color="auto" w:sz="0" w:space="0"/>
          <w:left w:val="none" w:color="auto" w:sz="0" w:space="0"/>
          <w:bottom w:val="none" w:color="auto" w:sz="0" w:space="0"/>
          <w:right w:val="none" w:color="auto" w:sz="0" w:space="0"/>
          <w:between w:val="none" w:color="auto" w:sz="0" w:space="0"/>
        </w:pBdr>
        <w:spacing w:line="480" w:lineRule="exact"/>
        <w:ind w:firstLine="48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（十一）我方具备《政府采购法》第二十二条规定的条件，承诺如下：</w:t>
      </w:r>
    </w:p>
    <w:p w14:paraId="573FDC95">
      <w:pPr>
        <w:pBdr>
          <w:top w:val="none" w:color="auto" w:sz="0" w:space="0"/>
          <w:left w:val="none" w:color="auto" w:sz="0" w:space="0"/>
          <w:bottom w:val="none" w:color="auto" w:sz="0" w:space="0"/>
          <w:right w:val="none" w:color="auto" w:sz="0" w:space="0"/>
          <w:between w:val="none" w:color="auto" w:sz="0" w:space="0"/>
        </w:pBdr>
        <w:spacing w:line="440" w:lineRule="exact"/>
        <w:ind w:firstLine="48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（1）我方已依法缴纳了各项税费及社会保险费用，如有需要，可随时向采购人提供近三个月内的相关缴费证明，以便核查。</w:t>
      </w:r>
    </w:p>
    <w:p w14:paraId="47FE2249">
      <w:pPr>
        <w:pBdr>
          <w:top w:val="none" w:color="auto" w:sz="0" w:space="0"/>
          <w:left w:val="none" w:color="auto" w:sz="0" w:space="0"/>
          <w:bottom w:val="none" w:color="auto" w:sz="0" w:space="0"/>
          <w:right w:val="none" w:color="auto" w:sz="0" w:space="0"/>
          <w:between w:val="none" w:color="auto" w:sz="0" w:space="0"/>
        </w:pBdr>
        <w:spacing w:line="440" w:lineRule="exact"/>
        <w:ind w:firstLine="48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（2）我方已依法建立健全的财务会计制度，如有需要，可随时向采购人提供相关的证明材料，以便核查。</w:t>
      </w:r>
    </w:p>
    <w:p w14:paraId="7B762268">
      <w:pPr>
        <w:pBdr>
          <w:top w:val="none" w:color="auto" w:sz="0" w:space="0"/>
          <w:left w:val="none" w:color="auto" w:sz="0" w:space="0"/>
          <w:bottom w:val="none" w:color="auto" w:sz="0" w:space="0"/>
          <w:right w:val="none" w:color="auto" w:sz="0" w:space="0"/>
          <w:between w:val="none" w:color="auto" w:sz="0" w:space="0"/>
        </w:pBdr>
        <w:spacing w:line="440" w:lineRule="exact"/>
        <w:ind w:firstLine="48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（3）我方参加本项目政府采购活动前3年内在经营活动中没有重大违法记录。</w:t>
      </w:r>
    </w:p>
    <w:p w14:paraId="7E12F274">
      <w:pPr>
        <w:pBdr>
          <w:top w:val="none" w:color="auto" w:sz="0" w:space="0"/>
          <w:left w:val="none" w:color="auto" w:sz="0" w:space="0"/>
          <w:bottom w:val="none" w:color="auto" w:sz="0" w:space="0"/>
          <w:right w:val="none" w:color="auto" w:sz="0" w:space="0"/>
          <w:between w:val="none" w:color="auto" w:sz="0" w:space="0"/>
        </w:pBdr>
        <w:spacing w:line="440" w:lineRule="exact"/>
        <w:ind w:firstLine="48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（4）我方具备履行合同所必需的设备和专业技术能力。</w:t>
      </w:r>
    </w:p>
    <w:p w14:paraId="37EC43F4">
      <w:pPr>
        <w:pBdr>
          <w:top w:val="none" w:color="auto" w:sz="0" w:space="0"/>
          <w:left w:val="none" w:color="auto" w:sz="0" w:space="0"/>
          <w:bottom w:val="none" w:color="auto" w:sz="0" w:space="0"/>
          <w:right w:val="none" w:color="auto" w:sz="0" w:space="0"/>
          <w:between w:val="none" w:color="auto" w:sz="0" w:space="0"/>
        </w:pBdr>
        <w:spacing w:line="440" w:lineRule="exact"/>
        <w:ind w:firstLine="48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（5）我方符合法律、行政法规规定的其他条件。</w:t>
      </w:r>
    </w:p>
    <w:p w14:paraId="7DF7AC32">
      <w:pPr>
        <w:pBdr>
          <w:top w:val="none" w:color="auto" w:sz="0" w:space="0"/>
          <w:left w:val="none" w:color="auto" w:sz="0" w:space="0"/>
          <w:bottom w:val="none" w:color="auto" w:sz="0" w:space="0"/>
          <w:right w:val="none" w:color="auto" w:sz="0" w:space="0"/>
          <w:between w:val="none" w:color="auto" w:sz="0" w:space="0"/>
        </w:pBdr>
        <w:spacing w:line="440" w:lineRule="exact"/>
        <w:ind w:firstLine="48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以上内容如有虚假或与事实不符的，评审委员会可将我方做无效投标处理，我方愿意承担相应的法律责任。</w:t>
      </w:r>
    </w:p>
    <w:p w14:paraId="21960216">
      <w:pPr>
        <w:pBdr>
          <w:top w:val="none" w:color="auto" w:sz="0" w:space="0"/>
          <w:left w:val="none" w:color="auto" w:sz="0" w:space="0"/>
          <w:bottom w:val="none" w:color="auto" w:sz="0" w:space="0"/>
          <w:right w:val="none" w:color="auto" w:sz="0" w:space="0"/>
          <w:between w:val="none" w:color="auto" w:sz="0" w:space="0"/>
        </w:pBdr>
        <w:spacing w:line="440" w:lineRule="exact"/>
        <w:ind w:firstLine="48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（十三）我方对在本函及投标文件中所作的所有承诺承担法律责任。</w:t>
      </w:r>
    </w:p>
    <w:p w14:paraId="12DACCA7">
      <w:pPr>
        <w:pBdr>
          <w:top w:val="none" w:color="auto" w:sz="0" w:space="0"/>
          <w:left w:val="none" w:color="auto" w:sz="0" w:space="0"/>
          <w:bottom w:val="none" w:color="auto" w:sz="0" w:space="0"/>
          <w:right w:val="none" w:color="auto" w:sz="0" w:space="0"/>
          <w:between w:val="none" w:color="auto" w:sz="0" w:space="0"/>
        </w:pBdr>
        <w:spacing w:line="440" w:lineRule="exact"/>
        <w:ind w:firstLine="48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（十四）所有与本招标有关的函件请发往下列地址：</w:t>
      </w:r>
    </w:p>
    <w:p w14:paraId="6EE9E128">
      <w:pPr>
        <w:pBdr>
          <w:top w:val="none" w:color="auto" w:sz="0" w:space="0"/>
          <w:left w:val="none" w:color="auto" w:sz="0" w:space="0"/>
          <w:bottom w:val="none" w:color="auto" w:sz="0" w:space="0"/>
          <w:right w:val="none" w:color="auto" w:sz="0" w:space="0"/>
          <w:between w:val="none" w:color="auto" w:sz="0" w:space="0"/>
        </w:pBdr>
        <w:spacing w:line="440" w:lineRule="exact"/>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地    址：</w:t>
      </w:r>
      <w:r>
        <w:rPr>
          <w:rFonts w:hint="eastAsia" w:asciiTheme="minorEastAsia" w:hAnsiTheme="minorEastAsia" w:eastAsiaTheme="minorEastAsia" w:cstheme="minorEastAsia"/>
          <w:color w:val="auto"/>
          <w:u w:val="single"/>
          <w:lang w:eastAsia="zh-CN"/>
        </w:rPr>
        <w:t xml:space="preserve">                             </w:t>
      </w:r>
      <w:r>
        <w:rPr>
          <w:rFonts w:hint="eastAsia" w:asciiTheme="minorEastAsia" w:hAnsiTheme="minorEastAsia" w:eastAsiaTheme="minorEastAsia" w:cstheme="minorEastAsia"/>
          <w:color w:val="auto"/>
          <w:lang w:eastAsia="zh-CN"/>
        </w:rPr>
        <w:t>.邮政编码：</w:t>
      </w:r>
      <w:r>
        <w:rPr>
          <w:rFonts w:hint="eastAsia" w:asciiTheme="minorEastAsia" w:hAnsiTheme="minorEastAsia" w:eastAsiaTheme="minorEastAsia" w:cstheme="minorEastAsia"/>
          <w:color w:val="auto"/>
          <w:u w:val="single"/>
          <w:lang w:eastAsia="zh-CN"/>
        </w:rPr>
        <w:t xml:space="preserve">                  </w:t>
      </w:r>
      <w:r>
        <w:rPr>
          <w:rFonts w:hint="eastAsia" w:asciiTheme="minorEastAsia" w:hAnsiTheme="minorEastAsia" w:eastAsiaTheme="minorEastAsia" w:cstheme="minorEastAsia"/>
          <w:color w:val="auto"/>
          <w:lang w:eastAsia="zh-CN"/>
        </w:rPr>
        <w:t>.</w:t>
      </w:r>
    </w:p>
    <w:p w14:paraId="1D6FA81B">
      <w:pPr>
        <w:pBdr>
          <w:top w:val="none" w:color="auto" w:sz="0" w:space="0"/>
          <w:left w:val="none" w:color="auto" w:sz="0" w:space="0"/>
          <w:bottom w:val="none" w:color="auto" w:sz="0" w:space="0"/>
          <w:right w:val="none" w:color="auto" w:sz="0" w:space="0"/>
          <w:between w:val="none" w:color="auto" w:sz="0" w:space="0"/>
        </w:pBdr>
        <w:spacing w:line="440" w:lineRule="exact"/>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电    话：</w:t>
      </w:r>
      <w:r>
        <w:rPr>
          <w:rFonts w:hint="eastAsia" w:asciiTheme="minorEastAsia" w:hAnsiTheme="minorEastAsia" w:eastAsiaTheme="minorEastAsia" w:cstheme="minorEastAsia"/>
          <w:color w:val="auto"/>
          <w:u w:val="single"/>
          <w:lang w:eastAsia="zh-CN"/>
        </w:rPr>
        <w:t xml:space="preserve">                             </w:t>
      </w:r>
      <w:r>
        <w:rPr>
          <w:rFonts w:hint="eastAsia" w:asciiTheme="minorEastAsia" w:hAnsiTheme="minorEastAsia" w:eastAsiaTheme="minorEastAsia" w:cstheme="minorEastAsia"/>
          <w:color w:val="auto"/>
          <w:lang w:eastAsia="zh-CN"/>
        </w:rPr>
        <w:t>.</w:t>
      </w:r>
    </w:p>
    <w:p w14:paraId="5F90CEED">
      <w:pPr>
        <w:pBdr>
          <w:top w:val="none" w:color="auto" w:sz="0" w:space="0"/>
          <w:left w:val="none" w:color="auto" w:sz="0" w:space="0"/>
          <w:bottom w:val="none" w:color="auto" w:sz="0" w:space="0"/>
          <w:right w:val="none" w:color="auto" w:sz="0" w:space="0"/>
          <w:between w:val="none" w:color="auto" w:sz="0" w:space="0"/>
        </w:pBdr>
        <w:spacing w:line="440" w:lineRule="exact"/>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传    真：</w:t>
      </w:r>
      <w:r>
        <w:rPr>
          <w:rFonts w:hint="eastAsia" w:asciiTheme="minorEastAsia" w:hAnsiTheme="minorEastAsia" w:eastAsiaTheme="minorEastAsia" w:cstheme="minorEastAsia"/>
          <w:color w:val="auto"/>
          <w:u w:val="single"/>
          <w:lang w:eastAsia="zh-CN"/>
        </w:rPr>
        <w:t xml:space="preserve">                             </w:t>
      </w:r>
      <w:r>
        <w:rPr>
          <w:rFonts w:hint="eastAsia" w:asciiTheme="minorEastAsia" w:hAnsiTheme="minorEastAsia" w:eastAsiaTheme="minorEastAsia" w:cstheme="minorEastAsia"/>
          <w:color w:val="auto"/>
          <w:lang w:eastAsia="zh-CN"/>
        </w:rPr>
        <w:t>.</w:t>
      </w:r>
    </w:p>
    <w:p w14:paraId="515F4000">
      <w:pPr>
        <w:pBdr>
          <w:top w:val="none" w:color="auto" w:sz="0" w:space="0"/>
          <w:left w:val="none" w:color="auto" w:sz="0" w:space="0"/>
          <w:bottom w:val="none" w:color="auto" w:sz="0" w:space="0"/>
          <w:right w:val="none" w:color="auto" w:sz="0" w:space="0"/>
          <w:between w:val="none" w:color="auto" w:sz="0" w:space="0"/>
        </w:pBdr>
        <w:spacing w:line="440" w:lineRule="exact"/>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代表姓名：</w:t>
      </w:r>
      <w:r>
        <w:rPr>
          <w:rFonts w:hint="eastAsia" w:asciiTheme="minorEastAsia" w:hAnsiTheme="minorEastAsia" w:eastAsiaTheme="minorEastAsia" w:cstheme="minorEastAsia"/>
          <w:color w:val="auto"/>
          <w:u w:val="single"/>
          <w:lang w:eastAsia="zh-CN"/>
        </w:rPr>
        <w:t xml:space="preserve">                             </w:t>
      </w:r>
      <w:r>
        <w:rPr>
          <w:rFonts w:hint="eastAsia" w:asciiTheme="minorEastAsia" w:hAnsiTheme="minorEastAsia" w:eastAsiaTheme="minorEastAsia" w:cstheme="minorEastAsia"/>
          <w:color w:val="auto"/>
          <w:lang w:eastAsia="zh-CN"/>
        </w:rPr>
        <w:t>.职    务：</w:t>
      </w:r>
      <w:r>
        <w:rPr>
          <w:rFonts w:hint="eastAsia" w:asciiTheme="minorEastAsia" w:hAnsiTheme="minorEastAsia" w:eastAsiaTheme="minorEastAsia" w:cstheme="minorEastAsia"/>
          <w:color w:val="auto"/>
          <w:u w:val="single"/>
          <w:lang w:eastAsia="zh-CN"/>
        </w:rPr>
        <w:t xml:space="preserve">                 </w:t>
      </w:r>
      <w:r>
        <w:rPr>
          <w:rFonts w:hint="eastAsia" w:asciiTheme="minorEastAsia" w:hAnsiTheme="minorEastAsia" w:eastAsiaTheme="minorEastAsia" w:cstheme="minorEastAsia"/>
          <w:color w:val="auto"/>
          <w:lang w:eastAsia="zh-CN"/>
        </w:rPr>
        <w:t>.</w:t>
      </w:r>
    </w:p>
    <w:p w14:paraId="4E271B0A">
      <w:pPr>
        <w:pBdr>
          <w:top w:val="none" w:color="auto" w:sz="0" w:space="0"/>
          <w:left w:val="none" w:color="auto" w:sz="0" w:space="0"/>
          <w:bottom w:val="none" w:color="auto" w:sz="0" w:space="0"/>
          <w:right w:val="none" w:color="auto" w:sz="0" w:space="0"/>
          <w:between w:val="none" w:color="auto" w:sz="0" w:space="0"/>
        </w:pBdr>
        <w:spacing w:line="440" w:lineRule="exact"/>
        <w:ind w:right="480"/>
        <w:jc w:val="right"/>
        <w:rPr>
          <w:rFonts w:hint="eastAsia" w:asciiTheme="minorEastAsia" w:hAnsiTheme="minorEastAsia" w:eastAsiaTheme="minorEastAsia" w:cstheme="minorEastAsia"/>
          <w:color w:val="auto"/>
          <w:lang w:eastAsia="zh-CN"/>
        </w:rPr>
      </w:pPr>
    </w:p>
    <w:p w14:paraId="61F81AE1">
      <w:pPr>
        <w:pStyle w:val="41"/>
        <w:pBdr>
          <w:top w:val="none" w:color="auto" w:sz="0" w:space="0"/>
          <w:left w:val="none" w:color="auto" w:sz="0" w:space="0"/>
          <w:bottom w:val="none" w:color="auto" w:sz="0" w:space="0"/>
          <w:right w:val="none" w:color="auto" w:sz="0" w:space="0"/>
          <w:between w:val="none" w:color="auto" w:sz="0" w:space="0"/>
        </w:pBdr>
        <w:spacing w:line="360" w:lineRule="auto"/>
        <w:ind w:firstLine="3600" w:firstLineChars="1500"/>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lang w:val="en-US" w:eastAsia="zh-CN"/>
        </w:rPr>
        <w:t xml:space="preserve">         </w:t>
      </w:r>
      <w:r>
        <w:rPr>
          <w:rFonts w:hint="eastAsia" w:asciiTheme="minorEastAsia" w:hAnsiTheme="minorEastAsia" w:eastAsiaTheme="minorEastAsia" w:cstheme="minorEastAsia"/>
          <w:color w:val="auto"/>
          <w:sz w:val="24"/>
          <w:szCs w:val="24"/>
          <w:lang w:eastAsia="zh-CN"/>
        </w:rPr>
        <w:t>供应商</w:t>
      </w:r>
      <w:r>
        <w:rPr>
          <w:rFonts w:hint="eastAsia" w:asciiTheme="minorEastAsia" w:hAnsiTheme="minorEastAsia" w:eastAsiaTheme="minorEastAsia" w:cstheme="minorEastAsia"/>
          <w:color w:val="auto"/>
          <w:sz w:val="24"/>
          <w:szCs w:val="24"/>
        </w:rPr>
        <w:t>（盖章）：</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u w:val="single"/>
        </w:rPr>
        <w:t xml:space="preserve">     </w:t>
      </w:r>
    </w:p>
    <w:p w14:paraId="6BC01C8B">
      <w:pPr>
        <w:pStyle w:val="41"/>
        <w:pBdr>
          <w:top w:val="none" w:color="auto" w:sz="0" w:space="0"/>
          <w:left w:val="none" w:color="auto" w:sz="0" w:space="0"/>
          <w:bottom w:val="none" w:color="auto" w:sz="0" w:space="0"/>
          <w:right w:val="none" w:color="auto" w:sz="0" w:space="0"/>
          <w:between w:val="none" w:color="auto" w:sz="0" w:space="0"/>
        </w:pBdr>
        <w:spacing w:line="360" w:lineRule="auto"/>
        <w:ind w:left="176"/>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 xml:space="preserve">                </w:t>
      </w:r>
      <w:r>
        <w:rPr>
          <w:rFonts w:hint="eastAsia" w:asciiTheme="minorEastAsia" w:hAnsiTheme="minorEastAsia" w:eastAsiaTheme="minorEastAsia" w:cstheme="minorEastAsia"/>
          <w:color w:val="auto"/>
          <w:sz w:val="24"/>
          <w:szCs w:val="24"/>
        </w:rPr>
        <w:t>法定代表人或其委托代理人</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签字或盖章）：</w:t>
      </w:r>
      <w:r>
        <w:rPr>
          <w:rFonts w:hint="eastAsia" w:asciiTheme="minorEastAsia" w:hAnsiTheme="minorEastAsia" w:eastAsiaTheme="minorEastAsia" w:cstheme="minorEastAsia"/>
          <w:color w:val="auto"/>
          <w:sz w:val="24"/>
          <w:szCs w:val="24"/>
          <w:u w:val="single"/>
        </w:rPr>
        <w:t xml:space="preserve">            </w:t>
      </w:r>
    </w:p>
    <w:p w14:paraId="4D65E626">
      <w:pPr>
        <w:pStyle w:val="41"/>
        <w:pBdr>
          <w:top w:val="none" w:color="auto" w:sz="0" w:space="0"/>
          <w:left w:val="none" w:color="auto" w:sz="0" w:space="0"/>
          <w:bottom w:val="none" w:color="auto" w:sz="0" w:space="0"/>
          <w:right w:val="none" w:color="auto" w:sz="0" w:space="0"/>
          <w:between w:val="none" w:color="auto" w:sz="0" w:space="0"/>
        </w:pBdr>
        <w:spacing w:line="360" w:lineRule="auto"/>
        <w:ind w:left="176"/>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 xml:space="preserve">                                           </w:t>
      </w:r>
      <w:r>
        <w:rPr>
          <w:rFonts w:hint="eastAsia" w:asciiTheme="minorEastAsia" w:hAnsiTheme="minorEastAsia" w:eastAsiaTheme="minorEastAsia" w:cstheme="minorEastAsia"/>
          <w:color w:val="auto"/>
          <w:sz w:val="24"/>
          <w:szCs w:val="24"/>
        </w:rPr>
        <w:t>日期：</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年</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月</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日</w:t>
      </w:r>
    </w:p>
    <w:p w14:paraId="62135E21">
      <w:pPr>
        <w:pBdr>
          <w:top w:val="none" w:color="auto" w:sz="0" w:space="0"/>
          <w:left w:val="none" w:color="auto" w:sz="0" w:space="0"/>
          <w:bottom w:val="none" w:color="auto" w:sz="0" w:space="0"/>
          <w:right w:val="none" w:color="auto" w:sz="0" w:space="0"/>
          <w:between w:val="none" w:color="auto" w:sz="0" w:space="0"/>
        </w:pBdr>
        <w:wordWrap w:val="0"/>
        <w:spacing w:line="440" w:lineRule="exact"/>
        <w:ind w:firstLine="480" w:firstLineChars="200"/>
        <w:jc w:val="center"/>
        <w:rPr>
          <w:rFonts w:hint="eastAsia" w:asciiTheme="minorEastAsia" w:hAnsiTheme="minorEastAsia" w:eastAsiaTheme="minorEastAsia" w:cstheme="minorEastAsia"/>
          <w:color w:val="auto"/>
          <w:lang w:eastAsia="zh-CN"/>
        </w:rPr>
      </w:pPr>
    </w:p>
    <w:p w14:paraId="1C0EF3A1">
      <w:pPr>
        <w:pStyle w:val="34"/>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br w:type="page"/>
      </w:r>
    </w:p>
    <w:p w14:paraId="04A52096">
      <w:pPr>
        <w:pStyle w:val="5"/>
        <w:pBdr>
          <w:top w:val="none" w:color="auto" w:sz="0" w:space="0"/>
          <w:left w:val="none" w:color="auto" w:sz="0" w:space="0"/>
          <w:bottom w:val="none" w:color="auto" w:sz="0" w:space="0"/>
          <w:right w:val="none" w:color="auto" w:sz="0" w:space="0"/>
          <w:between w:val="none" w:color="auto" w:sz="0" w:space="0"/>
        </w:pBdr>
        <w:tabs>
          <w:tab w:val="left" w:pos="5580"/>
        </w:tabs>
        <w:spacing w:line="240" w:lineRule="atLeast"/>
        <w:ind w:firstLine="3350" w:firstLineChars="927"/>
        <w:jc w:val="both"/>
        <w:outlineLvl w:val="1"/>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b/>
          <w:color w:val="auto"/>
          <w:sz w:val="36"/>
          <w:szCs w:val="24"/>
          <w:lang w:eastAsia="zh-CN"/>
        </w:rPr>
        <w:t>2、开标一览表</w:t>
      </w:r>
    </w:p>
    <w:p w14:paraId="4DDFDDB4">
      <w:pPr>
        <w:pBdr>
          <w:top w:val="none" w:color="auto" w:sz="0" w:space="0"/>
          <w:left w:val="none" w:color="auto" w:sz="0" w:space="0"/>
          <w:bottom w:val="none" w:color="auto" w:sz="0" w:space="0"/>
          <w:right w:val="none" w:color="auto" w:sz="0" w:space="0"/>
          <w:between w:val="none" w:color="auto" w:sz="0" w:space="0"/>
        </w:pBdr>
        <w:adjustRightInd w:val="0"/>
        <w:snapToGrid w:val="0"/>
        <w:spacing w:line="360" w:lineRule="auto"/>
        <w:rPr>
          <w:rFonts w:hint="eastAsia" w:asciiTheme="minorEastAsia" w:hAnsiTheme="minorEastAsia" w:eastAsiaTheme="minorEastAsia" w:cstheme="minorEastAsia"/>
          <w:b/>
          <w:color w:val="auto"/>
        </w:rPr>
      </w:pPr>
      <w:r>
        <w:rPr>
          <w:rFonts w:hint="eastAsia" w:asciiTheme="minorEastAsia" w:hAnsiTheme="minorEastAsia" w:eastAsiaTheme="minorEastAsia" w:cstheme="minorEastAsia"/>
          <w:b/>
          <w:color w:val="auto"/>
        </w:rPr>
        <w:t>项目名称：</w:t>
      </w:r>
    </w:p>
    <w:p w14:paraId="2049199C">
      <w:pPr>
        <w:pBdr>
          <w:top w:val="none" w:color="auto" w:sz="0" w:space="0"/>
          <w:left w:val="none" w:color="auto" w:sz="0" w:space="0"/>
          <w:bottom w:val="none" w:color="auto" w:sz="0" w:space="0"/>
          <w:right w:val="none" w:color="auto" w:sz="0" w:space="0"/>
          <w:between w:val="none" w:color="auto" w:sz="0" w:space="0"/>
        </w:pBdr>
        <w:adjustRightInd w:val="0"/>
        <w:snapToGrid w:val="0"/>
        <w:spacing w:line="360" w:lineRule="auto"/>
        <w:rPr>
          <w:rFonts w:hint="eastAsia" w:asciiTheme="minorEastAsia" w:hAnsiTheme="minorEastAsia" w:eastAsiaTheme="minorEastAsia" w:cstheme="minorEastAsia"/>
          <w:b/>
          <w:color w:val="auto"/>
        </w:rPr>
      </w:pPr>
      <w:r>
        <w:rPr>
          <w:rFonts w:hint="eastAsia" w:asciiTheme="minorEastAsia" w:hAnsiTheme="minorEastAsia" w:eastAsiaTheme="minorEastAsia" w:cstheme="minorEastAsia"/>
          <w:b/>
          <w:color w:val="auto"/>
        </w:rPr>
        <w:t>项目编号：</w:t>
      </w:r>
    </w:p>
    <w:tbl>
      <w:tblPr>
        <w:tblStyle w:val="25"/>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09"/>
        <w:gridCol w:w="1827"/>
        <w:gridCol w:w="4668"/>
        <w:gridCol w:w="1299"/>
      </w:tblGrid>
      <w:tr w14:paraId="2B42A5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8" w:hRule="atLeast"/>
          <w:jc w:val="center"/>
        </w:trPr>
        <w:tc>
          <w:tcPr>
            <w:tcW w:w="909" w:type="dxa"/>
            <w:tcBorders>
              <w:top w:val="single" w:color="auto" w:sz="4" w:space="0"/>
              <w:left w:val="single" w:color="auto" w:sz="4" w:space="0"/>
              <w:right w:val="single" w:color="auto" w:sz="4" w:space="0"/>
            </w:tcBorders>
            <w:vAlign w:val="center"/>
          </w:tcPr>
          <w:p w14:paraId="2F6839A2">
            <w:pPr>
              <w:pBdr>
                <w:top w:val="none" w:color="auto" w:sz="0" w:space="0"/>
                <w:left w:val="none" w:color="auto" w:sz="0" w:space="0"/>
                <w:bottom w:val="none" w:color="auto" w:sz="0" w:space="0"/>
                <w:right w:val="none" w:color="auto" w:sz="0" w:space="0"/>
                <w:between w:val="none" w:color="auto" w:sz="0" w:space="0"/>
              </w:pBdr>
              <w:snapToGrid w:val="0"/>
              <w:spacing w:line="400" w:lineRule="exact"/>
              <w:jc w:val="center"/>
              <w:rPr>
                <w:rFonts w:hint="eastAsia" w:asciiTheme="minorEastAsia" w:hAnsiTheme="minorEastAsia" w:eastAsiaTheme="minorEastAsia" w:cstheme="minorEastAsia"/>
                <w:b/>
                <w:color w:val="auto"/>
              </w:rPr>
            </w:pPr>
            <w:r>
              <w:rPr>
                <w:rFonts w:hint="eastAsia" w:asciiTheme="minorEastAsia" w:hAnsiTheme="minorEastAsia" w:eastAsiaTheme="minorEastAsia" w:cstheme="minorEastAsia"/>
                <w:b/>
                <w:color w:val="auto"/>
              </w:rPr>
              <w:t>序号</w:t>
            </w:r>
          </w:p>
        </w:tc>
        <w:tc>
          <w:tcPr>
            <w:tcW w:w="6495" w:type="dxa"/>
            <w:gridSpan w:val="2"/>
            <w:tcBorders>
              <w:top w:val="single" w:color="auto" w:sz="4" w:space="0"/>
              <w:left w:val="single" w:color="auto" w:sz="4" w:space="0"/>
              <w:right w:val="single" w:color="auto" w:sz="4" w:space="0"/>
            </w:tcBorders>
            <w:vAlign w:val="center"/>
          </w:tcPr>
          <w:p w14:paraId="4C77CC06">
            <w:pPr>
              <w:pBdr>
                <w:top w:val="none" w:color="auto" w:sz="0" w:space="0"/>
                <w:left w:val="none" w:color="auto" w:sz="0" w:space="0"/>
                <w:bottom w:val="none" w:color="auto" w:sz="0" w:space="0"/>
                <w:right w:val="none" w:color="auto" w:sz="0" w:space="0"/>
                <w:between w:val="none" w:color="auto" w:sz="0" w:space="0"/>
              </w:pBdr>
              <w:snapToGrid w:val="0"/>
              <w:spacing w:line="400" w:lineRule="exact"/>
              <w:jc w:val="center"/>
              <w:rPr>
                <w:rFonts w:hint="eastAsia" w:asciiTheme="minorEastAsia" w:hAnsiTheme="minorEastAsia" w:eastAsiaTheme="minorEastAsia" w:cstheme="minorEastAsia"/>
                <w:b/>
                <w:color w:val="auto"/>
              </w:rPr>
            </w:pPr>
            <w:r>
              <w:rPr>
                <w:rFonts w:hint="eastAsia" w:asciiTheme="minorEastAsia" w:hAnsiTheme="minorEastAsia" w:eastAsiaTheme="minorEastAsia" w:cstheme="minorEastAsia"/>
                <w:b/>
                <w:color w:val="auto"/>
              </w:rPr>
              <w:t>内容</w:t>
            </w:r>
          </w:p>
        </w:tc>
        <w:tc>
          <w:tcPr>
            <w:tcW w:w="1299" w:type="dxa"/>
            <w:tcBorders>
              <w:top w:val="single" w:color="auto" w:sz="4" w:space="0"/>
              <w:left w:val="single" w:color="auto" w:sz="4" w:space="0"/>
              <w:right w:val="single" w:color="auto" w:sz="4" w:space="0"/>
            </w:tcBorders>
            <w:vAlign w:val="center"/>
          </w:tcPr>
          <w:p w14:paraId="2ADAE9A8">
            <w:pPr>
              <w:pBdr>
                <w:top w:val="none" w:color="auto" w:sz="0" w:space="0"/>
                <w:left w:val="none" w:color="auto" w:sz="0" w:space="0"/>
                <w:bottom w:val="none" w:color="auto" w:sz="0" w:space="0"/>
                <w:right w:val="none" w:color="auto" w:sz="0" w:space="0"/>
                <w:between w:val="none" w:color="auto" w:sz="0" w:space="0"/>
              </w:pBdr>
              <w:snapToGrid w:val="0"/>
              <w:spacing w:line="400" w:lineRule="exact"/>
              <w:jc w:val="center"/>
              <w:rPr>
                <w:rFonts w:hint="eastAsia" w:asciiTheme="minorEastAsia" w:hAnsiTheme="minorEastAsia" w:eastAsiaTheme="minorEastAsia" w:cstheme="minorEastAsia"/>
                <w:b/>
                <w:color w:val="auto"/>
              </w:rPr>
            </w:pPr>
            <w:r>
              <w:rPr>
                <w:rFonts w:hint="eastAsia" w:asciiTheme="minorEastAsia" w:hAnsiTheme="minorEastAsia" w:eastAsiaTheme="minorEastAsia" w:cstheme="minorEastAsia"/>
                <w:b/>
                <w:color w:val="auto"/>
              </w:rPr>
              <w:t>备注</w:t>
            </w:r>
          </w:p>
        </w:tc>
      </w:tr>
      <w:tr w14:paraId="795030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909" w:type="dxa"/>
            <w:tcBorders>
              <w:top w:val="single" w:color="auto" w:sz="4" w:space="0"/>
              <w:left w:val="single" w:color="auto" w:sz="4" w:space="0"/>
              <w:right w:val="single" w:color="auto" w:sz="4" w:space="0"/>
            </w:tcBorders>
            <w:vAlign w:val="center"/>
          </w:tcPr>
          <w:p w14:paraId="36E545E7">
            <w:pPr>
              <w:pBdr>
                <w:top w:val="none" w:color="auto" w:sz="0" w:space="0"/>
                <w:left w:val="none" w:color="auto" w:sz="0" w:space="0"/>
                <w:bottom w:val="none" w:color="auto" w:sz="0" w:space="0"/>
                <w:right w:val="none" w:color="auto" w:sz="0" w:space="0"/>
                <w:between w:val="none" w:color="auto" w:sz="0" w:space="0"/>
              </w:pBdr>
              <w:snapToGrid w:val="0"/>
              <w:spacing w:line="400" w:lineRule="exact"/>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w:t>
            </w:r>
          </w:p>
        </w:tc>
        <w:tc>
          <w:tcPr>
            <w:tcW w:w="1827" w:type="dxa"/>
            <w:tcBorders>
              <w:top w:val="single" w:color="auto" w:sz="4" w:space="0"/>
              <w:left w:val="single" w:color="auto" w:sz="4" w:space="0"/>
              <w:right w:val="single" w:color="auto" w:sz="4" w:space="0"/>
            </w:tcBorders>
            <w:vAlign w:val="center"/>
          </w:tcPr>
          <w:p w14:paraId="14B7749B">
            <w:pPr>
              <w:pBdr>
                <w:top w:val="none" w:color="auto" w:sz="0" w:space="0"/>
                <w:left w:val="none" w:color="auto" w:sz="0" w:space="0"/>
                <w:bottom w:val="none" w:color="auto" w:sz="0" w:space="0"/>
                <w:right w:val="none" w:color="auto" w:sz="0" w:space="0"/>
                <w:between w:val="none" w:color="auto" w:sz="0" w:space="0"/>
              </w:pBdr>
              <w:snapToGrid w:val="0"/>
              <w:spacing w:line="400" w:lineRule="exact"/>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eastAsia="zh-CN"/>
              </w:rPr>
              <w:t>供应商</w:t>
            </w:r>
            <w:r>
              <w:rPr>
                <w:rFonts w:hint="eastAsia" w:asciiTheme="minorEastAsia" w:hAnsiTheme="minorEastAsia" w:eastAsiaTheme="minorEastAsia" w:cstheme="minorEastAsia"/>
                <w:color w:val="auto"/>
              </w:rPr>
              <w:t>名称</w:t>
            </w:r>
          </w:p>
        </w:tc>
        <w:tc>
          <w:tcPr>
            <w:tcW w:w="4668" w:type="dxa"/>
            <w:tcBorders>
              <w:top w:val="single" w:color="auto" w:sz="4" w:space="0"/>
              <w:left w:val="single" w:color="auto" w:sz="4" w:space="0"/>
              <w:right w:val="single" w:color="auto" w:sz="4" w:space="0"/>
            </w:tcBorders>
            <w:vAlign w:val="center"/>
          </w:tcPr>
          <w:p w14:paraId="5D010EF0">
            <w:pPr>
              <w:pBdr>
                <w:top w:val="none" w:color="auto" w:sz="0" w:space="0"/>
                <w:left w:val="none" w:color="auto" w:sz="0" w:space="0"/>
                <w:bottom w:val="none" w:color="auto" w:sz="0" w:space="0"/>
                <w:right w:val="none" w:color="auto" w:sz="0" w:space="0"/>
                <w:between w:val="none" w:color="auto" w:sz="0" w:space="0"/>
              </w:pBdr>
              <w:snapToGrid w:val="0"/>
              <w:spacing w:line="400" w:lineRule="exact"/>
              <w:rPr>
                <w:rFonts w:hint="eastAsia" w:asciiTheme="minorEastAsia" w:hAnsiTheme="minorEastAsia" w:eastAsiaTheme="minorEastAsia" w:cstheme="minorEastAsia"/>
                <w:color w:val="auto"/>
              </w:rPr>
            </w:pPr>
          </w:p>
        </w:tc>
        <w:tc>
          <w:tcPr>
            <w:tcW w:w="1299" w:type="dxa"/>
            <w:tcBorders>
              <w:top w:val="single" w:color="auto" w:sz="4" w:space="0"/>
              <w:left w:val="single" w:color="auto" w:sz="4" w:space="0"/>
              <w:right w:val="single" w:color="auto" w:sz="4" w:space="0"/>
            </w:tcBorders>
            <w:vAlign w:val="center"/>
          </w:tcPr>
          <w:p w14:paraId="0CA6E29C">
            <w:pPr>
              <w:pBdr>
                <w:top w:val="none" w:color="auto" w:sz="0" w:space="0"/>
                <w:left w:val="none" w:color="auto" w:sz="0" w:space="0"/>
                <w:bottom w:val="none" w:color="auto" w:sz="0" w:space="0"/>
                <w:right w:val="none" w:color="auto" w:sz="0" w:space="0"/>
                <w:between w:val="none" w:color="auto" w:sz="0" w:space="0"/>
              </w:pBdr>
              <w:snapToGrid w:val="0"/>
              <w:spacing w:line="400" w:lineRule="exact"/>
              <w:jc w:val="center"/>
              <w:rPr>
                <w:rFonts w:hint="eastAsia" w:asciiTheme="minorEastAsia" w:hAnsiTheme="minorEastAsia" w:eastAsiaTheme="minorEastAsia" w:cstheme="minorEastAsia"/>
                <w:color w:val="auto"/>
              </w:rPr>
            </w:pPr>
          </w:p>
        </w:tc>
      </w:tr>
      <w:tr w14:paraId="249DF2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80" w:hRule="atLeast"/>
          <w:jc w:val="center"/>
        </w:trPr>
        <w:tc>
          <w:tcPr>
            <w:tcW w:w="909" w:type="dxa"/>
            <w:tcBorders>
              <w:top w:val="single" w:color="auto" w:sz="4" w:space="0"/>
              <w:left w:val="single" w:color="auto" w:sz="4" w:space="0"/>
              <w:right w:val="single" w:color="auto" w:sz="4" w:space="0"/>
            </w:tcBorders>
            <w:vAlign w:val="center"/>
          </w:tcPr>
          <w:p w14:paraId="146EB4D3">
            <w:pPr>
              <w:pBdr>
                <w:top w:val="none" w:color="auto" w:sz="0" w:space="0"/>
                <w:left w:val="none" w:color="auto" w:sz="0" w:space="0"/>
                <w:bottom w:val="none" w:color="auto" w:sz="0" w:space="0"/>
                <w:right w:val="none" w:color="auto" w:sz="0" w:space="0"/>
                <w:between w:val="none" w:color="auto" w:sz="0" w:space="0"/>
              </w:pBdr>
              <w:snapToGrid w:val="0"/>
              <w:spacing w:line="400" w:lineRule="exact"/>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w:t>
            </w:r>
          </w:p>
        </w:tc>
        <w:tc>
          <w:tcPr>
            <w:tcW w:w="1827" w:type="dxa"/>
            <w:tcBorders>
              <w:top w:val="single" w:color="auto" w:sz="4" w:space="0"/>
              <w:left w:val="single" w:color="auto" w:sz="4" w:space="0"/>
              <w:bottom w:val="single" w:color="auto" w:sz="4" w:space="0"/>
              <w:right w:val="single" w:color="auto" w:sz="4" w:space="0"/>
            </w:tcBorders>
            <w:vAlign w:val="center"/>
          </w:tcPr>
          <w:p w14:paraId="761BBAEC">
            <w:pPr>
              <w:pBdr>
                <w:top w:val="none" w:color="auto" w:sz="0" w:space="0"/>
                <w:left w:val="none" w:color="auto" w:sz="0" w:space="0"/>
                <w:bottom w:val="none" w:color="auto" w:sz="0" w:space="0"/>
                <w:right w:val="none" w:color="auto" w:sz="0" w:space="0"/>
                <w:between w:val="none" w:color="auto" w:sz="0" w:space="0"/>
              </w:pBdr>
              <w:snapToGrid w:val="0"/>
              <w:spacing w:line="400" w:lineRule="exact"/>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投标总报价</w:t>
            </w:r>
          </w:p>
          <w:p w14:paraId="2450DD65">
            <w:pPr>
              <w:pStyle w:val="18"/>
              <w:jc w:val="center"/>
              <w:rPr>
                <w:rFonts w:hint="eastAsia" w:eastAsiaTheme="minorEastAsia"/>
                <w:lang w:eastAsia="zh-CN"/>
              </w:rPr>
            </w:pPr>
            <w:r>
              <w:rPr>
                <w:rFonts w:hint="eastAsia" w:asciiTheme="minorEastAsia" w:hAnsiTheme="minorEastAsia" w:eastAsiaTheme="minorEastAsia" w:cstheme="minorEastAsia"/>
                <w:color w:val="auto"/>
                <w:lang w:eastAsia="zh-CN"/>
              </w:rPr>
              <w:t>（元）</w:t>
            </w:r>
          </w:p>
        </w:tc>
        <w:tc>
          <w:tcPr>
            <w:tcW w:w="4668" w:type="dxa"/>
            <w:tcBorders>
              <w:top w:val="single" w:color="auto" w:sz="4" w:space="0"/>
              <w:left w:val="single" w:color="auto" w:sz="4" w:space="0"/>
              <w:bottom w:val="single" w:color="auto" w:sz="4" w:space="0"/>
              <w:right w:val="single" w:color="auto" w:sz="4" w:space="0"/>
            </w:tcBorders>
            <w:vAlign w:val="center"/>
          </w:tcPr>
          <w:p w14:paraId="20DED963">
            <w:pPr>
              <w:widowControl/>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eastAsia="zh-CN"/>
              </w:rPr>
              <w:t>小</w:t>
            </w:r>
            <w:r>
              <w:rPr>
                <w:rFonts w:hint="eastAsia" w:asciiTheme="minorEastAsia" w:hAnsiTheme="minorEastAsia" w:eastAsiaTheme="minorEastAsia" w:cstheme="minorEastAsia"/>
                <w:color w:val="auto"/>
              </w:rPr>
              <w:t xml:space="preserve">写：     元       </w:t>
            </w:r>
          </w:p>
          <w:p w14:paraId="204662F0">
            <w:pPr>
              <w:pBdr>
                <w:top w:val="none" w:color="auto" w:sz="0" w:space="0"/>
                <w:left w:val="none" w:color="auto" w:sz="0" w:space="0"/>
                <w:bottom w:val="none" w:color="auto" w:sz="0" w:space="0"/>
                <w:right w:val="none" w:color="auto" w:sz="0" w:space="0"/>
                <w:between w:val="none" w:color="auto" w:sz="0" w:space="0"/>
              </w:pBdr>
              <w:snapToGrid w:val="0"/>
              <w:spacing w:line="400" w:lineRule="exac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eastAsia="zh-CN"/>
              </w:rPr>
              <w:t>大</w:t>
            </w:r>
            <w:r>
              <w:rPr>
                <w:rFonts w:hint="eastAsia" w:asciiTheme="minorEastAsia" w:hAnsiTheme="minorEastAsia" w:eastAsiaTheme="minorEastAsia" w:cstheme="minorEastAsia"/>
                <w:color w:val="auto"/>
              </w:rPr>
              <w:t xml:space="preserve">写：          </w:t>
            </w:r>
          </w:p>
        </w:tc>
        <w:tc>
          <w:tcPr>
            <w:tcW w:w="1299" w:type="dxa"/>
            <w:tcBorders>
              <w:top w:val="single" w:color="auto" w:sz="4" w:space="0"/>
              <w:left w:val="single" w:color="auto" w:sz="4" w:space="0"/>
              <w:bottom w:val="single" w:color="auto" w:sz="4" w:space="0"/>
              <w:right w:val="single" w:color="auto" w:sz="4" w:space="0"/>
            </w:tcBorders>
            <w:vAlign w:val="center"/>
          </w:tcPr>
          <w:p w14:paraId="474E5EF7">
            <w:pPr>
              <w:pBdr>
                <w:top w:val="none" w:color="auto" w:sz="0" w:space="0"/>
                <w:left w:val="none" w:color="auto" w:sz="0" w:space="0"/>
                <w:bottom w:val="none" w:color="auto" w:sz="0" w:space="0"/>
                <w:right w:val="none" w:color="auto" w:sz="0" w:space="0"/>
                <w:between w:val="none" w:color="auto" w:sz="0" w:space="0"/>
              </w:pBdr>
              <w:snapToGrid w:val="0"/>
              <w:spacing w:line="400" w:lineRule="exact"/>
              <w:rPr>
                <w:rFonts w:hint="eastAsia" w:asciiTheme="minorEastAsia" w:hAnsiTheme="minorEastAsia" w:eastAsiaTheme="minorEastAsia" w:cstheme="minorEastAsia"/>
                <w:color w:val="auto"/>
              </w:rPr>
            </w:pPr>
          </w:p>
        </w:tc>
      </w:tr>
      <w:tr w14:paraId="200D12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5" w:hRule="atLeast"/>
          <w:jc w:val="center"/>
        </w:trPr>
        <w:tc>
          <w:tcPr>
            <w:tcW w:w="909" w:type="dxa"/>
            <w:tcBorders>
              <w:top w:val="single" w:color="auto" w:sz="4" w:space="0"/>
              <w:left w:val="single" w:color="auto" w:sz="4" w:space="0"/>
              <w:bottom w:val="single" w:color="auto" w:sz="4" w:space="0"/>
              <w:right w:val="single" w:color="auto" w:sz="4" w:space="0"/>
            </w:tcBorders>
            <w:vAlign w:val="center"/>
          </w:tcPr>
          <w:p w14:paraId="5A5B27F9">
            <w:pPr>
              <w:pBdr>
                <w:top w:val="none" w:color="auto" w:sz="0" w:space="0"/>
                <w:left w:val="none" w:color="auto" w:sz="0" w:space="0"/>
                <w:bottom w:val="none" w:color="auto" w:sz="0" w:space="0"/>
                <w:right w:val="none" w:color="auto" w:sz="0" w:space="0"/>
                <w:between w:val="none" w:color="auto" w:sz="0" w:space="0"/>
              </w:pBdr>
              <w:snapToGrid w:val="0"/>
              <w:spacing w:line="400" w:lineRule="exact"/>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3</w:t>
            </w:r>
          </w:p>
        </w:tc>
        <w:tc>
          <w:tcPr>
            <w:tcW w:w="1827" w:type="dxa"/>
            <w:tcBorders>
              <w:top w:val="single" w:color="auto" w:sz="4" w:space="0"/>
              <w:left w:val="single" w:color="auto" w:sz="4" w:space="0"/>
              <w:bottom w:val="single" w:color="auto" w:sz="4" w:space="0"/>
              <w:right w:val="single" w:color="auto" w:sz="4" w:space="0"/>
            </w:tcBorders>
            <w:vAlign w:val="center"/>
          </w:tcPr>
          <w:p w14:paraId="76195A17">
            <w:pPr>
              <w:pBdr>
                <w:top w:val="none" w:color="auto" w:sz="0" w:space="0"/>
                <w:left w:val="none" w:color="auto" w:sz="0" w:space="0"/>
                <w:bottom w:val="none" w:color="auto" w:sz="0" w:space="0"/>
                <w:right w:val="none" w:color="auto" w:sz="0" w:space="0"/>
                <w:between w:val="none" w:color="auto" w:sz="0" w:space="0"/>
              </w:pBdr>
              <w:snapToGrid w:val="0"/>
              <w:spacing w:line="400" w:lineRule="exact"/>
              <w:jc w:val="center"/>
              <w:rPr>
                <w:rFonts w:hint="eastAsia" w:asciiTheme="minorEastAsia" w:hAnsiTheme="minorEastAsia" w:eastAsiaTheme="minorEastAsia" w:cstheme="minorEastAsia"/>
                <w:color w:val="auto"/>
                <w:u w:val="single"/>
              </w:rPr>
            </w:pPr>
            <w:r>
              <w:rPr>
                <w:rFonts w:hint="eastAsia" w:asciiTheme="minorEastAsia" w:hAnsiTheme="minorEastAsia" w:eastAsiaTheme="minorEastAsia" w:cstheme="minorEastAsia"/>
                <w:color w:val="auto"/>
              </w:rPr>
              <w:t>合同履约期限</w:t>
            </w:r>
          </w:p>
        </w:tc>
        <w:tc>
          <w:tcPr>
            <w:tcW w:w="4668" w:type="dxa"/>
            <w:tcBorders>
              <w:top w:val="single" w:color="auto" w:sz="4" w:space="0"/>
              <w:left w:val="single" w:color="auto" w:sz="4" w:space="0"/>
              <w:bottom w:val="single" w:color="auto" w:sz="4" w:space="0"/>
              <w:right w:val="single" w:color="auto" w:sz="4" w:space="0"/>
            </w:tcBorders>
            <w:vAlign w:val="center"/>
          </w:tcPr>
          <w:p w14:paraId="45A20E01">
            <w:pPr>
              <w:pBdr>
                <w:top w:val="none" w:color="auto" w:sz="0" w:space="0"/>
                <w:left w:val="none" w:color="auto" w:sz="0" w:space="0"/>
                <w:bottom w:val="none" w:color="auto" w:sz="0" w:space="0"/>
                <w:right w:val="none" w:color="auto" w:sz="0" w:space="0"/>
                <w:between w:val="none" w:color="auto" w:sz="0" w:space="0"/>
              </w:pBdr>
              <w:snapToGrid w:val="0"/>
              <w:spacing w:line="360" w:lineRule="auto"/>
              <w:ind w:firstLine="1440" w:firstLineChars="600"/>
              <w:rPr>
                <w:rFonts w:hint="eastAsia" w:asciiTheme="minorEastAsia" w:hAnsiTheme="minorEastAsia" w:eastAsiaTheme="minorEastAsia" w:cstheme="minorEastAsia"/>
                <w:color w:val="auto"/>
                <w:u w:val="single"/>
              </w:rPr>
            </w:pPr>
          </w:p>
        </w:tc>
        <w:tc>
          <w:tcPr>
            <w:tcW w:w="1299" w:type="dxa"/>
            <w:tcBorders>
              <w:top w:val="single" w:color="auto" w:sz="4" w:space="0"/>
              <w:left w:val="single" w:color="auto" w:sz="4" w:space="0"/>
              <w:bottom w:val="single" w:color="auto" w:sz="4" w:space="0"/>
              <w:right w:val="single" w:color="auto" w:sz="4" w:space="0"/>
            </w:tcBorders>
            <w:vAlign w:val="center"/>
          </w:tcPr>
          <w:p w14:paraId="75001AB2">
            <w:pPr>
              <w:pBdr>
                <w:top w:val="none" w:color="auto" w:sz="0" w:space="0"/>
                <w:left w:val="none" w:color="auto" w:sz="0" w:space="0"/>
                <w:bottom w:val="none" w:color="auto" w:sz="0" w:space="0"/>
                <w:right w:val="none" w:color="auto" w:sz="0" w:space="0"/>
                <w:between w:val="none" w:color="auto" w:sz="0" w:space="0"/>
              </w:pBdr>
              <w:snapToGrid w:val="0"/>
              <w:spacing w:line="400" w:lineRule="exact"/>
              <w:rPr>
                <w:rFonts w:hint="eastAsia" w:asciiTheme="minorEastAsia" w:hAnsiTheme="minorEastAsia" w:eastAsiaTheme="minorEastAsia" w:cstheme="minorEastAsia"/>
                <w:color w:val="auto"/>
                <w:u w:val="single"/>
              </w:rPr>
            </w:pPr>
          </w:p>
        </w:tc>
      </w:tr>
      <w:tr w14:paraId="0A022B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3" w:hRule="atLeast"/>
          <w:jc w:val="center"/>
        </w:trPr>
        <w:tc>
          <w:tcPr>
            <w:tcW w:w="909" w:type="dxa"/>
            <w:tcBorders>
              <w:top w:val="single" w:color="auto" w:sz="4" w:space="0"/>
              <w:left w:val="single" w:color="auto" w:sz="4" w:space="0"/>
              <w:bottom w:val="single" w:color="auto" w:sz="4" w:space="0"/>
              <w:right w:val="single" w:color="auto" w:sz="4" w:space="0"/>
            </w:tcBorders>
            <w:vAlign w:val="center"/>
          </w:tcPr>
          <w:p w14:paraId="3097314B">
            <w:pPr>
              <w:pBdr>
                <w:top w:val="none" w:color="auto" w:sz="0" w:space="0"/>
                <w:left w:val="none" w:color="auto" w:sz="0" w:space="0"/>
                <w:bottom w:val="none" w:color="auto" w:sz="0" w:space="0"/>
                <w:right w:val="none" w:color="auto" w:sz="0" w:space="0"/>
                <w:between w:val="none" w:color="auto" w:sz="0" w:space="0"/>
              </w:pBdr>
              <w:snapToGrid w:val="0"/>
              <w:spacing w:line="400" w:lineRule="exact"/>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4</w:t>
            </w:r>
          </w:p>
        </w:tc>
        <w:tc>
          <w:tcPr>
            <w:tcW w:w="1827" w:type="dxa"/>
            <w:tcBorders>
              <w:top w:val="single" w:color="auto" w:sz="4" w:space="0"/>
              <w:left w:val="single" w:color="auto" w:sz="4" w:space="0"/>
              <w:bottom w:val="single" w:color="auto" w:sz="4" w:space="0"/>
              <w:right w:val="single" w:color="auto" w:sz="4" w:space="0"/>
            </w:tcBorders>
            <w:vAlign w:val="center"/>
          </w:tcPr>
          <w:p w14:paraId="334AD686">
            <w:pPr>
              <w:pBdr>
                <w:top w:val="none" w:color="auto" w:sz="0" w:space="0"/>
                <w:left w:val="none" w:color="auto" w:sz="0" w:space="0"/>
                <w:bottom w:val="none" w:color="auto" w:sz="0" w:space="0"/>
                <w:right w:val="none" w:color="auto" w:sz="0" w:space="0"/>
                <w:between w:val="none" w:color="auto" w:sz="0" w:space="0"/>
              </w:pBdr>
              <w:snapToGrid w:val="0"/>
              <w:spacing w:line="400" w:lineRule="exact"/>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备注</w:t>
            </w:r>
          </w:p>
        </w:tc>
        <w:tc>
          <w:tcPr>
            <w:tcW w:w="4668" w:type="dxa"/>
            <w:tcBorders>
              <w:top w:val="single" w:color="auto" w:sz="4" w:space="0"/>
              <w:left w:val="single" w:color="auto" w:sz="4" w:space="0"/>
              <w:bottom w:val="single" w:color="auto" w:sz="4" w:space="0"/>
              <w:right w:val="single" w:color="auto" w:sz="4" w:space="0"/>
            </w:tcBorders>
            <w:vAlign w:val="center"/>
          </w:tcPr>
          <w:p w14:paraId="5914A912">
            <w:pPr>
              <w:pBdr>
                <w:top w:val="none" w:color="auto" w:sz="0" w:space="0"/>
                <w:left w:val="none" w:color="auto" w:sz="0" w:space="0"/>
                <w:bottom w:val="none" w:color="auto" w:sz="0" w:space="0"/>
                <w:right w:val="none" w:color="auto" w:sz="0" w:space="0"/>
                <w:between w:val="none" w:color="auto" w:sz="0" w:space="0"/>
              </w:pBdr>
              <w:snapToGrid w:val="0"/>
              <w:spacing w:line="400" w:lineRule="exact"/>
              <w:jc w:val="center"/>
              <w:rPr>
                <w:rFonts w:hint="eastAsia" w:asciiTheme="minorEastAsia" w:hAnsiTheme="minorEastAsia" w:eastAsiaTheme="minorEastAsia" w:cstheme="minorEastAsia"/>
                <w:color w:val="auto"/>
              </w:rPr>
            </w:pPr>
          </w:p>
        </w:tc>
        <w:tc>
          <w:tcPr>
            <w:tcW w:w="1299" w:type="dxa"/>
            <w:tcBorders>
              <w:top w:val="single" w:color="auto" w:sz="4" w:space="0"/>
              <w:left w:val="single" w:color="auto" w:sz="4" w:space="0"/>
              <w:bottom w:val="single" w:color="auto" w:sz="4" w:space="0"/>
              <w:right w:val="single" w:color="auto" w:sz="4" w:space="0"/>
            </w:tcBorders>
            <w:vAlign w:val="center"/>
          </w:tcPr>
          <w:p w14:paraId="08A701F1">
            <w:pPr>
              <w:pBdr>
                <w:top w:val="none" w:color="auto" w:sz="0" w:space="0"/>
                <w:left w:val="none" w:color="auto" w:sz="0" w:space="0"/>
                <w:bottom w:val="none" w:color="auto" w:sz="0" w:space="0"/>
                <w:right w:val="none" w:color="auto" w:sz="0" w:space="0"/>
                <w:between w:val="none" w:color="auto" w:sz="0" w:space="0"/>
              </w:pBdr>
              <w:snapToGrid w:val="0"/>
              <w:spacing w:line="400" w:lineRule="exact"/>
              <w:jc w:val="center"/>
              <w:rPr>
                <w:rFonts w:hint="eastAsia" w:asciiTheme="minorEastAsia" w:hAnsiTheme="minorEastAsia" w:eastAsiaTheme="minorEastAsia" w:cstheme="minorEastAsia"/>
                <w:color w:val="auto"/>
              </w:rPr>
            </w:pPr>
          </w:p>
        </w:tc>
      </w:tr>
    </w:tbl>
    <w:p w14:paraId="104518E0">
      <w:pPr>
        <w:pBdr>
          <w:top w:val="none" w:color="auto" w:sz="0" w:space="0"/>
          <w:left w:val="none" w:color="auto" w:sz="0" w:space="0"/>
          <w:bottom w:val="none" w:color="auto" w:sz="0" w:space="0"/>
          <w:right w:val="none" w:color="auto" w:sz="0" w:space="0"/>
          <w:between w:val="none" w:color="auto" w:sz="0" w:space="0"/>
        </w:pBdr>
        <w:snapToGrid w:val="0"/>
        <w:spacing w:line="400" w:lineRule="exact"/>
        <w:jc w:val="both"/>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rPr>
        <w:t>填</w:t>
      </w:r>
      <w:r>
        <w:rPr>
          <w:rFonts w:hint="eastAsia" w:asciiTheme="minorEastAsia" w:hAnsiTheme="minorEastAsia" w:eastAsiaTheme="minorEastAsia" w:cstheme="minorEastAsia"/>
          <w:color w:val="auto"/>
          <w:szCs w:val="21"/>
        </w:rPr>
        <w:t>写说明：</w:t>
      </w:r>
    </w:p>
    <w:p w14:paraId="45D7F74E">
      <w:pPr>
        <w:pBdr>
          <w:top w:val="none" w:color="auto" w:sz="0" w:space="0"/>
          <w:left w:val="none" w:color="auto" w:sz="0" w:space="0"/>
          <w:bottom w:val="none" w:color="auto" w:sz="0" w:space="0"/>
          <w:right w:val="none" w:color="auto" w:sz="0" w:space="0"/>
          <w:between w:val="none" w:color="auto" w:sz="0" w:space="0"/>
        </w:pBdr>
        <w:spacing w:line="500" w:lineRule="exact"/>
        <w:ind w:firstLine="470" w:firstLineChars="196"/>
        <w:rPr>
          <w:rFonts w:hint="eastAsia" w:asciiTheme="minorEastAsia" w:hAnsiTheme="minorEastAsia" w:eastAsiaTheme="minorEastAsia" w:cstheme="minorEastAsia"/>
          <w:b/>
          <w:bCs/>
          <w:color w:val="auto"/>
          <w:szCs w:val="21"/>
          <w:lang w:eastAsia="zh-CN"/>
        </w:rPr>
      </w:pPr>
      <w:r>
        <w:rPr>
          <w:rFonts w:hint="eastAsia" w:asciiTheme="minorEastAsia" w:hAnsiTheme="minorEastAsia" w:eastAsiaTheme="minorEastAsia" w:cstheme="minorEastAsia"/>
          <w:color w:val="auto"/>
          <w:szCs w:val="21"/>
          <w:lang w:eastAsia="zh-CN"/>
        </w:rPr>
        <w:t>1.为方便开标唱标，投标人应将开标一览表单独密封，并在信封上标明“开标一览表”字样，然后在递交投标文件时单独递交</w:t>
      </w:r>
      <w:r>
        <w:rPr>
          <w:rFonts w:hint="eastAsia" w:asciiTheme="minorEastAsia" w:hAnsiTheme="minorEastAsia" w:eastAsiaTheme="minorEastAsia" w:cstheme="minorEastAsia"/>
          <w:b/>
          <w:bCs/>
          <w:color w:val="auto"/>
          <w:lang w:eastAsia="zh-CN"/>
        </w:rPr>
        <w:t>。</w:t>
      </w:r>
      <w:r>
        <w:rPr>
          <w:rFonts w:hint="eastAsia" w:asciiTheme="minorEastAsia" w:hAnsiTheme="minorEastAsia" w:eastAsiaTheme="minorEastAsia" w:cstheme="minorEastAsia"/>
          <w:b/>
          <w:bCs/>
          <w:color w:val="auto"/>
          <w:szCs w:val="21"/>
          <w:lang w:eastAsia="zh-CN"/>
        </w:rPr>
        <w:t>（不见面开标无需提供）</w:t>
      </w:r>
    </w:p>
    <w:p w14:paraId="09375271">
      <w:pPr>
        <w:pBdr>
          <w:top w:val="none" w:color="auto" w:sz="0" w:space="0"/>
          <w:left w:val="none" w:color="auto" w:sz="0" w:space="0"/>
          <w:bottom w:val="none" w:color="auto" w:sz="0" w:space="0"/>
          <w:right w:val="none" w:color="auto" w:sz="0" w:space="0"/>
          <w:between w:val="none" w:color="auto" w:sz="0" w:space="0"/>
        </w:pBdr>
        <w:spacing w:line="500" w:lineRule="exact"/>
        <w:ind w:firstLine="470" w:firstLineChars="196"/>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2.开标时，本表中的内容与投标文件中的投标报价明细表的内容不一致的，以本表为准；大写金额与小写金额不一致的，以大写金额为准；总价金额与按单价汇总金额不一致的，以单价金额计算结果为准；单价金额小数点有明显错位的，应以总价为准，并修改单价。</w:t>
      </w:r>
    </w:p>
    <w:p w14:paraId="2A626A21">
      <w:pPr>
        <w:pBdr>
          <w:top w:val="none" w:color="auto" w:sz="0" w:space="0"/>
          <w:left w:val="none" w:color="auto" w:sz="0" w:space="0"/>
          <w:bottom w:val="none" w:color="auto" w:sz="0" w:space="0"/>
          <w:right w:val="none" w:color="auto" w:sz="0" w:space="0"/>
          <w:between w:val="none" w:color="auto" w:sz="0" w:space="0"/>
        </w:pBdr>
        <w:spacing w:line="500" w:lineRule="exact"/>
        <w:ind w:firstLine="480" w:firstLineChars="2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3.投标总价为招标范围所列全部招标项目的报价总和，并应与投标报价明细表保持一致。</w:t>
      </w:r>
    </w:p>
    <w:p w14:paraId="1C8E4CDB">
      <w:pPr>
        <w:pBdr>
          <w:top w:val="none" w:color="auto" w:sz="0" w:space="0"/>
          <w:left w:val="none" w:color="auto" w:sz="0" w:space="0"/>
          <w:bottom w:val="none" w:color="auto" w:sz="0" w:space="0"/>
          <w:right w:val="none" w:color="auto" w:sz="0" w:space="0"/>
          <w:between w:val="none" w:color="auto" w:sz="0" w:space="0"/>
        </w:pBdr>
        <w:spacing w:line="500" w:lineRule="exact"/>
        <w:ind w:firstLine="480" w:firstLineChars="2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4.必须在投标文件中装订。</w:t>
      </w:r>
    </w:p>
    <w:p w14:paraId="6C9DCBBF">
      <w:pPr>
        <w:pStyle w:val="41"/>
        <w:pBdr>
          <w:top w:val="none" w:color="auto" w:sz="0" w:space="0"/>
          <w:left w:val="none" w:color="auto" w:sz="0" w:space="0"/>
          <w:bottom w:val="none" w:color="auto" w:sz="0" w:space="0"/>
          <w:right w:val="none" w:color="auto" w:sz="0" w:space="0"/>
          <w:between w:val="none" w:color="auto" w:sz="0" w:space="0"/>
        </w:pBdr>
        <w:spacing w:line="317" w:lineRule="exact"/>
        <w:ind w:left="176"/>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lang w:val="en-US" w:eastAsia="zh-CN"/>
        </w:rPr>
        <w:t xml:space="preserve">                             </w:t>
      </w:r>
      <w:r>
        <w:rPr>
          <w:rFonts w:hint="eastAsia" w:asciiTheme="minorEastAsia" w:hAnsiTheme="minorEastAsia" w:eastAsiaTheme="minorEastAsia" w:cstheme="minorEastAsia"/>
          <w:color w:val="auto"/>
          <w:sz w:val="24"/>
          <w:szCs w:val="24"/>
          <w:lang w:val="en-US" w:eastAsia="zh-CN"/>
        </w:rPr>
        <w:t xml:space="preserve"> </w:t>
      </w:r>
    </w:p>
    <w:p w14:paraId="7C9E4E1A">
      <w:pPr>
        <w:pStyle w:val="41"/>
        <w:pBdr>
          <w:top w:val="none" w:color="auto" w:sz="0" w:space="0"/>
          <w:left w:val="none" w:color="auto" w:sz="0" w:space="0"/>
          <w:bottom w:val="none" w:color="auto" w:sz="0" w:space="0"/>
          <w:right w:val="none" w:color="auto" w:sz="0" w:space="0"/>
          <w:between w:val="none" w:color="auto" w:sz="0" w:space="0"/>
        </w:pBdr>
        <w:spacing w:line="360" w:lineRule="auto"/>
        <w:ind w:firstLine="3600" w:firstLineChars="1500"/>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lang w:eastAsia="zh-CN"/>
        </w:rPr>
        <w:t>供应商</w:t>
      </w:r>
      <w:r>
        <w:rPr>
          <w:rFonts w:hint="eastAsia" w:asciiTheme="minorEastAsia" w:hAnsiTheme="minorEastAsia" w:eastAsiaTheme="minorEastAsia" w:cstheme="minorEastAsia"/>
          <w:color w:val="auto"/>
          <w:sz w:val="24"/>
          <w:szCs w:val="24"/>
        </w:rPr>
        <w:t>（盖章）：</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u w:val="single"/>
        </w:rPr>
        <w:t xml:space="preserve">     </w:t>
      </w:r>
    </w:p>
    <w:p w14:paraId="6027350D">
      <w:pPr>
        <w:pStyle w:val="41"/>
        <w:pBdr>
          <w:top w:val="none" w:color="auto" w:sz="0" w:space="0"/>
          <w:left w:val="none" w:color="auto" w:sz="0" w:space="0"/>
          <w:bottom w:val="none" w:color="auto" w:sz="0" w:space="0"/>
          <w:right w:val="none" w:color="auto" w:sz="0" w:space="0"/>
          <w:between w:val="none" w:color="auto" w:sz="0" w:space="0"/>
        </w:pBdr>
        <w:spacing w:line="360" w:lineRule="auto"/>
        <w:ind w:left="176"/>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 xml:space="preserve">               </w:t>
      </w:r>
      <w:r>
        <w:rPr>
          <w:rFonts w:hint="eastAsia" w:asciiTheme="minorEastAsia" w:hAnsiTheme="minorEastAsia" w:eastAsiaTheme="minorEastAsia" w:cstheme="minorEastAsia"/>
          <w:color w:val="auto"/>
          <w:sz w:val="24"/>
          <w:szCs w:val="24"/>
        </w:rPr>
        <w:t>法定代表人或其委托代理人</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签字或盖章）：</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 xml:space="preserve">    </w:t>
      </w:r>
    </w:p>
    <w:p w14:paraId="5B2B2C6E">
      <w:pPr>
        <w:pStyle w:val="41"/>
        <w:pBdr>
          <w:top w:val="none" w:color="auto" w:sz="0" w:space="0"/>
          <w:left w:val="none" w:color="auto" w:sz="0" w:space="0"/>
          <w:bottom w:val="none" w:color="auto" w:sz="0" w:space="0"/>
          <w:right w:val="none" w:color="auto" w:sz="0" w:space="0"/>
          <w:between w:val="none" w:color="auto" w:sz="0" w:space="0"/>
        </w:pBdr>
        <w:spacing w:line="360" w:lineRule="auto"/>
        <w:ind w:left="176"/>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 xml:space="preserve">                                       </w:t>
      </w:r>
      <w:r>
        <w:rPr>
          <w:rFonts w:hint="eastAsia" w:asciiTheme="minorEastAsia" w:hAnsiTheme="minorEastAsia" w:eastAsiaTheme="minorEastAsia" w:cstheme="minorEastAsia"/>
          <w:color w:val="auto"/>
          <w:sz w:val="24"/>
          <w:szCs w:val="24"/>
        </w:rPr>
        <w:t>日期：</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年</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月</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 xml:space="preserve">日 </w:t>
      </w:r>
    </w:p>
    <w:p w14:paraId="225469B4">
      <w:pPr>
        <w:pBdr>
          <w:top w:val="none" w:color="auto" w:sz="0" w:space="0"/>
          <w:left w:val="none" w:color="auto" w:sz="0" w:space="0"/>
          <w:bottom w:val="none" w:color="auto" w:sz="0" w:space="0"/>
          <w:right w:val="none" w:color="auto" w:sz="0" w:space="0"/>
          <w:between w:val="none" w:color="auto" w:sz="0" w:space="0"/>
        </w:pBdr>
        <w:wordWrap w:val="0"/>
        <w:spacing w:line="440" w:lineRule="exact"/>
        <w:ind w:firstLine="480" w:firstLineChars="200"/>
        <w:jc w:val="center"/>
        <w:rPr>
          <w:rFonts w:hint="eastAsia" w:asciiTheme="minorEastAsia" w:hAnsiTheme="minorEastAsia" w:eastAsiaTheme="minorEastAsia" w:cstheme="minorEastAsia"/>
          <w:color w:val="auto"/>
          <w:lang w:eastAsia="zh-CN"/>
        </w:rPr>
      </w:pPr>
    </w:p>
    <w:p w14:paraId="1B67EDE4">
      <w:pPr>
        <w:pStyle w:val="34"/>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br w:type="page"/>
      </w:r>
    </w:p>
    <w:p w14:paraId="7D1E12F3">
      <w:pPr>
        <w:pStyle w:val="37"/>
        <w:keepNext/>
        <w:keepLines/>
        <w:pBdr>
          <w:top w:val="none" w:color="auto" w:sz="0" w:space="0"/>
          <w:left w:val="none" w:color="auto" w:sz="0" w:space="0"/>
          <w:bottom w:val="none" w:color="auto" w:sz="0" w:space="0"/>
          <w:right w:val="none" w:color="auto" w:sz="0" w:space="0"/>
          <w:between w:val="none" w:color="auto" w:sz="0" w:space="0"/>
        </w:pBdr>
        <w:spacing w:before="0" w:after="220"/>
        <w:outlineLvl w:val="1"/>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color w:val="auto"/>
          <w:szCs w:val="24"/>
          <w:lang w:val="en-US" w:eastAsia="zh-CN"/>
        </w:rPr>
        <w:t>3、</w:t>
      </w:r>
      <w:r>
        <w:rPr>
          <w:rFonts w:hint="eastAsia" w:asciiTheme="minorEastAsia" w:hAnsiTheme="minorEastAsia" w:eastAsiaTheme="minorEastAsia" w:cstheme="minorEastAsia"/>
          <w:b/>
          <w:bCs/>
          <w:color w:val="auto"/>
        </w:rPr>
        <w:t>投标报价明细表</w:t>
      </w:r>
    </w:p>
    <w:p w14:paraId="05C9ED4A">
      <w:pPr>
        <w:pStyle w:val="37"/>
        <w:keepNext/>
        <w:keepLines/>
        <w:pBdr>
          <w:top w:val="none" w:color="auto" w:sz="0" w:space="0"/>
          <w:left w:val="none" w:color="auto" w:sz="0" w:space="0"/>
          <w:bottom w:val="none" w:color="auto" w:sz="0" w:space="0"/>
          <w:right w:val="none" w:color="auto" w:sz="0" w:space="0"/>
          <w:between w:val="none" w:color="auto" w:sz="0" w:space="0"/>
        </w:pBdr>
        <w:spacing w:before="0" w:after="220"/>
        <w:jc w:val="both"/>
        <w:outlineLvl w:val="9"/>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项目名称:                      </w:t>
      </w:r>
    </w:p>
    <w:p w14:paraId="2EA0F0D9">
      <w:pPr>
        <w:pStyle w:val="37"/>
        <w:keepNext/>
        <w:keepLines/>
        <w:pBdr>
          <w:top w:val="none" w:color="auto" w:sz="0" w:space="0"/>
          <w:left w:val="none" w:color="auto" w:sz="0" w:space="0"/>
          <w:bottom w:val="none" w:color="auto" w:sz="0" w:space="0"/>
          <w:right w:val="none" w:color="auto" w:sz="0" w:space="0"/>
          <w:between w:val="none" w:color="auto" w:sz="0" w:space="0"/>
        </w:pBdr>
        <w:spacing w:before="0" w:after="220"/>
        <w:jc w:val="both"/>
        <w:outlineLvl w:val="9"/>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招标编号:                </w:t>
      </w:r>
      <w:r>
        <w:rPr>
          <w:rFonts w:hint="eastAsia" w:asciiTheme="minorEastAsia" w:hAnsiTheme="minorEastAsia" w:eastAsiaTheme="minorEastAsia" w:cstheme="minorEastAsia"/>
          <w:color w:val="auto"/>
          <w:sz w:val="24"/>
          <w:lang w:val="en-US" w:eastAsia="zh-CN"/>
        </w:rPr>
        <w:t xml:space="preserve">                         </w:t>
      </w:r>
    </w:p>
    <w:p w14:paraId="6F447AD0">
      <w:pPr>
        <w:pStyle w:val="14"/>
        <w:pBdr>
          <w:top w:val="none" w:color="auto" w:sz="0" w:space="0"/>
          <w:left w:val="none" w:color="auto" w:sz="0" w:space="0"/>
          <w:bottom w:val="none" w:color="auto" w:sz="0" w:space="0"/>
          <w:right w:val="none" w:color="auto" w:sz="0" w:space="0"/>
          <w:between w:val="none" w:color="auto" w:sz="0" w:space="0"/>
        </w:pBdr>
        <w:spacing w:line="240" w:lineRule="atLeast"/>
        <w:ind w:left="1157" w:leftChars="257" w:hanging="54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color w:val="auto"/>
        </w:rPr>
        <w:t>单位：</w:t>
      </w:r>
      <w:r>
        <w:rPr>
          <w:rFonts w:hint="eastAsia" w:asciiTheme="minorEastAsia" w:hAnsiTheme="minorEastAsia" w:eastAsiaTheme="minorEastAsia" w:cstheme="minorEastAsia"/>
          <w:color w:val="auto"/>
          <w:szCs w:val="21"/>
        </w:rPr>
        <w:t>元（人民币）</w:t>
      </w:r>
    </w:p>
    <w:tbl>
      <w:tblPr>
        <w:tblStyle w:val="25"/>
        <w:tblW w:w="997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38"/>
        <w:gridCol w:w="739"/>
        <w:gridCol w:w="814"/>
        <w:gridCol w:w="966"/>
        <w:gridCol w:w="868"/>
        <w:gridCol w:w="851"/>
        <w:gridCol w:w="842"/>
        <w:gridCol w:w="940"/>
        <w:gridCol w:w="929"/>
        <w:gridCol w:w="831"/>
        <w:gridCol w:w="829"/>
        <w:gridCol w:w="825"/>
      </w:tblGrid>
      <w:tr w14:paraId="30A035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0" w:hRule="atLeast"/>
          <w:jc w:val="center"/>
        </w:trPr>
        <w:tc>
          <w:tcPr>
            <w:tcW w:w="538" w:type="dxa"/>
            <w:tcBorders>
              <w:top w:val="single" w:color="auto" w:sz="12" w:space="0"/>
              <w:left w:val="single" w:color="auto" w:sz="12" w:space="0"/>
              <w:bottom w:val="single" w:color="auto" w:sz="6" w:space="0"/>
              <w:right w:val="single" w:color="auto" w:sz="6" w:space="0"/>
            </w:tcBorders>
            <w:vAlign w:val="center"/>
          </w:tcPr>
          <w:p w14:paraId="3128706E">
            <w:pPr>
              <w:pBdr>
                <w:top w:val="none" w:color="auto" w:sz="0" w:space="0"/>
                <w:left w:val="none" w:color="auto" w:sz="0" w:space="0"/>
                <w:bottom w:val="none" w:color="auto" w:sz="0" w:space="0"/>
                <w:right w:val="none" w:color="auto" w:sz="0" w:space="0"/>
                <w:between w:val="none" w:color="auto" w:sz="0" w:space="0"/>
              </w:pBdr>
              <w:spacing w:line="500" w:lineRule="exact"/>
              <w:jc w:val="both"/>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序号</w:t>
            </w:r>
          </w:p>
        </w:tc>
        <w:tc>
          <w:tcPr>
            <w:tcW w:w="739" w:type="dxa"/>
            <w:tcBorders>
              <w:top w:val="single" w:color="auto" w:sz="12" w:space="0"/>
              <w:left w:val="single" w:color="auto" w:sz="6" w:space="0"/>
              <w:bottom w:val="single" w:color="auto" w:sz="6" w:space="0"/>
              <w:right w:val="single" w:color="auto" w:sz="6" w:space="0"/>
            </w:tcBorders>
            <w:vAlign w:val="center"/>
          </w:tcPr>
          <w:p w14:paraId="776DF0F8">
            <w:pPr>
              <w:pBdr>
                <w:top w:val="none" w:color="auto" w:sz="0" w:space="0"/>
                <w:left w:val="none" w:color="auto" w:sz="0" w:space="0"/>
                <w:bottom w:val="none" w:color="auto" w:sz="0" w:space="0"/>
                <w:right w:val="none" w:color="auto" w:sz="0" w:space="0"/>
                <w:between w:val="none" w:color="auto" w:sz="0" w:space="0"/>
              </w:pBdr>
              <w:spacing w:line="500" w:lineRule="exact"/>
              <w:jc w:val="lef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设备名称</w:t>
            </w:r>
          </w:p>
        </w:tc>
        <w:tc>
          <w:tcPr>
            <w:tcW w:w="814" w:type="dxa"/>
            <w:tcBorders>
              <w:top w:val="single" w:color="auto" w:sz="12" w:space="0"/>
              <w:left w:val="single" w:color="auto" w:sz="6" w:space="0"/>
              <w:bottom w:val="single" w:color="auto" w:sz="6" w:space="0"/>
              <w:right w:val="single" w:color="auto" w:sz="6" w:space="0"/>
            </w:tcBorders>
            <w:vAlign w:val="center"/>
          </w:tcPr>
          <w:p w14:paraId="4FC23F19">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品牌</w:t>
            </w:r>
          </w:p>
        </w:tc>
        <w:tc>
          <w:tcPr>
            <w:tcW w:w="966" w:type="dxa"/>
            <w:tcBorders>
              <w:top w:val="single" w:color="auto" w:sz="12" w:space="0"/>
              <w:left w:val="single" w:color="auto" w:sz="6" w:space="0"/>
              <w:bottom w:val="single" w:color="auto" w:sz="6" w:space="0"/>
              <w:right w:val="single" w:color="auto" w:sz="4" w:space="0"/>
            </w:tcBorders>
            <w:vAlign w:val="center"/>
          </w:tcPr>
          <w:p w14:paraId="4BD9A099">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FF0000"/>
                <w:szCs w:val="21"/>
                <w:lang w:eastAsia="zh-CN"/>
              </w:rPr>
            </w:pPr>
            <w:r>
              <w:rPr>
                <w:rFonts w:hint="eastAsia" w:asciiTheme="minorEastAsia" w:hAnsiTheme="minorEastAsia" w:eastAsiaTheme="minorEastAsia" w:cstheme="minorEastAsia"/>
                <w:color w:val="auto"/>
                <w:szCs w:val="21"/>
                <w:lang w:eastAsia="zh-CN"/>
              </w:rPr>
              <w:t>制造商</w:t>
            </w:r>
          </w:p>
        </w:tc>
        <w:tc>
          <w:tcPr>
            <w:tcW w:w="868" w:type="dxa"/>
            <w:tcBorders>
              <w:top w:val="single" w:color="auto" w:sz="12" w:space="0"/>
              <w:left w:val="single" w:color="auto" w:sz="6" w:space="0"/>
              <w:bottom w:val="single" w:color="auto" w:sz="6" w:space="0"/>
              <w:right w:val="single" w:color="auto" w:sz="4" w:space="0"/>
            </w:tcBorders>
            <w:vAlign w:val="center"/>
          </w:tcPr>
          <w:p w14:paraId="6EF3683C">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rPr>
              <w:t>规格</w:t>
            </w:r>
            <w:r>
              <w:rPr>
                <w:rFonts w:hint="eastAsia" w:asciiTheme="minorEastAsia" w:hAnsiTheme="minorEastAsia" w:eastAsiaTheme="minorEastAsia" w:cstheme="minorEastAsia"/>
                <w:color w:val="auto"/>
                <w:szCs w:val="21"/>
                <w:lang w:eastAsia="zh-CN"/>
              </w:rPr>
              <w:t>型号</w:t>
            </w:r>
          </w:p>
        </w:tc>
        <w:tc>
          <w:tcPr>
            <w:tcW w:w="851" w:type="dxa"/>
            <w:tcBorders>
              <w:top w:val="single" w:color="auto" w:sz="12" w:space="0"/>
              <w:left w:val="single" w:color="auto" w:sz="6" w:space="0"/>
              <w:bottom w:val="single" w:color="auto" w:sz="6" w:space="0"/>
              <w:right w:val="single" w:color="auto" w:sz="6" w:space="0"/>
            </w:tcBorders>
            <w:vAlign w:val="center"/>
          </w:tcPr>
          <w:p w14:paraId="4FA31671">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单位</w:t>
            </w:r>
          </w:p>
        </w:tc>
        <w:tc>
          <w:tcPr>
            <w:tcW w:w="842" w:type="dxa"/>
            <w:tcBorders>
              <w:top w:val="single" w:color="auto" w:sz="12" w:space="0"/>
              <w:left w:val="single" w:color="auto" w:sz="6" w:space="0"/>
              <w:bottom w:val="single" w:color="auto" w:sz="6" w:space="0"/>
              <w:right w:val="single" w:color="auto" w:sz="6" w:space="0"/>
            </w:tcBorders>
            <w:vAlign w:val="center"/>
          </w:tcPr>
          <w:p w14:paraId="0AF2A57C">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数量</w:t>
            </w:r>
          </w:p>
        </w:tc>
        <w:tc>
          <w:tcPr>
            <w:tcW w:w="940" w:type="dxa"/>
            <w:tcBorders>
              <w:top w:val="single" w:color="auto" w:sz="12" w:space="0"/>
              <w:left w:val="single" w:color="auto" w:sz="6" w:space="0"/>
              <w:bottom w:val="single" w:color="auto" w:sz="6" w:space="0"/>
              <w:right w:val="single" w:color="auto" w:sz="6" w:space="0"/>
            </w:tcBorders>
            <w:vAlign w:val="center"/>
          </w:tcPr>
          <w:p w14:paraId="19C337E0">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单价</w:t>
            </w:r>
          </w:p>
        </w:tc>
        <w:tc>
          <w:tcPr>
            <w:tcW w:w="929" w:type="dxa"/>
            <w:tcBorders>
              <w:top w:val="single" w:color="auto" w:sz="12" w:space="0"/>
              <w:left w:val="single" w:color="auto" w:sz="6" w:space="0"/>
              <w:bottom w:val="single" w:color="auto" w:sz="6" w:space="0"/>
              <w:right w:val="single" w:color="auto" w:sz="12" w:space="0"/>
            </w:tcBorders>
            <w:vAlign w:val="center"/>
          </w:tcPr>
          <w:p w14:paraId="71435E32">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总价</w:t>
            </w:r>
          </w:p>
        </w:tc>
        <w:tc>
          <w:tcPr>
            <w:tcW w:w="831" w:type="dxa"/>
            <w:tcBorders>
              <w:top w:val="single" w:color="auto" w:sz="12" w:space="0"/>
              <w:left w:val="single" w:color="auto" w:sz="6" w:space="0"/>
              <w:bottom w:val="single" w:color="auto" w:sz="6" w:space="0"/>
              <w:right w:val="single" w:color="auto" w:sz="12" w:space="0"/>
            </w:tcBorders>
            <w:vAlign w:val="center"/>
          </w:tcPr>
          <w:p w14:paraId="40818B7E">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质保期</w:t>
            </w:r>
          </w:p>
        </w:tc>
        <w:tc>
          <w:tcPr>
            <w:tcW w:w="829" w:type="dxa"/>
            <w:tcBorders>
              <w:top w:val="single" w:color="auto" w:sz="12" w:space="0"/>
              <w:left w:val="single" w:color="auto" w:sz="6" w:space="0"/>
              <w:bottom w:val="single" w:color="auto" w:sz="6" w:space="0"/>
              <w:right w:val="single" w:color="auto" w:sz="12" w:space="0"/>
            </w:tcBorders>
            <w:vAlign w:val="center"/>
          </w:tcPr>
          <w:p w14:paraId="44D126D5">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备注</w:t>
            </w:r>
          </w:p>
        </w:tc>
        <w:tc>
          <w:tcPr>
            <w:tcW w:w="825" w:type="dxa"/>
            <w:tcBorders>
              <w:top w:val="single" w:color="auto" w:sz="12" w:space="0"/>
              <w:left w:val="single" w:color="auto" w:sz="6" w:space="0"/>
              <w:bottom w:val="single" w:color="auto" w:sz="6" w:space="0"/>
              <w:right w:val="single" w:color="auto" w:sz="12" w:space="0"/>
            </w:tcBorders>
            <w:vAlign w:val="center"/>
          </w:tcPr>
          <w:p w14:paraId="0BB9719E">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 w:val="24"/>
                <w:szCs w:val="24"/>
                <w:lang w:val="zh-CN" w:eastAsia="zh-CN" w:bidi="zh-CN"/>
              </w:rPr>
              <w:t>其</w:t>
            </w:r>
            <w:r>
              <w:rPr>
                <w:rFonts w:hint="eastAsia" w:asciiTheme="minorEastAsia" w:hAnsiTheme="minorEastAsia" w:eastAsiaTheme="minorEastAsia" w:cstheme="minorEastAsia"/>
                <w:color w:val="auto"/>
                <w:sz w:val="24"/>
                <w:szCs w:val="24"/>
              </w:rPr>
              <w:t>它</w:t>
            </w:r>
          </w:p>
        </w:tc>
      </w:tr>
      <w:tr w14:paraId="4E9345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0" w:hRule="atLeast"/>
          <w:jc w:val="center"/>
        </w:trPr>
        <w:tc>
          <w:tcPr>
            <w:tcW w:w="538" w:type="dxa"/>
            <w:tcBorders>
              <w:top w:val="single" w:color="auto" w:sz="6" w:space="0"/>
              <w:left w:val="single" w:color="auto" w:sz="12" w:space="0"/>
              <w:bottom w:val="single" w:color="auto" w:sz="6" w:space="0"/>
              <w:right w:val="single" w:color="auto" w:sz="6" w:space="0"/>
            </w:tcBorders>
            <w:vAlign w:val="center"/>
          </w:tcPr>
          <w:p w14:paraId="69E74802">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auto"/>
                <w:szCs w:val="21"/>
              </w:rPr>
            </w:pPr>
          </w:p>
        </w:tc>
        <w:tc>
          <w:tcPr>
            <w:tcW w:w="739" w:type="dxa"/>
            <w:tcBorders>
              <w:top w:val="single" w:color="auto" w:sz="6" w:space="0"/>
              <w:left w:val="single" w:color="auto" w:sz="6" w:space="0"/>
              <w:bottom w:val="single" w:color="auto" w:sz="6" w:space="0"/>
              <w:right w:val="single" w:color="auto" w:sz="6" w:space="0"/>
            </w:tcBorders>
            <w:vAlign w:val="center"/>
          </w:tcPr>
          <w:p w14:paraId="68C25322">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auto"/>
                <w:szCs w:val="21"/>
              </w:rPr>
            </w:pPr>
          </w:p>
        </w:tc>
        <w:tc>
          <w:tcPr>
            <w:tcW w:w="814" w:type="dxa"/>
            <w:tcBorders>
              <w:top w:val="single" w:color="auto" w:sz="6" w:space="0"/>
              <w:left w:val="single" w:color="auto" w:sz="6" w:space="0"/>
              <w:bottom w:val="single" w:color="auto" w:sz="6" w:space="0"/>
              <w:right w:val="single" w:color="auto" w:sz="6" w:space="0"/>
            </w:tcBorders>
            <w:vAlign w:val="center"/>
          </w:tcPr>
          <w:p w14:paraId="01FC3A76">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auto"/>
                <w:szCs w:val="21"/>
              </w:rPr>
            </w:pPr>
          </w:p>
        </w:tc>
        <w:tc>
          <w:tcPr>
            <w:tcW w:w="966" w:type="dxa"/>
            <w:tcBorders>
              <w:top w:val="single" w:color="auto" w:sz="6" w:space="0"/>
              <w:left w:val="single" w:color="auto" w:sz="6" w:space="0"/>
              <w:bottom w:val="single" w:color="auto" w:sz="6" w:space="0"/>
              <w:right w:val="single" w:color="auto" w:sz="4" w:space="0"/>
            </w:tcBorders>
            <w:vAlign w:val="center"/>
          </w:tcPr>
          <w:p w14:paraId="445B850D">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auto"/>
                <w:szCs w:val="21"/>
              </w:rPr>
            </w:pPr>
          </w:p>
        </w:tc>
        <w:tc>
          <w:tcPr>
            <w:tcW w:w="868" w:type="dxa"/>
            <w:tcBorders>
              <w:top w:val="single" w:color="auto" w:sz="6" w:space="0"/>
              <w:left w:val="single" w:color="auto" w:sz="6" w:space="0"/>
              <w:bottom w:val="single" w:color="auto" w:sz="6" w:space="0"/>
              <w:right w:val="single" w:color="auto" w:sz="4" w:space="0"/>
            </w:tcBorders>
            <w:vAlign w:val="center"/>
          </w:tcPr>
          <w:p w14:paraId="76E3D9CF">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auto"/>
                <w:szCs w:val="21"/>
              </w:rPr>
            </w:pPr>
          </w:p>
        </w:tc>
        <w:tc>
          <w:tcPr>
            <w:tcW w:w="851" w:type="dxa"/>
            <w:tcBorders>
              <w:top w:val="single" w:color="auto" w:sz="6" w:space="0"/>
              <w:left w:val="single" w:color="auto" w:sz="6" w:space="0"/>
              <w:bottom w:val="single" w:color="auto" w:sz="6" w:space="0"/>
              <w:right w:val="single" w:color="auto" w:sz="6" w:space="0"/>
            </w:tcBorders>
            <w:vAlign w:val="center"/>
          </w:tcPr>
          <w:p w14:paraId="060C28CF">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auto"/>
                <w:szCs w:val="21"/>
              </w:rPr>
            </w:pPr>
          </w:p>
        </w:tc>
        <w:tc>
          <w:tcPr>
            <w:tcW w:w="842" w:type="dxa"/>
            <w:tcBorders>
              <w:top w:val="single" w:color="auto" w:sz="6" w:space="0"/>
              <w:left w:val="single" w:color="auto" w:sz="6" w:space="0"/>
              <w:bottom w:val="single" w:color="auto" w:sz="6" w:space="0"/>
              <w:right w:val="single" w:color="auto" w:sz="6" w:space="0"/>
            </w:tcBorders>
            <w:vAlign w:val="center"/>
          </w:tcPr>
          <w:p w14:paraId="22A6F706">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auto"/>
                <w:szCs w:val="21"/>
              </w:rPr>
            </w:pPr>
          </w:p>
        </w:tc>
        <w:tc>
          <w:tcPr>
            <w:tcW w:w="940" w:type="dxa"/>
            <w:tcBorders>
              <w:top w:val="single" w:color="auto" w:sz="6" w:space="0"/>
              <w:left w:val="single" w:color="auto" w:sz="6" w:space="0"/>
              <w:bottom w:val="single" w:color="auto" w:sz="6" w:space="0"/>
              <w:right w:val="single" w:color="auto" w:sz="6" w:space="0"/>
            </w:tcBorders>
            <w:vAlign w:val="center"/>
          </w:tcPr>
          <w:p w14:paraId="1B863297">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auto"/>
                <w:szCs w:val="21"/>
              </w:rPr>
            </w:pPr>
          </w:p>
        </w:tc>
        <w:tc>
          <w:tcPr>
            <w:tcW w:w="929" w:type="dxa"/>
            <w:tcBorders>
              <w:top w:val="single" w:color="auto" w:sz="6" w:space="0"/>
              <w:left w:val="single" w:color="auto" w:sz="6" w:space="0"/>
              <w:bottom w:val="single" w:color="auto" w:sz="6" w:space="0"/>
              <w:right w:val="single" w:color="auto" w:sz="12" w:space="0"/>
            </w:tcBorders>
            <w:vAlign w:val="center"/>
          </w:tcPr>
          <w:p w14:paraId="064F96D6">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auto"/>
                <w:szCs w:val="21"/>
              </w:rPr>
            </w:pPr>
          </w:p>
        </w:tc>
        <w:tc>
          <w:tcPr>
            <w:tcW w:w="831" w:type="dxa"/>
            <w:tcBorders>
              <w:top w:val="single" w:color="auto" w:sz="6" w:space="0"/>
              <w:left w:val="single" w:color="auto" w:sz="6" w:space="0"/>
              <w:bottom w:val="single" w:color="auto" w:sz="6" w:space="0"/>
              <w:right w:val="single" w:color="auto" w:sz="12" w:space="0"/>
            </w:tcBorders>
            <w:vAlign w:val="center"/>
          </w:tcPr>
          <w:p w14:paraId="365A4A43">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auto"/>
                <w:szCs w:val="21"/>
              </w:rPr>
            </w:pPr>
          </w:p>
        </w:tc>
        <w:tc>
          <w:tcPr>
            <w:tcW w:w="829" w:type="dxa"/>
            <w:tcBorders>
              <w:top w:val="single" w:color="auto" w:sz="6" w:space="0"/>
              <w:left w:val="single" w:color="auto" w:sz="6" w:space="0"/>
              <w:bottom w:val="single" w:color="auto" w:sz="6" w:space="0"/>
              <w:right w:val="single" w:color="auto" w:sz="12" w:space="0"/>
            </w:tcBorders>
            <w:vAlign w:val="center"/>
          </w:tcPr>
          <w:p w14:paraId="40DFC0DC">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auto"/>
                <w:szCs w:val="21"/>
              </w:rPr>
            </w:pPr>
          </w:p>
        </w:tc>
        <w:tc>
          <w:tcPr>
            <w:tcW w:w="825" w:type="dxa"/>
            <w:tcBorders>
              <w:top w:val="single" w:color="auto" w:sz="6" w:space="0"/>
              <w:left w:val="single" w:color="auto" w:sz="6" w:space="0"/>
              <w:bottom w:val="single" w:color="auto" w:sz="6" w:space="0"/>
              <w:right w:val="single" w:color="auto" w:sz="12" w:space="0"/>
            </w:tcBorders>
            <w:vAlign w:val="center"/>
          </w:tcPr>
          <w:p w14:paraId="6EC4B073">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auto"/>
                <w:szCs w:val="21"/>
              </w:rPr>
            </w:pPr>
          </w:p>
        </w:tc>
      </w:tr>
      <w:tr w14:paraId="699851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0" w:hRule="atLeast"/>
          <w:jc w:val="center"/>
        </w:trPr>
        <w:tc>
          <w:tcPr>
            <w:tcW w:w="538" w:type="dxa"/>
            <w:tcBorders>
              <w:top w:val="single" w:color="auto" w:sz="6" w:space="0"/>
              <w:left w:val="single" w:color="auto" w:sz="12" w:space="0"/>
              <w:bottom w:val="single" w:color="auto" w:sz="6" w:space="0"/>
              <w:right w:val="single" w:color="auto" w:sz="6" w:space="0"/>
            </w:tcBorders>
            <w:vAlign w:val="center"/>
          </w:tcPr>
          <w:p w14:paraId="27A1BEC1">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auto"/>
                <w:szCs w:val="21"/>
              </w:rPr>
            </w:pPr>
          </w:p>
        </w:tc>
        <w:tc>
          <w:tcPr>
            <w:tcW w:w="739" w:type="dxa"/>
            <w:tcBorders>
              <w:top w:val="single" w:color="auto" w:sz="6" w:space="0"/>
              <w:left w:val="single" w:color="auto" w:sz="6" w:space="0"/>
              <w:bottom w:val="single" w:color="auto" w:sz="6" w:space="0"/>
              <w:right w:val="single" w:color="auto" w:sz="6" w:space="0"/>
            </w:tcBorders>
            <w:vAlign w:val="center"/>
          </w:tcPr>
          <w:p w14:paraId="031FCC1B">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auto"/>
                <w:szCs w:val="21"/>
              </w:rPr>
            </w:pPr>
          </w:p>
        </w:tc>
        <w:tc>
          <w:tcPr>
            <w:tcW w:w="814" w:type="dxa"/>
            <w:tcBorders>
              <w:top w:val="single" w:color="auto" w:sz="6" w:space="0"/>
              <w:left w:val="single" w:color="auto" w:sz="6" w:space="0"/>
              <w:bottom w:val="single" w:color="auto" w:sz="6" w:space="0"/>
              <w:right w:val="single" w:color="auto" w:sz="6" w:space="0"/>
            </w:tcBorders>
            <w:vAlign w:val="center"/>
          </w:tcPr>
          <w:p w14:paraId="75E5E10D">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auto"/>
                <w:szCs w:val="21"/>
              </w:rPr>
            </w:pPr>
          </w:p>
        </w:tc>
        <w:tc>
          <w:tcPr>
            <w:tcW w:w="966" w:type="dxa"/>
            <w:tcBorders>
              <w:top w:val="single" w:color="auto" w:sz="6" w:space="0"/>
              <w:left w:val="single" w:color="auto" w:sz="6" w:space="0"/>
              <w:bottom w:val="single" w:color="auto" w:sz="6" w:space="0"/>
              <w:right w:val="single" w:color="auto" w:sz="4" w:space="0"/>
            </w:tcBorders>
            <w:vAlign w:val="center"/>
          </w:tcPr>
          <w:p w14:paraId="0EF7A73D">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auto"/>
                <w:szCs w:val="21"/>
              </w:rPr>
            </w:pPr>
          </w:p>
        </w:tc>
        <w:tc>
          <w:tcPr>
            <w:tcW w:w="868" w:type="dxa"/>
            <w:tcBorders>
              <w:top w:val="single" w:color="auto" w:sz="6" w:space="0"/>
              <w:left w:val="single" w:color="auto" w:sz="6" w:space="0"/>
              <w:bottom w:val="single" w:color="auto" w:sz="6" w:space="0"/>
              <w:right w:val="single" w:color="auto" w:sz="4" w:space="0"/>
            </w:tcBorders>
            <w:vAlign w:val="center"/>
          </w:tcPr>
          <w:p w14:paraId="632E545A">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auto"/>
                <w:szCs w:val="21"/>
              </w:rPr>
            </w:pPr>
          </w:p>
        </w:tc>
        <w:tc>
          <w:tcPr>
            <w:tcW w:w="851" w:type="dxa"/>
            <w:tcBorders>
              <w:top w:val="single" w:color="auto" w:sz="6" w:space="0"/>
              <w:left w:val="single" w:color="auto" w:sz="6" w:space="0"/>
              <w:bottom w:val="single" w:color="auto" w:sz="6" w:space="0"/>
              <w:right w:val="single" w:color="auto" w:sz="6" w:space="0"/>
            </w:tcBorders>
            <w:vAlign w:val="center"/>
          </w:tcPr>
          <w:p w14:paraId="4DD78EC6">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auto"/>
                <w:szCs w:val="21"/>
              </w:rPr>
            </w:pPr>
          </w:p>
        </w:tc>
        <w:tc>
          <w:tcPr>
            <w:tcW w:w="842" w:type="dxa"/>
            <w:tcBorders>
              <w:top w:val="single" w:color="auto" w:sz="6" w:space="0"/>
              <w:left w:val="single" w:color="auto" w:sz="6" w:space="0"/>
              <w:bottom w:val="single" w:color="auto" w:sz="6" w:space="0"/>
              <w:right w:val="single" w:color="auto" w:sz="6" w:space="0"/>
            </w:tcBorders>
            <w:vAlign w:val="center"/>
          </w:tcPr>
          <w:p w14:paraId="364C070A">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auto"/>
                <w:szCs w:val="21"/>
              </w:rPr>
            </w:pPr>
          </w:p>
        </w:tc>
        <w:tc>
          <w:tcPr>
            <w:tcW w:w="940" w:type="dxa"/>
            <w:tcBorders>
              <w:top w:val="single" w:color="auto" w:sz="6" w:space="0"/>
              <w:left w:val="single" w:color="auto" w:sz="6" w:space="0"/>
              <w:bottom w:val="single" w:color="auto" w:sz="6" w:space="0"/>
              <w:right w:val="single" w:color="auto" w:sz="6" w:space="0"/>
            </w:tcBorders>
            <w:vAlign w:val="center"/>
          </w:tcPr>
          <w:p w14:paraId="618D23EF">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auto"/>
                <w:szCs w:val="21"/>
              </w:rPr>
            </w:pPr>
          </w:p>
        </w:tc>
        <w:tc>
          <w:tcPr>
            <w:tcW w:w="929" w:type="dxa"/>
            <w:tcBorders>
              <w:top w:val="single" w:color="auto" w:sz="6" w:space="0"/>
              <w:left w:val="single" w:color="auto" w:sz="6" w:space="0"/>
              <w:bottom w:val="single" w:color="auto" w:sz="6" w:space="0"/>
              <w:right w:val="single" w:color="auto" w:sz="12" w:space="0"/>
            </w:tcBorders>
            <w:vAlign w:val="center"/>
          </w:tcPr>
          <w:p w14:paraId="7EA87823">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auto"/>
                <w:szCs w:val="21"/>
              </w:rPr>
            </w:pPr>
          </w:p>
        </w:tc>
        <w:tc>
          <w:tcPr>
            <w:tcW w:w="831" w:type="dxa"/>
            <w:tcBorders>
              <w:top w:val="single" w:color="auto" w:sz="6" w:space="0"/>
              <w:left w:val="single" w:color="auto" w:sz="6" w:space="0"/>
              <w:bottom w:val="single" w:color="auto" w:sz="6" w:space="0"/>
              <w:right w:val="single" w:color="auto" w:sz="12" w:space="0"/>
            </w:tcBorders>
            <w:vAlign w:val="center"/>
          </w:tcPr>
          <w:p w14:paraId="2015E1A2">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auto"/>
                <w:szCs w:val="21"/>
              </w:rPr>
            </w:pPr>
          </w:p>
        </w:tc>
        <w:tc>
          <w:tcPr>
            <w:tcW w:w="829" w:type="dxa"/>
            <w:tcBorders>
              <w:top w:val="single" w:color="auto" w:sz="6" w:space="0"/>
              <w:left w:val="single" w:color="auto" w:sz="6" w:space="0"/>
              <w:bottom w:val="single" w:color="auto" w:sz="6" w:space="0"/>
              <w:right w:val="single" w:color="auto" w:sz="12" w:space="0"/>
            </w:tcBorders>
            <w:vAlign w:val="center"/>
          </w:tcPr>
          <w:p w14:paraId="027DD4B4">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auto"/>
                <w:szCs w:val="21"/>
              </w:rPr>
            </w:pPr>
          </w:p>
        </w:tc>
        <w:tc>
          <w:tcPr>
            <w:tcW w:w="825" w:type="dxa"/>
            <w:tcBorders>
              <w:top w:val="single" w:color="auto" w:sz="6" w:space="0"/>
              <w:left w:val="single" w:color="auto" w:sz="6" w:space="0"/>
              <w:bottom w:val="single" w:color="auto" w:sz="6" w:space="0"/>
              <w:right w:val="single" w:color="auto" w:sz="12" w:space="0"/>
            </w:tcBorders>
            <w:vAlign w:val="center"/>
          </w:tcPr>
          <w:p w14:paraId="3CFE42BB">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auto"/>
                <w:szCs w:val="21"/>
              </w:rPr>
            </w:pPr>
          </w:p>
        </w:tc>
      </w:tr>
      <w:tr w14:paraId="1CE548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0" w:hRule="atLeast"/>
          <w:jc w:val="center"/>
        </w:trPr>
        <w:tc>
          <w:tcPr>
            <w:tcW w:w="538" w:type="dxa"/>
            <w:tcBorders>
              <w:top w:val="single" w:color="auto" w:sz="6" w:space="0"/>
              <w:left w:val="single" w:color="auto" w:sz="12" w:space="0"/>
              <w:bottom w:val="single" w:color="auto" w:sz="6" w:space="0"/>
              <w:right w:val="single" w:color="auto" w:sz="6" w:space="0"/>
            </w:tcBorders>
            <w:vAlign w:val="center"/>
          </w:tcPr>
          <w:p w14:paraId="6260A6F8">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auto"/>
                <w:szCs w:val="21"/>
              </w:rPr>
            </w:pPr>
          </w:p>
        </w:tc>
        <w:tc>
          <w:tcPr>
            <w:tcW w:w="739" w:type="dxa"/>
            <w:tcBorders>
              <w:top w:val="single" w:color="auto" w:sz="6" w:space="0"/>
              <w:left w:val="single" w:color="auto" w:sz="6" w:space="0"/>
              <w:bottom w:val="single" w:color="auto" w:sz="6" w:space="0"/>
              <w:right w:val="single" w:color="auto" w:sz="6" w:space="0"/>
            </w:tcBorders>
            <w:vAlign w:val="center"/>
          </w:tcPr>
          <w:p w14:paraId="30F256BB">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auto"/>
                <w:szCs w:val="21"/>
              </w:rPr>
            </w:pPr>
          </w:p>
        </w:tc>
        <w:tc>
          <w:tcPr>
            <w:tcW w:w="814" w:type="dxa"/>
            <w:tcBorders>
              <w:top w:val="single" w:color="auto" w:sz="6" w:space="0"/>
              <w:left w:val="single" w:color="auto" w:sz="6" w:space="0"/>
              <w:bottom w:val="single" w:color="auto" w:sz="6" w:space="0"/>
              <w:right w:val="single" w:color="auto" w:sz="6" w:space="0"/>
            </w:tcBorders>
            <w:vAlign w:val="center"/>
          </w:tcPr>
          <w:p w14:paraId="5BF60738">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auto"/>
                <w:szCs w:val="21"/>
              </w:rPr>
            </w:pPr>
          </w:p>
        </w:tc>
        <w:tc>
          <w:tcPr>
            <w:tcW w:w="966" w:type="dxa"/>
            <w:tcBorders>
              <w:top w:val="single" w:color="auto" w:sz="6" w:space="0"/>
              <w:left w:val="single" w:color="auto" w:sz="6" w:space="0"/>
              <w:bottom w:val="single" w:color="auto" w:sz="6" w:space="0"/>
              <w:right w:val="single" w:color="auto" w:sz="4" w:space="0"/>
            </w:tcBorders>
            <w:vAlign w:val="center"/>
          </w:tcPr>
          <w:p w14:paraId="087FCD88">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auto"/>
                <w:szCs w:val="21"/>
              </w:rPr>
            </w:pPr>
          </w:p>
        </w:tc>
        <w:tc>
          <w:tcPr>
            <w:tcW w:w="868" w:type="dxa"/>
            <w:tcBorders>
              <w:top w:val="single" w:color="auto" w:sz="6" w:space="0"/>
              <w:left w:val="single" w:color="auto" w:sz="6" w:space="0"/>
              <w:bottom w:val="single" w:color="auto" w:sz="6" w:space="0"/>
              <w:right w:val="single" w:color="auto" w:sz="4" w:space="0"/>
            </w:tcBorders>
            <w:vAlign w:val="center"/>
          </w:tcPr>
          <w:p w14:paraId="62CD7D8F">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auto"/>
                <w:szCs w:val="21"/>
              </w:rPr>
            </w:pPr>
          </w:p>
        </w:tc>
        <w:tc>
          <w:tcPr>
            <w:tcW w:w="851" w:type="dxa"/>
            <w:tcBorders>
              <w:top w:val="single" w:color="auto" w:sz="6" w:space="0"/>
              <w:left w:val="single" w:color="auto" w:sz="6" w:space="0"/>
              <w:bottom w:val="single" w:color="auto" w:sz="6" w:space="0"/>
              <w:right w:val="single" w:color="auto" w:sz="6" w:space="0"/>
            </w:tcBorders>
            <w:vAlign w:val="center"/>
          </w:tcPr>
          <w:p w14:paraId="29FC9A3F">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auto"/>
                <w:szCs w:val="21"/>
              </w:rPr>
            </w:pPr>
          </w:p>
        </w:tc>
        <w:tc>
          <w:tcPr>
            <w:tcW w:w="842" w:type="dxa"/>
            <w:tcBorders>
              <w:top w:val="single" w:color="auto" w:sz="6" w:space="0"/>
              <w:left w:val="single" w:color="auto" w:sz="6" w:space="0"/>
              <w:bottom w:val="single" w:color="auto" w:sz="6" w:space="0"/>
              <w:right w:val="single" w:color="auto" w:sz="6" w:space="0"/>
            </w:tcBorders>
            <w:vAlign w:val="center"/>
          </w:tcPr>
          <w:p w14:paraId="320BD4CE">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auto"/>
                <w:szCs w:val="21"/>
              </w:rPr>
            </w:pPr>
          </w:p>
        </w:tc>
        <w:tc>
          <w:tcPr>
            <w:tcW w:w="940" w:type="dxa"/>
            <w:tcBorders>
              <w:top w:val="single" w:color="auto" w:sz="6" w:space="0"/>
              <w:left w:val="single" w:color="auto" w:sz="6" w:space="0"/>
              <w:bottom w:val="single" w:color="auto" w:sz="6" w:space="0"/>
              <w:right w:val="single" w:color="auto" w:sz="6" w:space="0"/>
            </w:tcBorders>
            <w:vAlign w:val="center"/>
          </w:tcPr>
          <w:p w14:paraId="5AB6336F">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auto"/>
                <w:szCs w:val="21"/>
              </w:rPr>
            </w:pPr>
          </w:p>
        </w:tc>
        <w:tc>
          <w:tcPr>
            <w:tcW w:w="929" w:type="dxa"/>
            <w:tcBorders>
              <w:top w:val="single" w:color="auto" w:sz="6" w:space="0"/>
              <w:left w:val="single" w:color="auto" w:sz="6" w:space="0"/>
              <w:bottom w:val="single" w:color="auto" w:sz="6" w:space="0"/>
              <w:right w:val="single" w:color="auto" w:sz="12" w:space="0"/>
            </w:tcBorders>
            <w:vAlign w:val="center"/>
          </w:tcPr>
          <w:p w14:paraId="1AE00D48">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auto"/>
                <w:szCs w:val="21"/>
              </w:rPr>
            </w:pPr>
          </w:p>
        </w:tc>
        <w:tc>
          <w:tcPr>
            <w:tcW w:w="831" w:type="dxa"/>
            <w:tcBorders>
              <w:top w:val="single" w:color="auto" w:sz="6" w:space="0"/>
              <w:left w:val="single" w:color="auto" w:sz="6" w:space="0"/>
              <w:bottom w:val="single" w:color="auto" w:sz="6" w:space="0"/>
              <w:right w:val="single" w:color="auto" w:sz="12" w:space="0"/>
            </w:tcBorders>
            <w:vAlign w:val="center"/>
          </w:tcPr>
          <w:p w14:paraId="206A4279">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auto"/>
                <w:szCs w:val="21"/>
              </w:rPr>
            </w:pPr>
          </w:p>
        </w:tc>
        <w:tc>
          <w:tcPr>
            <w:tcW w:w="829" w:type="dxa"/>
            <w:tcBorders>
              <w:top w:val="single" w:color="auto" w:sz="6" w:space="0"/>
              <w:left w:val="single" w:color="auto" w:sz="6" w:space="0"/>
              <w:bottom w:val="single" w:color="auto" w:sz="6" w:space="0"/>
              <w:right w:val="single" w:color="auto" w:sz="12" w:space="0"/>
            </w:tcBorders>
            <w:vAlign w:val="center"/>
          </w:tcPr>
          <w:p w14:paraId="2784E217">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auto"/>
                <w:szCs w:val="21"/>
              </w:rPr>
            </w:pPr>
          </w:p>
        </w:tc>
        <w:tc>
          <w:tcPr>
            <w:tcW w:w="825" w:type="dxa"/>
            <w:tcBorders>
              <w:top w:val="single" w:color="auto" w:sz="6" w:space="0"/>
              <w:left w:val="single" w:color="auto" w:sz="6" w:space="0"/>
              <w:bottom w:val="single" w:color="auto" w:sz="6" w:space="0"/>
              <w:right w:val="single" w:color="auto" w:sz="12" w:space="0"/>
            </w:tcBorders>
            <w:vAlign w:val="center"/>
          </w:tcPr>
          <w:p w14:paraId="44393703">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auto"/>
                <w:szCs w:val="21"/>
              </w:rPr>
            </w:pPr>
          </w:p>
        </w:tc>
      </w:tr>
      <w:tr w14:paraId="56074A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0" w:hRule="atLeast"/>
          <w:jc w:val="center"/>
        </w:trPr>
        <w:tc>
          <w:tcPr>
            <w:tcW w:w="538" w:type="dxa"/>
            <w:tcBorders>
              <w:top w:val="single" w:color="auto" w:sz="6" w:space="0"/>
              <w:left w:val="single" w:color="auto" w:sz="12" w:space="0"/>
              <w:bottom w:val="single" w:color="auto" w:sz="6" w:space="0"/>
              <w:right w:val="single" w:color="auto" w:sz="6" w:space="0"/>
            </w:tcBorders>
            <w:vAlign w:val="center"/>
          </w:tcPr>
          <w:p w14:paraId="1B8E5CCE">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auto"/>
                <w:szCs w:val="21"/>
              </w:rPr>
            </w:pPr>
          </w:p>
        </w:tc>
        <w:tc>
          <w:tcPr>
            <w:tcW w:w="739" w:type="dxa"/>
            <w:tcBorders>
              <w:top w:val="single" w:color="auto" w:sz="6" w:space="0"/>
              <w:left w:val="single" w:color="auto" w:sz="6" w:space="0"/>
              <w:bottom w:val="single" w:color="auto" w:sz="6" w:space="0"/>
              <w:right w:val="single" w:color="auto" w:sz="6" w:space="0"/>
            </w:tcBorders>
            <w:vAlign w:val="center"/>
          </w:tcPr>
          <w:p w14:paraId="3F8B0342">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auto"/>
                <w:szCs w:val="21"/>
              </w:rPr>
            </w:pPr>
          </w:p>
        </w:tc>
        <w:tc>
          <w:tcPr>
            <w:tcW w:w="814" w:type="dxa"/>
            <w:tcBorders>
              <w:top w:val="single" w:color="auto" w:sz="6" w:space="0"/>
              <w:left w:val="single" w:color="auto" w:sz="6" w:space="0"/>
              <w:bottom w:val="single" w:color="auto" w:sz="6" w:space="0"/>
              <w:right w:val="single" w:color="auto" w:sz="6" w:space="0"/>
            </w:tcBorders>
            <w:vAlign w:val="center"/>
          </w:tcPr>
          <w:p w14:paraId="5308CC33">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auto"/>
                <w:szCs w:val="21"/>
              </w:rPr>
            </w:pPr>
          </w:p>
        </w:tc>
        <w:tc>
          <w:tcPr>
            <w:tcW w:w="966" w:type="dxa"/>
            <w:tcBorders>
              <w:top w:val="single" w:color="auto" w:sz="6" w:space="0"/>
              <w:left w:val="single" w:color="auto" w:sz="6" w:space="0"/>
              <w:bottom w:val="single" w:color="auto" w:sz="6" w:space="0"/>
              <w:right w:val="single" w:color="auto" w:sz="4" w:space="0"/>
            </w:tcBorders>
            <w:vAlign w:val="center"/>
          </w:tcPr>
          <w:p w14:paraId="138E9679">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auto"/>
                <w:szCs w:val="21"/>
              </w:rPr>
            </w:pPr>
          </w:p>
        </w:tc>
        <w:tc>
          <w:tcPr>
            <w:tcW w:w="868" w:type="dxa"/>
            <w:tcBorders>
              <w:top w:val="single" w:color="auto" w:sz="6" w:space="0"/>
              <w:left w:val="single" w:color="auto" w:sz="6" w:space="0"/>
              <w:bottom w:val="single" w:color="auto" w:sz="6" w:space="0"/>
              <w:right w:val="single" w:color="auto" w:sz="4" w:space="0"/>
            </w:tcBorders>
            <w:vAlign w:val="center"/>
          </w:tcPr>
          <w:p w14:paraId="4F6964E7">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auto"/>
                <w:szCs w:val="21"/>
              </w:rPr>
            </w:pPr>
          </w:p>
        </w:tc>
        <w:tc>
          <w:tcPr>
            <w:tcW w:w="851" w:type="dxa"/>
            <w:tcBorders>
              <w:top w:val="single" w:color="auto" w:sz="6" w:space="0"/>
              <w:left w:val="single" w:color="auto" w:sz="6" w:space="0"/>
              <w:bottom w:val="single" w:color="auto" w:sz="6" w:space="0"/>
              <w:right w:val="single" w:color="auto" w:sz="6" w:space="0"/>
            </w:tcBorders>
            <w:vAlign w:val="center"/>
          </w:tcPr>
          <w:p w14:paraId="602F608B">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auto"/>
                <w:szCs w:val="21"/>
              </w:rPr>
            </w:pPr>
          </w:p>
        </w:tc>
        <w:tc>
          <w:tcPr>
            <w:tcW w:w="842" w:type="dxa"/>
            <w:tcBorders>
              <w:top w:val="single" w:color="auto" w:sz="6" w:space="0"/>
              <w:left w:val="single" w:color="auto" w:sz="6" w:space="0"/>
              <w:bottom w:val="single" w:color="auto" w:sz="6" w:space="0"/>
              <w:right w:val="single" w:color="auto" w:sz="6" w:space="0"/>
            </w:tcBorders>
            <w:vAlign w:val="center"/>
          </w:tcPr>
          <w:p w14:paraId="56FEF3DB">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auto"/>
                <w:szCs w:val="21"/>
              </w:rPr>
            </w:pPr>
          </w:p>
        </w:tc>
        <w:tc>
          <w:tcPr>
            <w:tcW w:w="940" w:type="dxa"/>
            <w:tcBorders>
              <w:top w:val="single" w:color="auto" w:sz="6" w:space="0"/>
              <w:left w:val="single" w:color="auto" w:sz="6" w:space="0"/>
              <w:bottom w:val="single" w:color="auto" w:sz="6" w:space="0"/>
              <w:right w:val="single" w:color="auto" w:sz="6" w:space="0"/>
            </w:tcBorders>
            <w:vAlign w:val="center"/>
          </w:tcPr>
          <w:p w14:paraId="1497A45E">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auto"/>
                <w:szCs w:val="21"/>
              </w:rPr>
            </w:pPr>
          </w:p>
        </w:tc>
        <w:tc>
          <w:tcPr>
            <w:tcW w:w="929" w:type="dxa"/>
            <w:tcBorders>
              <w:top w:val="single" w:color="auto" w:sz="6" w:space="0"/>
              <w:left w:val="single" w:color="auto" w:sz="6" w:space="0"/>
              <w:bottom w:val="single" w:color="auto" w:sz="6" w:space="0"/>
              <w:right w:val="single" w:color="auto" w:sz="12" w:space="0"/>
            </w:tcBorders>
            <w:vAlign w:val="center"/>
          </w:tcPr>
          <w:p w14:paraId="188964E5">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auto"/>
                <w:szCs w:val="21"/>
              </w:rPr>
            </w:pPr>
          </w:p>
        </w:tc>
        <w:tc>
          <w:tcPr>
            <w:tcW w:w="831" w:type="dxa"/>
            <w:tcBorders>
              <w:top w:val="single" w:color="auto" w:sz="6" w:space="0"/>
              <w:left w:val="single" w:color="auto" w:sz="6" w:space="0"/>
              <w:bottom w:val="single" w:color="auto" w:sz="6" w:space="0"/>
              <w:right w:val="single" w:color="auto" w:sz="12" w:space="0"/>
            </w:tcBorders>
            <w:vAlign w:val="center"/>
          </w:tcPr>
          <w:p w14:paraId="69F06840">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auto"/>
                <w:szCs w:val="21"/>
              </w:rPr>
            </w:pPr>
          </w:p>
        </w:tc>
        <w:tc>
          <w:tcPr>
            <w:tcW w:w="829" w:type="dxa"/>
            <w:tcBorders>
              <w:top w:val="single" w:color="auto" w:sz="6" w:space="0"/>
              <w:left w:val="single" w:color="auto" w:sz="6" w:space="0"/>
              <w:bottom w:val="single" w:color="auto" w:sz="6" w:space="0"/>
              <w:right w:val="single" w:color="auto" w:sz="12" w:space="0"/>
            </w:tcBorders>
            <w:vAlign w:val="center"/>
          </w:tcPr>
          <w:p w14:paraId="46DC4EE5">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auto"/>
                <w:szCs w:val="21"/>
              </w:rPr>
            </w:pPr>
          </w:p>
        </w:tc>
        <w:tc>
          <w:tcPr>
            <w:tcW w:w="825" w:type="dxa"/>
            <w:tcBorders>
              <w:top w:val="single" w:color="auto" w:sz="6" w:space="0"/>
              <w:left w:val="single" w:color="auto" w:sz="6" w:space="0"/>
              <w:bottom w:val="single" w:color="auto" w:sz="6" w:space="0"/>
              <w:right w:val="single" w:color="auto" w:sz="12" w:space="0"/>
            </w:tcBorders>
            <w:vAlign w:val="center"/>
          </w:tcPr>
          <w:p w14:paraId="7412A84F">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auto"/>
                <w:szCs w:val="21"/>
              </w:rPr>
            </w:pPr>
          </w:p>
        </w:tc>
      </w:tr>
      <w:tr w14:paraId="4A379E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0" w:hRule="atLeast"/>
          <w:jc w:val="center"/>
        </w:trPr>
        <w:tc>
          <w:tcPr>
            <w:tcW w:w="538" w:type="dxa"/>
            <w:tcBorders>
              <w:top w:val="single" w:color="auto" w:sz="6" w:space="0"/>
              <w:left w:val="single" w:color="auto" w:sz="12" w:space="0"/>
              <w:bottom w:val="single" w:color="auto" w:sz="6" w:space="0"/>
              <w:right w:val="single" w:color="auto" w:sz="6" w:space="0"/>
            </w:tcBorders>
            <w:vAlign w:val="center"/>
          </w:tcPr>
          <w:p w14:paraId="7416B91D">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auto"/>
                <w:szCs w:val="21"/>
              </w:rPr>
            </w:pPr>
          </w:p>
        </w:tc>
        <w:tc>
          <w:tcPr>
            <w:tcW w:w="739" w:type="dxa"/>
            <w:tcBorders>
              <w:top w:val="single" w:color="auto" w:sz="6" w:space="0"/>
              <w:left w:val="single" w:color="auto" w:sz="6" w:space="0"/>
              <w:bottom w:val="single" w:color="auto" w:sz="6" w:space="0"/>
              <w:right w:val="single" w:color="auto" w:sz="6" w:space="0"/>
            </w:tcBorders>
            <w:vAlign w:val="center"/>
          </w:tcPr>
          <w:p w14:paraId="26C87C0E">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auto"/>
                <w:szCs w:val="21"/>
              </w:rPr>
            </w:pPr>
          </w:p>
        </w:tc>
        <w:tc>
          <w:tcPr>
            <w:tcW w:w="814" w:type="dxa"/>
            <w:tcBorders>
              <w:top w:val="single" w:color="auto" w:sz="6" w:space="0"/>
              <w:left w:val="single" w:color="auto" w:sz="6" w:space="0"/>
              <w:bottom w:val="single" w:color="auto" w:sz="6" w:space="0"/>
              <w:right w:val="single" w:color="auto" w:sz="6" w:space="0"/>
            </w:tcBorders>
            <w:vAlign w:val="center"/>
          </w:tcPr>
          <w:p w14:paraId="744BFBED">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auto"/>
                <w:szCs w:val="21"/>
              </w:rPr>
            </w:pPr>
          </w:p>
        </w:tc>
        <w:tc>
          <w:tcPr>
            <w:tcW w:w="966" w:type="dxa"/>
            <w:tcBorders>
              <w:top w:val="single" w:color="auto" w:sz="6" w:space="0"/>
              <w:left w:val="single" w:color="auto" w:sz="6" w:space="0"/>
              <w:bottom w:val="single" w:color="auto" w:sz="6" w:space="0"/>
              <w:right w:val="single" w:color="auto" w:sz="4" w:space="0"/>
            </w:tcBorders>
            <w:vAlign w:val="center"/>
          </w:tcPr>
          <w:p w14:paraId="220CA0F2">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auto"/>
                <w:szCs w:val="21"/>
              </w:rPr>
            </w:pPr>
          </w:p>
        </w:tc>
        <w:tc>
          <w:tcPr>
            <w:tcW w:w="868" w:type="dxa"/>
            <w:tcBorders>
              <w:top w:val="single" w:color="auto" w:sz="6" w:space="0"/>
              <w:left w:val="single" w:color="auto" w:sz="6" w:space="0"/>
              <w:bottom w:val="single" w:color="auto" w:sz="6" w:space="0"/>
              <w:right w:val="single" w:color="auto" w:sz="4" w:space="0"/>
            </w:tcBorders>
            <w:vAlign w:val="center"/>
          </w:tcPr>
          <w:p w14:paraId="5F309814">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auto"/>
                <w:szCs w:val="21"/>
              </w:rPr>
            </w:pPr>
          </w:p>
        </w:tc>
        <w:tc>
          <w:tcPr>
            <w:tcW w:w="851" w:type="dxa"/>
            <w:tcBorders>
              <w:top w:val="single" w:color="auto" w:sz="6" w:space="0"/>
              <w:left w:val="single" w:color="auto" w:sz="6" w:space="0"/>
              <w:bottom w:val="single" w:color="auto" w:sz="6" w:space="0"/>
              <w:right w:val="single" w:color="auto" w:sz="6" w:space="0"/>
            </w:tcBorders>
            <w:vAlign w:val="center"/>
          </w:tcPr>
          <w:p w14:paraId="5987227A">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auto"/>
                <w:szCs w:val="21"/>
              </w:rPr>
            </w:pPr>
          </w:p>
        </w:tc>
        <w:tc>
          <w:tcPr>
            <w:tcW w:w="842" w:type="dxa"/>
            <w:tcBorders>
              <w:top w:val="single" w:color="auto" w:sz="6" w:space="0"/>
              <w:left w:val="single" w:color="auto" w:sz="6" w:space="0"/>
              <w:bottom w:val="single" w:color="auto" w:sz="6" w:space="0"/>
              <w:right w:val="single" w:color="auto" w:sz="6" w:space="0"/>
            </w:tcBorders>
            <w:vAlign w:val="center"/>
          </w:tcPr>
          <w:p w14:paraId="7E5AF171">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auto"/>
                <w:szCs w:val="21"/>
              </w:rPr>
            </w:pPr>
          </w:p>
        </w:tc>
        <w:tc>
          <w:tcPr>
            <w:tcW w:w="940" w:type="dxa"/>
            <w:tcBorders>
              <w:top w:val="single" w:color="auto" w:sz="6" w:space="0"/>
              <w:left w:val="single" w:color="auto" w:sz="6" w:space="0"/>
              <w:bottom w:val="single" w:color="auto" w:sz="6" w:space="0"/>
              <w:right w:val="single" w:color="auto" w:sz="6" w:space="0"/>
            </w:tcBorders>
            <w:vAlign w:val="center"/>
          </w:tcPr>
          <w:p w14:paraId="304295DC">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auto"/>
                <w:szCs w:val="21"/>
              </w:rPr>
            </w:pPr>
          </w:p>
        </w:tc>
        <w:tc>
          <w:tcPr>
            <w:tcW w:w="929" w:type="dxa"/>
            <w:tcBorders>
              <w:top w:val="single" w:color="auto" w:sz="6" w:space="0"/>
              <w:left w:val="single" w:color="auto" w:sz="6" w:space="0"/>
              <w:bottom w:val="single" w:color="auto" w:sz="6" w:space="0"/>
              <w:right w:val="single" w:color="auto" w:sz="12" w:space="0"/>
            </w:tcBorders>
            <w:vAlign w:val="center"/>
          </w:tcPr>
          <w:p w14:paraId="057BF636">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auto"/>
                <w:szCs w:val="21"/>
              </w:rPr>
            </w:pPr>
          </w:p>
        </w:tc>
        <w:tc>
          <w:tcPr>
            <w:tcW w:w="831" w:type="dxa"/>
            <w:tcBorders>
              <w:top w:val="single" w:color="auto" w:sz="6" w:space="0"/>
              <w:left w:val="single" w:color="auto" w:sz="6" w:space="0"/>
              <w:bottom w:val="single" w:color="auto" w:sz="6" w:space="0"/>
              <w:right w:val="single" w:color="auto" w:sz="12" w:space="0"/>
            </w:tcBorders>
            <w:vAlign w:val="center"/>
          </w:tcPr>
          <w:p w14:paraId="7FA12E8F">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auto"/>
                <w:szCs w:val="21"/>
              </w:rPr>
            </w:pPr>
          </w:p>
        </w:tc>
        <w:tc>
          <w:tcPr>
            <w:tcW w:w="829" w:type="dxa"/>
            <w:tcBorders>
              <w:top w:val="single" w:color="auto" w:sz="6" w:space="0"/>
              <w:left w:val="single" w:color="auto" w:sz="6" w:space="0"/>
              <w:bottom w:val="single" w:color="auto" w:sz="6" w:space="0"/>
              <w:right w:val="single" w:color="auto" w:sz="12" w:space="0"/>
            </w:tcBorders>
            <w:vAlign w:val="center"/>
          </w:tcPr>
          <w:p w14:paraId="658425F3">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auto"/>
                <w:szCs w:val="21"/>
              </w:rPr>
            </w:pPr>
          </w:p>
        </w:tc>
        <w:tc>
          <w:tcPr>
            <w:tcW w:w="825" w:type="dxa"/>
            <w:tcBorders>
              <w:top w:val="single" w:color="auto" w:sz="6" w:space="0"/>
              <w:left w:val="single" w:color="auto" w:sz="6" w:space="0"/>
              <w:bottom w:val="single" w:color="auto" w:sz="6" w:space="0"/>
              <w:right w:val="single" w:color="auto" w:sz="12" w:space="0"/>
            </w:tcBorders>
            <w:vAlign w:val="center"/>
          </w:tcPr>
          <w:p w14:paraId="794080D8">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auto"/>
                <w:szCs w:val="21"/>
              </w:rPr>
            </w:pPr>
          </w:p>
        </w:tc>
      </w:tr>
      <w:tr w14:paraId="0BC31D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0" w:hRule="atLeast"/>
          <w:jc w:val="center"/>
        </w:trPr>
        <w:tc>
          <w:tcPr>
            <w:tcW w:w="6558" w:type="dxa"/>
            <w:gridSpan w:val="8"/>
            <w:tcBorders>
              <w:top w:val="single" w:color="auto" w:sz="6" w:space="0"/>
              <w:left w:val="single" w:color="auto" w:sz="12" w:space="0"/>
              <w:bottom w:val="single" w:color="auto" w:sz="6" w:space="0"/>
              <w:right w:val="single" w:color="auto" w:sz="6" w:space="0"/>
            </w:tcBorders>
            <w:vAlign w:val="center"/>
          </w:tcPr>
          <w:p w14:paraId="4BFC23EA">
            <w:pPr>
              <w:pBdr>
                <w:top w:val="none" w:color="auto" w:sz="0" w:space="0"/>
                <w:left w:val="none" w:color="auto" w:sz="0" w:space="0"/>
                <w:bottom w:val="none" w:color="auto" w:sz="0" w:space="0"/>
                <w:right w:val="none" w:color="auto" w:sz="0" w:space="0"/>
                <w:between w:val="none" w:color="auto" w:sz="0" w:space="0"/>
              </w:pBdr>
              <w:tabs>
                <w:tab w:val="left" w:pos="4704"/>
              </w:tabs>
              <w:spacing w:line="500" w:lineRule="exact"/>
              <w:jc w:val="left"/>
              <w:rPr>
                <w:rFonts w:hint="default" w:asciiTheme="minorEastAsia" w:hAnsiTheme="minorEastAsia" w:eastAsiaTheme="minorEastAsia" w:cstheme="minorEastAsia"/>
                <w:color w:val="auto"/>
                <w:szCs w:val="21"/>
                <w:lang w:val="en-US" w:eastAsia="zh-CN"/>
              </w:rPr>
            </w:pPr>
            <w:r>
              <w:rPr>
                <w:rFonts w:hint="eastAsia" w:asciiTheme="minorEastAsia" w:hAnsiTheme="minorEastAsia" w:eastAsiaTheme="minorEastAsia" w:cstheme="minorEastAsia"/>
                <w:color w:val="auto"/>
                <w:szCs w:val="21"/>
                <w:lang w:eastAsia="zh-CN"/>
              </w:rPr>
              <w:tab/>
            </w:r>
            <w:r>
              <w:rPr>
                <w:rFonts w:hint="eastAsia" w:asciiTheme="minorEastAsia" w:hAnsiTheme="minorEastAsia" w:eastAsiaTheme="minorEastAsia" w:cstheme="minorEastAsia"/>
                <w:color w:val="auto"/>
                <w:szCs w:val="21"/>
                <w:lang w:val="en-US" w:eastAsia="zh-CN"/>
              </w:rPr>
              <w:t>合计</w:t>
            </w:r>
          </w:p>
        </w:tc>
        <w:tc>
          <w:tcPr>
            <w:tcW w:w="929" w:type="dxa"/>
            <w:tcBorders>
              <w:top w:val="single" w:color="auto" w:sz="6" w:space="0"/>
              <w:left w:val="single" w:color="auto" w:sz="6" w:space="0"/>
              <w:bottom w:val="single" w:color="auto" w:sz="6" w:space="0"/>
              <w:right w:val="single" w:color="auto" w:sz="12" w:space="0"/>
            </w:tcBorders>
            <w:vAlign w:val="center"/>
          </w:tcPr>
          <w:p w14:paraId="22FAA106">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auto"/>
                <w:szCs w:val="21"/>
              </w:rPr>
            </w:pPr>
          </w:p>
        </w:tc>
        <w:tc>
          <w:tcPr>
            <w:tcW w:w="831" w:type="dxa"/>
            <w:tcBorders>
              <w:top w:val="single" w:color="auto" w:sz="6" w:space="0"/>
              <w:left w:val="single" w:color="auto" w:sz="6" w:space="0"/>
              <w:bottom w:val="single" w:color="auto" w:sz="6" w:space="0"/>
              <w:right w:val="single" w:color="auto" w:sz="12" w:space="0"/>
            </w:tcBorders>
            <w:vAlign w:val="center"/>
          </w:tcPr>
          <w:p w14:paraId="040034EE">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auto"/>
                <w:szCs w:val="21"/>
              </w:rPr>
            </w:pPr>
          </w:p>
        </w:tc>
        <w:tc>
          <w:tcPr>
            <w:tcW w:w="829" w:type="dxa"/>
            <w:tcBorders>
              <w:top w:val="single" w:color="auto" w:sz="6" w:space="0"/>
              <w:left w:val="single" w:color="auto" w:sz="6" w:space="0"/>
              <w:bottom w:val="single" w:color="auto" w:sz="6" w:space="0"/>
              <w:right w:val="single" w:color="auto" w:sz="12" w:space="0"/>
            </w:tcBorders>
            <w:vAlign w:val="center"/>
          </w:tcPr>
          <w:p w14:paraId="16FB4875">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auto"/>
                <w:szCs w:val="21"/>
              </w:rPr>
            </w:pPr>
          </w:p>
        </w:tc>
        <w:tc>
          <w:tcPr>
            <w:tcW w:w="825" w:type="dxa"/>
            <w:tcBorders>
              <w:top w:val="single" w:color="auto" w:sz="6" w:space="0"/>
              <w:left w:val="single" w:color="auto" w:sz="6" w:space="0"/>
              <w:bottom w:val="single" w:color="auto" w:sz="6" w:space="0"/>
              <w:right w:val="single" w:color="auto" w:sz="12" w:space="0"/>
            </w:tcBorders>
            <w:vAlign w:val="center"/>
          </w:tcPr>
          <w:p w14:paraId="35F17308">
            <w:pPr>
              <w:pBdr>
                <w:top w:val="none" w:color="auto" w:sz="0" w:space="0"/>
                <w:left w:val="none" w:color="auto" w:sz="0" w:space="0"/>
                <w:bottom w:val="none" w:color="auto" w:sz="0" w:space="0"/>
                <w:right w:val="none" w:color="auto" w:sz="0" w:space="0"/>
                <w:between w:val="none" w:color="auto" w:sz="0" w:space="0"/>
              </w:pBdr>
              <w:spacing w:line="500" w:lineRule="exact"/>
              <w:jc w:val="center"/>
              <w:rPr>
                <w:rFonts w:hint="eastAsia" w:asciiTheme="minorEastAsia" w:hAnsiTheme="minorEastAsia" w:eastAsiaTheme="minorEastAsia" w:cstheme="minorEastAsia"/>
                <w:color w:val="auto"/>
                <w:szCs w:val="21"/>
              </w:rPr>
            </w:pPr>
          </w:p>
        </w:tc>
      </w:tr>
    </w:tbl>
    <w:p w14:paraId="4C5846EE">
      <w:pPr>
        <w:pStyle w:val="41"/>
        <w:pBdr>
          <w:top w:val="none" w:color="auto" w:sz="0" w:space="0"/>
          <w:left w:val="none" w:color="auto" w:sz="0" w:space="0"/>
          <w:bottom w:val="none" w:color="auto" w:sz="0" w:space="0"/>
          <w:right w:val="none" w:color="auto" w:sz="0" w:space="0"/>
          <w:between w:val="none" w:color="auto" w:sz="0" w:space="0"/>
        </w:pBdr>
        <w:spacing w:line="240" w:lineRule="auto"/>
        <w:ind w:left="-480" w:leftChars="-200" w:firstLine="0" w:firstLineChars="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说明：</w:t>
      </w:r>
      <w:r>
        <w:rPr>
          <w:rFonts w:hint="eastAsia" w:asciiTheme="minorEastAsia" w:hAnsiTheme="minorEastAsia" w:eastAsiaTheme="minorEastAsia" w:cstheme="minorEastAsia"/>
          <w:color w:val="auto"/>
          <w:sz w:val="24"/>
          <w:szCs w:val="24"/>
          <w:lang w:val="en-US" w:eastAsia="zh-CN" w:bidi="en-US"/>
        </w:rPr>
        <w:t>1.</w:t>
      </w:r>
      <w:r>
        <w:rPr>
          <w:rFonts w:hint="eastAsia" w:asciiTheme="minorEastAsia" w:hAnsiTheme="minorEastAsia" w:eastAsiaTheme="minorEastAsia" w:cstheme="minorEastAsia"/>
          <w:color w:val="auto"/>
          <w:sz w:val="24"/>
          <w:szCs w:val="24"/>
        </w:rPr>
        <w:t>所有价格均用人民币表示，单位为元。</w:t>
      </w:r>
    </w:p>
    <w:p w14:paraId="57FDD8B3">
      <w:pPr>
        <w:pStyle w:val="41"/>
        <w:numPr>
          <w:ilvl w:val="0"/>
          <w:numId w:val="0"/>
        </w:numPr>
        <w:pBdr>
          <w:top w:val="none" w:color="auto" w:sz="0" w:space="0"/>
          <w:left w:val="none" w:color="auto" w:sz="0" w:space="0"/>
          <w:bottom w:val="none" w:color="auto" w:sz="0" w:space="0"/>
          <w:right w:val="none" w:color="auto" w:sz="0" w:space="0"/>
          <w:between w:val="none" w:color="auto" w:sz="0" w:space="0"/>
        </w:pBdr>
        <w:tabs>
          <w:tab w:val="left" w:pos="378"/>
        </w:tabs>
        <w:spacing w:line="317" w:lineRule="exact"/>
        <w:ind w:firstLine="240" w:firstLineChars="1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zh-TW" w:eastAsia="zh-TW" w:bidi="zh-TW"/>
        </w:rPr>
        <w:t>2.</w:t>
      </w:r>
      <w:r>
        <w:rPr>
          <w:rFonts w:hint="eastAsia" w:asciiTheme="minorEastAsia" w:hAnsiTheme="minorEastAsia" w:eastAsiaTheme="minorEastAsia" w:cstheme="minorEastAsia"/>
          <w:color w:val="auto"/>
          <w:sz w:val="24"/>
          <w:szCs w:val="24"/>
        </w:rPr>
        <w:t>报价总计价格必须与《开标一览表》报价一致。</w:t>
      </w:r>
    </w:p>
    <w:p w14:paraId="1F85B786">
      <w:pPr>
        <w:pStyle w:val="41"/>
        <w:numPr>
          <w:ilvl w:val="0"/>
          <w:numId w:val="0"/>
        </w:numPr>
        <w:pBdr>
          <w:top w:val="none" w:color="auto" w:sz="0" w:space="0"/>
          <w:left w:val="none" w:color="auto" w:sz="0" w:space="0"/>
          <w:bottom w:val="none" w:color="auto" w:sz="0" w:space="0"/>
          <w:right w:val="none" w:color="auto" w:sz="0" w:space="0"/>
          <w:between w:val="none" w:color="auto" w:sz="0" w:space="0"/>
        </w:pBdr>
        <w:tabs>
          <w:tab w:val="left" w:pos="378"/>
        </w:tabs>
        <w:spacing w:line="317" w:lineRule="exact"/>
        <w:ind w:firstLine="240" w:firstLineChars="1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zh-TW" w:eastAsia="zh-TW" w:bidi="zh-TW"/>
        </w:rPr>
        <w:t>3.</w:t>
      </w:r>
      <w:r>
        <w:rPr>
          <w:rFonts w:hint="eastAsia" w:asciiTheme="minorEastAsia" w:hAnsiTheme="minorEastAsia" w:eastAsiaTheme="minorEastAsia" w:cstheme="minorEastAsia"/>
          <w:color w:val="auto"/>
          <w:sz w:val="24"/>
          <w:szCs w:val="24"/>
        </w:rPr>
        <w:t>如果不提供详细的报价</w:t>
      </w:r>
      <w:r>
        <w:rPr>
          <w:rFonts w:hint="eastAsia" w:asciiTheme="minorEastAsia" w:hAnsiTheme="minorEastAsia" w:eastAsiaTheme="minorEastAsia" w:cstheme="minorEastAsia"/>
          <w:color w:val="auto"/>
          <w:sz w:val="24"/>
          <w:szCs w:val="24"/>
          <w:lang w:eastAsia="zh-CN"/>
        </w:rPr>
        <w:t>明细</w:t>
      </w:r>
      <w:r>
        <w:rPr>
          <w:rFonts w:hint="eastAsia" w:asciiTheme="minorEastAsia" w:hAnsiTheme="minorEastAsia" w:eastAsiaTheme="minorEastAsia" w:cstheme="minorEastAsia"/>
          <w:color w:val="auto"/>
          <w:sz w:val="24"/>
          <w:szCs w:val="24"/>
        </w:rPr>
        <w:t>表将被视为没有实质性</w:t>
      </w:r>
      <w:r>
        <w:rPr>
          <w:rFonts w:hint="eastAsia" w:asciiTheme="minorEastAsia" w:hAnsiTheme="minorEastAsia" w:eastAsiaTheme="minorEastAsia" w:cstheme="minorEastAsia"/>
          <w:color w:val="auto"/>
          <w:sz w:val="24"/>
          <w:szCs w:val="24"/>
          <w:lang w:eastAsia="zh-CN"/>
        </w:rPr>
        <w:t>投标文件</w:t>
      </w:r>
      <w:r>
        <w:rPr>
          <w:rFonts w:hint="eastAsia" w:asciiTheme="minorEastAsia" w:hAnsiTheme="minorEastAsia" w:eastAsiaTheme="minorEastAsia" w:cstheme="minorEastAsia"/>
          <w:color w:val="auto"/>
          <w:sz w:val="24"/>
          <w:szCs w:val="24"/>
        </w:rPr>
        <w:t>。</w:t>
      </w:r>
    </w:p>
    <w:p w14:paraId="65ACC632">
      <w:pPr>
        <w:pStyle w:val="41"/>
        <w:numPr>
          <w:ilvl w:val="0"/>
          <w:numId w:val="0"/>
        </w:numPr>
        <w:pBdr>
          <w:top w:val="none" w:color="auto" w:sz="0" w:space="0"/>
          <w:left w:val="none" w:color="auto" w:sz="0" w:space="0"/>
          <w:bottom w:val="none" w:color="auto" w:sz="0" w:space="0"/>
          <w:right w:val="none" w:color="auto" w:sz="0" w:space="0"/>
          <w:between w:val="none" w:color="auto" w:sz="0" w:space="0"/>
        </w:pBdr>
        <w:tabs>
          <w:tab w:val="left" w:pos="378"/>
        </w:tabs>
        <w:spacing w:line="317" w:lineRule="exact"/>
        <w:ind w:left="480" w:leftChars="100" w:hanging="240" w:hangingChars="1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zh-TW" w:eastAsia="zh-TW" w:bidi="zh-TW"/>
        </w:rPr>
        <w:t>4.</w:t>
      </w:r>
      <w:r>
        <w:rPr>
          <w:rFonts w:hint="eastAsia" w:asciiTheme="minorEastAsia" w:hAnsiTheme="minorEastAsia" w:eastAsiaTheme="minorEastAsia" w:cstheme="minorEastAsia"/>
          <w:color w:val="auto"/>
          <w:sz w:val="24"/>
          <w:szCs w:val="24"/>
        </w:rPr>
        <w:t>投标人必须按此表格式中的对应栏目内容填写，若需增加栏目，请在栏目</w:t>
      </w:r>
      <w:r>
        <w:rPr>
          <w:rFonts w:hint="eastAsia" w:asciiTheme="minorEastAsia" w:hAnsiTheme="minorEastAsia" w:eastAsiaTheme="minorEastAsia" w:cstheme="minorEastAsia"/>
          <w:color w:val="auto"/>
          <w:sz w:val="24"/>
          <w:szCs w:val="24"/>
          <w:lang w:val="zh-CN" w:eastAsia="zh-CN" w:bidi="zh-CN"/>
        </w:rPr>
        <w:t>“其</w:t>
      </w:r>
      <w:r>
        <w:rPr>
          <w:rFonts w:hint="eastAsia" w:asciiTheme="minorEastAsia" w:hAnsiTheme="minorEastAsia" w:eastAsiaTheme="minorEastAsia" w:cstheme="minorEastAsia"/>
          <w:color w:val="auto"/>
          <w:sz w:val="24"/>
          <w:szCs w:val="24"/>
        </w:rPr>
        <w:t>它”中填写，并作详细说明。</w:t>
      </w:r>
    </w:p>
    <w:p w14:paraId="303C4A46">
      <w:pPr>
        <w:pStyle w:val="41"/>
        <w:pBdr>
          <w:top w:val="none" w:color="auto" w:sz="0" w:space="0"/>
          <w:left w:val="none" w:color="auto" w:sz="0" w:space="0"/>
          <w:bottom w:val="none" w:color="auto" w:sz="0" w:space="0"/>
          <w:right w:val="none" w:color="auto" w:sz="0" w:space="0"/>
          <w:between w:val="none" w:color="auto" w:sz="0" w:space="0"/>
        </w:pBdr>
        <w:tabs>
          <w:tab w:val="left" w:pos="493"/>
        </w:tabs>
        <w:spacing w:line="317" w:lineRule="exact"/>
        <w:ind w:left="176"/>
        <w:rPr>
          <w:rFonts w:hint="eastAsia" w:asciiTheme="minorEastAsia" w:hAnsiTheme="minorEastAsia" w:eastAsiaTheme="minorEastAsia" w:cstheme="minorEastAsia"/>
          <w:color w:val="auto"/>
          <w:sz w:val="20"/>
          <w:szCs w:val="20"/>
        </w:rPr>
      </w:pPr>
    </w:p>
    <w:p w14:paraId="2669EE58">
      <w:pPr>
        <w:pStyle w:val="41"/>
        <w:pBdr>
          <w:top w:val="none" w:color="auto" w:sz="0" w:space="0"/>
          <w:left w:val="none" w:color="auto" w:sz="0" w:space="0"/>
          <w:bottom w:val="none" w:color="auto" w:sz="0" w:space="0"/>
          <w:right w:val="none" w:color="auto" w:sz="0" w:space="0"/>
          <w:between w:val="none" w:color="auto" w:sz="0" w:space="0"/>
        </w:pBdr>
        <w:tabs>
          <w:tab w:val="left" w:pos="493"/>
        </w:tabs>
        <w:spacing w:line="317" w:lineRule="exact"/>
        <w:ind w:left="176"/>
        <w:rPr>
          <w:rFonts w:hint="eastAsia" w:asciiTheme="minorEastAsia" w:hAnsiTheme="minorEastAsia" w:eastAsiaTheme="minorEastAsia" w:cstheme="minorEastAsia"/>
          <w:color w:val="auto"/>
          <w:sz w:val="20"/>
          <w:szCs w:val="20"/>
        </w:rPr>
      </w:pPr>
    </w:p>
    <w:p w14:paraId="128C5DC2">
      <w:pPr>
        <w:pStyle w:val="41"/>
        <w:pBdr>
          <w:top w:val="none" w:color="auto" w:sz="0" w:space="0"/>
          <w:left w:val="none" w:color="auto" w:sz="0" w:space="0"/>
          <w:bottom w:val="none" w:color="auto" w:sz="0" w:space="0"/>
          <w:right w:val="none" w:color="auto" w:sz="0" w:space="0"/>
          <w:between w:val="none" w:color="auto" w:sz="0" w:space="0"/>
        </w:pBdr>
        <w:tabs>
          <w:tab w:val="left" w:pos="493"/>
        </w:tabs>
        <w:spacing w:line="317" w:lineRule="exact"/>
        <w:ind w:left="176"/>
        <w:rPr>
          <w:rFonts w:hint="eastAsia" w:asciiTheme="minorEastAsia" w:hAnsiTheme="minorEastAsia" w:eastAsiaTheme="minorEastAsia" w:cstheme="minorEastAsia"/>
          <w:color w:val="auto"/>
          <w:sz w:val="20"/>
          <w:szCs w:val="20"/>
        </w:rPr>
      </w:pPr>
    </w:p>
    <w:p w14:paraId="177668ED">
      <w:pPr>
        <w:pStyle w:val="41"/>
        <w:pBdr>
          <w:top w:val="none" w:color="auto" w:sz="0" w:space="0"/>
          <w:left w:val="none" w:color="auto" w:sz="0" w:space="0"/>
          <w:bottom w:val="none" w:color="auto" w:sz="0" w:space="0"/>
          <w:right w:val="none" w:color="auto" w:sz="0" w:space="0"/>
          <w:between w:val="none" w:color="auto" w:sz="0" w:space="0"/>
        </w:pBdr>
        <w:tabs>
          <w:tab w:val="left" w:pos="493"/>
        </w:tabs>
        <w:spacing w:line="317" w:lineRule="exact"/>
        <w:ind w:left="176"/>
        <w:rPr>
          <w:rFonts w:hint="eastAsia" w:asciiTheme="minorEastAsia" w:hAnsiTheme="minorEastAsia" w:eastAsiaTheme="minorEastAsia" w:cstheme="minorEastAsia"/>
          <w:color w:val="auto"/>
          <w:sz w:val="20"/>
          <w:szCs w:val="20"/>
        </w:rPr>
      </w:pPr>
    </w:p>
    <w:p w14:paraId="39B65C2F">
      <w:pPr>
        <w:pStyle w:val="41"/>
        <w:pBdr>
          <w:top w:val="none" w:color="auto" w:sz="0" w:space="0"/>
          <w:left w:val="none" w:color="auto" w:sz="0" w:space="0"/>
          <w:bottom w:val="none" w:color="auto" w:sz="0" w:space="0"/>
          <w:right w:val="none" w:color="auto" w:sz="0" w:space="0"/>
          <w:between w:val="none" w:color="auto" w:sz="0" w:space="0"/>
        </w:pBdr>
        <w:tabs>
          <w:tab w:val="left" w:pos="493"/>
        </w:tabs>
        <w:spacing w:line="317" w:lineRule="exact"/>
        <w:ind w:left="176"/>
        <w:rPr>
          <w:rFonts w:hint="eastAsia" w:asciiTheme="minorEastAsia" w:hAnsiTheme="minorEastAsia" w:eastAsiaTheme="minorEastAsia" w:cstheme="minorEastAsia"/>
          <w:color w:val="auto"/>
          <w:sz w:val="20"/>
          <w:szCs w:val="20"/>
        </w:rPr>
      </w:pPr>
    </w:p>
    <w:p w14:paraId="735A7CCB">
      <w:pPr>
        <w:pStyle w:val="41"/>
        <w:pBdr>
          <w:top w:val="none" w:color="auto" w:sz="0" w:space="0"/>
          <w:left w:val="none" w:color="auto" w:sz="0" w:space="0"/>
          <w:bottom w:val="none" w:color="auto" w:sz="0" w:space="0"/>
          <w:right w:val="none" w:color="auto" w:sz="0" w:space="0"/>
          <w:between w:val="none" w:color="auto" w:sz="0" w:space="0"/>
        </w:pBdr>
        <w:spacing w:line="360" w:lineRule="auto"/>
        <w:ind w:firstLine="3600" w:firstLineChars="1500"/>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lang w:eastAsia="zh-CN"/>
        </w:rPr>
        <w:t>供应商</w:t>
      </w:r>
      <w:r>
        <w:rPr>
          <w:rFonts w:hint="eastAsia" w:asciiTheme="minorEastAsia" w:hAnsiTheme="minorEastAsia" w:eastAsiaTheme="minorEastAsia" w:cstheme="minorEastAsia"/>
          <w:color w:val="auto"/>
          <w:sz w:val="24"/>
          <w:szCs w:val="24"/>
        </w:rPr>
        <w:t>（盖章）：</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u w:val="single"/>
        </w:rPr>
        <w:t xml:space="preserve">     </w:t>
      </w:r>
    </w:p>
    <w:p w14:paraId="40135BD8">
      <w:pPr>
        <w:pStyle w:val="41"/>
        <w:pBdr>
          <w:top w:val="none" w:color="auto" w:sz="0" w:space="0"/>
          <w:left w:val="none" w:color="auto" w:sz="0" w:space="0"/>
          <w:bottom w:val="none" w:color="auto" w:sz="0" w:space="0"/>
          <w:right w:val="none" w:color="auto" w:sz="0" w:space="0"/>
          <w:between w:val="none" w:color="auto" w:sz="0" w:space="0"/>
        </w:pBdr>
        <w:spacing w:line="360" w:lineRule="auto"/>
        <w:ind w:left="176"/>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 xml:space="preserve">               </w:t>
      </w:r>
      <w:r>
        <w:rPr>
          <w:rFonts w:hint="eastAsia" w:asciiTheme="minorEastAsia" w:hAnsiTheme="minorEastAsia" w:eastAsiaTheme="minorEastAsia" w:cstheme="minorEastAsia"/>
          <w:color w:val="auto"/>
          <w:sz w:val="24"/>
          <w:szCs w:val="24"/>
        </w:rPr>
        <w:t>法定代表人或其委托代理人</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签字或盖章）：</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 xml:space="preserve">    </w:t>
      </w:r>
    </w:p>
    <w:p w14:paraId="33DF08FD">
      <w:pPr>
        <w:pStyle w:val="12"/>
        <w:numPr>
          <w:ilvl w:val="0"/>
          <w:numId w:val="0"/>
        </w:numPr>
        <w:pBdr>
          <w:top w:val="none" w:color="auto" w:sz="0" w:space="0"/>
          <w:left w:val="none" w:color="auto" w:sz="0" w:space="0"/>
          <w:bottom w:val="none" w:color="auto" w:sz="0" w:space="0"/>
          <w:right w:val="none" w:color="auto" w:sz="0" w:space="0"/>
          <w:between w:val="none" w:color="auto" w:sz="0" w:space="0"/>
        </w:pBdr>
        <w:kinsoku w:val="0"/>
        <w:overflowPunct w:val="0"/>
        <w:spacing w:before="34" w:line="357" w:lineRule="auto"/>
        <w:ind w:left="480" w:right="126"/>
        <w:jc w:val="center"/>
        <w:rPr>
          <w:rFonts w:hint="eastAsia" w:asciiTheme="minorEastAsia" w:hAnsiTheme="minorEastAsia" w:eastAsiaTheme="minorEastAsia" w:cstheme="minorEastAsia"/>
          <w:b/>
          <w:bCs/>
          <w:color w:val="auto"/>
          <w:sz w:val="36"/>
          <w:szCs w:val="36"/>
          <w:lang w:eastAsia="zh-CN"/>
        </w:rPr>
      </w:pPr>
      <w:r>
        <w:rPr>
          <w:rFonts w:hint="eastAsia" w:asciiTheme="minorEastAsia" w:hAnsiTheme="minorEastAsia" w:eastAsiaTheme="minorEastAsia" w:cstheme="minorEastAsia"/>
          <w:color w:val="auto"/>
          <w:sz w:val="24"/>
          <w:szCs w:val="24"/>
          <w:lang w:val="en-US" w:eastAsia="zh-CN"/>
        </w:rPr>
        <w:t xml:space="preserve">                                  </w:t>
      </w:r>
      <w:r>
        <w:rPr>
          <w:rFonts w:hint="eastAsia" w:asciiTheme="minorEastAsia" w:hAnsiTheme="minorEastAsia" w:eastAsiaTheme="minorEastAsia" w:cstheme="minorEastAsia"/>
          <w:color w:val="auto"/>
          <w:sz w:val="24"/>
          <w:szCs w:val="24"/>
        </w:rPr>
        <w:t>日期：</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年</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月</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日</w:t>
      </w:r>
    </w:p>
    <w:p w14:paraId="305A4718">
      <w:pPr>
        <w:rPr>
          <w:rFonts w:hint="eastAsia"/>
          <w:lang w:eastAsia="zh-CN"/>
        </w:rPr>
      </w:pPr>
    </w:p>
    <w:p w14:paraId="400FCC75">
      <w:pPr>
        <w:rPr>
          <w:rFonts w:hint="eastAsia"/>
          <w:lang w:eastAsia="zh-CN"/>
        </w:rPr>
      </w:pPr>
    </w:p>
    <w:p w14:paraId="3AF173DD">
      <w:pPr>
        <w:rPr>
          <w:rFonts w:hint="eastAsia"/>
          <w:lang w:eastAsia="zh-CN"/>
        </w:rPr>
      </w:pPr>
    </w:p>
    <w:p w14:paraId="758FFBC7">
      <w:pPr>
        <w:pStyle w:val="12"/>
        <w:numPr>
          <w:ilvl w:val="0"/>
          <w:numId w:val="0"/>
        </w:numPr>
        <w:pBdr>
          <w:top w:val="none" w:color="auto" w:sz="0" w:space="0"/>
          <w:left w:val="none" w:color="auto" w:sz="0" w:space="0"/>
          <w:bottom w:val="none" w:color="auto" w:sz="0" w:space="0"/>
          <w:right w:val="none" w:color="auto" w:sz="0" w:space="0"/>
          <w:between w:val="none" w:color="auto" w:sz="0" w:space="0"/>
        </w:pBdr>
        <w:jc w:val="center"/>
        <w:outlineLvl w:val="1"/>
        <w:rPr>
          <w:rFonts w:hint="eastAsia" w:asciiTheme="minorEastAsia" w:hAnsiTheme="minorEastAsia" w:eastAsiaTheme="minorEastAsia" w:cstheme="minorEastAsia"/>
          <w:b/>
          <w:color w:val="auto"/>
          <w:sz w:val="36"/>
          <w:szCs w:val="36"/>
          <w:lang w:eastAsia="zh-CN"/>
        </w:rPr>
      </w:pPr>
      <w:r>
        <w:rPr>
          <w:rFonts w:hint="eastAsia" w:asciiTheme="minorEastAsia" w:hAnsiTheme="minorEastAsia" w:eastAsiaTheme="minorEastAsia" w:cstheme="minorEastAsia"/>
          <w:b/>
          <w:color w:val="auto"/>
          <w:sz w:val="36"/>
          <w:szCs w:val="36"/>
          <w:lang w:eastAsia="zh-CN"/>
        </w:rPr>
        <w:t>4、商务条款偏离表</w:t>
      </w:r>
    </w:p>
    <w:p w14:paraId="2FBAE88C">
      <w:pPr>
        <w:pStyle w:val="12"/>
        <w:numPr>
          <w:ilvl w:val="0"/>
          <w:numId w:val="0"/>
        </w:num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szCs w:val="21"/>
          <w:lang w:eastAsia="zh-CN"/>
        </w:rPr>
        <w:t xml:space="preserve">供应商名称：                                         项目编号：           </w:t>
      </w:r>
    </w:p>
    <w:tbl>
      <w:tblPr>
        <w:tblStyle w:val="25"/>
        <w:tblW w:w="917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1006"/>
        <w:gridCol w:w="3211"/>
        <w:gridCol w:w="2155"/>
        <w:gridCol w:w="1098"/>
        <w:gridCol w:w="1709"/>
      </w:tblGrid>
      <w:tr w14:paraId="3816F0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20" w:hRule="atLeast"/>
          <w:jc w:val="center"/>
        </w:trPr>
        <w:tc>
          <w:tcPr>
            <w:tcW w:w="1006" w:type="dxa"/>
            <w:vAlign w:val="center"/>
          </w:tcPr>
          <w:p w14:paraId="30780206">
            <w:pPr>
              <w:pBdr>
                <w:top w:val="none" w:color="auto" w:sz="0" w:space="0"/>
                <w:left w:val="none" w:color="auto" w:sz="0" w:space="0"/>
                <w:bottom w:val="none" w:color="auto" w:sz="0" w:space="0"/>
                <w:right w:val="none" w:color="auto" w:sz="0" w:space="0"/>
                <w:between w:val="none" w:color="auto" w:sz="0" w:space="0"/>
              </w:pBdr>
              <w:adjustRightInd w:val="0"/>
              <w:snapToGrid w:val="0"/>
              <w:spacing w:line="360" w:lineRule="auto"/>
              <w:ind w:left="-101" w:leftChars="-42" w:firstLine="240" w:firstLineChars="100"/>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序号</w:t>
            </w:r>
          </w:p>
        </w:tc>
        <w:tc>
          <w:tcPr>
            <w:tcW w:w="3211" w:type="dxa"/>
            <w:vAlign w:val="center"/>
          </w:tcPr>
          <w:p w14:paraId="06F27EBE">
            <w:pPr>
              <w:pBdr>
                <w:top w:val="none" w:color="auto" w:sz="0" w:space="0"/>
                <w:left w:val="none" w:color="auto" w:sz="0" w:space="0"/>
                <w:bottom w:val="none" w:color="auto" w:sz="0" w:space="0"/>
                <w:right w:val="none" w:color="auto" w:sz="0" w:space="0"/>
                <w:between w:val="none" w:color="auto" w:sz="0" w:space="0"/>
              </w:pBdr>
              <w:adjustRightInd w:val="0"/>
              <w:snapToGrid w:val="0"/>
              <w:spacing w:line="360" w:lineRule="auto"/>
              <w:ind w:left="-101" w:leftChars="-42" w:firstLine="240" w:firstLineChars="100"/>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文件商务要求</w:t>
            </w:r>
          </w:p>
        </w:tc>
        <w:tc>
          <w:tcPr>
            <w:tcW w:w="2155" w:type="dxa"/>
            <w:vAlign w:val="center"/>
          </w:tcPr>
          <w:p w14:paraId="1FF4FB58">
            <w:pPr>
              <w:pBdr>
                <w:top w:val="none" w:color="auto" w:sz="0" w:space="0"/>
                <w:left w:val="none" w:color="auto" w:sz="0" w:space="0"/>
                <w:bottom w:val="none" w:color="auto" w:sz="0" w:space="0"/>
                <w:right w:val="none" w:color="auto" w:sz="0" w:space="0"/>
                <w:between w:val="none" w:color="auto" w:sz="0" w:space="0"/>
              </w:pBdr>
              <w:adjustRightInd w:val="0"/>
              <w:snapToGrid w:val="0"/>
              <w:spacing w:line="360" w:lineRule="auto"/>
              <w:ind w:left="-101" w:leftChars="-42" w:firstLine="240" w:firstLineChars="100"/>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响应文件商务响应</w:t>
            </w:r>
          </w:p>
        </w:tc>
        <w:tc>
          <w:tcPr>
            <w:tcW w:w="1098" w:type="dxa"/>
            <w:vAlign w:val="center"/>
          </w:tcPr>
          <w:p w14:paraId="145B1AEA">
            <w:pPr>
              <w:pBdr>
                <w:top w:val="none" w:color="auto" w:sz="0" w:space="0"/>
                <w:left w:val="none" w:color="auto" w:sz="0" w:space="0"/>
                <w:bottom w:val="none" w:color="auto" w:sz="0" w:space="0"/>
                <w:right w:val="none" w:color="auto" w:sz="0" w:space="0"/>
                <w:between w:val="none" w:color="auto" w:sz="0" w:space="0"/>
              </w:pBdr>
              <w:adjustRightInd w:val="0"/>
              <w:snapToGrid w:val="0"/>
              <w:spacing w:line="360" w:lineRule="auto"/>
              <w:ind w:left="-101" w:leftChars="-42" w:firstLine="240" w:firstLineChars="100"/>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偏离</w:t>
            </w:r>
          </w:p>
        </w:tc>
        <w:tc>
          <w:tcPr>
            <w:tcW w:w="1709" w:type="dxa"/>
            <w:vAlign w:val="center"/>
          </w:tcPr>
          <w:p w14:paraId="0624427A">
            <w:pPr>
              <w:pBdr>
                <w:top w:val="none" w:color="auto" w:sz="0" w:space="0"/>
                <w:left w:val="none" w:color="auto" w:sz="0" w:space="0"/>
                <w:bottom w:val="none" w:color="auto" w:sz="0" w:space="0"/>
                <w:right w:val="none" w:color="auto" w:sz="0" w:space="0"/>
                <w:between w:val="none" w:color="auto" w:sz="0" w:space="0"/>
              </w:pBdr>
              <w:adjustRightInd w:val="0"/>
              <w:snapToGrid w:val="0"/>
              <w:spacing w:line="360" w:lineRule="auto"/>
              <w:ind w:left="-101" w:leftChars="-42" w:firstLine="240" w:firstLineChars="100"/>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说明</w:t>
            </w:r>
          </w:p>
        </w:tc>
      </w:tr>
      <w:tr w14:paraId="0B84FD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006" w:type="dxa"/>
            <w:vAlign w:val="center"/>
          </w:tcPr>
          <w:p w14:paraId="63030EBD">
            <w:pPr>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Theme="minorEastAsia" w:hAnsiTheme="minorEastAsia" w:eastAsiaTheme="minorEastAsia" w:cstheme="minorEastAsia"/>
                <w:color w:val="auto"/>
              </w:rPr>
            </w:pPr>
          </w:p>
        </w:tc>
        <w:tc>
          <w:tcPr>
            <w:tcW w:w="3211" w:type="dxa"/>
            <w:vAlign w:val="center"/>
          </w:tcPr>
          <w:p w14:paraId="07594C78">
            <w:pPr>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Theme="minorEastAsia" w:hAnsiTheme="minorEastAsia" w:eastAsiaTheme="minorEastAsia" w:cstheme="minorEastAsia"/>
                <w:color w:val="auto"/>
              </w:rPr>
            </w:pPr>
          </w:p>
        </w:tc>
        <w:tc>
          <w:tcPr>
            <w:tcW w:w="2155" w:type="dxa"/>
            <w:vAlign w:val="center"/>
          </w:tcPr>
          <w:p w14:paraId="07D748FA">
            <w:pPr>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Theme="minorEastAsia" w:hAnsiTheme="minorEastAsia" w:eastAsiaTheme="minorEastAsia" w:cstheme="minorEastAsia"/>
                <w:color w:val="auto"/>
              </w:rPr>
            </w:pPr>
          </w:p>
        </w:tc>
        <w:tc>
          <w:tcPr>
            <w:tcW w:w="1098" w:type="dxa"/>
            <w:vAlign w:val="center"/>
          </w:tcPr>
          <w:p w14:paraId="691746D4">
            <w:pPr>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Theme="minorEastAsia" w:hAnsiTheme="minorEastAsia" w:eastAsiaTheme="minorEastAsia" w:cstheme="minorEastAsia"/>
                <w:color w:val="auto"/>
              </w:rPr>
            </w:pPr>
          </w:p>
        </w:tc>
        <w:tc>
          <w:tcPr>
            <w:tcW w:w="1709" w:type="dxa"/>
            <w:vAlign w:val="center"/>
          </w:tcPr>
          <w:p w14:paraId="3D053312">
            <w:pPr>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Theme="minorEastAsia" w:hAnsiTheme="minorEastAsia" w:eastAsiaTheme="minorEastAsia" w:cstheme="minorEastAsia"/>
                <w:color w:val="auto"/>
              </w:rPr>
            </w:pPr>
          </w:p>
        </w:tc>
      </w:tr>
      <w:tr w14:paraId="740C4F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006" w:type="dxa"/>
            <w:vAlign w:val="center"/>
          </w:tcPr>
          <w:p w14:paraId="07F54811">
            <w:pPr>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Theme="minorEastAsia" w:hAnsiTheme="minorEastAsia" w:eastAsiaTheme="minorEastAsia" w:cstheme="minorEastAsia"/>
                <w:color w:val="auto"/>
              </w:rPr>
            </w:pPr>
          </w:p>
        </w:tc>
        <w:tc>
          <w:tcPr>
            <w:tcW w:w="3211" w:type="dxa"/>
            <w:vAlign w:val="center"/>
          </w:tcPr>
          <w:p w14:paraId="67DA5B49">
            <w:pPr>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Theme="minorEastAsia" w:hAnsiTheme="minorEastAsia" w:eastAsiaTheme="minorEastAsia" w:cstheme="minorEastAsia"/>
                <w:color w:val="auto"/>
              </w:rPr>
            </w:pPr>
          </w:p>
        </w:tc>
        <w:tc>
          <w:tcPr>
            <w:tcW w:w="2155" w:type="dxa"/>
            <w:vAlign w:val="center"/>
          </w:tcPr>
          <w:p w14:paraId="3EECF8AE">
            <w:pPr>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Theme="minorEastAsia" w:hAnsiTheme="minorEastAsia" w:eastAsiaTheme="minorEastAsia" w:cstheme="minorEastAsia"/>
                <w:color w:val="auto"/>
              </w:rPr>
            </w:pPr>
          </w:p>
        </w:tc>
        <w:tc>
          <w:tcPr>
            <w:tcW w:w="1098" w:type="dxa"/>
            <w:vAlign w:val="center"/>
          </w:tcPr>
          <w:p w14:paraId="240CFA0A">
            <w:pPr>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Theme="minorEastAsia" w:hAnsiTheme="minorEastAsia" w:eastAsiaTheme="minorEastAsia" w:cstheme="minorEastAsia"/>
                <w:color w:val="auto"/>
              </w:rPr>
            </w:pPr>
          </w:p>
        </w:tc>
        <w:tc>
          <w:tcPr>
            <w:tcW w:w="1709" w:type="dxa"/>
            <w:vAlign w:val="center"/>
          </w:tcPr>
          <w:p w14:paraId="20E10868">
            <w:pPr>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Theme="minorEastAsia" w:hAnsiTheme="minorEastAsia" w:eastAsiaTheme="minorEastAsia" w:cstheme="minorEastAsia"/>
                <w:color w:val="auto"/>
              </w:rPr>
            </w:pPr>
          </w:p>
        </w:tc>
      </w:tr>
      <w:tr w14:paraId="744EAC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006" w:type="dxa"/>
            <w:vAlign w:val="center"/>
          </w:tcPr>
          <w:p w14:paraId="17456F0D">
            <w:pPr>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Theme="minorEastAsia" w:hAnsiTheme="minorEastAsia" w:eastAsiaTheme="minorEastAsia" w:cstheme="minorEastAsia"/>
                <w:color w:val="auto"/>
              </w:rPr>
            </w:pPr>
          </w:p>
        </w:tc>
        <w:tc>
          <w:tcPr>
            <w:tcW w:w="3211" w:type="dxa"/>
            <w:vAlign w:val="center"/>
          </w:tcPr>
          <w:p w14:paraId="5DC1FE24">
            <w:pPr>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Theme="minorEastAsia" w:hAnsiTheme="minorEastAsia" w:eastAsiaTheme="minorEastAsia" w:cstheme="minorEastAsia"/>
                <w:color w:val="auto"/>
              </w:rPr>
            </w:pPr>
          </w:p>
        </w:tc>
        <w:tc>
          <w:tcPr>
            <w:tcW w:w="2155" w:type="dxa"/>
            <w:vAlign w:val="center"/>
          </w:tcPr>
          <w:p w14:paraId="763FA2A9">
            <w:pPr>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Theme="minorEastAsia" w:hAnsiTheme="minorEastAsia" w:eastAsiaTheme="minorEastAsia" w:cstheme="minorEastAsia"/>
                <w:color w:val="auto"/>
              </w:rPr>
            </w:pPr>
          </w:p>
        </w:tc>
        <w:tc>
          <w:tcPr>
            <w:tcW w:w="1098" w:type="dxa"/>
            <w:vAlign w:val="center"/>
          </w:tcPr>
          <w:p w14:paraId="025029B4">
            <w:pPr>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Theme="minorEastAsia" w:hAnsiTheme="minorEastAsia" w:eastAsiaTheme="minorEastAsia" w:cstheme="minorEastAsia"/>
                <w:color w:val="auto"/>
              </w:rPr>
            </w:pPr>
          </w:p>
        </w:tc>
        <w:tc>
          <w:tcPr>
            <w:tcW w:w="1709" w:type="dxa"/>
            <w:vAlign w:val="center"/>
          </w:tcPr>
          <w:p w14:paraId="585C9F0D">
            <w:pPr>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Theme="minorEastAsia" w:hAnsiTheme="minorEastAsia" w:eastAsiaTheme="minorEastAsia" w:cstheme="minorEastAsia"/>
                <w:color w:val="auto"/>
              </w:rPr>
            </w:pPr>
          </w:p>
        </w:tc>
      </w:tr>
      <w:tr w14:paraId="14F4C5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006" w:type="dxa"/>
            <w:vAlign w:val="center"/>
          </w:tcPr>
          <w:p w14:paraId="093EDDF1">
            <w:pPr>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Theme="minorEastAsia" w:hAnsiTheme="minorEastAsia" w:eastAsiaTheme="minorEastAsia" w:cstheme="minorEastAsia"/>
                <w:color w:val="auto"/>
              </w:rPr>
            </w:pPr>
          </w:p>
        </w:tc>
        <w:tc>
          <w:tcPr>
            <w:tcW w:w="3211" w:type="dxa"/>
            <w:vAlign w:val="center"/>
          </w:tcPr>
          <w:p w14:paraId="4BD520EB">
            <w:pPr>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Theme="minorEastAsia" w:hAnsiTheme="minorEastAsia" w:eastAsiaTheme="minorEastAsia" w:cstheme="minorEastAsia"/>
                <w:color w:val="auto"/>
              </w:rPr>
            </w:pPr>
          </w:p>
        </w:tc>
        <w:tc>
          <w:tcPr>
            <w:tcW w:w="2155" w:type="dxa"/>
            <w:vAlign w:val="center"/>
          </w:tcPr>
          <w:p w14:paraId="4A5CC451">
            <w:pPr>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Theme="minorEastAsia" w:hAnsiTheme="minorEastAsia" w:eastAsiaTheme="minorEastAsia" w:cstheme="minorEastAsia"/>
                <w:color w:val="auto"/>
              </w:rPr>
            </w:pPr>
          </w:p>
        </w:tc>
        <w:tc>
          <w:tcPr>
            <w:tcW w:w="1098" w:type="dxa"/>
            <w:vAlign w:val="center"/>
          </w:tcPr>
          <w:p w14:paraId="63E4354F">
            <w:pPr>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Theme="minorEastAsia" w:hAnsiTheme="minorEastAsia" w:eastAsiaTheme="minorEastAsia" w:cstheme="minorEastAsia"/>
                <w:color w:val="auto"/>
              </w:rPr>
            </w:pPr>
          </w:p>
        </w:tc>
        <w:tc>
          <w:tcPr>
            <w:tcW w:w="1709" w:type="dxa"/>
            <w:vAlign w:val="center"/>
          </w:tcPr>
          <w:p w14:paraId="44DE0864">
            <w:pPr>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Theme="minorEastAsia" w:hAnsiTheme="minorEastAsia" w:eastAsiaTheme="minorEastAsia" w:cstheme="minorEastAsia"/>
                <w:color w:val="auto"/>
              </w:rPr>
            </w:pPr>
          </w:p>
        </w:tc>
      </w:tr>
      <w:tr w14:paraId="4A5E79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006" w:type="dxa"/>
            <w:vAlign w:val="center"/>
          </w:tcPr>
          <w:p w14:paraId="0D443CE2">
            <w:pPr>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Theme="minorEastAsia" w:hAnsiTheme="minorEastAsia" w:eastAsiaTheme="minorEastAsia" w:cstheme="minorEastAsia"/>
                <w:color w:val="auto"/>
              </w:rPr>
            </w:pPr>
          </w:p>
        </w:tc>
        <w:tc>
          <w:tcPr>
            <w:tcW w:w="3211" w:type="dxa"/>
            <w:vAlign w:val="center"/>
          </w:tcPr>
          <w:p w14:paraId="0DE05125">
            <w:pPr>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Theme="minorEastAsia" w:hAnsiTheme="minorEastAsia" w:eastAsiaTheme="minorEastAsia" w:cstheme="minorEastAsia"/>
                <w:color w:val="auto"/>
              </w:rPr>
            </w:pPr>
          </w:p>
        </w:tc>
        <w:tc>
          <w:tcPr>
            <w:tcW w:w="2155" w:type="dxa"/>
            <w:vAlign w:val="center"/>
          </w:tcPr>
          <w:p w14:paraId="71959DE7">
            <w:pPr>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Theme="minorEastAsia" w:hAnsiTheme="minorEastAsia" w:eastAsiaTheme="minorEastAsia" w:cstheme="minorEastAsia"/>
                <w:color w:val="auto"/>
              </w:rPr>
            </w:pPr>
          </w:p>
        </w:tc>
        <w:tc>
          <w:tcPr>
            <w:tcW w:w="1098" w:type="dxa"/>
            <w:vAlign w:val="center"/>
          </w:tcPr>
          <w:p w14:paraId="13D7A03B">
            <w:pPr>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Theme="minorEastAsia" w:hAnsiTheme="minorEastAsia" w:eastAsiaTheme="minorEastAsia" w:cstheme="minorEastAsia"/>
                <w:color w:val="auto"/>
              </w:rPr>
            </w:pPr>
          </w:p>
        </w:tc>
        <w:tc>
          <w:tcPr>
            <w:tcW w:w="1709" w:type="dxa"/>
            <w:vAlign w:val="center"/>
          </w:tcPr>
          <w:p w14:paraId="522AADE8">
            <w:pPr>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Theme="minorEastAsia" w:hAnsiTheme="minorEastAsia" w:eastAsiaTheme="minorEastAsia" w:cstheme="minorEastAsia"/>
                <w:color w:val="auto"/>
              </w:rPr>
            </w:pPr>
          </w:p>
        </w:tc>
      </w:tr>
      <w:tr w14:paraId="42211E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006" w:type="dxa"/>
            <w:vAlign w:val="center"/>
          </w:tcPr>
          <w:p w14:paraId="255A4E72">
            <w:pPr>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Theme="minorEastAsia" w:hAnsiTheme="minorEastAsia" w:eastAsiaTheme="minorEastAsia" w:cstheme="minorEastAsia"/>
                <w:color w:val="auto"/>
              </w:rPr>
            </w:pPr>
          </w:p>
        </w:tc>
        <w:tc>
          <w:tcPr>
            <w:tcW w:w="3211" w:type="dxa"/>
            <w:vAlign w:val="center"/>
          </w:tcPr>
          <w:p w14:paraId="14802244">
            <w:pPr>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Theme="minorEastAsia" w:hAnsiTheme="minorEastAsia" w:eastAsiaTheme="minorEastAsia" w:cstheme="minorEastAsia"/>
                <w:color w:val="auto"/>
              </w:rPr>
            </w:pPr>
          </w:p>
        </w:tc>
        <w:tc>
          <w:tcPr>
            <w:tcW w:w="2155" w:type="dxa"/>
            <w:vAlign w:val="center"/>
          </w:tcPr>
          <w:p w14:paraId="12AF3CAF">
            <w:pPr>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Theme="minorEastAsia" w:hAnsiTheme="minorEastAsia" w:eastAsiaTheme="minorEastAsia" w:cstheme="minorEastAsia"/>
                <w:color w:val="auto"/>
              </w:rPr>
            </w:pPr>
          </w:p>
        </w:tc>
        <w:tc>
          <w:tcPr>
            <w:tcW w:w="1098" w:type="dxa"/>
            <w:vAlign w:val="center"/>
          </w:tcPr>
          <w:p w14:paraId="67B7BEF8">
            <w:pPr>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Theme="minorEastAsia" w:hAnsiTheme="minorEastAsia" w:eastAsiaTheme="minorEastAsia" w:cstheme="minorEastAsia"/>
                <w:color w:val="auto"/>
              </w:rPr>
            </w:pPr>
          </w:p>
        </w:tc>
        <w:tc>
          <w:tcPr>
            <w:tcW w:w="1709" w:type="dxa"/>
            <w:vAlign w:val="center"/>
          </w:tcPr>
          <w:p w14:paraId="0F260F2E">
            <w:pPr>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Theme="minorEastAsia" w:hAnsiTheme="minorEastAsia" w:eastAsiaTheme="minorEastAsia" w:cstheme="minorEastAsia"/>
                <w:color w:val="auto"/>
              </w:rPr>
            </w:pPr>
          </w:p>
        </w:tc>
      </w:tr>
      <w:tr w14:paraId="19E907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006" w:type="dxa"/>
            <w:vAlign w:val="center"/>
          </w:tcPr>
          <w:p w14:paraId="0B99C0E0">
            <w:pPr>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Theme="minorEastAsia" w:hAnsiTheme="minorEastAsia" w:eastAsiaTheme="minorEastAsia" w:cstheme="minorEastAsia"/>
                <w:color w:val="auto"/>
              </w:rPr>
            </w:pPr>
          </w:p>
        </w:tc>
        <w:tc>
          <w:tcPr>
            <w:tcW w:w="3211" w:type="dxa"/>
            <w:vAlign w:val="center"/>
          </w:tcPr>
          <w:p w14:paraId="24891377">
            <w:pPr>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Theme="minorEastAsia" w:hAnsiTheme="minorEastAsia" w:eastAsiaTheme="minorEastAsia" w:cstheme="minorEastAsia"/>
                <w:color w:val="auto"/>
              </w:rPr>
            </w:pPr>
          </w:p>
        </w:tc>
        <w:tc>
          <w:tcPr>
            <w:tcW w:w="2155" w:type="dxa"/>
            <w:vAlign w:val="center"/>
          </w:tcPr>
          <w:p w14:paraId="39BC77A6">
            <w:pPr>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Theme="minorEastAsia" w:hAnsiTheme="minorEastAsia" w:eastAsiaTheme="minorEastAsia" w:cstheme="minorEastAsia"/>
                <w:color w:val="auto"/>
              </w:rPr>
            </w:pPr>
          </w:p>
        </w:tc>
        <w:tc>
          <w:tcPr>
            <w:tcW w:w="1098" w:type="dxa"/>
            <w:vAlign w:val="center"/>
          </w:tcPr>
          <w:p w14:paraId="0E46F6B8">
            <w:pPr>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Theme="minorEastAsia" w:hAnsiTheme="minorEastAsia" w:eastAsiaTheme="minorEastAsia" w:cstheme="minorEastAsia"/>
                <w:color w:val="auto"/>
              </w:rPr>
            </w:pPr>
          </w:p>
        </w:tc>
        <w:tc>
          <w:tcPr>
            <w:tcW w:w="1709" w:type="dxa"/>
            <w:vAlign w:val="center"/>
          </w:tcPr>
          <w:p w14:paraId="5373BB66">
            <w:pPr>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Theme="minorEastAsia" w:hAnsiTheme="minorEastAsia" w:eastAsiaTheme="minorEastAsia" w:cstheme="minorEastAsia"/>
                <w:color w:val="auto"/>
              </w:rPr>
            </w:pPr>
          </w:p>
        </w:tc>
      </w:tr>
      <w:tr w14:paraId="7BFE02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006" w:type="dxa"/>
            <w:vAlign w:val="center"/>
          </w:tcPr>
          <w:p w14:paraId="1BD68195">
            <w:pPr>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Theme="minorEastAsia" w:hAnsiTheme="minorEastAsia" w:eastAsiaTheme="minorEastAsia" w:cstheme="minorEastAsia"/>
                <w:color w:val="auto"/>
              </w:rPr>
            </w:pPr>
          </w:p>
        </w:tc>
        <w:tc>
          <w:tcPr>
            <w:tcW w:w="3211" w:type="dxa"/>
            <w:vAlign w:val="center"/>
          </w:tcPr>
          <w:p w14:paraId="0F35FFA8">
            <w:pPr>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Theme="minorEastAsia" w:hAnsiTheme="minorEastAsia" w:eastAsiaTheme="minorEastAsia" w:cstheme="minorEastAsia"/>
                <w:color w:val="auto"/>
              </w:rPr>
            </w:pPr>
          </w:p>
        </w:tc>
        <w:tc>
          <w:tcPr>
            <w:tcW w:w="2155" w:type="dxa"/>
            <w:vAlign w:val="center"/>
          </w:tcPr>
          <w:p w14:paraId="259D914C">
            <w:pPr>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Theme="minorEastAsia" w:hAnsiTheme="minorEastAsia" w:eastAsiaTheme="minorEastAsia" w:cstheme="minorEastAsia"/>
                <w:color w:val="auto"/>
              </w:rPr>
            </w:pPr>
          </w:p>
        </w:tc>
        <w:tc>
          <w:tcPr>
            <w:tcW w:w="1098" w:type="dxa"/>
            <w:vAlign w:val="center"/>
          </w:tcPr>
          <w:p w14:paraId="28DBCC1B">
            <w:pPr>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Theme="minorEastAsia" w:hAnsiTheme="minorEastAsia" w:eastAsiaTheme="minorEastAsia" w:cstheme="minorEastAsia"/>
                <w:color w:val="auto"/>
              </w:rPr>
            </w:pPr>
          </w:p>
        </w:tc>
        <w:tc>
          <w:tcPr>
            <w:tcW w:w="1709" w:type="dxa"/>
            <w:vAlign w:val="center"/>
          </w:tcPr>
          <w:p w14:paraId="1331E3D4">
            <w:pPr>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Theme="minorEastAsia" w:hAnsiTheme="minorEastAsia" w:eastAsiaTheme="minorEastAsia" w:cstheme="minorEastAsia"/>
                <w:color w:val="auto"/>
              </w:rPr>
            </w:pPr>
          </w:p>
        </w:tc>
      </w:tr>
      <w:tr w14:paraId="18CE8A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006" w:type="dxa"/>
            <w:vAlign w:val="center"/>
          </w:tcPr>
          <w:p w14:paraId="5AB0C5B9">
            <w:pPr>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Theme="minorEastAsia" w:hAnsiTheme="minorEastAsia" w:eastAsiaTheme="minorEastAsia" w:cstheme="minorEastAsia"/>
                <w:color w:val="auto"/>
              </w:rPr>
            </w:pPr>
          </w:p>
        </w:tc>
        <w:tc>
          <w:tcPr>
            <w:tcW w:w="3211" w:type="dxa"/>
            <w:vAlign w:val="center"/>
          </w:tcPr>
          <w:p w14:paraId="4A9E4337">
            <w:pPr>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Theme="minorEastAsia" w:hAnsiTheme="minorEastAsia" w:eastAsiaTheme="minorEastAsia" w:cstheme="minorEastAsia"/>
                <w:color w:val="auto"/>
              </w:rPr>
            </w:pPr>
          </w:p>
        </w:tc>
        <w:tc>
          <w:tcPr>
            <w:tcW w:w="2155" w:type="dxa"/>
            <w:vAlign w:val="center"/>
          </w:tcPr>
          <w:p w14:paraId="34857C3C">
            <w:pPr>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Theme="minorEastAsia" w:hAnsiTheme="minorEastAsia" w:eastAsiaTheme="minorEastAsia" w:cstheme="minorEastAsia"/>
                <w:color w:val="auto"/>
              </w:rPr>
            </w:pPr>
          </w:p>
        </w:tc>
        <w:tc>
          <w:tcPr>
            <w:tcW w:w="1098" w:type="dxa"/>
            <w:vAlign w:val="center"/>
          </w:tcPr>
          <w:p w14:paraId="7FFBC8CF">
            <w:pPr>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Theme="minorEastAsia" w:hAnsiTheme="minorEastAsia" w:eastAsiaTheme="minorEastAsia" w:cstheme="minorEastAsia"/>
                <w:color w:val="auto"/>
              </w:rPr>
            </w:pPr>
          </w:p>
        </w:tc>
        <w:tc>
          <w:tcPr>
            <w:tcW w:w="1709" w:type="dxa"/>
            <w:vAlign w:val="center"/>
          </w:tcPr>
          <w:p w14:paraId="7953A42F">
            <w:pPr>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Theme="minorEastAsia" w:hAnsiTheme="minorEastAsia" w:eastAsiaTheme="minorEastAsia" w:cstheme="minorEastAsia"/>
                <w:color w:val="auto"/>
              </w:rPr>
            </w:pPr>
          </w:p>
        </w:tc>
      </w:tr>
      <w:tr w14:paraId="0AAE5D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006" w:type="dxa"/>
            <w:vAlign w:val="center"/>
          </w:tcPr>
          <w:p w14:paraId="4690DD45">
            <w:pPr>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Theme="minorEastAsia" w:hAnsiTheme="minorEastAsia" w:eastAsiaTheme="minorEastAsia" w:cstheme="minorEastAsia"/>
                <w:color w:val="auto"/>
              </w:rPr>
            </w:pPr>
          </w:p>
        </w:tc>
        <w:tc>
          <w:tcPr>
            <w:tcW w:w="3211" w:type="dxa"/>
            <w:vAlign w:val="center"/>
          </w:tcPr>
          <w:p w14:paraId="3E856D8B">
            <w:pPr>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Theme="minorEastAsia" w:hAnsiTheme="minorEastAsia" w:eastAsiaTheme="minorEastAsia" w:cstheme="minorEastAsia"/>
                <w:color w:val="auto"/>
              </w:rPr>
            </w:pPr>
          </w:p>
        </w:tc>
        <w:tc>
          <w:tcPr>
            <w:tcW w:w="2155" w:type="dxa"/>
            <w:vAlign w:val="center"/>
          </w:tcPr>
          <w:p w14:paraId="1FC8404B">
            <w:pPr>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Theme="minorEastAsia" w:hAnsiTheme="minorEastAsia" w:eastAsiaTheme="minorEastAsia" w:cstheme="minorEastAsia"/>
                <w:color w:val="auto"/>
              </w:rPr>
            </w:pPr>
          </w:p>
        </w:tc>
        <w:tc>
          <w:tcPr>
            <w:tcW w:w="1098" w:type="dxa"/>
            <w:vAlign w:val="center"/>
          </w:tcPr>
          <w:p w14:paraId="60574C12">
            <w:pPr>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Theme="minorEastAsia" w:hAnsiTheme="minorEastAsia" w:eastAsiaTheme="minorEastAsia" w:cstheme="minorEastAsia"/>
                <w:color w:val="auto"/>
              </w:rPr>
            </w:pPr>
          </w:p>
        </w:tc>
        <w:tc>
          <w:tcPr>
            <w:tcW w:w="1709" w:type="dxa"/>
            <w:vAlign w:val="center"/>
          </w:tcPr>
          <w:p w14:paraId="100E2BAE">
            <w:pPr>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Theme="minorEastAsia" w:hAnsiTheme="minorEastAsia" w:eastAsiaTheme="minorEastAsia" w:cstheme="minorEastAsia"/>
                <w:color w:val="auto"/>
              </w:rPr>
            </w:pPr>
          </w:p>
        </w:tc>
      </w:tr>
      <w:tr w14:paraId="29C124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006" w:type="dxa"/>
            <w:vAlign w:val="center"/>
          </w:tcPr>
          <w:p w14:paraId="5E3B1139">
            <w:pPr>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Theme="minorEastAsia" w:hAnsiTheme="minorEastAsia" w:eastAsiaTheme="minorEastAsia" w:cstheme="minorEastAsia"/>
                <w:color w:val="auto"/>
              </w:rPr>
            </w:pPr>
          </w:p>
        </w:tc>
        <w:tc>
          <w:tcPr>
            <w:tcW w:w="3211" w:type="dxa"/>
            <w:vAlign w:val="center"/>
          </w:tcPr>
          <w:p w14:paraId="1B10966B">
            <w:pPr>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Theme="minorEastAsia" w:hAnsiTheme="minorEastAsia" w:eastAsiaTheme="minorEastAsia" w:cstheme="minorEastAsia"/>
                <w:color w:val="auto"/>
              </w:rPr>
            </w:pPr>
          </w:p>
        </w:tc>
        <w:tc>
          <w:tcPr>
            <w:tcW w:w="2155" w:type="dxa"/>
            <w:vAlign w:val="center"/>
          </w:tcPr>
          <w:p w14:paraId="6667511F">
            <w:pPr>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Theme="minorEastAsia" w:hAnsiTheme="minorEastAsia" w:eastAsiaTheme="minorEastAsia" w:cstheme="minorEastAsia"/>
                <w:color w:val="auto"/>
              </w:rPr>
            </w:pPr>
          </w:p>
        </w:tc>
        <w:tc>
          <w:tcPr>
            <w:tcW w:w="1098" w:type="dxa"/>
            <w:vAlign w:val="center"/>
          </w:tcPr>
          <w:p w14:paraId="24A012B1">
            <w:pPr>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Theme="minorEastAsia" w:hAnsiTheme="minorEastAsia" w:eastAsiaTheme="minorEastAsia" w:cstheme="minorEastAsia"/>
                <w:color w:val="auto"/>
              </w:rPr>
            </w:pPr>
          </w:p>
        </w:tc>
        <w:tc>
          <w:tcPr>
            <w:tcW w:w="1709" w:type="dxa"/>
            <w:vAlign w:val="center"/>
          </w:tcPr>
          <w:p w14:paraId="2BF9D084">
            <w:pPr>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Theme="minorEastAsia" w:hAnsiTheme="minorEastAsia" w:eastAsiaTheme="minorEastAsia" w:cstheme="minorEastAsia"/>
                <w:color w:val="auto"/>
              </w:rPr>
            </w:pPr>
          </w:p>
        </w:tc>
      </w:tr>
      <w:tr w14:paraId="2A5EDA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006" w:type="dxa"/>
            <w:vAlign w:val="center"/>
          </w:tcPr>
          <w:p w14:paraId="71B48088">
            <w:pPr>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Theme="minorEastAsia" w:hAnsiTheme="minorEastAsia" w:eastAsiaTheme="minorEastAsia" w:cstheme="minorEastAsia"/>
                <w:color w:val="auto"/>
              </w:rPr>
            </w:pPr>
          </w:p>
        </w:tc>
        <w:tc>
          <w:tcPr>
            <w:tcW w:w="3211" w:type="dxa"/>
            <w:vAlign w:val="center"/>
          </w:tcPr>
          <w:p w14:paraId="34B3C8F5">
            <w:pPr>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Theme="minorEastAsia" w:hAnsiTheme="minorEastAsia" w:eastAsiaTheme="minorEastAsia" w:cstheme="minorEastAsia"/>
                <w:color w:val="auto"/>
              </w:rPr>
            </w:pPr>
          </w:p>
        </w:tc>
        <w:tc>
          <w:tcPr>
            <w:tcW w:w="2155" w:type="dxa"/>
            <w:vAlign w:val="center"/>
          </w:tcPr>
          <w:p w14:paraId="70313A0A">
            <w:pPr>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Theme="minorEastAsia" w:hAnsiTheme="minorEastAsia" w:eastAsiaTheme="minorEastAsia" w:cstheme="minorEastAsia"/>
                <w:color w:val="auto"/>
              </w:rPr>
            </w:pPr>
          </w:p>
        </w:tc>
        <w:tc>
          <w:tcPr>
            <w:tcW w:w="1098" w:type="dxa"/>
            <w:vAlign w:val="center"/>
          </w:tcPr>
          <w:p w14:paraId="2B8C8613">
            <w:pPr>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Theme="minorEastAsia" w:hAnsiTheme="minorEastAsia" w:eastAsiaTheme="minorEastAsia" w:cstheme="minorEastAsia"/>
                <w:color w:val="auto"/>
              </w:rPr>
            </w:pPr>
          </w:p>
        </w:tc>
        <w:tc>
          <w:tcPr>
            <w:tcW w:w="1709" w:type="dxa"/>
            <w:vAlign w:val="center"/>
          </w:tcPr>
          <w:p w14:paraId="490044DE">
            <w:pPr>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Theme="minorEastAsia" w:hAnsiTheme="minorEastAsia" w:eastAsiaTheme="minorEastAsia" w:cstheme="minorEastAsia"/>
                <w:color w:val="auto"/>
              </w:rPr>
            </w:pPr>
          </w:p>
        </w:tc>
      </w:tr>
      <w:tr w14:paraId="2F0B77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006" w:type="dxa"/>
            <w:vAlign w:val="center"/>
          </w:tcPr>
          <w:p w14:paraId="13FCE8BB">
            <w:pPr>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Theme="minorEastAsia" w:hAnsiTheme="minorEastAsia" w:eastAsiaTheme="minorEastAsia" w:cstheme="minorEastAsia"/>
                <w:color w:val="auto"/>
              </w:rPr>
            </w:pPr>
          </w:p>
        </w:tc>
        <w:tc>
          <w:tcPr>
            <w:tcW w:w="3211" w:type="dxa"/>
            <w:vAlign w:val="center"/>
          </w:tcPr>
          <w:p w14:paraId="687903E1">
            <w:pPr>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Theme="minorEastAsia" w:hAnsiTheme="minorEastAsia" w:eastAsiaTheme="minorEastAsia" w:cstheme="minorEastAsia"/>
                <w:color w:val="auto"/>
              </w:rPr>
            </w:pPr>
          </w:p>
        </w:tc>
        <w:tc>
          <w:tcPr>
            <w:tcW w:w="2155" w:type="dxa"/>
            <w:vAlign w:val="center"/>
          </w:tcPr>
          <w:p w14:paraId="0596C68D">
            <w:pPr>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Theme="minorEastAsia" w:hAnsiTheme="minorEastAsia" w:eastAsiaTheme="minorEastAsia" w:cstheme="minorEastAsia"/>
                <w:color w:val="auto"/>
              </w:rPr>
            </w:pPr>
          </w:p>
        </w:tc>
        <w:tc>
          <w:tcPr>
            <w:tcW w:w="1098" w:type="dxa"/>
            <w:vAlign w:val="center"/>
          </w:tcPr>
          <w:p w14:paraId="044BD3B6">
            <w:pPr>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Theme="minorEastAsia" w:hAnsiTheme="minorEastAsia" w:eastAsiaTheme="minorEastAsia" w:cstheme="minorEastAsia"/>
                <w:color w:val="auto"/>
              </w:rPr>
            </w:pPr>
          </w:p>
        </w:tc>
        <w:tc>
          <w:tcPr>
            <w:tcW w:w="1709" w:type="dxa"/>
            <w:vAlign w:val="center"/>
          </w:tcPr>
          <w:p w14:paraId="6C05A157">
            <w:pPr>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Theme="minorEastAsia" w:hAnsiTheme="minorEastAsia" w:eastAsiaTheme="minorEastAsia" w:cstheme="minorEastAsia"/>
                <w:color w:val="auto"/>
              </w:rPr>
            </w:pPr>
          </w:p>
        </w:tc>
      </w:tr>
    </w:tbl>
    <w:p w14:paraId="65F7FF1F">
      <w:pPr>
        <w:pStyle w:val="14"/>
        <w:pBdr>
          <w:top w:val="none" w:color="auto" w:sz="0" w:space="0"/>
          <w:left w:val="none" w:color="auto" w:sz="0" w:space="0"/>
          <w:bottom w:val="none" w:color="auto" w:sz="0" w:space="0"/>
          <w:right w:val="none" w:color="auto" w:sz="0" w:space="0"/>
          <w:between w:val="none" w:color="auto" w:sz="0" w:space="0"/>
        </w:pBdr>
        <w:adjustRightInd w:val="0"/>
        <w:snapToGrid w:val="0"/>
        <w:spacing w:line="360" w:lineRule="auto"/>
        <w:rPr>
          <w:rFonts w:hint="eastAsia" w:asciiTheme="minorEastAsia" w:hAnsiTheme="minorEastAsia" w:eastAsiaTheme="minorEastAsia" w:cstheme="minorEastAsia"/>
          <w:color w:val="auto"/>
          <w:sz w:val="22"/>
          <w:szCs w:val="18"/>
          <w:lang w:eastAsia="zh-CN"/>
        </w:rPr>
      </w:pPr>
      <w:r>
        <w:rPr>
          <w:rFonts w:hint="eastAsia" w:asciiTheme="minorEastAsia" w:hAnsiTheme="minorEastAsia" w:eastAsiaTheme="minorEastAsia" w:cstheme="minorEastAsia"/>
          <w:color w:val="auto"/>
          <w:sz w:val="22"/>
          <w:szCs w:val="18"/>
          <w:lang w:eastAsia="zh-CN"/>
        </w:rPr>
        <w:t>注：本表中应列入所有与文件要求有偏离的项目及说明，若对本项目所有要求（如合同履约期限、服务期限、付款方式等）均无偏离，应在表中填写“完全响应文件的所有商务要求，无偏离”，除本商务偏离表中所列的偏离项目外，其它所有商务均完全响应“文件”中的要求。</w:t>
      </w:r>
    </w:p>
    <w:p w14:paraId="04F1F646">
      <w:pPr>
        <w:pStyle w:val="14"/>
        <w:pBdr>
          <w:top w:val="none" w:color="auto" w:sz="0" w:space="0"/>
          <w:left w:val="none" w:color="auto" w:sz="0" w:space="0"/>
          <w:bottom w:val="none" w:color="auto" w:sz="0" w:space="0"/>
          <w:right w:val="none" w:color="auto" w:sz="0" w:space="0"/>
          <w:between w:val="none" w:color="auto" w:sz="0" w:space="0"/>
        </w:pBdr>
        <w:adjustRightInd w:val="0"/>
        <w:snapToGrid w:val="0"/>
        <w:spacing w:line="360" w:lineRule="auto"/>
        <w:rPr>
          <w:rFonts w:hint="eastAsia" w:asciiTheme="minorEastAsia" w:hAnsiTheme="minorEastAsia" w:eastAsiaTheme="minorEastAsia" w:cstheme="minorEastAsia"/>
          <w:color w:val="auto"/>
          <w:sz w:val="22"/>
          <w:szCs w:val="18"/>
          <w:lang w:eastAsia="zh-CN"/>
        </w:rPr>
      </w:pPr>
    </w:p>
    <w:p w14:paraId="2F11FBFE">
      <w:pPr>
        <w:pStyle w:val="14"/>
        <w:pBdr>
          <w:top w:val="none" w:color="auto" w:sz="0" w:space="0"/>
          <w:left w:val="none" w:color="auto" w:sz="0" w:space="0"/>
          <w:bottom w:val="none" w:color="auto" w:sz="0" w:space="0"/>
          <w:right w:val="none" w:color="auto" w:sz="0" w:space="0"/>
          <w:between w:val="none" w:color="auto" w:sz="0" w:space="0"/>
        </w:pBdr>
        <w:adjustRightInd w:val="0"/>
        <w:snapToGrid w:val="0"/>
        <w:spacing w:line="360" w:lineRule="auto"/>
        <w:rPr>
          <w:rFonts w:hint="eastAsia" w:asciiTheme="minorEastAsia" w:hAnsiTheme="minorEastAsia" w:eastAsiaTheme="minorEastAsia" w:cstheme="minorEastAsia"/>
          <w:color w:val="auto"/>
          <w:sz w:val="22"/>
          <w:szCs w:val="18"/>
          <w:lang w:eastAsia="zh-CN"/>
        </w:rPr>
      </w:pPr>
    </w:p>
    <w:p w14:paraId="76034098">
      <w:pPr>
        <w:pStyle w:val="41"/>
        <w:pBdr>
          <w:top w:val="none" w:color="auto" w:sz="0" w:space="0"/>
          <w:left w:val="none" w:color="auto" w:sz="0" w:space="0"/>
          <w:bottom w:val="none" w:color="auto" w:sz="0" w:space="0"/>
          <w:right w:val="none" w:color="auto" w:sz="0" w:space="0"/>
          <w:between w:val="none" w:color="auto" w:sz="0" w:space="0"/>
        </w:pBdr>
        <w:spacing w:line="360" w:lineRule="auto"/>
        <w:ind w:left="176"/>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lang w:val="en-US" w:eastAsia="zh-CN"/>
        </w:rPr>
        <w:t xml:space="preserve">                                      </w:t>
      </w:r>
      <w:r>
        <w:rPr>
          <w:rFonts w:hint="eastAsia" w:asciiTheme="minorEastAsia" w:hAnsiTheme="minorEastAsia" w:eastAsiaTheme="minorEastAsia" w:cstheme="minorEastAsia"/>
          <w:color w:val="auto"/>
          <w:sz w:val="24"/>
          <w:szCs w:val="24"/>
          <w:lang w:eastAsia="zh-CN"/>
        </w:rPr>
        <w:t>供应商</w:t>
      </w:r>
      <w:r>
        <w:rPr>
          <w:rFonts w:hint="eastAsia" w:asciiTheme="minorEastAsia" w:hAnsiTheme="minorEastAsia" w:eastAsiaTheme="minorEastAsia" w:cstheme="minorEastAsia"/>
          <w:color w:val="auto"/>
          <w:sz w:val="24"/>
          <w:szCs w:val="24"/>
        </w:rPr>
        <w:t>（盖章）：</w:t>
      </w:r>
      <w:r>
        <w:rPr>
          <w:rFonts w:hint="eastAsia" w:asciiTheme="minorEastAsia" w:hAnsiTheme="minorEastAsia" w:eastAsiaTheme="minorEastAsia" w:cstheme="minorEastAsia"/>
          <w:color w:val="auto"/>
          <w:sz w:val="24"/>
          <w:szCs w:val="24"/>
          <w:u w:val="single"/>
        </w:rPr>
        <w:t xml:space="preserve">       </w:t>
      </w:r>
    </w:p>
    <w:p w14:paraId="75D1FC7B">
      <w:pPr>
        <w:pStyle w:val="41"/>
        <w:pBdr>
          <w:top w:val="none" w:color="auto" w:sz="0" w:space="0"/>
          <w:left w:val="none" w:color="auto" w:sz="0" w:space="0"/>
          <w:bottom w:val="none" w:color="auto" w:sz="0" w:space="0"/>
          <w:right w:val="none" w:color="auto" w:sz="0" w:space="0"/>
          <w:between w:val="none" w:color="auto" w:sz="0" w:space="0"/>
        </w:pBdr>
        <w:spacing w:line="360" w:lineRule="auto"/>
        <w:ind w:left="176"/>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 xml:space="preserve">                  </w:t>
      </w:r>
      <w:r>
        <w:rPr>
          <w:rFonts w:hint="eastAsia" w:asciiTheme="minorEastAsia" w:hAnsiTheme="minorEastAsia" w:eastAsiaTheme="minorEastAsia" w:cstheme="minorEastAsia"/>
          <w:color w:val="auto"/>
          <w:sz w:val="24"/>
          <w:szCs w:val="24"/>
        </w:rPr>
        <w:t>法定代表人或其委托代理人</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签字或盖章）：</w:t>
      </w:r>
      <w:r>
        <w:rPr>
          <w:rFonts w:hint="eastAsia" w:asciiTheme="minorEastAsia" w:hAnsiTheme="minorEastAsia" w:eastAsiaTheme="minorEastAsia" w:cstheme="minorEastAsia"/>
          <w:color w:val="auto"/>
          <w:sz w:val="24"/>
          <w:szCs w:val="24"/>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 xml:space="preserve">      </w:t>
      </w:r>
    </w:p>
    <w:p w14:paraId="13CFDEDE">
      <w:pPr>
        <w:pStyle w:val="41"/>
        <w:pBdr>
          <w:top w:val="none" w:color="auto" w:sz="0" w:space="0"/>
          <w:left w:val="none" w:color="auto" w:sz="0" w:space="0"/>
          <w:bottom w:val="none" w:color="auto" w:sz="0" w:space="0"/>
          <w:right w:val="none" w:color="auto" w:sz="0" w:space="0"/>
          <w:between w:val="none" w:color="auto" w:sz="0" w:space="0"/>
        </w:pBdr>
        <w:spacing w:line="360" w:lineRule="auto"/>
        <w:ind w:left="176"/>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 xml:space="preserve">                                         </w:t>
      </w:r>
      <w:r>
        <w:rPr>
          <w:rFonts w:hint="eastAsia" w:asciiTheme="minorEastAsia" w:hAnsiTheme="minorEastAsia" w:eastAsiaTheme="minorEastAsia" w:cstheme="minorEastAsia"/>
          <w:color w:val="auto"/>
          <w:sz w:val="24"/>
          <w:szCs w:val="24"/>
        </w:rPr>
        <w:t>日期：</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年</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月</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 xml:space="preserve">日 </w:t>
      </w:r>
    </w:p>
    <w:p w14:paraId="3F20B817">
      <w:pPr>
        <w:pBdr>
          <w:top w:val="none" w:color="auto" w:sz="0" w:space="0"/>
          <w:left w:val="none" w:color="auto" w:sz="0" w:space="0"/>
          <w:bottom w:val="none" w:color="auto" w:sz="0" w:space="0"/>
          <w:right w:val="none" w:color="auto" w:sz="0" w:space="0"/>
          <w:between w:val="none" w:color="auto" w:sz="0" w:space="0"/>
        </w:pBdr>
        <w:spacing w:line="360" w:lineRule="auto"/>
        <w:jc w:val="center"/>
        <w:outlineLvl w:val="1"/>
        <w:rPr>
          <w:rFonts w:hint="eastAsia" w:asciiTheme="minorEastAsia" w:hAnsiTheme="minorEastAsia" w:eastAsiaTheme="minorEastAsia" w:cstheme="minorEastAsia"/>
          <w:b/>
          <w:bCs/>
          <w:color w:val="auto"/>
          <w:sz w:val="36"/>
          <w:szCs w:val="36"/>
          <w:lang w:eastAsia="zh-CN"/>
        </w:rPr>
      </w:pPr>
      <w:r>
        <w:rPr>
          <w:rFonts w:hint="eastAsia" w:asciiTheme="minorEastAsia" w:hAnsiTheme="minorEastAsia" w:eastAsiaTheme="minorEastAsia" w:cstheme="minorEastAsia"/>
          <w:b/>
          <w:bCs/>
          <w:color w:val="auto"/>
          <w:sz w:val="36"/>
          <w:szCs w:val="36"/>
          <w:lang w:eastAsia="zh-CN"/>
        </w:rPr>
        <w:t>5、技术条款偏离表</w:t>
      </w:r>
    </w:p>
    <w:tbl>
      <w:tblPr>
        <w:tblStyle w:val="25"/>
        <w:tblW w:w="886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5"/>
        <w:gridCol w:w="1357"/>
        <w:gridCol w:w="1326"/>
        <w:gridCol w:w="1326"/>
        <w:gridCol w:w="2749"/>
        <w:gridCol w:w="1203"/>
      </w:tblGrid>
      <w:tr w14:paraId="7DCB2F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5" w:type="dxa"/>
            <w:vAlign w:val="center"/>
          </w:tcPr>
          <w:p w14:paraId="6543234B">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bCs/>
                <w:color w:val="auto"/>
              </w:rPr>
            </w:pPr>
            <w:r>
              <w:rPr>
                <w:rFonts w:hint="eastAsia" w:asciiTheme="minorEastAsia" w:hAnsiTheme="minorEastAsia" w:eastAsiaTheme="minorEastAsia" w:cstheme="minorEastAsia"/>
                <w:bCs/>
                <w:color w:val="auto"/>
              </w:rPr>
              <w:t>序号</w:t>
            </w:r>
          </w:p>
        </w:tc>
        <w:tc>
          <w:tcPr>
            <w:tcW w:w="1357" w:type="dxa"/>
            <w:vAlign w:val="center"/>
          </w:tcPr>
          <w:p w14:paraId="5BADE563">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bCs/>
                <w:color w:val="auto"/>
              </w:rPr>
            </w:pPr>
            <w:r>
              <w:rPr>
                <w:rFonts w:hint="eastAsia" w:asciiTheme="minorEastAsia" w:hAnsiTheme="minorEastAsia" w:eastAsiaTheme="minorEastAsia" w:cstheme="minorEastAsia"/>
                <w:color w:val="auto"/>
                <w:szCs w:val="21"/>
                <w:lang w:val="en-US" w:eastAsia="zh-CN"/>
              </w:rPr>
              <w:t>设备</w:t>
            </w:r>
            <w:r>
              <w:rPr>
                <w:rFonts w:hint="eastAsia" w:asciiTheme="minorEastAsia" w:hAnsiTheme="minorEastAsia" w:eastAsiaTheme="minorEastAsia" w:cstheme="minorEastAsia"/>
                <w:color w:val="auto"/>
                <w:szCs w:val="21"/>
              </w:rPr>
              <w:t>名称</w:t>
            </w:r>
          </w:p>
        </w:tc>
        <w:tc>
          <w:tcPr>
            <w:tcW w:w="1326" w:type="dxa"/>
            <w:vAlign w:val="center"/>
          </w:tcPr>
          <w:p w14:paraId="3945EB72">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bCs/>
                <w:color w:val="auto"/>
              </w:rPr>
            </w:pPr>
            <w:r>
              <w:rPr>
                <w:rFonts w:hint="eastAsia" w:asciiTheme="minorEastAsia" w:hAnsiTheme="minorEastAsia" w:eastAsiaTheme="minorEastAsia" w:cstheme="minorEastAsia"/>
                <w:bCs/>
                <w:color w:val="auto"/>
              </w:rPr>
              <w:t>招标文件要求规格</w:t>
            </w:r>
          </w:p>
        </w:tc>
        <w:tc>
          <w:tcPr>
            <w:tcW w:w="1326" w:type="dxa"/>
            <w:vAlign w:val="center"/>
          </w:tcPr>
          <w:p w14:paraId="4A663E25">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bCs/>
                <w:color w:val="auto"/>
              </w:rPr>
            </w:pPr>
            <w:r>
              <w:rPr>
                <w:rFonts w:hint="eastAsia" w:asciiTheme="minorEastAsia" w:hAnsiTheme="minorEastAsia" w:eastAsiaTheme="minorEastAsia" w:cstheme="minorEastAsia"/>
                <w:bCs/>
                <w:color w:val="auto"/>
              </w:rPr>
              <w:t>投标规格</w:t>
            </w:r>
          </w:p>
        </w:tc>
        <w:tc>
          <w:tcPr>
            <w:tcW w:w="2749" w:type="dxa"/>
            <w:vAlign w:val="center"/>
          </w:tcPr>
          <w:p w14:paraId="4F6AE117">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bCs/>
                <w:color w:val="auto"/>
              </w:rPr>
            </w:pPr>
            <w:r>
              <w:rPr>
                <w:rFonts w:hint="eastAsia" w:asciiTheme="minorEastAsia" w:hAnsiTheme="minorEastAsia" w:eastAsiaTheme="minorEastAsia" w:cstheme="minorEastAsia"/>
                <w:bCs/>
                <w:color w:val="auto"/>
              </w:rPr>
              <w:t>偏离</w:t>
            </w:r>
          </w:p>
        </w:tc>
        <w:tc>
          <w:tcPr>
            <w:tcW w:w="1203" w:type="dxa"/>
            <w:vAlign w:val="center"/>
          </w:tcPr>
          <w:p w14:paraId="524A0C6A">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bCs/>
                <w:color w:val="auto"/>
              </w:rPr>
            </w:pPr>
            <w:r>
              <w:rPr>
                <w:rFonts w:hint="eastAsia" w:asciiTheme="minorEastAsia" w:hAnsiTheme="minorEastAsia" w:eastAsiaTheme="minorEastAsia" w:cstheme="minorEastAsia"/>
                <w:bCs/>
                <w:color w:val="auto"/>
              </w:rPr>
              <w:t>说明</w:t>
            </w:r>
          </w:p>
        </w:tc>
      </w:tr>
      <w:tr w14:paraId="04FA2D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5" w:type="dxa"/>
          </w:tcPr>
          <w:p w14:paraId="76E1786D">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b/>
                <w:bCs/>
                <w:color w:val="auto"/>
              </w:rPr>
            </w:pPr>
          </w:p>
        </w:tc>
        <w:tc>
          <w:tcPr>
            <w:tcW w:w="1357" w:type="dxa"/>
          </w:tcPr>
          <w:p w14:paraId="42D5F24C">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b/>
                <w:bCs/>
                <w:color w:val="auto"/>
              </w:rPr>
            </w:pPr>
          </w:p>
        </w:tc>
        <w:tc>
          <w:tcPr>
            <w:tcW w:w="1326" w:type="dxa"/>
          </w:tcPr>
          <w:p w14:paraId="24BD1B76">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b/>
                <w:bCs/>
                <w:color w:val="auto"/>
              </w:rPr>
            </w:pPr>
          </w:p>
        </w:tc>
        <w:tc>
          <w:tcPr>
            <w:tcW w:w="1326" w:type="dxa"/>
          </w:tcPr>
          <w:p w14:paraId="05D34D25">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b/>
                <w:bCs/>
                <w:color w:val="auto"/>
              </w:rPr>
            </w:pPr>
          </w:p>
        </w:tc>
        <w:tc>
          <w:tcPr>
            <w:tcW w:w="2749" w:type="dxa"/>
          </w:tcPr>
          <w:p w14:paraId="16433EAA">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b/>
                <w:bCs/>
                <w:color w:val="auto"/>
                <w:lang w:eastAsia="zh-CN"/>
              </w:rPr>
            </w:pPr>
            <w:r>
              <w:rPr>
                <w:rFonts w:hint="eastAsia" w:asciiTheme="minorEastAsia" w:hAnsiTheme="minorEastAsia" w:eastAsiaTheme="minorEastAsia" w:cstheme="minorEastAsia"/>
                <w:bCs/>
                <w:color w:val="auto"/>
                <w:lang w:eastAsia="zh-CN"/>
              </w:rPr>
              <w:t>如有正偏离需提供证明材料，证明材料附后(并注明页码)</w:t>
            </w:r>
          </w:p>
        </w:tc>
        <w:tc>
          <w:tcPr>
            <w:tcW w:w="1203" w:type="dxa"/>
          </w:tcPr>
          <w:p w14:paraId="2CC7B868">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b/>
                <w:bCs/>
                <w:color w:val="auto"/>
                <w:lang w:eastAsia="zh-CN"/>
              </w:rPr>
            </w:pPr>
          </w:p>
        </w:tc>
      </w:tr>
      <w:tr w14:paraId="2A0977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5" w:type="dxa"/>
          </w:tcPr>
          <w:p w14:paraId="0CB21D71">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b/>
                <w:bCs/>
                <w:color w:val="auto"/>
                <w:lang w:eastAsia="zh-CN"/>
              </w:rPr>
            </w:pPr>
          </w:p>
        </w:tc>
        <w:tc>
          <w:tcPr>
            <w:tcW w:w="1357" w:type="dxa"/>
          </w:tcPr>
          <w:p w14:paraId="282039C4">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b/>
                <w:bCs/>
                <w:color w:val="auto"/>
                <w:lang w:eastAsia="zh-CN"/>
              </w:rPr>
            </w:pPr>
          </w:p>
        </w:tc>
        <w:tc>
          <w:tcPr>
            <w:tcW w:w="1326" w:type="dxa"/>
          </w:tcPr>
          <w:p w14:paraId="7754D324">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b/>
                <w:bCs/>
                <w:color w:val="auto"/>
                <w:lang w:eastAsia="zh-CN"/>
              </w:rPr>
            </w:pPr>
          </w:p>
        </w:tc>
        <w:tc>
          <w:tcPr>
            <w:tcW w:w="1326" w:type="dxa"/>
          </w:tcPr>
          <w:p w14:paraId="0C34FC19">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b/>
                <w:bCs/>
                <w:color w:val="auto"/>
                <w:lang w:eastAsia="zh-CN"/>
              </w:rPr>
            </w:pPr>
          </w:p>
        </w:tc>
        <w:tc>
          <w:tcPr>
            <w:tcW w:w="2749" w:type="dxa"/>
          </w:tcPr>
          <w:p w14:paraId="67B813D6">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b/>
                <w:bCs/>
                <w:color w:val="auto"/>
                <w:lang w:eastAsia="zh-CN"/>
              </w:rPr>
            </w:pPr>
          </w:p>
        </w:tc>
        <w:tc>
          <w:tcPr>
            <w:tcW w:w="1203" w:type="dxa"/>
          </w:tcPr>
          <w:p w14:paraId="1BDDE0E5">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b/>
                <w:bCs/>
                <w:color w:val="auto"/>
                <w:lang w:eastAsia="zh-CN"/>
              </w:rPr>
            </w:pPr>
          </w:p>
        </w:tc>
      </w:tr>
      <w:tr w14:paraId="0C565F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5" w:type="dxa"/>
          </w:tcPr>
          <w:p w14:paraId="482AE5FB">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b/>
                <w:bCs/>
                <w:color w:val="auto"/>
                <w:lang w:eastAsia="zh-CN"/>
              </w:rPr>
            </w:pPr>
          </w:p>
        </w:tc>
        <w:tc>
          <w:tcPr>
            <w:tcW w:w="1357" w:type="dxa"/>
          </w:tcPr>
          <w:p w14:paraId="30C5973D">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b/>
                <w:bCs/>
                <w:color w:val="auto"/>
                <w:lang w:eastAsia="zh-CN"/>
              </w:rPr>
            </w:pPr>
          </w:p>
        </w:tc>
        <w:tc>
          <w:tcPr>
            <w:tcW w:w="1326" w:type="dxa"/>
          </w:tcPr>
          <w:p w14:paraId="2747DCD3">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b/>
                <w:bCs/>
                <w:color w:val="auto"/>
                <w:lang w:eastAsia="zh-CN"/>
              </w:rPr>
            </w:pPr>
          </w:p>
        </w:tc>
        <w:tc>
          <w:tcPr>
            <w:tcW w:w="1326" w:type="dxa"/>
          </w:tcPr>
          <w:p w14:paraId="0AEF4014">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b/>
                <w:bCs/>
                <w:color w:val="auto"/>
                <w:lang w:eastAsia="zh-CN"/>
              </w:rPr>
            </w:pPr>
          </w:p>
        </w:tc>
        <w:tc>
          <w:tcPr>
            <w:tcW w:w="2749" w:type="dxa"/>
          </w:tcPr>
          <w:p w14:paraId="177A064D">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b/>
                <w:bCs/>
                <w:color w:val="auto"/>
                <w:lang w:eastAsia="zh-CN"/>
              </w:rPr>
            </w:pPr>
          </w:p>
        </w:tc>
        <w:tc>
          <w:tcPr>
            <w:tcW w:w="1203" w:type="dxa"/>
          </w:tcPr>
          <w:p w14:paraId="3F5072F1">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b/>
                <w:bCs/>
                <w:color w:val="auto"/>
                <w:lang w:eastAsia="zh-CN"/>
              </w:rPr>
            </w:pPr>
          </w:p>
        </w:tc>
      </w:tr>
      <w:tr w14:paraId="668C23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5" w:type="dxa"/>
          </w:tcPr>
          <w:p w14:paraId="689B2E3B">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b/>
                <w:bCs/>
                <w:color w:val="auto"/>
                <w:lang w:eastAsia="zh-CN"/>
              </w:rPr>
            </w:pPr>
          </w:p>
        </w:tc>
        <w:tc>
          <w:tcPr>
            <w:tcW w:w="1357" w:type="dxa"/>
          </w:tcPr>
          <w:p w14:paraId="24498120">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b/>
                <w:bCs/>
                <w:color w:val="auto"/>
                <w:lang w:eastAsia="zh-CN"/>
              </w:rPr>
            </w:pPr>
          </w:p>
        </w:tc>
        <w:tc>
          <w:tcPr>
            <w:tcW w:w="1326" w:type="dxa"/>
          </w:tcPr>
          <w:p w14:paraId="32EB6D7C">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b/>
                <w:bCs/>
                <w:color w:val="auto"/>
                <w:lang w:eastAsia="zh-CN"/>
              </w:rPr>
            </w:pPr>
          </w:p>
        </w:tc>
        <w:tc>
          <w:tcPr>
            <w:tcW w:w="1326" w:type="dxa"/>
          </w:tcPr>
          <w:p w14:paraId="0CD4051E">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b/>
                <w:bCs/>
                <w:color w:val="auto"/>
                <w:lang w:eastAsia="zh-CN"/>
              </w:rPr>
            </w:pPr>
          </w:p>
        </w:tc>
        <w:tc>
          <w:tcPr>
            <w:tcW w:w="2749" w:type="dxa"/>
          </w:tcPr>
          <w:p w14:paraId="3CD505EC">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b/>
                <w:bCs/>
                <w:color w:val="auto"/>
                <w:lang w:eastAsia="zh-CN"/>
              </w:rPr>
            </w:pPr>
          </w:p>
        </w:tc>
        <w:tc>
          <w:tcPr>
            <w:tcW w:w="1203" w:type="dxa"/>
          </w:tcPr>
          <w:p w14:paraId="53510726">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b/>
                <w:bCs/>
                <w:color w:val="auto"/>
                <w:lang w:eastAsia="zh-CN"/>
              </w:rPr>
            </w:pPr>
          </w:p>
        </w:tc>
      </w:tr>
      <w:tr w14:paraId="2C7322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5" w:type="dxa"/>
          </w:tcPr>
          <w:p w14:paraId="293BF35F">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b/>
                <w:bCs/>
                <w:color w:val="auto"/>
                <w:lang w:eastAsia="zh-CN"/>
              </w:rPr>
            </w:pPr>
          </w:p>
        </w:tc>
        <w:tc>
          <w:tcPr>
            <w:tcW w:w="1357" w:type="dxa"/>
          </w:tcPr>
          <w:p w14:paraId="7BF44A9E">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b/>
                <w:bCs/>
                <w:color w:val="auto"/>
                <w:lang w:eastAsia="zh-CN"/>
              </w:rPr>
            </w:pPr>
          </w:p>
        </w:tc>
        <w:tc>
          <w:tcPr>
            <w:tcW w:w="1326" w:type="dxa"/>
          </w:tcPr>
          <w:p w14:paraId="65DF77B2">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b/>
                <w:bCs/>
                <w:color w:val="auto"/>
                <w:lang w:eastAsia="zh-CN"/>
              </w:rPr>
            </w:pPr>
          </w:p>
        </w:tc>
        <w:tc>
          <w:tcPr>
            <w:tcW w:w="1326" w:type="dxa"/>
          </w:tcPr>
          <w:p w14:paraId="48FFE1DF">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b/>
                <w:bCs/>
                <w:color w:val="auto"/>
                <w:lang w:eastAsia="zh-CN"/>
              </w:rPr>
            </w:pPr>
          </w:p>
        </w:tc>
        <w:tc>
          <w:tcPr>
            <w:tcW w:w="2749" w:type="dxa"/>
          </w:tcPr>
          <w:p w14:paraId="1B890BAB">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b/>
                <w:bCs/>
                <w:color w:val="auto"/>
                <w:lang w:eastAsia="zh-CN"/>
              </w:rPr>
            </w:pPr>
          </w:p>
        </w:tc>
        <w:tc>
          <w:tcPr>
            <w:tcW w:w="1203" w:type="dxa"/>
          </w:tcPr>
          <w:p w14:paraId="739168EC">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b/>
                <w:bCs/>
                <w:color w:val="auto"/>
                <w:lang w:eastAsia="zh-CN"/>
              </w:rPr>
            </w:pPr>
          </w:p>
        </w:tc>
      </w:tr>
    </w:tbl>
    <w:p w14:paraId="58079F6B">
      <w:pPr>
        <w:pStyle w:val="14"/>
        <w:pBdr>
          <w:top w:val="none" w:color="auto" w:sz="0" w:space="0"/>
          <w:left w:val="none" w:color="auto" w:sz="0" w:space="0"/>
          <w:bottom w:val="none" w:color="auto" w:sz="0" w:space="0"/>
          <w:right w:val="none" w:color="auto" w:sz="0" w:space="0"/>
          <w:between w:val="none" w:color="auto" w:sz="0" w:space="0"/>
        </w:pBdr>
        <w:tabs>
          <w:tab w:val="left" w:pos="5580"/>
        </w:tabs>
        <w:spacing w:line="360" w:lineRule="auto"/>
        <w:rPr>
          <w:rFonts w:hint="eastAsia" w:asciiTheme="minorEastAsia" w:hAnsiTheme="minorEastAsia" w:eastAsiaTheme="minorEastAsia" w:cstheme="minorEastAsia"/>
          <w:color w:val="auto"/>
          <w:sz w:val="22"/>
          <w:szCs w:val="18"/>
          <w:lang w:eastAsia="zh-CN"/>
        </w:rPr>
      </w:pPr>
      <w:r>
        <w:rPr>
          <w:rFonts w:hint="eastAsia" w:asciiTheme="minorEastAsia" w:hAnsiTheme="minorEastAsia" w:eastAsiaTheme="minorEastAsia" w:cstheme="minorEastAsia"/>
          <w:color w:val="auto"/>
          <w:sz w:val="22"/>
          <w:szCs w:val="18"/>
          <w:lang w:eastAsia="zh-CN"/>
        </w:rPr>
        <w:t>注：1、供应商可根据项目情况自行增加内容项完善表格，表格不够用，可按此表复制。</w:t>
      </w:r>
    </w:p>
    <w:p w14:paraId="377BBD03">
      <w:pPr>
        <w:pStyle w:val="14"/>
        <w:pBdr>
          <w:top w:val="none" w:color="auto" w:sz="0" w:space="0"/>
          <w:left w:val="none" w:color="auto" w:sz="0" w:space="0"/>
          <w:bottom w:val="none" w:color="auto" w:sz="0" w:space="0"/>
          <w:right w:val="none" w:color="auto" w:sz="0" w:space="0"/>
          <w:between w:val="none" w:color="auto" w:sz="0" w:space="0"/>
        </w:pBdr>
        <w:tabs>
          <w:tab w:val="left" w:pos="5580"/>
        </w:tabs>
        <w:spacing w:line="360" w:lineRule="auto"/>
        <w:ind w:firstLine="440" w:firstLineChars="200"/>
        <w:rPr>
          <w:rFonts w:hint="eastAsia" w:asciiTheme="minorEastAsia" w:hAnsiTheme="minorEastAsia" w:eastAsiaTheme="minorEastAsia" w:cstheme="minorEastAsia"/>
          <w:color w:val="auto"/>
          <w:sz w:val="22"/>
          <w:szCs w:val="18"/>
          <w:lang w:eastAsia="zh-CN"/>
        </w:rPr>
      </w:pPr>
      <w:r>
        <w:rPr>
          <w:rFonts w:hint="eastAsia" w:asciiTheme="minorEastAsia" w:hAnsiTheme="minorEastAsia" w:eastAsiaTheme="minorEastAsia" w:cstheme="minorEastAsia"/>
          <w:color w:val="auto"/>
          <w:sz w:val="22"/>
          <w:szCs w:val="18"/>
          <w:lang w:eastAsia="zh-CN"/>
        </w:rPr>
        <w:t>2、供应商须如实填写该表，如有隐瞒，后果由供应商自负。</w:t>
      </w:r>
    </w:p>
    <w:p w14:paraId="210F0092">
      <w:pPr>
        <w:pStyle w:val="14"/>
        <w:pBdr>
          <w:top w:val="none" w:color="auto" w:sz="0" w:space="0"/>
          <w:left w:val="none" w:color="auto" w:sz="0" w:space="0"/>
          <w:bottom w:val="none" w:color="auto" w:sz="0" w:space="0"/>
          <w:right w:val="none" w:color="auto" w:sz="0" w:space="0"/>
          <w:between w:val="none" w:color="auto" w:sz="0" w:space="0"/>
        </w:pBdr>
        <w:tabs>
          <w:tab w:val="left" w:pos="5580"/>
        </w:tabs>
        <w:spacing w:line="360" w:lineRule="auto"/>
        <w:ind w:firstLine="440" w:firstLineChars="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sz w:val="22"/>
          <w:szCs w:val="18"/>
          <w:lang w:eastAsia="zh-CN"/>
        </w:rPr>
        <w:t>3、即使微小的偏差也须写出。</w:t>
      </w:r>
    </w:p>
    <w:p w14:paraId="5795AAC4">
      <w:pPr>
        <w:pStyle w:val="41"/>
        <w:pBdr>
          <w:top w:val="none" w:color="auto" w:sz="0" w:space="0"/>
          <w:left w:val="none" w:color="auto" w:sz="0" w:space="0"/>
          <w:bottom w:val="none" w:color="auto" w:sz="0" w:space="0"/>
          <w:right w:val="none" w:color="auto" w:sz="0" w:space="0"/>
          <w:between w:val="none" w:color="auto" w:sz="0" w:space="0"/>
        </w:pBdr>
        <w:spacing w:line="317" w:lineRule="exact"/>
        <w:ind w:left="176"/>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xml:space="preserve">                          </w:t>
      </w:r>
    </w:p>
    <w:p w14:paraId="23C51738">
      <w:pPr>
        <w:pStyle w:val="41"/>
        <w:pBdr>
          <w:top w:val="none" w:color="auto" w:sz="0" w:space="0"/>
          <w:left w:val="none" w:color="auto" w:sz="0" w:space="0"/>
          <w:bottom w:val="none" w:color="auto" w:sz="0" w:space="0"/>
          <w:right w:val="none" w:color="auto" w:sz="0" w:space="0"/>
          <w:between w:val="none" w:color="auto" w:sz="0" w:space="0"/>
        </w:pBdr>
        <w:spacing w:line="317" w:lineRule="exact"/>
        <w:ind w:left="176"/>
        <w:rPr>
          <w:rFonts w:hint="eastAsia" w:asciiTheme="minorEastAsia" w:hAnsiTheme="minorEastAsia" w:eastAsiaTheme="minorEastAsia" w:cstheme="minorEastAsia"/>
          <w:color w:val="auto"/>
          <w:sz w:val="24"/>
          <w:szCs w:val="24"/>
          <w:lang w:val="en-US" w:eastAsia="zh-CN"/>
        </w:rPr>
      </w:pPr>
    </w:p>
    <w:p w14:paraId="2C14276F">
      <w:pPr>
        <w:pStyle w:val="41"/>
        <w:pBdr>
          <w:top w:val="none" w:color="auto" w:sz="0" w:space="0"/>
          <w:left w:val="none" w:color="auto" w:sz="0" w:space="0"/>
          <w:bottom w:val="none" w:color="auto" w:sz="0" w:space="0"/>
          <w:right w:val="none" w:color="auto" w:sz="0" w:space="0"/>
          <w:between w:val="none" w:color="auto" w:sz="0" w:space="0"/>
        </w:pBdr>
        <w:spacing w:line="317" w:lineRule="exact"/>
        <w:ind w:left="176"/>
        <w:rPr>
          <w:rFonts w:hint="eastAsia" w:asciiTheme="minorEastAsia" w:hAnsiTheme="minorEastAsia" w:eastAsiaTheme="minorEastAsia" w:cstheme="minorEastAsia"/>
          <w:color w:val="auto"/>
          <w:sz w:val="24"/>
          <w:szCs w:val="24"/>
          <w:lang w:val="en-US" w:eastAsia="zh-CN"/>
        </w:rPr>
      </w:pPr>
    </w:p>
    <w:p w14:paraId="417A17B2">
      <w:pPr>
        <w:pStyle w:val="41"/>
        <w:pBdr>
          <w:top w:val="none" w:color="auto" w:sz="0" w:space="0"/>
          <w:left w:val="none" w:color="auto" w:sz="0" w:space="0"/>
          <w:bottom w:val="none" w:color="auto" w:sz="0" w:space="0"/>
          <w:right w:val="none" w:color="auto" w:sz="0" w:space="0"/>
          <w:between w:val="none" w:color="auto" w:sz="0" w:space="0"/>
        </w:pBdr>
        <w:spacing w:line="317" w:lineRule="exact"/>
        <w:ind w:left="176"/>
        <w:rPr>
          <w:rFonts w:hint="eastAsia" w:asciiTheme="minorEastAsia" w:hAnsiTheme="minorEastAsia" w:eastAsiaTheme="minorEastAsia" w:cstheme="minorEastAsia"/>
          <w:color w:val="auto"/>
          <w:sz w:val="24"/>
          <w:szCs w:val="24"/>
          <w:lang w:val="en-US" w:eastAsia="zh-CN"/>
        </w:rPr>
      </w:pPr>
    </w:p>
    <w:p w14:paraId="238DAEFD">
      <w:pPr>
        <w:pStyle w:val="41"/>
        <w:pBdr>
          <w:top w:val="none" w:color="auto" w:sz="0" w:space="0"/>
          <w:left w:val="none" w:color="auto" w:sz="0" w:space="0"/>
          <w:bottom w:val="none" w:color="auto" w:sz="0" w:space="0"/>
          <w:right w:val="none" w:color="auto" w:sz="0" w:space="0"/>
          <w:between w:val="none" w:color="auto" w:sz="0" w:space="0"/>
        </w:pBdr>
        <w:spacing w:line="317" w:lineRule="exact"/>
        <w:ind w:left="176"/>
        <w:rPr>
          <w:rFonts w:hint="eastAsia" w:asciiTheme="minorEastAsia" w:hAnsiTheme="minorEastAsia" w:eastAsiaTheme="minorEastAsia" w:cstheme="minorEastAsia"/>
          <w:color w:val="auto"/>
          <w:sz w:val="24"/>
          <w:szCs w:val="24"/>
          <w:lang w:val="en-US" w:eastAsia="zh-CN"/>
        </w:rPr>
      </w:pPr>
    </w:p>
    <w:p w14:paraId="6FACC890">
      <w:pPr>
        <w:pStyle w:val="41"/>
        <w:pBdr>
          <w:top w:val="none" w:color="auto" w:sz="0" w:space="0"/>
          <w:left w:val="none" w:color="auto" w:sz="0" w:space="0"/>
          <w:bottom w:val="none" w:color="auto" w:sz="0" w:space="0"/>
          <w:right w:val="none" w:color="auto" w:sz="0" w:space="0"/>
          <w:between w:val="none" w:color="auto" w:sz="0" w:space="0"/>
        </w:pBdr>
        <w:spacing w:line="317" w:lineRule="exact"/>
        <w:ind w:left="176"/>
        <w:rPr>
          <w:rFonts w:hint="eastAsia" w:asciiTheme="minorEastAsia" w:hAnsiTheme="minorEastAsia" w:eastAsiaTheme="minorEastAsia" w:cstheme="minorEastAsia"/>
          <w:color w:val="auto"/>
          <w:sz w:val="24"/>
          <w:szCs w:val="24"/>
          <w:lang w:val="en-US" w:eastAsia="zh-CN"/>
        </w:rPr>
      </w:pPr>
    </w:p>
    <w:p w14:paraId="01DFCC9A">
      <w:pPr>
        <w:pStyle w:val="41"/>
        <w:pBdr>
          <w:top w:val="none" w:color="auto" w:sz="0" w:space="0"/>
          <w:left w:val="none" w:color="auto" w:sz="0" w:space="0"/>
          <w:bottom w:val="none" w:color="auto" w:sz="0" w:space="0"/>
          <w:right w:val="none" w:color="auto" w:sz="0" w:space="0"/>
          <w:between w:val="none" w:color="auto" w:sz="0" w:space="0"/>
        </w:pBdr>
        <w:spacing w:line="317" w:lineRule="exact"/>
        <w:ind w:left="176"/>
        <w:rPr>
          <w:rFonts w:hint="eastAsia" w:asciiTheme="minorEastAsia" w:hAnsiTheme="minorEastAsia" w:eastAsiaTheme="minorEastAsia" w:cstheme="minorEastAsia"/>
          <w:color w:val="auto"/>
          <w:sz w:val="24"/>
          <w:szCs w:val="24"/>
          <w:lang w:val="en-US" w:eastAsia="zh-CN"/>
        </w:rPr>
      </w:pPr>
    </w:p>
    <w:p w14:paraId="5B9140AD">
      <w:pPr>
        <w:pStyle w:val="41"/>
        <w:pBdr>
          <w:top w:val="none" w:color="auto" w:sz="0" w:space="0"/>
          <w:left w:val="none" w:color="auto" w:sz="0" w:space="0"/>
          <w:bottom w:val="none" w:color="auto" w:sz="0" w:space="0"/>
          <w:right w:val="none" w:color="auto" w:sz="0" w:space="0"/>
          <w:between w:val="none" w:color="auto" w:sz="0" w:space="0"/>
        </w:pBdr>
        <w:spacing w:line="317" w:lineRule="exact"/>
        <w:ind w:left="176"/>
        <w:rPr>
          <w:rFonts w:hint="eastAsia" w:asciiTheme="minorEastAsia" w:hAnsiTheme="minorEastAsia" w:eastAsiaTheme="minorEastAsia" w:cstheme="minorEastAsia"/>
          <w:color w:val="auto"/>
          <w:sz w:val="24"/>
          <w:szCs w:val="24"/>
          <w:lang w:val="en-US" w:eastAsia="zh-CN"/>
        </w:rPr>
      </w:pPr>
    </w:p>
    <w:p w14:paraId="0059CF20">
      <w:pPr>
        <w:pStyle w:val="41"/>
        <w:pBdr>
          <w:top w:val="none" w:color="auto" w:sz="0" w:space="0"/>
          <w:left w:val="none" w:color="auto" w:sz="0" w:space="0"/>
          <w:bottom w:val="none" w:color="auto" w:sz="0" w:space="0"/>
          <w:right w:val="none" w:color="auto" w:sz="0" w:space="0"/>
          <w:between w:val="none" w:color="auto" w:sz="0" w:space="0"/>
        </w:pBdr>
        <w:spacing w:line="317" w:lineRule="exact"/>
        <w:ind w:left="176"/>
        <w:rPr>
          <w:rFonts w:hint="eastAsia" w:asciiTheme="minorEastAsia" w:hAnsiTheme="minorEastAsia" w:eastAsiaTheme="minorEastAsia" w:cstheme="minorEastAsia"/>
          <w:color w:val="auto"/>
          <w:sz w:val="24"/>
          <w:szCs w:val="24"/>
          <w:lang w:val="en-US" w:eastAsia="zh-CN"/>
        </w:rPr>
      </w:pPr>
    </w:p>
    <w:p w14:paraId="37B161C3">
      <w:pPr>
        <w:pStyle w:val="41"/>
        <w:pBdr>
          <w:top w:val="none" w:color="auto" w:sz="0" w:space="0"/>
          <w:left w:val="none" w:color="auto" w:sz="0" w:space="0"/>
          <w:bottom w:val="none" w:color="auto" w:sz="0" w:space="0"/>
          <w:right w:val="none" w:color="auto" w:sz="0" w:space="0"/>
          <w:between w:val="none" w:color="auto" w:sz="0" w:space="0"/>
        </w:pBdr>
        <w:spacing w:line="360" w:lineRule="auto"/>
        <w:ind w:firstLine="5280" w:firstLineChars="2200"/>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lang w:eastAsia="zh-CN"/>
        </w:rPr>
        <w:t>供应商</w:t>
      </w:r>
      <w:r>
        <w:rPr>
          <w:rFonts w:hint="eastAsia" w:asciiTheme="minorEastAsia" w:hAnsiTheme="minorEastAsia" w:eastAsiaTheme="minorEastAsia" w:cstheme="minorEastAsia"/>
          <w:color w:val="auto"/>
          <w:sz w:val="24"/>
          <w:szCs w:val="24"/>
        </w:rPr>
        <w:t>（盖章）：</w:t>
      </w:r>
      <w:r>
        <w:rPr>
          <w:rFonts w:hint="eastAsia" w:asciiTheme="minorEastAsia" w:hAnsiTheme="minorEastAsia" w:eastAsiaTheme="minorEastAsia" w:cstheme="minorEastAsia"/>
          <w:color w:val="auto"/>
          <w:sz w:val="24"/>
          <w:szCs w:val="24"/>
          <w:u w:val="single"/>
        </w:rPr>
        <w:t xml:space="preserve">       </w:t>
      </w:r>
    </w:p>
    <w:p w14:paraId="206EE603">
      <w:pPr>
        <w:pStyle w:val="41"/>
        <w:pBdr>
          <w:top w:val="none" w:color="auto" w:sz="0" w:space="0"/>
          <w:left w:val="none" w:color="auto" w:sz="0" w:space="0"/>
          <w:bottom w:val="none" w:color="auto" w:sz="0" w:space="0"/>
          <w:right w:val="none" w:color="auto" w:sz="0" w:space="0"/>
          <w:between w:val="none" w:color="auto" w:sz="0" w:space="0"/>
        </w:pBdr>
        <w:spacing w:line="360" w:lineRule="auto"/>
        <w:ind w:left="176"/>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 xml:space="preserve">                  </w:t>
      </w:r>
      <w:r>
        <w:rPr>
          <w:rFonts w:hint="eastAsia" w:asciiTheme="minorEastAsia" w:hAnsiTheme="minorEastAsia" w:eastAsiaTheme="minorEastAsia" w:cstheme="minorEastAsia"/>
          <w:color w:val="auto"/>
          <w:sz w:val="24"/>
          <w:szCs w:val="24"/>
        </w:rPr>
        <w:t>法定代表人或其委托代理人</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签字或盖章）：</w:t>
      </w:r>
      <w:r>
        <w:rPr>
          <w:rFonts w:hint="eastAsia" w:asciiTheme="minorEastAsia" w:hAnsiTheme="minorEastAsia" w:eastAsiaTheme="minorEastAsia" w:cstheme="minorEastAsia"/>
          <w:color w:val="auto"/>
          <w:sz w:val="24"/>
          <w:szCs w:val="24"/>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 xml:space="preserve">      </w:t>
      </w:r>
    </w:p>
    <w:p w14:paraId="5F09742E">
      <w:pPr>
        <w:pBdr>
          <w:top w:val="none" w:color="auto" w:sz="0" w:space="0"/>
          <w:left w:val="none" w:color="auto" w:sz="0" w:space="0"/>
          <w:bottom w:val="none" w:color="auto" w:sz="0" w:space="0"/>
          <w:right w:val="none" w:color="auto" w:sz="0" w:space="0"/>
          <w:between w:val="none" w:color="auto" w:sz="0" w:space="0"/>
        </w:pBdr>
        <w:outlineLvl w:val="9"/>
        <w:rPr>
          <w:rFonts w:hint="eastAsia" w:asciiTheme="minorEastAsia" w:hAnsiTheme="minorEastAsia" w:eastAsiaTheme="minorEastAsia" w:cstheme="minorEastAsia"/>
          <w:color w:val="auto"/>
          <w:sz w:val="36"/>
          <w:szCs w:val="36"/>
          <w:lang w:eastAsia="zh-CN"/>
        </w:rPr>
      </w:pPr>
      <w:r>
        <w:rPr>
          <w:rFonts w:hint="eastAsia" w:asciiTheme="minorEastAsia" w:hAnsiTheme="minorEastAsia" w:eastAsiaTheme="minorEastAsia" w:cstheme="minorEastAsia"/>
          <w:color w:val="auto"/>
          <w:sz w:val="24"/>
          <w:szCs w:val="24"/>
          <w:lang w:val="en-US" w:eastAsia="zh-CN"/>
        </w:rPr>
        <w:t xml:space="preserve">                                         </w:t>
      </w:r>
      <w:r>
        <w:rPr>
          <w:rFonts w:hint="eastAsia" w:asciiTheme="minorEastAsia" w:hAnsiTheme="minorEastAsia" w:eastAsiaTheme="minorEastAsia" w:cstheme="minorEastAsia"/>
          <w:color w:val="auto"/>
          <w:sz w:val="24"/>
          <w:szCs w:val="24"/>
        </w:rPr>
        <w:t>日期：</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年</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月</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日</w:t>
      </w:r>
    </w:p>
    <w:p w14:paraId="2D39B666">
      <w:pPr>
        <w:pBdr>
          <w:top w:val="none" w:color="auto" w:sz="0" w:space="0"/>
          <w:left w:val="none" w:color="auto" w:sz="0" w:space="0"/>
          <w:bottom w:val="none" w:color="auto" w:sz="0" w:space="0"/>
          <w:right w:val="none" w:color="auto" w:sz="0" w:space="0"/>
          <w:between w:val="none" w:color="auto" w:sz="0" w:space="0"/>
        </w:pBdr>
        <w:outlineLvl w:val="9"/>
        <w:rPr>
          <w:rFonts w:hint="eastAsia" w:asciiTheme="minorEastAsia" w:hAnsiTheme="minorEastAsia" w:eastAsiaTheme="minorEastAsia" w:cstheme="minorEastAsia"/>
          <w:color w:val="auto"/>
          <w:lang w:eastAsia="zh-CN"/>
        </w:rPr>
      </w:pPr>
    </w:p>
    <w:p w14:paraId="1A172566">
      <w:pPr>
        <w:pStyle w:val="38"/>
        <w:pBdr>
          <w:top w:val="none" w:color="auto" w:sz="0" w:space="0"/>
          <w:left w:val="none" w:color="auto" w:sz="0" w:space="0"/>
          <w:bottom w:val="none" w:color="auto" w:sz="0" w:space="0"/>
          <w:right w:val="none" w:color="auto" w:sz="0" w:space="0"/>
          <w:between w:val="none" w:color="auto" w:sz="0" w:space="0"/>
        </w:pBdr>
        <w:spacing w:after="0"/>
        <w:ind w:firstLine="420"/>
        <w:jc w:val="center"/>
        <w:outlineLvl w:val="9"/>
        <w:rPr>
          <w:rFonts w:hint="eastAsia" w:asciiTheme="minorEastAsia" w:hAnsiTheme="minorEastAsia" w:eastAsiaTheme="minorEastAsia" w:cstheme="minorEastAsia"/>
          <w:color w:val="auto"/>
          <w:sz w:val="36"/>
          <w:szCs w:val="36"/>
          <w:lang w:eastAsia="zh-CN"/>
        </w:rPr>
      </w:pPr>
    </w:p>
    <w:p w14:paraId="05027254">
      <w:pPr>
        <w:pStyle w:val="38"/>
        <w:pBdr>
          <w:top w:val="none" w:color="auto" w:sz="0" w:space="0"/>
          <w:left w:val="none" w:color="auto" w:sz="0" w:space="0"/>
          <w:bottom w:val="none" w:color="auto" w:sz="0" w:space="0"/>
          <w:right w:val="none" w:color="auto" w:sz="0" w:space="0"/>
          <w:between w:val="none" w:color="auto" w:sz="0" w:space="0"/>
        </w:pBdr>
        <w:spacing w:after="0"/>
        <w:ind w:firstLine="420"/>
        <w:jc w:val="center"/>
        <w:outlineLvl w:val="9"/>
        <w:rPr>
          <w:rFonts w:hint="eastAsia" w:asciiTheme="minorEastAsia" w:hAnsiTheme="minorEastAsia" w:eastAsiaTheme="minorEastAsia" w:cstheme="minorEastAsia"/>
          <w:color w:val="auto"/>
          <w:sz w:val="36"/>
          <w:szCs w:val="36"/>
          <w:lang w:eastAsia="zh-CN"/>
        </w:rPr>
      </w:pPr>
    </w:p>
    <w:p w14:paraId="49E8C3CD">
      <w:pPr>
        <w:pStyle w:val="38"/>
        <w:pBdr>
          <w:top w:val="none" w:color="auto" w:sz="0" w:space="0"/>
          <w:left w:val="none" w:color="auto" w:sz="0" w:space="0"/>
          <w:bottom w:val="none" w:color="auto" w:sz="0" w:space="0"/>
          <w:right w:val="none" w:color="auto" w:sz="0" w:space="0"/>
          <w:between w:val="none" w:color="auto" w:sz="0" w:space="0"/>
        </w:pBdr>
        <w:spacing w:after="0"/>
        <w:ind w:firstLine="420"/>
        <w:jc w:val="center"/>
        <w:outlineLvl w:val="9"/>
        <w:rPr>
          <w:rFonts w:hint="eastAsia" w:asciiTheme="minorEastAsia" w:hAnsiTheme="minorEastAsia" w:eastAsiaTheme="minorEastAsia" w:cstheme="minorEastAsia"/>
          <w:color w:val="auto"/>
          <w:sz w:val="36"/>
          <w:szCs w:val="36"/>
          <w:lang w:eastAsia="zh-CN"/>
        </w:rPr>
      </w:pPr>
    </w:p>
    <w:p w14:paraId="67C85C90">
      <w:pPr>
        <w:pStyle w:val="38"/>
        <w:pBdr>
          <w:top w:val="none" w:color="auto" w:sz="0" w:space="0"/>
          <w:left w:val="none" w:color="auto" w:sz="0" w:space="0"/>
          <w:bottom w:val="none" w:color="auto" w:sz="0" w:space="0"/>
          <w:right w:val="none" w:color="auto" w:sz="0" w:space="0"/>
          <w:between w:val="none" w:color="auto" w:sz="0" w:space="0"/>
        </w:pBdr>
        <w:spacing w:after="0"/>
        <w:ind w:firstLine="420"/>
        <w:jc w:val="center"/>
        <w:outlineLvl w:val="9"/>
        <w:rPr>
          <w:rFonts w:hint="eastAsia" w:asciiTheme="minorEastAsia" w:hAnsiTheme="minorEastAsia" w:eastAsiaTheme="minorEastAsia" w:cstheme="minorEastAsia"/>
          <w:color w:val="auto"/>
          <w:sz w:val="36"/>
          <w:szCs w:val="36"/>
          <w:lang w:eastAsia="zh-CN"/>
        </w:rPr>
      </w:pPr>
    </w:p>
    <w:p w14:paraId="01AC6DA9">
      <w:pPr>
        <w:pStyle w:val="38"/>
        <w:pBdr>
          <w:top w:val="none" w:color="auto" w:sz="0" w:space="0"/>
          <w:left w:val="none" w:color="auto" w:sz="0" w:space="0"/>
          <w:bottom w:val="none" w:color="auto" w:sz="0" w:space="0"/>
          <w:right w:val="none" w:color="auto" w:sz="0" w:space="0"/>
          <w:between w:val="none" w:color="auto" w:sz="0" w:space="0"/>
        </w:pBdr>
        <w:spacing w:after="0"/>
        <w:ind w:firstLine="420"/>
        <w:jc w:val="center"/>
        <w:outlineLvl w:val="9"/>
        <w:rPr>
          <w:rFonts w:hint="eastAsia" w:asciiTheme="minorEastAsia" w:hAnsiTheme="minorEastAsia" w:eastAsiaTheme="minorEastAsia" w:cstheme="minorEastAsia"/>
          <w:color w:val="auto"/>
          <w:sz w:val="36"/>
          <w:szCs w:val="36"/>
          <w:lang w:eastAsia="zh-CN"/>
        </w:rPr>
      </w:pPr>
    </w:p>
    <w:p w14:paraId="4EF7AC3C">
      <w:pPr>
        <w:pStyle w:val="38"/>
        <w:pBdr>
          <w:top w:val="none" w:color="auto" w:sz="0" w:space="0"/>
          <w:left w:val="none" w:color="auto" w:sz="0" w:space="0"/>
          <w:bottom w:val="none" w:color="auto" w:sz="0" w:space="0"/>
          <w:right w:val="none" w:color="auto" w:sz="0" w:space="0"/>
          <w:between w:val="none" w:color="auto" w:sz="0" w:space="0"/>
        </w:pBdr>
        <w:spacing w:after="0"/>
        <w:ind w:firstLine="420"/>
        <w:jc w:val="center"/>
        <w:outlineLvl w:val="9"/>
        <w:rPr>
          <w:rFonts w:hint="eastAsia" w:asciiTheme="minorEastAsia" w:hAnsiTheme="minorEastAsia" w:eastAsiaTheme="minorEastAsia" w:cstheme="minorEastAsia"/>
          <w:color w:val="auto"/>
          <w:sz w:val="36"/>
          <w:szCs w:val="36"/>
          <w:lang w:eastAsia="zh-CN"/>
        </w:rPr>
      </w:pPr>
    </w:p>
    <w:p w14:paraId="45DE141C">
      <w:pPr>
        <w:pStyle w:val="38"/>
        <w:pBdr>
          <w:top w:val="none" w:color="auto" w:sz="0" w:space="0"/>
          <w:left w:val="none" w:color="auto" w:sz="0" w:space="0"/>
          <w:bottom w:val="none" w:color="auto" w:sz="0" w:space="0"/>
          <w:right w:val="none" w:color="auto" w:sz="0" w:space="0"/>
          <w:between w:val="none" w:color="auto" w:sz="0" w:space="0"/>
        </w:pBdr>
        <w:spacing w:after="0"/>
        <w:ind w:firstLine="420"/>
        <w:jc w:val="center"/>
        <w:outlineLvl w:val="9"/>
        <w:rPr>
          <w:rFonts w:hint="eastAsia" w:asciiTheme="minorEastAsia" w:hAnsiTheme="minorEastAsia" w:eastAsiaTheme="minorEastAsia" w:cstheme="minorEastAsia"/>
          <w:color w:val="auto"/>
          <w:sz w:val="36"/>
          <w:szCs w:val="36"/>
          <w:lang w:eastAsia="zh-CN"/>
        </w:rPr>
      </w:pPr>
    </w:p>
    <w:p w14:paraId="3258BCB6">
      <w:pPr>
        <w:pBdr>
          <w:top w:val="none" w:color="auto" w:sz="0" w:space="0"/>
          <w:left w:val="none" w:color="auto" w:sz="0" w:space="0"/>
          <w:bottom w:val="none" w:color="auto" w:sz="0" w:space="0"/>
          <w:right w:val="none" w:color="auto" w:sz="0" w:space="0"/>
          <w:between w:val="none" w:color="auto" w:sz="0" w:space="0"/>
        </w:pBdr>
        <w:jc w:val="center"/>
        <w:outlineLvl w:val="1"/>
        <w:rPr>
          <w:rFonts w:hint="eastAsia" w:asciiTheme="minorEastAsia" w:hAnsiTheme="minorEastAsia" w:eastAsiaTheme="minorEastAsia" w:cstheme="minorEastAsia"/>
          <w:b/>
          <w:bCs/>
          <w:color w:val="auto"/>
          <w:sz w:val="36"/>
          <w:szCs w:val="36"/>
          <w:lang w:eastAsia="zh-CN"/>
        </w:rPr>
      </w:pPr>
      <w:r>
        <w:rPr>
          <w:rFonts w:hint="eastAsia" w:asciiTheme="minorEastAsia" w:hAnsiTheme="minorEastAsia" w:eastAsiaTheme="minorEastAsia" w:cstheme="minorEastAsia"/>
          <w:b/>
          <w:bCs/>
          <w:color w:val="auto"/>
          <w:sz w:val="36"/>
          <w:szCs w:val="36"/>
          <w:lang w:eastAsia="zh-CN"/>
        </w:rPr>
        <w:t>6、投标人基本情况表</w:t>
      </w:r>
    </w:p>
    <w:p w14:paraId="114C5914">
      <w:pPr>
        <w:pStyle w:val="12"/>
        <w:numPr>
          <w:ilvl w:val="0"/>
          <w:numId w:val="0"/>
        </w:numPr>
        <w:pBdr>
          <w:top w:val="none" w:color="auto" w:sz="0" w:space="0"/>
          <w:left w:val="none" w:color="auto" w:sz="0" w:space="0"/>
          <w:bottom w:val="none" w:color="auto" w:sz="0" w:space="0"/>
          <w:right w:val="none" w:color="auto" w:sz="0" w:space="0"/>
          <w:between w:val="none" w:color="auto" w:sz="0" w:space="0"/>
        </w:pBdr>
        <w:kinsoku w:val="0"/>
        <w:overflowPunct w:val="0"/>
        <w:spacing w:before="5"/>
        <w:rPr>
          <w:rFonts w:hint="eastAsia" w:asciiTheme="minorEastAsia" w:hAnsiTheme="minorEastAsia" w:eastAsiaTheme="minorEastAsia" w:cstheme="minorEastAsia"/>
          <w:b/>
          <w:bCs/>
          <w:color w:val="auto"/>
          <w:sz w:val="6"/>
          <w:szCs w:val="6"/>
          <w:lang w:eastAsia="zh-CN"/>
        </w:rPr>
      </w:pPr>
    </w:p>
    <w:tbl>
      <w:tblPr>
        <w:tblStyle w:val="25"/>
        <w:tblW w:w="8714" w:type="dxa"/>
        <w:jc w:val="center"/>
        <w:tblLayout w:type="fixed"/>
        <w:tblCellMar>
          <w:top w:w="0" w:type="dxa"/>
          <w:left w:w="0" w:type="dxa"/>
          <w:bottom w:w="0" w:type="dxa"/>
          <w:right w:w="0" w:type="dxa"/>
        </w:tblCellMar>
      </w:tblPr>
      <w:tblGrid>
        <w:gridCol w:w="1242"/>
        <w:gridCol w:w="1445"/>
        <w:gridCol w:w="849"/>
        <w:gridCol w:w="493"/>
        <w:gridCol w:w="655"/>
        <w:gridCol w:w="688"/>
        <w:gridCol w:w="458"/>
        <w:gridCol w:w="367"/>
        <w:gridCol w:w="552"/>
        <w:gridCol w:w="1965"/>
      </w:tblGrid>
      <w:tr w14:paraId="18D2CC4A">
        <w:tblPrEx>
          <w:tblCellMar>
            <w:top w:w="0" w:type="dxa"/>
            <w:left w:w="0" w:type="dxa"/>
            <w:bottom w:w="0" w:type="dxa"/>
            <w:right w:w="0" w:type="dxa"/>
          </w:tblCellMar>
        </w:tblPrEx>
        <w:trPr>
          <w:trHeight w:val="691" w:hRule="exact"/>
          <w:jc w:val="center"/>
        </w:trPr>
        <w:tc>
          <w:tcPr>
            <w:tcW w:w="1242" w:type="dxa"/>
            <w:tcBorders>
              <w:top w:val="single" w:color="000000" w:sz="4" w:space="0"/>
              <w:left w:val="single" w:color="000000" w:sz="4" w:space="0"/>
              <w:bottom w:val="single" w:color="000000" w:sz="4" w:space="0"/>
              <w:right w:val="single" w:color="000000" w:sz="4" w:space="0"/>
            </w:tcBorders>
          </w:tcPr>
          <w:p w14:paraId="39020844">
            <w:pPr>
              <w:pStyle w:val="42"/>
              <w:pBdr>
                <w:top w:val="none" w:color="auto" w:sz="0" w:space="0"/>
                <w:left w:val="none" w:color="auto" w:sz="0" w:space="0"/>
                <w:bottom w:val="none" w:color="auto" w:sz="0" w:space="0"/>
                <w:right w:val="none" w:color="auto" w:sz="0" w:space="0"/>
                <w:between w:val="none" w:color="auto" w:sz="0" w:space="0"/>
              </w:pBdr>
              <w:kinsoku w:val="0"/>
              <w:overflowPunct w:val="0"/>
              <w:spacing w:before="145"/>
              <w:ind w:left="137"/>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单位名称</w:t>
            </w:r>
          </w:p>
        </w:tc>
        <w:tc>
          <w:tcPr>
            <w:tcW w:w="7472" w:type="dxa"/>
            <w:gridSpan w:val="9"/>
            <w:tcBorders>
              <w:top w:val="single" w:color="000000" w:sz="4" w:space="0"/>
              <w:left w:val="single" w:color="000000" w:sz="4" w:space="0"/>
              <w:bottom w:val="single" w:color="000000" w:sz="4" w:space="0"/>
              <w:right w:val="single" w:color="000000" w:sz="4" w:space="0"/>
            </w:tcBorders>
          </w:tcPr>
          <w:p w14:paraId="1E03F4CB">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rPr>
            </w:pPr>
          </w:p>
        </w:tc>
      </w:tr>
      <w:tr w14:paraId="1DDC7C40">
        <w:tblPrEx>
          <w:tblCellMar>
            <w:top w:w="0" w:type="dxa"/>
            <w:left w:w="0" w:type="dxa"/>
            <w:bottom w:w="0" w:type="dxa"/>
            <w:right w:w="0" w:type="dxa"/>
          </w:tblCellMar>
        </w:tblPrEx>
        <w:trPr>
          <w:trHeight w:val="691" w:hRule="exact"/>
          <w:jc w:val="center"/>
        </w:trPr>
        <w:tc>
          <w:tcPr>
            <w:tcW w:w="1242" w:type="dxa"/>
            <w:tcBorders>
              <w:top w:val="single" w:color="000000" w:sz="4" w:space="0"/>
              <w:left w:val="single" w:color="000000" w:sz="4" w:space="0"/>
              <w:bottom w:val="single" w:color="000000" w:sz="4" w:space="0"/>
              <w:right w:val="single" w:color="000000" w:sz="4" w:space="0"/>
            </w:tcBorders>
          </w:tcPr>
          <w:p w14:paraId="69F403BA">
            <w:pPr>
              <w:pStyle w:val="42"/>
              <w:pBdr>
                <w:top w:val="none" w:color="auto" w:sz="0" w:space="0"/>
                <w:left w:val="none" w:color="auto" w:sz="0" w:space="0"/>
                <w:bottom w:val="none" w:color="auto" w:sz="0" w:space="0"/>
                <w:right w:val="none" w:color="auto" w:sz="0" w:space="0"/>
                <w:between w:val="none" w:color="auto" w:sz="0" w:space="0"/>
              </w:pBdr>
              <w:kinsoku w:val="0"/>
              <w:overflowPunct w:val="0"/>
              <w:spacing w:before="145"/>
              <w:ind w:left="137"/>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单位地址</w:t>
            </w:r>
          </w:p>
        </w:tc>
        <w:tc>
          <w:tcPr>
            <w:tcW w:w="7472" w:type="dxa"/>
            <w:gridSpan w:val="9"/>
            <w:tcBorders>
              <w:top w:val="single" w:color="000000" w:sz="4" w:space="0"/>
              <w:left w:val="single" w:color="000000" w:sz="4" w:space="0"/>
              <w:bottom w:val="single" w:color="000000" w:sz="4" w:space="0"/>
              <w:right w:val="single" w:color="000000" w:sz="4" w:space="0"/>
            </w:tcBorders>
          </w:tcPr>
          <w:p w14:paraId="513FF666">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rPr>
            </w:pPr>
          </w:p>
        </w:tc>
      </w:tr>
      <w:tr w14:paraId="5C723B80">
        <w:tblPrEx>
          <w:tblCellMar>
            <w:top w:w="0" w:type="dxa"/>
            <w:left w:w="0" w:type="dxa"/>
            <w:bottom w:w="0" w:type="dxa"/>
            <w:right w:w="0" w:type="dxa"/>
          </w:tblCellMar>
        </w:tblPrEx>
        <w:trPr>
          <w:trHeight w:val="691" w:hRule="exact"/>
          <w:jc w:val="center"/>
        </w:trPr>
        <w:tc>
          <w:tcPr>
            <w:tcW w:w="1242" w:type="dxa"/>
            <w:tcBorders>
              <w:top w:val="single" w:color="000000" w:sz="4" w:space="0"/>
              <w:left w:val="single" w:color="000000" w:sz="4" w:space="0"/>
              <w:bottom w:val="single" w:color="000000" w:sz="4" w:space="0"/>
              <w:right w:val="single" w:color="000000" w:sz="4" w:space="0"/>
            </w:tcBorders>
          </w:tcPr>
          <w:p w14:paraId="2E976AE2">
            <w:pPr>
              <w:pStyle w:val="42"/>
              <w:pBdr>
                <w:top w:val="none" w:color="auto" w:sz="0" w:space="0"/>
                <w:left w:val="none" w:color="auto" w:sz="0" w:space="0"/>
                <w:bottom w:val="none" w:color="auto" w:sz="0" w:space="0"/>
                <w:right w:val="none" w:color="auto" w:sz="0" w:space="0"/>
                <w:between w:val="none" w:color="auto" w:sz="0" w:space="0"/>
              </w:pBdr>
              <w:kinsoku w:val="0"/>
              <w:overflowPunct w:val="0"/>
              <w:spacing w:before="145"/>
              <w:ind w:left="137"/>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主管部门</w:t>
            </w:r>
          </w:p>
        </w:tc>
        <w:tc>
          <w:tcPr>
            <w:tcW w:w="7472" w:type="dxa"/>
            <w:gridSpan w:val="9"/>
            <w:tcBorders>
              <w:top w:val="single" w:color="000000" w:sz="4" w:space="0"/>
              <w:left w:val="single" w:color="000000" w:sz="4" w:space="0"/>
              <w:bottom w:val="single" w:color="000000" w:sz="4" w:space="0"/>
              <w:right w:val="single" w:color="000000" w:sz="4" w:space="0"/>
            </w:tcBorders>
          </w:tcPr>
          <w:p w14:paraId="01EC2C75">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rPr>
            </w:pPr>
          </w:p>
        </w:tc>
      </w:tr>
      <w:tr w14:paraId="5B1A933A">
        <w:tblPrEx>
          <w:tblCellMar>
            <w:top w:w="0" w:type="dxa"/>
            <w:left w:w="0" w:type="dxa"/>
            <w:bottom w:w="0" w:type="dxa"/>
            <w:right w:w="0" w:type="dxa"/>
          </w:tblCellMar>
        </w:tblPrEx>
        <w:trPr>
          <w:trHeight w:val="691" w:hRule="exact"/>
          <w:jc w:val="center"/>
        </w:trPr>
        <w:tc>
          <w:tcPr>
            <w:tcW w:w="1242" w:type="dxa"/>
            <w:tcBorders>
              <w:top w:val="single" w:color="000000" w:sz="4" w:space="0"/>
              <w:left w:val="single" w:color="000000" w:sz="4" w:space="0"/>
              <w:bottom w:val="single" w:color="000000" w:sz="4" w:space="0"/>
              <w:right w:val="single" w:color="000000" w:sz="4" w:space="0"/>
            </w:tcBorders>
          </w:tcPr>
          <w:p w14:paraId="256183C8">
            <w:pPr>
              <w:pStyle w:val="42"/>
              <w:pBdr>
                <w:top w:val="none" w:color="auto" w:sz="0" w:space="0"/>
                <w:left w:val="none" w:color="auto" w:sz="0" w:space="0"/>
                <w:bottom w:val="none" w:color="auto" w:sz="0" w:space="0"/>
                <w:right w:val="none" w:color="auto" w:sz="0" w:space="0"/>
                <w:between w:val="none" w:color="auto" w:sz="0" w:space="0"/>
              </w:pBdr>
              <w:kinsoku w:val="0"/>
              <w:overflowPunct w:val="0"/>
              <w:spacing w:before="145"/>
              <w:ind w:left="137"/>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成立时间</w:t>
            </w:r>
          </w:p>
        </w:tc>
        <w:tc>
          <w:tcPr>
            <w:tcW w:w="2294" w:type="dxa"/>
            <w:gridSpan w:val="2"/>
            <w:tcBorders>
              <w:top w:val="single" w:color="000000" w:sz="4" w:space="0"/>
              <w:left w:val="single" w:color="000000" w:sz="4" w:space="0"/>
              <w:bottom w:val="single" w:color="000000" w:sz="4" w:space="0"/>
              <w:right w:val="single" w:color="000000" w:sz="4" w:space="0"/>
            </w:tcBorders>
          </w:tcPr>
          <w:p w14:paraId="290957D0">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rPr>
            </w:pPr>
          </w:p>
        </w:tc>
        <w:tc>
          <w:tcPr>
            <w:tcW w:w="2294" w:type="dxa"/>
            <w:gridSpan w:val="4"/>
            <w:tcBorders>
              <w:top w:val="single" w:color="000000" w:sz="4" w:space="0"/>
              <w:left w:val="single" w:color="000000" w:sz="4" w:space="0"/>
              <w:bottom w:val="single" w:color="000000" w:sz="4" w:space="0"/>
              <w:right w:val="single" w:color="000000" w:sz="4" w:space="0"/>
            </w:tcBorders>
          </w:tcPr>
          <w:p w14:paraId="667A9D54">
            <w:pPr>
              <w:pStyle w:val="42"/>
              <w:pBdr>
                <w:top w:val="none" w:color="auto" w:sz="0" w:space="0"/>
                <w:left w:val="none" w:color="auto" w:sz="0" w:space="0"/>
                <w:bottom w:val="none" w:color="auto" w:sz="0" w:space="0"/>
                <w:right w:val="none" w:color="auto" w:sz="0" w:space="0"/>
                <w:between w:val="none" w:color="auto" w:sz="0" w:space="0"/>
              </w:pBdr>
              <w:kinsoku w:val="0"/>
              <w:overflowPunct w:val="0"/>
              <w:spacing w:before="145"/>
              <w:ind w:left="18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注册资金（万元）</w:t>
            </w:r>
          </w:p>
        </w:tc>
        <w:tc>
          <w:tcPr>
            <w:tcW w:w="2884" w:type="dxa"/>
            <w:gridSpan w:val="3"/>
            <w:tcBorders>
              <w:top w:val="single" w:color="000000" w:sz="4" w:space="0"/>
              <w:left w:val="single" w:color="000000" w:sz="4" w:space="0"/>
              <w:bottom w:val="single" w:color="000000" w:sz="4" w:space="0"/>
              <w:right w:val="single" w:color="000000" w:sz="4" w:space="0"/>
            </w:tcBorders>
          </w:tcPr>
          <w:p w14:paraId="08F28665">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rPr>
            </w:pPr>
          </w:p>
        </w:tc>
      </w:tr>
      <w:tr w14:paraId="5F4F6132">
        <w:tblPrEx>
          <w:tblCellMar>
            <w:top w:w="0" w:type="dxa"/>
            <w:left w:w="0" w:type="dxa"/>
            <w:bottom w:w="0" w:type="dxa"/>
            <w:right w:w="0" w:type="dxa"/>
          </w:tblCellMar>
        </w:tblPrEx>
        <w:trPr>
          <w:trHeight w:val="691" w:hRule="exact"/>
          <w:jc w:val="center"/>
        </w:trPr>
        <w:tc>
          <w:tcPr>
            <w:tcW w:w="1242" w:type="dxa"/>
            <w:tcBorders>
              <w:top w:val="single" w:color="000000" w:sz="4" w:space="0"/>
              <w:left w:val="single" w:color="000000" w:sz="4" w:space="0"/>
              <w:bottom w:val="single" w:color="000000" w:sz="4" w:space="0"/>
              <w:right w:val="single" w:color="000000" w:sz="4" w:space="0"/>
            </w:tcBorders>
          </w:tcPr>
          <w:p w14:paraId="258EFD4D">
            <w:pPr>
              <w:pStyle w:val="42"/>
              <w:pBdr>
                <w:top w:val="none" w:color="auto" w:sz="0" w:space="0"/>
                <w:left w:val="none" w:color="auto" w:sz="0" w:space="0"/>
                <w:bottom w:val="none" w:color="auto" w:sz="0" w:space="0"/>
                <w:right w:val="none" w:color="auto" w:sz="0" w:space="0"/>
                <w:between w:val="none" w:color="auto" w:sz="0" w:space="0"/>
              </w:pBdr>
              <w:kinsoku w:val="0"/>
              <w:overflowPunct w:val="0"/>
              <w:spacing w:before="146"/>
              <w:ind w:left="137"/>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单位性质</w:t>
            </w:r>
          </w:p>
        </w:tc>
        <w:tc>
          <w:tcPr>
            <w:tcW w:w="7472" w:type="dxa"/>
            <w:gridSpan w:val="9"/>
            <w:tcBorders>
              <w:top w:val="single" w:color="000000" w:sz="4" w:space="0"/>
              <w:left w:val="single" w:color="000000" w:sz="4" w:space="0"/>
              <w:bottom w:val="single" w:color="000000" w:sz="4" w:space="0"/>
              <w:right w:val="single" w:color="000000" w:sz="4" w:space="0"/>
            </w:tcBorders>
          </w:tcPr>
          <w:p w14:paraId="799835A8">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rPr>
            </w:pPr>
          </w:p>
        </w:tc>
      </w:tr>
      <w:tr w14:paraId="20D23917">
        <w:tblPrEx>
          <w:tblCellMar>
            <w:top w:w="0" w:type="dxa"/>
            <w:left w:w="0" w:type="dxa"/>
            <w:bottom w:w="0" w:type="dxa"/>
            <w:right w:w="0" w:type="dxa"/>
          </w:tblCellMar>
        </w:tblPrEx>
        <w:trPr>
          <w:trHeight w:val="933" w:hRule="exact"/>
          <w:jc w:val="center"/>
        </w:trPr>
        <w:tc>
          <w:tcPr>
            <w:tcW w:w="1242" w:type="dxa"/>
            <w:tcBorders>
              <w:top w:val="single" w:color="000000" w:sz="4" w:space="0"/>
              <w:left w:val="single" w:color="000000" w:sz="4" w:space="0"/>
              <w:bottom w:val="single" w:color="000000" w:sz="4" w:space="0"/>
              <w:right w:val="single" w:color="000000" w:sz="4" w:space="0"/>
            </w:tcBorders>
          </w:tcPr>
          <w:p w14:paraId="03509C0D">
            <w:pPr>
              <w:pStyle w:val="42"/>
              <w:pBdr>
                <w:top w:val="none" w:color="auto" w:sz="0" w:space="0"/>
                <w:left w:val="none" w:color="auto" w:sz="0" w:space="0"/>
                <w:bottom w:val="none" w:color="auto" w:sz="0" w:space="0"/>
                <w:right w:val="none" w:color="auto" w:sz="0" w:space="0"/>
                <w:between w:val="none" w:color="auto" w:sz="0" w:space="0"/>
              </w:pBdr>
              <w:kinsoku w:val="0"/>
              <w:overflowPunct w:val="0"/>
              <w:spacing w:before="141" w:line="312" w:lineRule="exact"/>
              <w:ind w:left="257" w:right="133" w:hanging="12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投标期间 联系人</w:t>
            </w:r>
          </w:p>
        </w:tc>
        <w:tc>
          <w:tcPr>
            <w:tcW w:w="1445" w:type="dxa"/>
            <w:tcBorders>
              <w:top w:val="single" w:color="000000" w:sz="4" w:space="0"/>
              <w:left w:val="single" w:color="000000" w:sz="4" w:space="0"/>
              <w:bottom w:val="single" w:color="000000" w:sz="4" w:space="0"/>
              <w:right w:val="single" w:color="000000" w:sz="4" w:space="0"/>
            </w:tcBorders>
          </w:tcPr>
          <w:p w14:paraId="467F4CE1">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rPr>
            </w:pPr>
          </w:p>
        </w:tc>
        <w:tc>
          <w:tcPr>
            <w:tcW w:w="1342" w:type="dxa"/>
            <w:gridSpan w:val="2"/>
            <w:tcBorders>
              <w:top w:val="single" w:color="000000" w:sz="4" w:space="0"/>
              <w:left w:val="single" w:color="000000" w:sz="4" w:space="0"/>
              <w:bottom w:val="single" w:color="000000" w:sz="4" w:space="0"/>
              <w:right w:val="single" w:color="000000" w:sz="4" w:space="0"/>
            </w:tcBorders>
          </w:tcPr>
          <w:p w14:paraId="1CB52963">
            <w:pPr>
              <w:pStyle w:val="42"/>
              <w:pBdr>
                <w:top w:val="none" w:color="auto" w:sz="0" w:space="0"/>
                <w:left w:val="none" w:color="auto" w:sz="0" w:space="0"/>
                <w:bottom w:val="none" w:color="auto" w:sz="0" w:space="0"/>
                <w:right w:val="none" w:color="auto" w:sz="0" w:space="0"/>
                <w:between w:val="none" w:color="auto" w:sz="0" w:space="0"/>
              </w:pBdr>
              <w:kinsoku w:val="0"/>
              <w:overflowPunct w:val="0"/>
              <w:spacing w:before="4"/>
              <w:rPr>
                <w:rFonts w:hint="eastAsia" w:asciiTheme="minorEastAsia" w:hAnsiTheme="minorEastAsia" w:eastAsiaTheme="minorEastAsia" w:cstheme="minorEastAsia"/>
                <w:b/>
                <w:bCs/>
                <w:color w:val="auto"/>
                <w:sz w:val="20"/>
                <w:szCs w:val="20"/>
              </w:rPr>
            </w:pPr>
          </w:p>
          <w:p w14:paraId="6D0176AE">
            <w:pPr>
              <w:pStyle w:val="42"/>
              <w:pBdr>
                <w:top w:val="none" w:color="auto" w:sz="0" w:space="0"/>
                <w:left w:val="none" w:color="auto" w:sz="0" w:space="0"/>
                <w:bottom w:val="none" w:color="auto" w:sz="0" w:space="0"/>
                <w:right w:val="none" w:color="auto" w:sz="0" w:space="0"/>
                <w:between w:val="none" w:color="auto" w:sz="0" w:space="0"/>
              </w:pBdr>
              <w:kinsoku w:val="0"/>
              <w:overflowPunct w:val="0"/>
              <w:ind w:left="366"/>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电 话</w:t>
            </w:r>
          </w:p>
        </w:tc>
        <w:tc>
          <w:tcPr>
            <w:tcW w:w="1343" w:type="dxa"/>
            <w:gridSpan w:val="2"/>
            <w:tcBorders>
              <w:top w:val="single" w:color="000000" w:sz="4" w:space="0"/>
              <w:left w:val="single" w:color="000000" w:sz="4" w:space="0"/>
              <w:bottom w:val="single" w:color="000000" w:sz="4" w:space="0"/>
              <w:right w:val="single" w:color="000000" w:sz="4" w:space="0"/>
            </w:tcBorders>
          </w:tcPr>
          <w:p w14:paraId="6C32E87F">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rPr>
            </w:pPr>
          </w:p>
        </w:tc>
        <w:tc>
          <w:tcPr>
            <w:tcW w:w="1377" w:type="dxa"/>
            <w:gridSpan w:val="3"/>
            <w:tcBorders>
              <w:top w:val="single" w:color="000000" w:sz="4" w:space="0"/>
              <w:left w:val="single" w:color="000000" w:sz="4" w:space="0"/>
              <w:bottom w:val="single" w:color="000000" w:sz="4" w:space="0"/>
              <w:right w:val="single" w:color="000000" w:sz="4" w:space="0"/>
            </w:tcBorders>
          </w:tcPr>
          <w:p w14:paraId="780E3091">
            <w:pPr>
              <w:pStyle w:val="42"/>
              <w:pBdr>
                <w:top w:val="none" w:color="auto" w:sz="0" w:space="0"/>
                <w:left w:val="none" w:color="auto" w:sz="0" w:space="0"/>
                <w:bottom w:val="none" w:color="auto" w:sz="0" w:space="0"/>
                <w:right w:val="none" w:color="auto" w:sz="0" w:space="0"/>
                <w:between w:val="none" w:color="auto" w:sz="0" w:space="0"/>
              </w:pBdr>
              <w:kinsoku w:val="0"/>
              <w:overflowPunct w:val="0"/>
              <w:spacing w:before="4"/>
              <w:rPr>
                <w:rFonts w:hint="eastAsia" w:asciiTheme="minorEastAsia" w:hAnsiTheme="minorEastAsia" w:eastAsiaTheme="minorEastAsia" w:cstheme="minorEastAsia"/>
                <w:b/>
                <w:bCs/>
                <w:color w:val="auto"/>
                <w:sz w:val="20"/>
                <w:szCs w:val="20"/>
              </w:rPr>
            </w:pPr>
          </w:p>
          <w:p w14:paraId="536A2230">
            <w:pPr>
              <w:pStyle w:val="42"/>
              <w:pBdr>
                <w:top w:val="none" w:color="auto" w:sz="0" w:space="0"/>
                <w:left w:val="none" w:color="auto" w:sz="0" w:space="0"/>
                <w:bottom w:val="none" w:color="auto" w:sz="0" w:space="0"/>
                <w:right w:val="none" w:color="auto" w:sz="0" w:space="0"/>
                <w:between w:val="none" w:color="auto" w:sz="0" w:space="0"/>
              </w:pBdr>
              <w:kinsoku w:val="0"/>
              <w:overflowPunct w:val="0"/>
              <w:ind w:left="383"/>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传 真</w:t>
            </w:r>
          </w:p>
        </w:tc>
        <w:tc>
          <w:tcPr>
            <w:tcW w:w="1965" w:type="dxa"/>
            <w:tcBorders>
              <w:top w:val="single" w:color="000000" w:sz="4" w:space="0"/>
              <w:left w:val="single" w:color="000000" w:sz="4" w:space="0"/>
              <w:bottom w:val="single" w:color="000000" w:sz="4" w:space="0"/>
              <w:right w:val="single" w:color="000000" w:sz="4" w:space="0"/>
            </w:tcBorders>
          </w:tcPr>
          <w:p w14:paraId="29AE5A7D">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rPr>
            </w:pPr>
          </w:p>
        </w:tc>
      </w:tr>
      <w:tr w14:paraId="55932912">
        <w:tblPrEx>
          <w:tblCellMar>
            <w:top w:w="0" w:type="dxa"/>
            <w:left w:w="0" w:type="dxa"/>
            <w:bottom w:w="0" w:type="dxa"/>
            <w:right w:w="0" w:type="dxa"/>
          </w:tblCellMar>
        </w:tblPrEx>
        <w:trPr>
          <w:trHeight w:val="691" w:hRule="exact"/>
          <w:jc w:val="center"/>
        </w:trPr>
        <w:tc>
          <w:tcPr>
            <w:tcW w:w="1242" w:type="dxa"/>
            <w:vMerge w:val="restart"/>
            <w:tcBorders>
              <w:top w:val="single" w:color="000000" w:sz="4" w:space="0"/>
              <w:left w:val="single" w:color="000000" w:sz="4" w:space="0"/>
              <w:bottom w:val="single" w:color="000000" w:sz="4" w:space="0"/>
              <w:right w:val="single" w:color="000000" w:sz="4" w:space="0"/>
            </w:tcBorders>
          </w:tcPr>
          <w:p w14:paraId="3BE4EC5D">
            <w:pPr>
              <w:pStyle w:val="42"/>
              <w:pBdr>
                <w:top w:val="none" w:color="auto" w:sz="0" w:space="0"/>
                <w:left w:val="none" w:color="auto" w:sz="0" w:space="0"/>
                <w:bottom w:val="none" w:color="auto" w:sz="0" w:space="0"/>
                <w:right w:val="none" w:color="auto" w:sz="0" w:space="0"/>
                <w:between w:val="none" w:color="auto" w:sz="0" w:space="0"/>
              </w:pBdr>
              <w:kinsoku w:val="0"/>
              <w:overflowPunct w:val="0"/>
              <w:rPr>
                <w:rFonts w:hint="eastAsia" w:asciiTheme="minorEastAsia" w:hAnsiTheme="minorEastAsia" w:eastAsiaTheme="minorEastAsia" w:cstheme="minorEastAsia"/>
                <w:b/>
                <w:bCs/>
                <w:color w:val="auto"/>
              </w:rPr>
            </w:pPr>
          </w:p>
          <w:p w14:paraId="29EC3936">
            <w:pPr>
              <w:pStyle w:val="42"/>
              <w:pBdr>
                <w:top w:val="none" w:color="auto" w:sz="0" w:space="0"/>
                <w:left w:val="none" w:color="auto" w:sz="0" w:space="0"/>
                <w:bottom w:val="none" w:color="auto" w:sz="0" w:space="0"/>
                <w:right w:val="none" w:color="auto" w:sz="0" w:space="0"/>
                <w:between w:val="none" w:color="auto" w:sz="0" w:space="0"/>
              </w:pBdr>
              <w:kinsoku w:val="0"/>
              <w:overflowPunct w:val="0"/>
              <w:spacing w:line="475" w:lineRule="auto"/>
              <w:ind w:left="480" w:leftChars="200" w:right="493" w:firstLine="0" w:firstLineChars="0"/>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职 工 概 况</w:t>
            </w:r>
          </w:p>
        </w:tc>
        <w:tc>
          <w:tcPr>
            <w:tcW w:w="1445" w:type="dxa"/>
            <w:tcBorders>
              <w:top w:val="single" w:color="000000" w:sz="4" w:space="0"/>
              <w:left w:val="single" w:color="000000" w:sz="4" w:space="0"/>
              <w:bottom w:val="single" w:color="000000" w:sz="4" w:space="0"/>
              <w:right w:val="single" w:color="000000" w:sz="4" w:space="0"/>
            </w:tcBorders>
          </w:tcPr>
          <w:p w14:paraId="665B85EF">
            <w:pPr>
              <w:pStyle w:val="42"/>
              <w:pBdr>
                <w:top w:val="none" w:color="auto" w:sz="0" w:space="0"/>
                <w:left w:val="none" w:color="auto" w:sz="0" w:space="0"/>
                <w:bottom w:val="none" w:color="auto" w:sz="0" w:space="0"/>
                <w:right w:val="none" w:color="auto" w:sz="0" w:space="0"/>
                <w:between w:val="none" w:color="auto" w:sz="0" w:space="0"/>
              </w:pBdr>
              <w:kinsoku w:val="0"/>
              <w:overflowPunct w:val="0"/>
              <w:spacing w:before="144"/>
              <w:ind w:left="236"/>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职工总数</w:t>
            </w:r>
          </w:p>
        </w:tc>
        <w:tc>
          <w:tcPr>
            <w:tcW w:w="1342" w:type="dxa"/>
            <w:gridSpan w:val="2"/>
            <w:tcBorders>
              <w:top w:val="single" w:color="000000" w:sz="4" w:space="0"/>
              <w:left w:val="single" w:color="000000" w:sz="4" w:space="0"/>
              <w:bottom w:val="single" w:color="000000" w:sz="4" w:space="0"/>
              <w:right w:val="single" w:color="000000" w:sz="4" w:space="0"/>
            </w:tcBorders>
          </w:tcPr>
          <w:p w14:paraId="602E204D">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rPr>
            </w:pPr>
          </w:p>
        </w:tc>
        <w:tc>
          <w:tcPr>
            <w:tcW w:w="2168" w:type="dxa"/>
            <w:gridSpan w:val="4"/>
            <w:tcBorders>
              <w:top w:val="single" w:color="000000" w:sz="4" w:space="0"/>
              <w:left w:val="single" w:color="000000" w:sz="4" w:space="0"/>
              <w:bottom w:val="single" w:color="000000" w:sz="4" w:space="0"/>
              <w:right w:val="single" w:color="000000" w:sz="4" w:space="0"/>
            </w:tcBorders>
          </w:tcPr>
          <w:p w14:paraId="649A1B30">
            <w:pPr>
              <w:pStyle w:val="42"/>
              <w:pBdr>
                <w:top w:val="none" w:color="auto" w:sz="0" w:space="0"/>
                <w:left w:val="none" w:color="auto" w:sz="0" w:space="0"/>
                <w:bottom w:val="none" w:color="auto" w:sz="0" w:space="0"/>
                <w:right w:val="none" w:color="auto" w:sz="0" w:space="0"/>
                <w:between w:val="none" w:color="auto" w:sz="0" w:space="0"/>
              </w:pBdr>
              <w:kinsoku w:val="0"/>
              <w:overflowPunct w:val="0"/>
              <w:spacing w:before="144"/>
              <w:ind w:left="11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其中：技术人员数</w:t>
            </w:r>
          </w:p>
        </w:tc>
        <w:tc>
          <w:tcPr>
            <w:tcW w:w="2517" w:type="dxa"/>
            <w:gridSpan w:val="2"/>
            <w:tcBorders>
              <w:top w:val="single" w:color="000000" w:sz="4" w:space="0"/>
              <w:left w:val="single" w:color="000000" w:sz="4" w:space="0"/>
              <w:bottom w:val="single" w:color="000000" w:sz="4" w:space="0"/>
              <w:right w:val="single" w:color="000000" w:sz="4" w:space="0"/>
            </w:tcBorders>
          </w:tcPr>
          <w:p w14:paraId="0711EBE3">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rPr>
            </w:pPr>
          </w:p>
        </w:tc>
      </w:tr>
      <w:tr w14:paraId="3EBFC761">
        <w:tblPrEx>
          <w:tblCellMar>
            <w:top w:w="0" w:type="dxa"/>
            <w:left w:w="0" w:type="dxa"/>
            <w:bottom w:w="0" w:type="dxa"/>
            <w:right w:w="0" w:type="dxa"/>
          </w:tblCellMar>
        </w:tblPrEx>
        <w:trPr>
          <w:trHeight w:val="691" w:hRule="exact"/>
          <w:jc w:val="center"/>
        </w:trPr>
        <w:tc>
          <w:tcPr>
            <w:tcW w:w="1242" w:type="dxa"/>
            <w:vMerge w:val="continue"/>
            <w:tcBorders>
              <w:top w:val="single" w:color="000000" w:sz="4" w:space="0"/>
              <w:left w:val="single" w:color="000000" w:sz="4" w:space="0"/>
              <w:bottom w:val="single" w:color="000000" w:sz="4" w:space="0"/>
              <w:right w:val="single" w:color="000000" w:sz="4" w:space="0"/>
            </w:tcBorders>
          </w:tcPr>
          <w:p w14:paraId="099B8DEE">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rPr>
            </w:pPr>
          </w:p>
        </w:tc>
        <w:tc>
          <w:tcPr>
            <w:tcW w:w="7472" w:type="dxa"/>
            <w:gridSpan w:val="9"/>
            <w:tcBorders>
              <w:top w:val="single" w:color="000000" w:sz="4" w:space="0"/>
              <w:left w:val="single" w:color="000000" w:sz="4" w:space="0"/>
              <w:bottom w:val="single" w:color="000000" w:sz="4" w:space="0"/>
              <w:right w:val="single" w:color="000000" w:sz="4" w:space="0"/>
            </w:tcBorders>
          </w:tcPr>
          <w:p w14:paraId="2FA096A3">
            <w:pPr>
              <w:pStyle w:val="42"/>
              <w:pBdr>
                <w:top w:val="none" w:color="auto" w:sz="0" w:space="0"/>
                <w:left w:val="none" w:color="auto" w:sz="0" w:space="0"/>
                <w:bottom w:val="none" w:color="auto" w:sz="0" w:space="0"/>
                <w:right w:val="none" w:color="auto" w:sz="0" w:space="0"/>
                <w:between w:val="none" w:color="auto" w:sz="0" w:space="0"/>
              </w:pBdr>
              <w:kinsoku w:val="0"/>
              <w:overflowPunct w:val="0"/>
              <w:spacing w:before="145"/>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单位行政和技术负责人</w:t>
            </w:r>
          </w:p>
        </w:tc>
      </w:tr>
      <w:tr w14:paraId="0C71EB68">
        <w:tblPrEx>
          <w:tblCellMar>
            <w:top w:w="0" w:type="dxa"/>
            <w:left w:w="0" w:type="dxa"/>
            <w:bottom w:w="0" w:type="dxa"/>
            <w:right w:w="0" w:type="dxa"/>
          </w:tblCellMar>
        </w:tblPrEx>
        <w:trPr>
          <w:trHeight w:val="691" w:hRule="exact"/>
          <w:jc w:val="center"/>
        </w:trPr>
        <w:tc>
          <w:tcPr>
            <w:tcW w:w="1242" w:type="dxa"/>
            <w:vMerge w:val="continue"/>
            <w:tcBorders>
              <w:top w:val="single" w:color="000000" w:sz="4" w:space="0"/>
              <w:left w:val="single" w:color="000000" w:sz="4" w:space="0"/>
              <w:bottom w:val="single" w:color="000000" w:sz="4" w:space="0"/>
              <w:right w:val="single" w:color="000000" w:sz="4" w:space="0"/>
            </w:tcBorders>
          </w:tcPr>
          <w:p w14:paraId="5E5097BF">
            <w:pPr>
              <w:pStyle w:val="42"/>
              <w:pBdr>
                <w:top w:val="none" w:color="auto" w:sz="0" w:space="0"/>
                <w:left w:val="none" w:color="auto" w:sz="0" w:space="0"/>
                <w:bottom w:val="none" w:color="auto" w:sz="0" w:space="0"/>
                <w:right w:val="none" w:color="auto" w:sz="0" w:space="0"/>
                <w:between w:val="none" w:color="auto" w:sz="0" w:space="0"/>
              </w:pBdr>
              <w:kinsoku w:val="0"/>
              <w:overflowPunct w:val="0"/>
              <w:spacing w:before="145"/>
              <w:jc w:val="center"/>
              <w:rPr>
                <w:rFonts w:hint="eastAsia" w:asciiTheme="minorEastAsia" w:hAnsiTheme="minorEastAsia" w:eastAsiaTheme="minorEastAsia" w:cstheme="minorEastAsia"/>
                <w:color w:val="auto"/>
                <w:lang w:eastAsia="zh-CN"/>
              </w:rPr>
            </w:pPr>
          </w:p>
        </w:tc>
        <w:tc>
          <w:tcPr>
            <w:tcW w:w="1445" w:type="dxa"/>
            <w:tcBorders>
              <w:top w:val="single" w:color="000000" w:sz="4" w:space="0"/>
              <w:left w:val="single" w:color="000000" w:sz="4" w:space="0"/>
              <w:bottom w:val="single" w:color="000000" w:sz="4" w:space="0"/>
              <w:right w:val="single" w:color="000000" w:sz="4" w:space="0"/>
            </w:tcBorders>
          </w:tcPr>
          <w:p w14:paraId="54DA6D7A">
            <w:pPr>
              <w:pStyle w:val="42"/>
              <w:pBdr>
                <w:top w:val="none" w:color="auto" w:sz="0" w:space="0"/>
                <w:left w:val="none" w:color="auto" w:sz="0" w:space="0"/>
                <w:bottom w:val="none" w:color="auto" w:sz="0" w:space="0"/>
                <w:right w:val="none" w:color="auto" w:sz="0" w:space="0"/>
                <w:between w:val="none" w:color="auto" w:sz="0" w:space="0"/>
              </w:pBdr>
              <w:kinsoku w:val="0"/>
              <w:overflowPunct w:val="0"/>
              <w:spacing w:before="145"/>
              <w:ind w:left="416"/>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姓 名</w:t>
            </w:r>
          </w:p>
        </w:tc>
        <w:tc>
          <w:tcPr>
            <w:tcW w:w="1997" w:type="dxa"/>
            <w:gridSpan w:val="3"/>
            <w:tcBorders>
              <w:top w:val="single" w:color="000000" w:sz="4" w:space="0"/>
              <w:left w:val="single" w:color="000000" w:sz="4" w:space="0"/>
              <w:bottom w:val="single" w:color="000000" w:sz="4" w:space="0"/>
              <w:right w:val="single" w:color="000000" w:sz="4" w:space="0"/>
            </w:tcBorders>
          </w:tcPr>
          <w:p w14:paraId="5AA6BB28">
            <w:pPr>
              <w:pStyle w:val="42"/>
              <w:pBdr>
                <w:top w:val="none" w:color="auto" w:sz="0" w:space="0"/>
                <w:left w:val="none" w:color="auto" w:sz="0" w:space="0"/>
                <w:bottom w:val="none" w:color="auto" w:sz="0" w:space="0"/>
                <w:right w:val="none" w:color="auto" w:sz="0" w:space="0"/>
                <w:between w:val="none" w:color="auto" w:sz="0" w:space="0"/>
              </w:pBdr>
              <w:kinsoku w:val="0"/>
              <w:overflowPunct w:val="0"/>
              <w:spacing w:before="145"/>
              <w:ind w:left="45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职务/职称</w:t>
            </w:r>
          </w:p>
        </w:tc>
        <w:tc>
          <w:tcPr>
            <w:tcW w:w="1513" w:type="dxa"/>
            <w:gridSpan w:val="3"/>
            <w:tcBorders>
              <w:top w:val="single" w:color="000000" w:sz="4" w:space="0"/>
              <w:left w:val="single" w:color="000000" w:sz="4" w:space="0"/>
              <w:bottom w:val="single" w:color="000000" w:sz="4" w:space="0"/>
              <w:right w:val="single" w:color="000000" w:sz="4" w:space="0"/>
            </w:tcBorders>
          </w:tcPr>
          <w:p w14:paraId="4966E591">
            <w:pPr>
              <w:pStyle w:val="42"/>
              <w:pBdr>
                <w:top w:val="none" w:color="auto" w:sz="0" w:space="0"/>
                <w:left w:val="none" w:color="auto" w:sz="0" w:space="0"/>
                <w:bottom w:val="none" w:color="auto" w:sz="0" w:space="0"/>
                <w:right w:val="none" w:color="auto" w:sz="0" w:space="0"/>
                <w:between w:val="none" w:color="auto" w:sz="0" w:space="0"/>
              </w:pBdr>
              <w:kinsoku w:val="0"/>
              <w:overflowPunct w:val="0"/>
              <w:spacing w:before="145"/>
              <w:ind w:left="45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年 龄</w:t>
            </w:r>
          </w:p>
        </w:tc>
        <w:tc>
          <w:tcPr>
            <w:tcW w:w="2517" w:type="dxa"/>
            <w:gridSpan w:val="2"/>
            <w:tcBorders>
              <w:top w:val="single" w:color="000000" w:sz="4" w:space="0"/>
              <w:left w:val="single" w:color="000000" w:sz="4" w:space="0"/>
              <w:bottom w:val="single" w:color="000000" w:sz="4" w:space="0"/>
              <w:right w:val="single" w:color="000000" w:sz="4" w:space="0"/>
            </w:tcBorders>
          </w:tcPr>
          <w:p w14:paraId="0B81C512">
            <w:pPr>
              <w:pStyle w:val="42"/>
              <w:pBdr>
                <w:top w:val="none" w:color="auto" w:sz="0" w:space="0"/>
                <w:left w:val="none" w:color="auto" w:sz="0" w:space="0"/>
                <w:bottom w:val="none" w:color="auto" w:sz="0" w:space="0"/>
                <w:right w:val="none" w:color="auto" w:sz="0" w:space="0"/>
                <w:between w:val="none" w:color="auto" w:sz="0" w:space="0"/>
              </w:pBdr>
              <w:tabs>
                <w:tab w:val="left" w:pos="479"/>
              </w:tabs>
              <w:kinsoku w:val="0"/>
              <w:overflowPunct w:val="0"/>
              <w:spacing w:before="145"/>
              <w:ind w:right="1"/>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专</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t>业</w:t>
            </w:r>
          </w:p>
        </w:tc>
      </w:tr>
      <w:tr w14:paraId="7B2B0FB1">
        <w:tblPrEx>
          <w:tblCellMar>
            <w:top w:w="0" w:type="dxa"/>
            <w:left w:w="0" w:type="dxa"/>
            <w:bottom w:w="0" w:type="dxa"/>
            <w:right w:w="0" w:type="dxa"/>
          </w:tblCellMar>
        </w:tblPrEx>
        <w:trPr>
          <w:trHeight w:val="425" w:hRule="exact"/>
          <w:jc w:val="center"/>
        </w:trPr>
        <w:tc>
          <w:tcPr>
            <w:tcW w:w="1242" w:type="dxa"/>
            <w:vMerge w:val="continue"/>
            <w:tcBorders>
              <w:top w:val="single" w:color="000000" w:sz="4" w:space="0"/>
              <w:left w:val="single" w:color="000000" w:sz="4" w:space="0"/>
              <w:bottom w:val="single" w:color="000000" w:sz="4" w:space="0"/>
              <w:right w:val="single" w:color="000000" w:sz="4" w:space="0"/>
            </w:tcBorders>
          </w:tcPr>
          <w:p w14:paraId="09609A2D">
            <w:pPr>
              <w:pStyle w:val="42"/>
              <w:pBdr>
                <w:top w:val="none" w:color="auto" w:sz="0" w:space="0"/>
                <w:left w:val="none" w:color="auto" w:sz="0" w:space="0"/>
                <w:bottom w:val="none" w:color="auto" w:sz="0" w:space="0"/>
                <w:right w:val="none" w:color="auto" w:sz="0" w:space="0"/>
                <w:between w:val="none" w:color="auto" w:sz="0" w:space="0"/>
              </w:pBdr>
              <w:tabs>
                <w:tab w:val="left" w:pos="479"/>
              </w:tabs>
              <w:kinsoku w:val="0"/>
              <w:overflowPunct w:val="0"/>
              <w:spacing w:before="145"/>
              <w:ind w:right="1"/>
              <w:jc w:val="center"/>
              <w:rPr>
                <w:rFonts w:hint="eastAsia" w:asciiTheme="minorEastAsia" w:hAnsiTheme="minorEastAsia" w:eastAsiaTheme="minorEastAsia" w:cstheme="minorEastAsia"/>
                <w:color w:val="auto"/>
              </w:rPr>
            </w:pPr>
          </w:p>
        </w:tc>
        <w:tc>
          <w:tcPr>
            <w:tcW w:w="1445" w:type="dxa"/>
            <w:tcBorders>
              <w:top w:val="single" w:color="000000" w:sz="4" w:space="0"/>
              <w:left w:val="single" w:color="000000" w:sz="4" w:space="0"/>
              <w:bottom w:val="single" w:color="000000" w:sz="4" w:space="0"/>
              <w:right w:val="single" w:color="000000" w:sz="4" w:space="0"/>
            </w:tcBorders>
          </w:tcPr>
          <w:p w14:paraId="5A0755F6">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rPr>
            </w:pPr>
          </w:p>
        </w:tc>
        <w:tc>
          <w:tcPr>
            <w:tcW w:w="1997" w:type="dxa"/>
            <w:gridSpan w:val="3"/>
            <w:tcBorders>
              <w:top w:val="single" w:color="000000" w:sz="4" w:space="0"/>
              <w:left w:val="single" w:color="000000" w:sz="4" w:space="0"/>
              <w:bottom w:val="single" w:color="000000" w:sz="4" w:space="0"/>
              <w:right w:val="single" w:color="000000" w:sz="4" w:space="0"/>
            </w:tcBorders>
          </w:tcPr>
          <w:p w14:paraId="66799F3F">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rPr>
            </w:pPr>
          </w:p>
        </w:tc>
        <w:tc>
          <w:tcPr>
            <w:tcW w:w="1513" w:type="dxa"/>
            <w:gridSpan w:val="3"/>
            <w:tcBorders>
              <w:top w:val="single" w:color="000000" w:sz="4" w:space="0"/>
              <w:left w:val="single" w:color="000000" w:sz="4" w:space="0"/>
              <w:bottom w:val="single" w:color="000000" w:sz="4" w:space="0"/>
              <w:right w:val="single" w:color="000000" w:sz="4" w:space="0"/>
            </w:tcBorders>
          </w:tcPr>
          <w:p w14:paraId="62DF2EC4">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rPr>
            </w:pPr>
          </w:p>
        </w:tc>
        <w:tc>
          <w:tcPr>
            <w:tcW w:w="2517" w:type="dxa"/>
            <w:gridSpan w:val="2"/>
            <w:tcBorders>
              <w:top w:val="single" w:color="000000" w:sz="4" w:space="0"/>
              <w:left w:val="single" w:color="000000" w:sz="4" w:space="0"/>
              <w:bottom w:val="single" w:color="000000" w:sz="4" w:space="0"/>
              <w:right w:val="single" w:color="000000" w:sz="4" w:space="0"/>
            </w:tcBorders>
          </w:tcPr>
          <w:p w14:paraId="27121136">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rPr>
            </w:pPr>
          </w:p>
        </w:tc>
      </w:tr>
      <w:tr w14:paraId="1A3CEA7C">
        <w:tblPrEx>
          <w:tblCellMar>
            <w:top w:w="0" w:type="dxa"/>
            <w:left w:w="0" w:type="dxa"/>
            <w:bottom w:w="0" w:type="dxa"/>
            <w:right w:w="0" w:type="dxa"/>
          </w:tblCellMar>
        </w:tblPrEx>
        <w:trPr>
          <w:trHeight w:val="371" w:hRule="exact"/>
          <w:jc w:val="center"/>
        </w:trPr>
        <w:tc>
          <w:tcPr>
            <w:tcW w:w="1242" w:type="dxa"/>
            <w:vMerge w:val="continue"/>
            <w:tcBorders>
              <w:top w:val="single" w:color="000000" w:sz="4" w:space="0"/>
              <w:left w:val="single" w:color="000000" w:sz="4" w:space="0"/>
              <w:bottom w:val="single" w:color="000000" w:sz="4" w:space="0"/>
              <w:right w:val="single" w:color="000000" w:sz="4" w:space="0"/>
            </w:tcBorders>
          </w:tcPr>
          <w:p w14:paraId="3E05F9A7">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rPr>
            </w:pPr>
          </w:p>
        </w:tc>
        <w:tc>
          <w:tcPr>
            <w:tcW w:w="1445" w:type="dxa"/>
            <w:tcBorders>
              <w:top w:val="single" w:color="000000" w:sz="4" w:space="0"/>
              <w:left w:val="single" w:color="000000" w:sz="4" w:space="0"/>
              <w:bottom w:val="single" w:color="000000" w:sz="4" w:space="0"/>
              <w:right w:val="single" w:color="000000" w:sz="4" w:space="0"/>
            </w:tcBorders>
          </w:tcPr>
          <w:p w14:paraId="06475B5B">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rPr>
            </w:pPr>
          </w:p>
        </w:tc>
        <w:tc>
          <w:tcPr>
            <w:tcW w:w="1997" w:type="dxa"/>
            <w:gridSpan w:val="3"/>
            <w:tcBorders>
              <w:top w:val="single" w:color="000000" w:sz="4" w:space="0"/>
              <w:left w:val="single" w:color="000000" w:sz="4" w:space="0"/>
              <w:bottom w:val="single" w:color="000000" w:sz="4" w:space="0"/>
              <w:right w:val="single" w:color="000000" w:sz="4" w:space="0"/>
            </w:tcBorders>
          </w:tcPr>
          <w:p w14:paraId="7A8863CF">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rPr>
            </w:pPr>
          </w:p>
        </w:tc>
        <w:tc>
          <w:tcPr>
            <w:tcW w:w="1513" w:type="dxa"/>
            <w:gridSpan w:val="3"/>
            <w:tcBorders>
              <w:top w:val="single" w:color="000000" w:sz="4" w:space="0"/>
              <w:left w:val="single" w:color="000000" w:sz="4" w:space="0"/>
              <w:bottom w:val="single" w:color="000000" w:sz="4" w:space="0"/>
              <w:right w:val="single" w:color="000000" w:sz="4" w:space="0"/>
            </w:tcBorders>
          </w:tcPr>
          <w:p w14:paraId="5D69ED6A">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rPr>
            </w:pPr>
          </w:p>
        </w:tc>
        <w:tc>
          <w:tcPr>
            <w:tcW w:w="2517" w:type="dxa"/>
            <w:gridSpan w:val="2"/>
            <w:tcBorders>
              <w:top w:val="single" w:color="000000" w:sz="4" w:space="0"/>
              <w:left w:val="single" w:color="000000" w:sz="4" w:space="0"/>
              <w:bottom w:val="single" w:color="000000" w:sz="4" w:space="0"/>
              <w:right w:val="single" w:color="000000" w:sz="4" w:space="0"/>
            </w:tcBorders>
          </w:tcPr>
          <w:p w14:paraId="43C5E708">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rPr>
            </w:pPr>
          </w:p>
        </w:tc>
      </w:tr>
      <w:tr w14:paraId="15F48E90">
        <w:tblPrEx>
          <w:tblCellMar>
            <w:top w:w="0" w:type="dxa"/>
            <w:left w:w="0" w:type="dxa"/>
            <w:bottom w:w="0" w:type="dxa"/>
            <w:right w:w="0" w:type="dxa"/>
          </w:tblCellMar>
        </w:tblPrEx>
        <w:trPr>
          <w:trHeight w:val="439" w:hRule="exact"/>
          <w:jc w:val="center"/>
        </w:trPr>
        <w:tc>
          <w:tcPr>
            <w:tcW w:w="1242" w:type="dxa"/>
            <w:vMerge w:val="continue"/>
            <w:tcBorders>
              <w:top w:val="single" w:color="000000" w:sz="4" w:space="0"/>
              <w:left w:val="single" w:color="000000" w:sz="4" w:space="0"/>
              <w:bottom w:val="single" w:color="000000" w:sz="4" w:space="0"/>
              <w:right w:val="single" w:color="000000" w:sz="4" w:space="0"/>
            </w:tcBorders>
          </w:tcPr>
          <w:p w14:paraId="2DFC62F3">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rPr>
            </w:pPr>
          </w:p>
        </w:tc>
        <w:tc>
          <w:tcPr>
            <w:tcW w:w="1445" w:type="dxa"/>
            <w:tcBorders>
              <w:top w:val="single" w:color="000000" w:sz="4" w:space="0"/>
              <w:left w:val="single" w:color="000000" w:sz="4" w:space="0"/>
              <w:bottom w:val="single" w:color="000000" w:sz="4" w:space="0"/>
              <w:right w:val="single" w:color="000000" w:sz="4" w:space="0"/>
            </w:tcBorders>
          </w:tcPr>
          <w:p w14:paraId="466CDE31">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rPr>
            </w:pPr>
          </w:p>
        </w:tc>
        <w:tc>
          <w:tcPr>
            <w:tcW w:w="1997" w:type="dxa"/>
            <w:gridSpan w:val="3"/>
            <w:tcBorders>
              <w:top w:val="single" w:color="000000" w:sz="4" w:space="0"/>
              <w:left w:val="single" w:color="000000" w:sz="4" w:space="0"/>
              <w:bottom w:val="single" w:color="000000" w:sz="4" w:space="0"/>
              <w:right w:val="single" w:color="000000" w:sz="4" w:space="0"/>
            </w:tcBorders>
          </w:tcPr>
          <w:p w14:paraId="5994D671">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rPr>
            </w:pPr>
          </w:p>
        </w:tc>
        <w:tc>
          <w:tcPr>
            <w:tcW w:w="1513" w:type="dxa"/>
            <w:gridSpan w:val="3"/>
            <w:tcBorders>
              <w:top w:val="single" w:color="000000" w:sz="4" w:space="0"/>
              <w:left w:val="single" w:color="000000" w:sz="4" w:space="0"/>
              <w:bottom w:val="single" w:color="000000" w:sz="4" w:space="0"/>
              <w:right w:val="single" w:color="000000" w:sz="4" w:space="0"/>
            </w:tcBorders>
          </w:tcPr>
          <w:p w14:paraId="3DF38252">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rPr>
            </w:pPr>
          </w:p>
        </w:tc>
        <w:tc>
          <w:tcPr>
            <w:tcW w:w="2517" w:type="dxa"/>
            <w:gridSpan w:val="2"/>
            <w:tcBorders>
              <w:top w:val="single" w:color="000000" w:sz="4" w:space="0"/>
              <w:left w:val="single" w:color="000000" w:sz="4" w:space="0"/>
              <w:bottom w:val="single" w:color="000000" w:sz="4" w:space="0"/>
              <w:right w:val="single" w:color="000000" w:sz="4" w:space="0"/>
            </w:tcBorders>
          </w:tcPr>
          <w:p w14:paraId="41DB5264">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rPr>
            </w:pPr>
          </w:p>
        </w:tc>
      </w:tr>
      <w:tr w14:paraId="460C4059">
        <w:tblPrEx>
          <w:tblCellMar>
            <w:top w:w="0" w:type="dxa"/>
            <w:left w:w="0" w:type="dxa"/>
            <w:bottom w:w="0" w:type="dxa"/>
            <w:right w:w="0" w:type="dxa"/>
          </w:tblCellMar>
        </w:tblPrEx>
        <w:trPr>
          <w:trHeight w:val="1793" w:hRule="exact"/>
          <w:jc w:val="center"/>
        </w:trPr>
        <w:tc>
          <w:tcPr>
            <w:tcW w:w="1242" w:type="dxa"/>
            <w:tcBorders>
              <w:top w:val="single" w:color="000000" w:sz="4" w:space="0"/>
              <w:left w:val="single" w:color="000000" w:sz="4" w:space="0"/>
              <w:bottom w:val="single" w:color="000000" w:sz="4" w:space="0"/>
              <w:right w:val="single" w:color="000000" w:sz="4" w:space="0"/>
            </w:tcBorders>
            <w:vAlign w:val="center"/>
          </w:tcPr>
          <w:p w14:paraId="4D791638">
            <w:pPr>
              <w:pStyle w:val="42"/>
              <w:pBdr>
                <w:top w:val="none" w:color="auto" w:sz="0" w:space="0"/>
                <w:left w:val="none" w:color="auto" w:sz="0" w:space="0"/>
                <w:bottom w:val="none" w:color="auto" w:sz="0" w:space="0"/>
                <w:right w:val="none" w:color="auto" w:sz="0" w:space="0"/>
                <w:between w:val="none" w:color="auto" w:sz="0" w:space="0"/>
              </w:pBdr>
              <w:kinsoku w:val="0"/>
              <w:overflowPunct w:val="0"/>
              <w:spacing w:line="237" w:lineRule="auto"/>
              <w:ind w:left="497" w:leftChars="0" w:right="493" w:rightChars="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单 位 概 况</w:t>
            </w:r>
          </w:p>
        </w:tc>
        <w:tc>
          <w:tcPr>
            <w:tcW w:w="7472" w:type="dxa"/>
            <w:gridSpan w:val="9"/>
            <w:tcBorders>
              <w:top w:val="single" w:color="000000" w:sz="4" w:space="0"/>
              <w:left w:val="single" w:color="000000" w:sz="4" w:space="0"/>
              <w:bottom w:val="single" w:color="000000" w:sz="4" w:space="0"/>
              <w:right w:val="single" w:color="000000" w:sz="4" w:space="0"/>
            </w:tcBorders>
            <w:vAlign w:val="center"/>
          </w:tcPr>
          <w:p w14:paraId="0DCBDE17">
            <w:pPr>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color w:val="auto"/>
              </w:rPr>
            </w:pPr>
          </w:p>
        </w:tc>
      </w:tr>
    </w:tbl>
    <w:p w14:paraId="28CE65CD">
      <w:pPr>
        <w:pStyle w:val="39"/>
        <w:pBdr>
          <w:top w:val="none" w:color="auto" w:sz="0" w:space="0"/>
          <w:left w:val="none" w:color="auto" w:sz="0" w:space="0"/>
          <w:bottom w:val="none" w:color="auto" w:sz="0" w:space="0"/>
          <w:right w:val="none" w:color="auto" w:sz="0" w:space="0"/>
          <w:between w:val="none" w:color="auto" w:sz="0" w:space="0"/>
        </w:pBdr>
        <w:spacing w:line="440" w:lineRule="exact"/>
        <w:ind w:firstLine="0"/>
        <w:jc w:val="both"/>
        <w:rPr>
          <w:rFonts w:hint="eastAsia" w:asciiTheme="minorEastAsia" w:hAnsiTheme="minorEastAsia" w:eastAsiaTheme="minorEastAsia" w:cstheme="minorEastAsia"/>
          <w:b/>
          <w:color w:val="auto"/>
          <w:sz w:val="30"/>
          <w:szCs w:val="30"/>
        </w:rPr>
      </w:pPr>
    </w:p>
    <w:p w14:paraId="11243827">
      <w:pPr>
        <w:pStyle w:val="39"/>
        <w:pBdr>
          <w:top w:val="none" w:color="auto" w:sz="0" w:space="0"/>
          <w:left w:val="none" w:color="auto" w:sz="0" w:space="0"/>
          <w:bottom w:val="none" w:color="auto" w:sz="0" w:space="0"/>
          <w:right w:val="none" w:color="auto" w:sz="0" w:space="0"/>
          <w:between w:val="none" w:color="auto" w:sz="0" w:space="0"/>
        </w:pBdr>
        <w:spacing w:line="440" w:lineRule="exact"/>
        <w:ind w:firstLine="0"/>
        <w:jc w:val="both"/>
        <w:rPr>
          <w:rFonts w:hint="eastAsia" w:asciiTheme="minorEastAsia" w:hAnsiTheme="minorEastAsia" w:eastAsiaTheme="minorEastAsia" w:cstheme="minorEastAsia"/>
          <w:b/>
          <w:color w:val="auto"/>
          <w:sz w:val="30"/>
          <w:szCs w:val="30"/>
        </w:rPr>
      </w:pPr>
    </w:p>
    <w:p w14:paraId="358AD901">
      <w:pPr>
        <w:pStyle w:val="39"/>
        <w:pBdr>
          <w:top w:val="none" w:color="auto" w:sz="0" w:space="0"/>
          <w:left w:val="none" w:color="auto" w:sz="0" w:space="0"/>
          <w:bottom w:val="none" w:color="auto" w:sz="0" w:space="0"/>
          <w:right w:val="none" w:color="auto" w:sz="0" w:space="0"/>
          <w:between w:val="none" w:color="auto" w:sz="0" w:space="0"/>
        </w:pBdr>
        <w:spacing w:line="440" w:lineRule="exact"/>
        <w:ind w:firstLine="0"/>
        <w:jc w:val="both"/>
        <w:rPr>
          <w:rFonts w:hint="eastAsia" w:asciiTheme="minorEastAsia" w:hAnsiTheme="minorEastAsia" w:eastAsiaTheme="minorEastAsia" w:cstheme="minorEastAsia"/>
          <w:b/>
          <w:color w:val="auto"/>
          <w:sz w:val="30"/>
          <w:szCs w:val="30"/>
        </w:rPr>
      </w:pPr>
    </w:p>
    <w:p w14:paraId="2AB3D4FB">
      <w:pPr>
        <w:pStyle w:val="39"/>
        <w:pBdr>
          <w:top w:val="none" w:color="auto" w:sz="0" w:space="0"/>
          <w:left w:val="none" w:color="auto" w:sz="0" w:space="0"/>
          <w:bottom w:val="none" w:color="auto" w:sz="0" w:space="0"/>
          <w:right w:val="none" w:color="auto" w:sz="0" w:space="0"/>
          <w:between w:val="none" w:color="auto" w:sz="0" w:space="0"/>
        </w:pBdr>
        <w:spacing w:line="440" w:lineRule="exact"/>
        <w:ind w:firstLine="0"/>
        <w:jc w:val="both"/>
        <w:rPr>
          <w:rFonts w:hint="eastAsia" w:asciiTheme="minorEastAsia" w:hAnsiTheme="minorEastAsia" w:eastAsiaTheme="minorEastAsia" w:cstheme="minorEastAsia"/>
          <w:b/>
          <w:color w:val="auto"/>
          <w:sz w:val="30"/>
          <w:szCs w:val="30"/>
        </w:rPr>
      </w:pPr>
    </w:p>
    <w:p w14:paraId="4FFE5DF3">
      <w:pPr>
        <w:pStyle w:val="39"/>
        <w:pBdr>
          <w:top w:val="none" w:color="auto" w:sz="0" w:space="0"/>
          <w:left w:val="none" w:color="auto" w:sz="0" w:space="0"/>
          <w:bottom w:val="none" w:color="auto" w:sz="0" w:space="0"/>
          <w:right w:val="none" w:color="auto" w:sz="0" w:space="0"/>
          <w:between w:val="none" w:color="auto" w:sz="0" w:space="0"/>
        </w:pBdr>
        <w:spacing w:line="440" w:lineRule="exact"/>
        <w:ind w:firstLine="0"/>
        <w:jc w:val="both"/>
        <w:rPr>
          <w:rFonts w:hint="eastAsia" w:asciiTheme="minorEastAsia" w:hAnsiTheme="minorEastAsia" w:eastAsiaTheme="minorEastAsia" w:cstheme="minorEastAsia"/>
          <w:b/>
          <w:color w:val="auto"/>
          <w:sz w:val="30"/>
          <w:szCs w:val="30"/>
        </w:rPr>
      </w:pPr>
    </w:p>
    <w:p w14:paraId="6C671907">
      <w:pPr>
        <w:pStyle w:val="39"/>
        <w:pBdr>
          <w:top w:val="none" w:color="auto" w:sz="0" w:space="0"/>
          <w:left w:val="none" w:color="auto" w:sz="0" w:space="0"/>
          <w:bottom w:val="none" w:color="auto" w:sz="0" w:space="0"/>
          <w:right w:val="none" w:color="auto" w:sz="0" w:space="0"/>
          <w:between w:val="none" w:color="auto" w:sz="0" w:space="0"/>
        </w:pBdr>
        <w:spacing w:line="440" w:lineRule="exact"/>
        <w:ind w:firstLine="0"/>
        <w:jc w:val="both"/>
        <w:rPr>
          <w:rFonts w:hint="eastAsia" w:asciiTheme="minorEastAsia" w:hAnsiTheme="minorEastAsia" w:eastAsiaTheme="minorEastAsia" w:cstheme="minorEastAsia"/>
          <w:b/>
          <w:color w:val="auto"/>
          <w:sz w:val="30"/>
          <w:szCs w:val="30"/>
        </w:rPr>
      </w:pPr>
    </w:p>
    <w:p w14:paraId="4A381502">
      <w:pPr>
        <w:pStyle w:val="12"/>
        <w:numPr>
          <w:ilvl w:val="0"/>
          <w:numId w:val="0"/>
        </w:numPr>
        <w:pBdr>
          <w:top w:val="none" w:color="auto" w:sz="0" w:space="0"/>
          <w:left w:val="none" w:color="auto" w:sz="0" w:space="0"/>
          <w:bottom w:val="none" w:color="auto" w:sz="0" w:space="0"/>
          <w:right w:val="none" w:color="auto" w:sz="0" w:space="0"/>
          <w:between w:val="none" w:color="auto" w:sz="0" w:space="0"/>
        </w:pBdr>
        <w:kinsoku w:val="0"/>
        <w:overflowPunct w:val="0"/>
        <w:spacing w:before="34" w:line="357" w:lineRule="auto"/>
        <w:ind w:left="480" w:right="126"/>
        <w:jc w:val="center"/>
        <w:rPr>
          <w:rFonts w:hint="eastAsia" w:asciiTheme="minorEastAsia" w:hAnsiTheme="minorEastAsia" w:eastAsiaTheme="minorEastAsia" w:cstheme="minorEastAsia"/>
          <w:bCs/>
          <w:color w:val="auto"/>
          <w:sz w:val="36"/>
          <w:szCs w:val="36"/>
          <w:lang w:eastAsia="zh-CN"/>
        </w:rPr>
      </w:pPr>
    </w:p>
    <w:p w14:paraId="3A929D4C">
      <w:pPr>
        <w:pStyle w:val="12"/>
        <w:numPr>
          <w:ilvl w:val="0"/>
          <w:numId w:val="0"/>
        </w:numPr>
        <w:pBdr>
          <w:top w:val="none" w:color="auto" w:sz="0" w:space="0"/>
          <w:left w:val="none" w:color="auto" w:sz="0" w:space="0"/>
          <w:bottom w:val="none" w:color="auto" w:sz="0" w:space="0"/>
          <w:right w:val="none" w:color="auto" w:sz="0" w:space="0"/>
          <w:between w:val="none" w:color="auto" w:sz="0" w:space="0"/>
        </w:pBdr>
        <w:kinsoku w:val="0"/>
        <w:overflowPunct w:val="0"/>
        <w:spacing w:before="34" w:line="357" w:lineRule="auto"/>
        <w:ind w:left="480" w:right="126"/>
        <w:jc w:val="center"/>
        <w:outlineLvl w:val="1"/>
        <w:rPr>
          <w:rFonts w:hint="eastAsia" w:asciiTheme="minorEastAsia" w:hAnsiTheme="minorEastAsia" w:eastAsiaTheme="minorEastAsia" w:cstheme="minorEastAsia"/>
          <w:b/>
          <w:bCs/>
          <w:color w:val="auto"/>
          <w:sz w:val="20"/>
          <w:szCs w:val="20"/>
          <w:lang w:eastAsia="zh-CN"/>
        </w:rPr>
      </w:pPr>
      <w:r>
        <w:rPr>
          <w:rFonts w:hint="eastAsia" w:asciiTheme="minorEastAsia" w:hAnsiTheme="minorEastAsia" w:eastAsiaTheme="minorEastAsia" w:cstheme="minorEastAsia"/>
          <w:b/>
          <w:color w:val="auto"/>
          <w:sz w:val="36"/>
          <w:szCs w:val="36"/>
          <w:lang w:eastAsia="zh-CN"/>
        </w:rPr>
        <w:t>7、近五年(2019年1月1日至今)类似</w:t>
      </w:r>
      <w:r>
        <w:rPr>
          <w:rFonts w:hint="eastAsia" w:asciiTheme="minorEastAsia" w:hAnsiTheme="minorEastAsia" w:eastAsiaTheme="minorEastAsia" w:cstheme="minorEastAsia"/>
          <w:b/>
          <w:color w:val="auto"/>
          <w:w w:val="90"/>
          <w:sz w:val="36"/>
          <w:szCs w:val="36"/>
          <w:lang w:eastAsia="zh-CN"/>
        </w:rPr>
        <w:t>项目业绩表</w:t>
      </w:r>
    </w:p>
    <w:p w14:paraId="41A0454F">
      <w:pPr>
        <w:pStyle w:val="12"/>
        <w:numPr>
          <w:ilvl w:val="0"/>
          <w:numId w:val="0"/>
        </w:numPr>
        <w:spacing w:before="91" w:line="222" w:lineRule="auto"/>
        <w:ind w:left="0" w:leftChars="0" w:firstLine="0" w:firstLineChars="0"/>
        <w:jc w:val="center"/>
        <w:rPr>
          <w:rFonts w:hint="eastAsia" w:asciiTheme="minorEastAsia" w:hAnsiTheme="minorEastAsia" w:eastAsiaTheme="minorEastAsia" w:cstheme="minorEastAsia"/>
          <w:spacing w:val="-16"/>
          <w:sz w:val="24"/>
          <w:szCs w:val="24"/>
        </w:rPr>
      </w:pPr>
      <w:r>
        <w:rPr>
          <w:rFonts w:hint="eastAsia" w:ascii="宋体" w:hAnsi="宋体" w:eastAsia="宋体" w:cs="宋体"/>
          <w:color w:val="auto"/>
          <w:sz w:val="30"/>
          <w:szCs w:val="30"/>
          <w:highlight w:val="none"/>
          <w:lang w:val="zh-CN"/>
        </w:rPr>
        <w:t>供应商</w:t>
      </w:r>
      <w:r>
        <w:rPr>
          <w:rFonts w:hint="eastAsia" w:ascii="宋体" w:hAnsi="宋体" w:eastAsia="宋体" w:cs="宋体"/>
          <w:b w:val="0"/>
          <w:bCs w:val="0"/>
          <w:color w:val="auto"/>
          <w:sz w:val="30"/>
          <w:szCs w:val="30"/>
          <w:highlight w:val="none"/>
          <w:lang w:val="zh-CN"/>
        </w:rPr>
        <w:t>类似业绩汇总表</w:t>
      </w:r>
    </w:p>
    <w:p w14:paraId="08E01FD9">
      <w:pPr>
        <w:pStyle w:val="41"/>
        <w:numPr>
          <w:ilvl w:val="0"/>
          <w:numId w:val="0"/>
        </w:numPr>
        <w:pBdr>
          <w:top w:val="none" w:color="auto" w:sz="0" w:space="0"/>
          <w:left w:val="none" w:color="auto" w:sz="0" w:space="0"/>
          <w:bottom w:val="none" w:color="auto" w:sz="0" w:space="0"/>
          <w:right w:val="none" w:color="auto" w:sz="0" w:space="0"/>
          <w:between w:val="none" w:color="auto" w:sz="0" w:space="0"/>
        </w:pBdr>
        <w:tabs>
          <w:tab w:val="left" w:pos="378"/>
        </w:tabs>
        <w:spacing w:line="317" w:lineRule="exact"/>
        <w:ind w:firstLine="208" w:firstLineChars="100"/>
        <w:rPr>
          <w:rFonts w:hint="eastAsia" w:asciiTheme="minorEastAsia" w:hAnsiTheme="minorEastAsia" w:eastAsiaTheme="minorEastAsia" w:cstheme="minorEastAsia"/>
          <w:spacing w:val="-16"/>
          <w:sz w:val="24"/>
          <w:szCs w:val="24"/>
          <w:lang w:val="en-US" w:eastAsia="zh-CN"/>
        </w:rPr>
      </w:pPr>
      <w:r>
        <w:rPr>
          <w:rFonts w:hint="eastAsia" w:asciiTheme="minorEastAsia" w:hAnsiTheme="minorEastAsia" w:eastAsiaTheme="minorEastAsia" w:cstheme="minorEastAsia"/>
          <w:spacing w:val="-16"/>
          <w:sz w:val="24"/>
          <w:szCs w:val="24"/>
        </w:rPr>
        <w:t>项目名称：</w:t>
      </w:r>
      <w:r>
        <w:rPr>
          <w:rFonts w:hint="eastAsia" w:asciiTheme="minorEastAsia" w:hAnsiTheme="minorEastAsia" w:eastAsiaTheme="minorEastAsia" w:cstheme="minorEastAsia"/>
          <w:spacing w:val="-16"/>
          <w:sz w:val="24"/>
          <w:szCs w:val="24"/>
          <w:lang w:val="en-US" w:eastAsia="zh-CN"/>
        </w:rPr>
        <w:t xml:space="preserve">                                                        </w:t>
      </w:r>
    </w:p>
    <w:p w14:paraId="221C1884">
      <w:pPr>
        <w:pStyle w:val="41"/>
        <w:numPr>
          <w:ilvl w:val="0"/>
          <w:numId w:val="0"/>
        </w:numPr>
        <w:pBdr>
          <w:top w:val="none" w:color="auto" w:sz="0" w:space="0"/>
          <w:left w:val="none" w:color="auto" w:sz="0" w:space="0"/>
          <w:bottom w:val="none" w:color="auto" w:sz="0" w:space="0"/>
          <w:right w:val="none" w:color="auto" w:sz="0" w:space="0"/>
          <w:between w:val="none" w:color="auto" w:sz="0" w:space="0"/>
        </w:pBdr>
        <w:tabs>
          <w:tab w:val="left" w:pos="378"/>
        </w:tabs>
        <w:spacing w:line="317" w:lineRule="exact"/>
        <w:ind w:firstLine="208" w:firstLineChars="1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6"/>
          <w:sz w:val="24"/>
          <w:szCs w:val="24"/>
        </w:rPr>
        <w:t>项目编号：</w:t>
      </w:r>
    </w:p>
    <w:tbl>
      <w:tblPr>
        <w:tblStyle w:val="63"/>
        <w:tblW w:w="513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28"/>
        <w:gridCol w:w="1410"/>
        <w:gridCol w:w="1501"/>
        <w:gridCol w:w="1426"/>
        <w:gridCol w:w="1260"/>
        <w:gridCol w:w="1465"/>
        <w:gridCol w:w="842"/>
      </w:tblGrid>
      <w:tr w14:paraId="1A99AF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9" w:hRule="atLeast"/>
          <w:jc w:val="center"/>
        </w:trPr>
        <w:tc>
          <w:tcPr>
            <w:tcW w:w="368" w:type="pct"/>
            <w:vAlign w:val="center"/>
          </w:tcPr>
          <w:p w14:paraId="0CF1EF0B">
            <w:pPr>
              <w:pStyle w:val="67"/>
              <w:spacing w:before="78" w:line="222" w:lineRule="auto"/>
              <w:jc w:val="center"/>
              <w:rPr>
                <w:rFonts w:hint="eastAsia" w:asciiTheme="minorEastAsia" w:hAnsiTheme="minorEastAsia" w:eastAsiaTheme="minorEastAsia" w:cstheme="minorEastAsia"/>
                <w:snapToGrid w:val="0"/>
                <w:color w:val="000000"/>
                <w:spacing w:val="-6"/>
                <w:kern w:val="0"/>
                <w:sz w:val="24"/>
                <w:szCs w:val="24"/>
                <w:lang w:val="en-US" w:eastAsia="en-US" w:bidi="ar-SA"/>
              </w:rPr>
            </w:pPr>
            <w:r>
              <w:rPr>
                <w:rFonts w:hint="eastAsia" w:asciiTheme="minorEastAsia" w:hAnsiTheme="minorEastAsia" w:eastAsiaTheme="minorEastAsia" w:cstheme="minorEastAsia"/>
                <w:snapToGrid w:val="0"/>
                <w:color w:val="000000"/>
                <w:spacing w:val="-6"/>
                <w:kern w:val="0"/>
                <w:sz w:val="24"/>
                <w:szCs w:val="24"/>
                <w:lang w:val="en-US" w:eastAsia="en-US" w:bidi="ar-SA"/>
              </w:rPr>
              <w:t>序号</w:t>
            </w:r>
          </w:p>
        </w:tc>
        <w:tc>
          <w:tcPr>
            <w:tcW w:w="826" w:type="pct"/>
            <w:vAlign w:val="center"/>
          </w:tcPr>
          <w:p w14:paraId="4C744E4E">
            <w:pPr>
              <w:pStyle w:val="67"/>
              <w:spacing w:before="78" w:line="221" w:lineRule="auto"/>
              <w:jc w:val="center"/>
              <w:rPr>
                <w:rFonts w:hint="eastAsia" w:asciiTheme="minorEastAsia" w:hAnsiTheme="minorEastAsia" w:eastAsiaTheme="minorEastAsia" w:cstheme="minorEastAsia"/>
                <w:snapToGrid w:val="0"/>
                <w:color w:val="000000"/>
                <w:spacing w:val="-6"/>
                <w:kern w:val="0"/>
                <w:sz w:val="24"/>
                <w:szCs w:val="24"/>
                <w:lang w:val="en-US" w:eastAsia="en-US" w:bidi="ar-SA"/>
              </w:rPr>
            </w:pPr>
            <w:r>
              <w:rPr>
                <w:rFonts w:hint="eastAsia" w:asciiTheme="minorEastAsia" w:hAnsiTheme="minorEastAsia" w:eastAsiaTheme="minorEastAsia" w:cstheme="minorEastAsia"/>
                <w:snapToGrid w:val="0"/>
                <w:color w:val="000000"/>
                <w:spacing w:val="-6"/>
                <w:kern w:val="0"/>
                <w:sz w:val="24"/>
                <w:szCs w:val="24"/>
                <w:lang w:val="en-US" w:eastAsia="en-US" w:bidi="ar-SA"/>
              </w:rPr>
              <w:t>项目名称</w:t>
            </w:r>
          </w:p>
        </w:tc>
        <w:tc>
          <w:tcPr>
            <w:tcW w:w="879" w:type="pct"/>
            <w:vAlign w:val="center"/>
          </w:tcPr>
          <w:p w14:paraId="11E7909C">
            <w:pPr>
              <w:pStyle w:val="67"/>
              <w:spacing w:before="78" w:line="221" w:lineRule="auto"/>
              <w:jc w:val="center"/>
              <w:rPr>
                <w:rFonts w:hint="eastAsia" w:asciiTheme="minorEastAsia" w:hAnsiTheme="minorEastAsia" w:eastAsiaTheme="minorEastAsia" w:cstheme="minorEastAsia"/>
                <w:snapToGrid w:val="0"/>
                <w:color w:val="000000"/>
                <w:spacing w:val="-6"/>
                <w:kern w:val="0"/>
                <w:sz w:val="24"/>
                <w:szCs w:val="24"/>
                <w:lang w:val="en-US" w:eastAsia="en-US" w:bidi="ar-SA"/>
              </w:rPr>
            </w:pPr>
            <w:r>
              <w:rPr>
                <w:rFonts w:hint="eastAsia" w:asciiTheme="minorEastAsia" w:hAnsiTheme="minorEastAsia" w:eastAsiaTheme="minorEastAsia" w:cstheme="minorEastAsia"/>
                <w:snapToGrid w:val="0"/>
                <w:color w:val="000000"/>
                <w:spacing w:val="-6"/>
                <w:kern w:val="0"/>
                <w:sz w:val="24"/>
                <w:szCs w:val="24"/>
                <w:lang w:val="en-US" w:eastAsia="en-US" w:bidi="ar-SA"/>
              </w:rPr>
              <w:t>项目单位名称</w:t>
            </w:r>
          </w:p>
        </w:tc>
        <w:tc>
          <w:tcPr>
            <w:tcW w:w="835" w:type="pct"/>
            <w:vAlign w:val="center"/>
          </w:tcPr>
          <w:p w14:paraId="1F80798F">
            <w:pPr>
              <w:pStyle w:val="67"/>
              <w:spacing w:before="78" w:line="222" w:lineRule="auto"/>
              <w:jc w:val="center"/>
              <w:rPr>
                <w:rFonts w:hint="eastAsia" w:asciiTheme="minorEastAsia" w:hAnsiTheme="minorEastAsia" w:eastAsiaTheme="minorEastAsia" w:cstheme="minorEastAsia"/>
                <w:snapToGrid w:val="0"/>
                <w:color w:val="000000"/>
                <w:spacing w:val="-6"/>
                <w:kern w:val="0"/>
                <w:sz w:val="24"/>
                <w:szCs w:val="24"/>
                <w:lang w:val="en-US" w:eastAsia="en-US" w:bidi="ar-SA"/>
              </w:rPr>
            </w:pPr>
            <w:r>
              <w:rPr>
                <w:rFonts w:hint="eastAsia" w:asciiTheme="minorEastAsia" w:hAnsiTheme="minorEastAsia" w:eastAsiaTheme="minorEastAsia" w:cstheme="minorEastAsia"/>
                <w:snapToGrid w:val="0"/>
                <w:color w:val="000000"/>
                <w:spacing w:val="-6"/>
                <w:kern w:val="0"/>
                <w:sz w:val="24"/>
                <w:szCs w:val="24"/>
                <w:lang w:val="en-US" w:eastAsia="en-US" w:bidi="ar-SA"/>
              </w:rPr>
              <w:t>项目内容</w:t>
            </w:r>
          </w:p>
        </w:tc>
        <w:tc>
          <w:tcPr>
            <w:tcW w:w="738" w:type="pct"/>
            <w:vAlign w:val="center"/>
          </w:tcPr>
          <w:p w14:paraId="07572309">
            <w:pPr>
              <w:pStyle w:val="67"/>
              <w:spacing w:before="78" w:line="223" w:lineRule="auto"/>
              <w:jc w:val="center"/>
              <w:rPr>
                <w:rFonts w:hint="eastAsia" w:asciiTheme="minorEastAsia" w:hAnsiTheme="minorEastAsia" w:eastAsiaTheme="minorEastAsia" w:cstheme="minorEastAsia"/>
                <w:snapToGrid w:val="0"/>
                <w:color w:val="000000"/>
                <w:spacing w:val="-6"/>
                <w:kern w:val="0"/>
                <w:sz w:val="24"/>
                <w:szCs w:val="24"/>
                <w:lang w:val="en-US" w:eastAsia="en-US" w:bidi="ar-SA"/>
              </w:rPr>
            </w:pPr>
            <w:r>
              <w:rPr>
                <w:rFonts w:hint="eastAsia" w:asciiTheme="minorEastAsia" w:hAnsiTheme="minorEastAsia" w:eastAsiaTheme="minorEastAsia" w:cstheme="minorEastAsia"/>
                <w:snapToGrid w:val="0"/>
                <w:color w:val="000000"/>
                <w:spacing w:val="-6"/>
                <w:kern w:val="0"/>
                <w:sz w:val="24"/>
                <w:szCs w:val="24"/>
                <w:lang w:val="en-US" w:eastAsia="en-US" w:bidi="ar-SA"/>
              </w:rPr>
              <w:t>合同金额</w:t>
            </w:r>
          </w:p>
        </w:tc>
        <w:tc>
          <w:tcPr>
            <w:tcW w:w="858" w:type="pct"/>
            <w:vAlign w:val="center"/>
          </w:tcPr>
          <w:p w14:paraId="35AA360B">
            <w:pPr>
              <w:pStyle w:val="67"/>
              <w:tabs>
                <w:tab w:val="center" w:pos="926"/>
              </w:tabs>
              <w:spacing w:before="78" w:line="221" w:lineRule="auto"/>
              <w:jc w:val="center"/>
              <w:rPr>
                <w:rFonts w:hint="eastAsia" w:asciiTheme="minorEastAsia" w:hAnsiTheme="minorEastAsia" w:eastAsiaTheme="minorEastAsia" w:cstheme="minorEastAsia"/>
                <w:snapToGrid w:val="0"/>
                <w:color w:val="000000"/>
                <w:spacing w:val="-6"/>
                <w:kern w:val="0"/>
                <w:sz w:val="24"/>
                <w:szCs w:val="24"/>
                <w:lang w:val="en-US" w:eastAsia="zh-CN" w:bidi="ar-SA"/>
              </w:rPr>
            </w:pPr>
            <w:r>
              <w:rPr>
                <w:rFonts w:hint="eastAsia" w:asciiTheme="minorEastAsia" w:hAnsiTheme="minorEastAsia" w:eastAsiaTheme="minorEastAsia" w:cstheme="minorEastAsia"/>
                <w:snapToGrid w:val="0"/>
                <w:color w:val="000000"/>
                <w:spacing w:val="-6"/>
                <w:kern w:val="0"/>
                <w:sz w:val="24"/>
                <w:szCs w:val="24"/>
                <w:lang w:val="en-US" w:eastAsia="zh-CN" w:bidi="ar-SA"/>
              </w:rPr>
              <w:t>完工日期</w:t>
            </w:r>
          </w:p>
          <w:p w14:paraId="34CB77DB">
            <w:pPr>
              <w:pStyle w:val="67"/>
              <w:tabs>
                <w:tab w:val="center" w:pos="926"/>
              </w:tabs>
              <w:spacing w:before="78" w:line="221" w:lineRule="auto"/>
              <w:jc w:val="center"/>
              <w:rPr>
                <w:rFonts w:hint="eastAsia" w:asciiTheme="minorEastAsia" w:hAnsiTheme="minorEastAsia" w:eastAsiaTheme="minorEastAsia" w:cstheme="minorEastAsia"/>
                <w:snapToGrid w:val="0"/>
                <w:color w:val="000000"/>
                <w:spacing w:val="-6"/>
                <w:kern w:val="0"/>
                <w:sz w:val="24"/>
                <w:szCs w:val="24"/>
                <w:lang w:val="en-US" w:eastAsia="zh-CN" w:bidi="ar-SA"/>
              </w:rPr>
            </w:pPr>
            <w:r>
              <w:rPr>
                <w:rFonts w:hint="eastAsia" w:asciiTheme="minorEastAsia" w:hAnsiTheme="minorEastAsia" w:eastAsiaTheme="minorEastAsia" w:cstheme="minorEastAsia"/>
                <w:snapToGrid w:val="0"/>
                <w:color w:val="000000"/>
                <w:spacing w:val="-6"/>
                <w:kern w:val="0"/>
                <w:sz w:val="24"/>
                <w:szCs w:val="24"/>
                <w:lang w:val="en-US" w:eastAsia="zh-CN" w:bidi="ar-SA"/>
              </w:rPr>
              <w:t>（交货日期）</w:t>
            </w:r>
          </w:p>
        </w:tc>
        <w:tc>
          <w:tcPr>
            <w:tcW w:w="493" w:type="pct"/>
            <w:vAlign w:val="center"/>
          </w:tcPr>
          <w:p w14:paraId="6CAFC8B3">
            <w:pPr>
              <w:pStyle w:val="67"/>
              <w:spacing w:before="78" w:line="224" w:lineRule="auto"/>
              <w:jc w:val="center"/>
              <w:rPr>
                <w:rFonts w:hint="eastAsia" w:asciiTheme="minorEastAsia" w:hAnsiTheme="minorEastAsia" w:eastAsiaTheme="minorEastAsia" w:cstheme="minorEastAsia"/>
                <w:snapToGrid w:val="0"/>
                <w:color w:val="000000"/>
                <w:spacing w:val="-6"/>
                <w:kern w:val="0"/>
                <w:sz w:val="24"/>
                <w:szCs w:val="24"/>
                <w:lang w:val="en-US" w:eastAsia="en-US" w:bidi="ar-SA"/>
              </w:rPr>
            </w:pPr>
            <w:r>
              <w:rPr>
                <w:rFonts w:hint="eastAsia" w:asciiTheme="minorEastAsia" w:hAnsiTheme="minorEastAsia" w:eastAsiaTheme="minorEastAsia" w:cstheme="minorEastAsia"/>
                <w:snapToGrid w:val="0"/>
                <w:color w:val="000000"/>
                <w:spacing w:val="-6"/>
                <w:kern w:val="0"/>
                <w:sz w:val="24"/>
                <w:szCs w:val="24"/>
                <w:lang w:val="en-US" w:eastAsia="en-US" w:bidi="ar-SA"/>
              </w:rPr>
              <w:t>备注</w:t>
            </w:r>
          </w:p>
        </w:tc>
      </w:tr>
      <w:tr w14:paraId="17897F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jc w:val="center"/>
        </w:trPr>
        <w:tc>
          <w:tcPr>
            <w:tcW w:w="368" w:type="pct"/>
            <w:vAlign w:val="top"/>
          </w:tcPr>
          <w:p w14:paraId="74A8DFA6">
            <w:pPr>
              <w:rPr>
                <w:rFonts w:hint="eastAsia" w:asciiTheme="minorEastAsia" w:hAnsiTheme="minorEastAsia" w:eastAsiaTheme="minorEastAsia" w:cstheme="minorEastAsia"/>
                <w:sz w:val="21"/>
                <w:szCs w:val="21"/>
              </w:rPr>
            </w:pPr>
          </w:p>
        </w:tc>
        <w:tc>
          <w:tcPr>
            <w:tcW w:w="826" w:type="pct"/>
            <w:vAlign w:val="top"/>
          </w:tcPr>
          <w:p w14:paraId="4AC7B278">
            <w:pPr>
              <w:rPr>
                <w:rFonts w:hint="eastAsia" w:asciiTheme="minorEastAsia" w:hAnsiTheme="minorEastAsia" w:eastAsiaTheme="minorEastAsia" w:cstheme="minorEastAsia"/>
                <w:sz w:val="21"/>
                <w:szCs w:val="21"/>
              </w:rPr>
            </w:pPr>
          </w:p>
        </w:tc>
        <w:tc>
          <w:tcPr>
            <w:tcW w:w="879" w:type="pct"/>
            <w:vAlign w:val="top"/>
          </w:tcPr>
          <w:p w14:paraId="6017D55D">
            <w:pPr>
              <w:rPr>
                <w:rFonts w:hint="eastAsia" w:asciiTheme="minorEastAsia" w:hAnsiTheme="minorEastAsia" w:eastAsiaTheme="minorEastAsia" w:cstheme="minorEastAsia"/>
                <w:sz w:val="21"/>
                <w:szCs w:val="21"/>
              </w:rPr>
            </w:pPr>
          </w:p>
        </w:tc>
        <w:tc>
          <w:tcPr>
            <w:tcW w:w="835" w:type="pct"/>
            <w:vAlign w:val="top"/>
          </w:tcPr>
          <w:p w14:paraId="3BD04C75">
            <w:pPr>
              <w:rPr>
                <w:rFonts w:hint="eastAsia" w:asciiTheme="minorEastAsia" w:hAnsiTheme="minorEastAsia" w:eastAsiaTheme="minorEastAsia" w:cstheme="minorEastAsia"/>
                <w:sz w:val="21"/>
                <w:szCs w:val="21"/>
              </w:rPr>
            </w:pPr>
          </w:p>
        </w:tc>
        <w:tc>
          <w:tcPr>
            <w:tcW w:w="738" w:type="pct"/>
            <w:vAlign w:val="top"/>
          </w:tcPr>
          <w:p w14:paraId="3949EF64">
            <w:pPr>
              <w:rPr>
                <w:rFonts w:hint="eastAsia" w:asciiTheme="minorEastAsia" w:hAnsiTheme="minorEastAsia" w:eastAsiaTheme="minorEastAsia" w:cstheme="minorEastAsia"/>
                <w:sz w:val="21"/>
                <w:szCs w:val="21"/>
              </w:rPr>
            </w:pPr>
          </w:p>
        </w:tc>
        <w:tc>
          <w:tcPr>
            <w:tcW w:w="858" w:type="pct"/>
            <w:vAlign w:val="top"/>
          </w:tcPr>
          <w:p w14:paraId="66060E4A">
            <w:pPr>
              <w:jc w:val="center"/>
              <w:rPr>
                <w:rFonts w:hint="eastAsia" w:asciiTheme="minorEastAsia" w:hAnsiTheme="minorEastAsia" w:eastAsiaTheme="minorEastAsia" w:cstheme="minorEastAsia"/>
                <w:sz w:val="21"/>
                <w:szCs w:val="21"/>
              </w:rPr>
            </w:pPr>
          </w:p>
        </w:tc>
        <w:tc>
          <w:tcPr>
            <w:tcW w:w="493" w:type="pct"/>
            <w:vAlign w:val="top"/>
          </w:tcPr>
          <w:p w14:paraId="590E7065">
            <w:pPr>
              <w:rPr>
                <w:rFonts w:hint="eastAsia" w:asciiTheme="minorEastAsia" w:hAnsiTheme="minorEastAsia" w:eastAsiaTheme="minorEastAsia" w:cstheme="minorEastAsia"/>
                <w:sz w:val="21"/>
                <w:szCs w:val="21"/>
              </w:rPr>
            </w:pPr>
          </w:p>
        </w:tc>
      </w:tr>
      <w:tr w14:paraId="75DA61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jc w:val="center"/>
        </w:trPr>
        <w:tc>
          <w:tcPr>
            <w:tcW w:w="368" w:type="pct"/>
            <w:vAlign w:val="top"/>
          </w:tcPr>
          <w:p w14:paraId="31165FB6">
            <w:pPr>
              <w:rPr>
                <w:rFonts w:hint="eastAsia" w:asciiTheme="minorEastAsia" w:hAnsiTheme="minorEastAsia" w:eastAsiaTheme="minorEastAsia" w:cstheme="minorEastAsia"/>
                <w:sz w:val="21"/>
                <w:szCs w:val="21"/>
              </w:rPr>
            </w:pPr>
          </w:p>
        </w:tc>
        <w:tc>
          <w:tcPr>
            <w:tcW w:w="826" w:type="pct"/>
            <w:vAlign w:val="top"/>
          </w:tcPr>
          <w:p w14:paraId="60B9412C">
            <w:pPr>
              <w:rPr>
                <w:rFonts w:hint="eastAsia" w:asciiTheme="minorEastAsia" w:hAnsiTheme="minorEastAsia" w:eastAsiaTheme="minorEastAsia" w:cstheme="minorEastAsia"/>
                <w:sz w:val="21"/>
                <w:szCs w:val="21"/>
              </w:rPr>
            </w:pPr>
          </w:p>
        </w:tc>
        <w:tc>
          <w:tcPr>
            <w:tcW w:w="879" w:type="pct"/>
            <w:vAlign w:val="top"/>
          </w:tcPr>
          <w:p w14:paraId="011EF201">
            <w:pPr>
              <w:rPr>
                <w:rFonts w:hint="eastAsia" w:asciiTheme="minorEastAsia" w:hAnsiTheme="minorEastAsia" w:eastAsiaTheme="minorEastAsia" w:cstheme="minorEastAsia"/>
                <w:sz w:val="21"/>
                <w:szCs w:val="21"/>
              </w:rPr>
            </w:pPr>
          </w:p>
        </w:tc>
        <w:tc>
          <w:tcPr>
            <w:tcW w:w="835" w:type="pct"/>
            <w:vAlign w:val="top"/>
          </w:tcPr>
          <w:p w14:paraId="19E3843C">
            <w:pPr>
              <w:rPr>
                <w:rFonts w:hint="eastAsia" w:asciiTheme="minorEastAsia" w:hAnsiTheme="minorEastAsia" w:eastAsiaTheme="minorEastAsia" w:cstheme="minorEastAsia"/>
                <w:sz w:val="21"/>
                <w:szCs w:val="21"/>
              </w:rPr>
            </w:pPr>
          </w:p>
        </w:tc>
        <w:tc>
          <w:tcPr>
            <w:tcW w:w="738" w:type="pct"/>
            <w:vAlign w:val="top"/>
          </w:tcPr>
          <w:p w14:paraId="421EC801">
            <w:pPr>
              <w:rPr>
                <w:rFonts w:hint="eastAsia" w:asciiTheme="minorEastAsia" w:hAnsiTheme="minorEastAsia" w:eastAsiaTheme="minorEastAsia" w:cstheme="minorEastAsia"/>
                <w:sz w:val="21"/>
                <w:szCs w:val="21"/>
              </w:rPr>
            </w:pPr>
          </w:p>
        </w:tc>
        <w:tc>
          <w:tcPr>
            <w:tcW w:w="858" w:type="pct"/>
            <w:vAlign w:val="top"/>
          </w:tcPr>
          <w:p w14:paraId="11A0E34E">
            <w:pPr>
              <w:jc w:val="center"/>
              <w:rPr>
                <w:rFonts w:hint="eastAsia" w:asciiTheme="minorEastAsia" w:hAnsiTheme="minorEastAsia" w:eastAsiaTheme="minorEastAsia" w:cstheme="minorEastAsia"/>
                <w:sz w:val="21"/>
                <w:szCs w:val="21"/>
              </w:rPr>
            </w:pPr>
          </w:p>
        </w:tc>
        <w:tc>
          <w:tcPr>
            <w:tcW w:w="493" w:type="pct"/>
            <w:vAlign w:val="top"/>
          </w:tcPr>
          <w:p w14:paraId="01D2B731">
            <w:pPr>
              <w:rPr>
                <w:rFonts w:hint="eastAsia" w:asciiTheme="minorEastAsia" w:hAnsiTheme="minorEastAsia" w:eastAsiaTheme="minorEastAsia" w:cstheme="minorEastAsia"/>
                <w:sz w:val="21"/>
                <w:szCs w:val="21"/>
              </w:rPr>
            </w:pPr>
          </w:p>
        </w:tc>
      </w:tr>
      <w:tr w14:paraId="60F13D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jc w:val="center"/>
        </w:trPr>
        <w:tc>
          <w:tcPr>
            <w:tcW w:w="368" w:type="pct"/>
            <w:vAlign w:val="top"/>
          </w:tcPr>
          <w:p w14:paraId="620E9A10">
            <w:pPr>
              <w:rPr>
                <w:rFonts w:hint="eastAsia" w:asciiTheme="minorEastAsia" w:hAnsiTheme="minorEastAsia" w:eastAsiaTheme="minorEastAsia" w:cstheme="minorEastAsia"/>
                <w:sz w:val="21"/>
                <w:szCs w:val="21"/>
              </w:rPr>
            </w:pPr>
          </w:p>
        </w:tc>
        <w:tc>
          <w:tcPr>
            <w:tcW w:w="826" w:type="pct"/>
            <w:vAlign w:val="top"/>
          </w:tcPr>
          <w:p w14:paraId="2C1206C7">
            <w:pPr>
              <w:rPr>
                <w:rFonts w:hint="eastAsia" w:asciiTheme="minorEastAsia" w:hAnsiTheme="minorEastAsia" w:eastAsiaTheme="minorEastAsia" w:cstheme="minorEastAsia"/>
                <w:sz w:val="21"/>
                <w:szCs w:val="21"/>
              </w:rPr>
            </w:pPr>
          </w:p>
        </w:tc>
        <w:tc>
          <w:tcPr>
            <w:tcW w:w="879" w:type="pct"/>
            <w:vAlign w:val="top"/>
          </w:tcPr>
          <w:p w14:paraId="11C5ABFA">
            <w:pPr>
              <w:rPr>
                <w:rFonts w:hint="eastAsia" w:asciiTheme="minorEastAsia" w:hAnsiTheme="minorEastAsia" w:eastAsiaTheme="minorEastAsia" w:cstheme="minorEastAsia"/>
                <w:sz w:val="21"/>
                <w:szCs w:val="21"/>
              </w:rPr>
            </w:pPr>
          </w:p>
        </w:tc>
        <w:tc>
          <w:tcPr>
            <w:tcW w:w="835" w:type="pct"/>
            <w:vAlign w:val="top"/>
          </w:tcPr>
          <w:p w14:paraId="5A6303E3">
            <w:pPr>
              <w:rPr>
                <w:rFonts w:hint="eastAsia" w:asciiTheme="minorEastAsia" w:hAnsiTheme="minorEastAsia" w:eastAsiaTheme="minorEastAsia" w:cstheme="minorEastAsia"/>
                <w:sz w:val="21"/>
                <w:szCs w:val="21"/>
              </w:rPr>
            </w:pPr>
          </w:p>
        </w:tc>
        <w:tc>
          <w:tcPr>
            <w:tcW w:w="738" w:type="pct"/>
            <w:vAlign w:val="top"/>
          </w:tcPr>
          <w:p w14:paraId="24139D4E">
            <w:pPr>
              <w:rPr>
                <w:rFonts w:hint="eastAsia" w:asciiTheme="minorEastAsia" w:hAnsiTheme="minorEastAsia" w:eastAsiaTheme="minorEastAsia" w:cstheme="minorEastAsia"/>
                <w:sz w:val="21"/>
                <w:szCs w:val="21"/>
              </w:rPr>
            </w:pPr>
          </w:p>
        </w:tc>
        <w:tc>
          <w:tcPr>
            <w:tcW w:w="858" w:type="pct"/>
            <w:vAlign w:val="top"/>
          </w:tcPr>
          <w:p w14:paraId="08CAF852">
            <w:pPr>
              <w:jc w:val="center"/>
              <w:rPr>
                <w:rFonts w:hint="eastAsia" w:asciiTheme="minorEastAsia" w:hAnsiTheme="minorEastAsia" w:eastAsiaTheme="minorEastAsia" w:cstheme="minorEastAsia"/>
                <w:sz w:val="21"/>
                <w:szCs w:val="21"/>
              </w:rPr>
            </w:pPr>
          </w:p>
        </w:tc>
        <w:tc>
          <w:tcPr>
            <w:tcW w:w="493" w:type="pct"/>
            <w:vAlign w:val="top"/>
          </w:tcPr>
          <w:p w14:paraId="640F1C2C">
            <w:pPr>
              <w:rPr>
                <w:rFonts w:hint="eastAsia" w:asciiTheme="minorEastAsia" w:hAnsiTheme="minorEastAsia" w:eastAsiaTheme="minorEastAsia" w:cstheme="minorEastAsia"/>
                <w:sz w:val="21"/>
                <w:szCs w:val="21"/>
              </w:rPr>
            </w:pPr>
          </w:p>
        </w:tc>
      </w:tr>
      <w:tr w14:paraId="70C6B0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jc w:val="center"/>
        </w:trPr>
        <w:tc>
          <w:tcPr>
            <w:tcW w:w="368" w:type="pct"/>
            <w:vAlign w:val="top"/>
          </w:tcPr>
          <w:p w14:paraId="7AC95250">
            <w:pPr>
              <w:rPr>
                <w:rFonts w:hint="eastAsia" w:asciiTheme="minorEastAsia" w:hAnsiTheme="minorEastAsia" w:eastAsiaTheme="minorEastAsia" w:cstheme="minorEastAsia"/>
                <w:sz w:val="21"/>
                <w:szCs w:val="21"/>
              </w:rPr>
            </w:pPr>
          </w:p>
        </w:tc>
        <w:tc>
          <w:tcPr>
            <w:tcW w:w="826" w:type="pct"/>
            <w:vAlign w:val="top"/>
          </w:tcPr>
          <w:p w14:paraId="29BB10EB">
            <w:pPr>
              <w:rPr>
                <w:rFonts w:hint="eastAsia" w:asciiTheme="minorEastAsia" w:hAnsiTheme="minorEastAsia" w:eastAsiaTheme="minorEastAsia" w:cstheme="minorEastAsia"/>
                <w:sz w:val="21"/>
                <w:szCs w:val="21"/>
              </w:rPr>
            </w:pPr>
          </w:p>
        </w:tc>
        <w:tc>
          <w:tcPr>
            <w:tcW w:w="879" w:type="pct"/>
            <w:vAlign w:val="top"/>
          </w:tcPr>
          <w:p w14:paraId="5F2D7FDA">
            <w:pPr>
              <w:rPr>
                <w:rFonts w:hint="eastAsia" w:asciiTheme="minorEastAsia" w:hAnsiTheme="minorEastAsia" w:eastAsiaTheme="minorEastAsia" w:cstheme="minorEastAsia"/>
                <w:sz w:val="21"/>
                <w:szCs w:val="21"/>
              </w:rPr>
            </w:pPr>
          </w:p>
        </w:tc>
        <w:tc>
          <w:tcPr>
            <w:tcW w:w="835" w:type="pct"/>
            <w:vAlign w:val="top"/>
          </w:tcPr>
          <w:p w14:paraId="451455B8">
            <w:pPr>
              <w:rPr>
                <w:rFonts w:hint="eastAsia" w:asciiTheme="minorEastAsia" w:hAnsiTheme="minorEastAsia" w:eastAsiaTheme="minorEastAsia" w:cstheme="minorEastAsia"/>
                <w:sz w:val="21"/>
                <w:szCs w:val="21"/>
              </w:rPr>
            </w:pPr>
          </w:p>
        </w:tc>
        <w:tc>
          <w:tcPr>
            <w:tcW w:w="738" w:type="pct"/>
            <w:vAlign w:val="top"/>
          </w:tcPr>
          <w:p w14:paraId="5AD1E8DE">
            <w:pPr>
              <w:rPr>
                <w:rFonts w:hint="eastAsia" w:asciiTheme="minorEastAsia" w:hAnsiTheme="minorEastAsia" w:eastAsiaTheme="minorEastAsia" w:cstheme="minorEastAsia"/>
                <w:sz w:val="21"/>
                <w:szCs w:val="21"/>
              </w:rPr>
            </w:pPr>
          </w:p>
        </w:tc>
        <w:tc>
          <w:tcPr>
            <w:tcW w:w="858" w:type="pct"/>
            <w:vAlign w:val="top"/>
          </w:tcPr>
          <w:p w14:paraId="2FD93586">
            <w:pPr>
              <w:jc w:val="center"/>
              <w:rPr>
                <w:rFonts w:hint="eastAsia" w:asciiTheme="minorEastAsia" w:hAnsiTheme="minorEastAsia" w:eastAsiaTheme="minorEastAsia" w:cstheme="minorEastAsia"/>
                <w:sz w:val="21"/>
                <w:szCs w:val="21"/>
              </w:rPr>
            </w:pPr>
          </w:p>
        </w:tc>
        <w:tc>
          <w:tcPr>
            <w:tcW w:w="493" w:type="pct"/>
            <w:vAlign w:val="top"/>
          </w:tcPr>
          <w:p w14:paraId="6C47BF60">
            <w:pPr>
              <w:rPr>
                <w:rFonts w:hint="eastAsia" w:asciiTheme="minorEastAsia" w:hAnsiTheme="minorEastAsia" w:eastAsiaTheme="minorEastAsia" w:cstheme="minorEastAsia"/>
                <w:sz w:val="21"/>
                <w:szCs w:val="21"/>
              </w:rPr>
            </w:pPr>
          </w:p>
        </w:tc>
      </w:tr>
      <w:tr w14:paraId="49C34E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jc w:val="center"/>
        </w:trPr>
        <w:tc>
          <w:tcPr>
            <w:tcW w:w="368" w:type="pct"/>
            <w:vAlign w:val="top"/>
          </w:tcPr>
          <w:p w14:paraId="10A8AF84">
            <w:pPr>
              <w:rPr>
                <w:rFonts w:hint="eastAsia" w:asciiTheme="minorEastAsia" w:hAnsiTheme="minorEastAsia" w:eastAsiaTheme="minorEastAsia" w:cstheme="minorEastAsia"/>
                <w:sz w:val="21"/>
                <w:szCs w:val="21"/>
              </w:rPr>
            </w:pPr>
          </w:p>
        </w:tc>
        <w:tc>
          <w:tcPr>
            <w:tcW w:w="826" w:type="pct"/>
            <w:vAlign w:val="top"/>
          </w:tcPr>
          <w:p w14:paraId="1A23292C">
            <w:pPr>
              <w:rPr>
                <w:rFonts w:hint="eastAsia" w:asciiTheme="minorEastAsia" w:hAnsiTheme="minorEastAsia" w:eastAsiaTheme="minorEastAsia" w:cstheme="minorEastAsia"/>
                <w:sz w:val="21"/>
                <w:szCs w:val="21"/>
              </w:rPr>
            </w:pPr>
          </w:p>
        </w:tc>
        <w:tc>
          <w:tcPr>
            <w:tcW w:w="879" w:type="pct"/>
            <w:vAlign w:val="top"/>
          </w:tcPr>
          <w:p w14:paraId="09D87980">
            <w:pPr>
              <w:rPr>
                <w:rFonts w:hint="eastAsia" w:asciiTheme="minorEastAsia" w:hAnsiTheme="minorEastAsia" w:eastAsiaTheme="minorEastAsia" w:cstheme="minorEastAsia"/>
                <w:sz w:val="21"/>
                <w:szCs w:val="21"/>
              </w:rPr>
            </w:pPr>
          </w:p>
        </w:tc>
        <w:tc>
          <w:tcPr>
            <w:tcW w:w="835" w:type="pct"/>
            <w:vAlign w:val="top"/>
          </w:tcPr>
          <w:p w14:paraId="37ECB2F5">
            <w:pPr>
              <w:rPr>
                <w:rFonts w:hint="eastAsia" w:asciiTheme="minorEastAsia" w:hAnsiTheme="minorEastAsia" w:eastAsiaTheme="minorEastAsia" w:cstheme="minorEastAsia"/>
                <w:sz w:val="21"/>
                <w:szCs w:val="21"/>
              </w:rPr>
            </w:pPr>
          </w:p>
        </w:tc>
        <w:tc>
          <w:tcPr>
            <w:tcW w:w="738" w:type="pct"/>
            <w:vAlign w:val="top"/>
          </w:tcPr>
          <w:p w14:paraId="0F052168">
            <w:pPr>
              <w:rPr>
                <w:rFonts w:hint="eastAsia" w:asciiTheme="minorEastAsia" w:hAnsiTheme="minorEastAsia" w:eastAsiaTheme="minorEastAsia" w:cstheme="minorEastAsia"/>
                <w:sz w:val="21"/>
                <w:szCs w:val="21"/>
              </w:rPr>
            </w:pPr>
          </w:p>
        </w:tc>
        <w:tc>
          <w:tcPr>
            <w:tcW w:w="858" w:type="pct"/>
            <w:vAlign w:val="top"/>
          </w:tcPr>
          <w:p w14:paraId="08DD2475">
            <w:pPr>
              <w:jc w:val="center"/>
              <w:rPr>
                <w:rFonts w:hint="eastAsia" w:asciiTheme="minorEastAsia" w:hAnsiTheme="minorEastAsia" w:eastAsiaTheme="minorEastAsia" w:cstheme="minorEastAsia"/>
                <w:sz w:val="21"/>
                <w:szCs w:val="21"/>
              </w:rPr>
            </w:pPr>
          </w:p>
        </w:tc>
        <w:tc>
          <w:tcPr>
            <w:tcW w:w="493" w:type="pct"/>
            <w:vAlign w:val="top"/>
          </w:tcPr>
          <w:p w14:paraId="28E04044">
            <w:pPr>
              <w:rPr>
                <w:rFonts w:hint="eastAsia" w:asciiTheme="minorEastAsia" w:hAnsiTheme="minorEastAsia" w:eastAsiaTheme="minorEastAsia" w:cstheme="minorEastAsia"/>
                <w:sz w:val="21"/>
                <w:szCs w:val="21"/>
              </w:rPr>
            </w:pPr>
          </w:p>
        </w:tc>
      </w:tr>
      <w:tr w14:paraId="219581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jc w:val="center"/>
        </w:trPr>
        <w:tc>
          <w:tcPr>
            <w:tcW w:w="368" w:type="pct"/>
            <w:vAlign w:val="top"/>
          </w:tcPr>
          <w:p w14:paraId="24256D07">
            <w:pPr>
              <w:rPr>
                <w:rFonts w:hint="eastAsia" w:asciiTheme="minorEastAsia" w:hAnsiTheme="minorEastAsia" w:eastAsiaTheme="minorEastAsia" w:cstheme="minorEastAsia"/>
                <w:sz w:val="21"/>
                <w:szCs w:val="21"/>
              </w:rPr>
            </w:pPr>
          </w:p>
        </w:tc>
        <w:tc>
          <w:tcPr>
            <w:tcW w:w="826" w:type="pct"/>
            <w:vAlign w:val="top"/>
          </w:tcPr>
          <w:p w14:paraId="141C76B3">
            <w:pPr>
              <w:rPr>
                <w:rFonts w:hint="eastAsia" w:asciiTheme="minorEastAsia" w:hAnsiTheme="minorEastAsia" w:eastAsiaTheme="minorEastAsia" w:cstheme="minorEastAsia"/>
                <w:sz w:val="21"/>
                <w:szCs w:val="21"/>
              </w:rPr>
            </w:pPr>
          </w:p>
        </w:tc>
        <w:tc>
          <w:tcPr>
            <w:tcW w:w="879" w:type="pct"/>
            <w:vAlign w:val="top"/>
          </w:tcPr>
          <w:p w14:paraId="0838F239">
            <w:pPr>
              <w:rPr>
                <w:rFonts w:hint="eastAsia" w:asciiTheme="minorEastAsia" w:hAnsiTheme="minorEastAsia" w:eastAsiaTheme="minorEastAsia" w:cstheme="minorEastAsia"/>
                <w:sz w:val="21"/>
                <w:szCs w:val="21"/>
              </w:rPr>
            </w:pPr>
          </w:p>
        </w:tc>
        <w:tc>
          <w:tcPr>
            <w:tcW w:w="835" w:type="pct"/>
            <w:vAlign w:val="top"/>
          </w:tcPr>
          <w:p w14:paraId="4035BE4C">
            <w:pPr>
              <w:rPr>
                <w:rFonts w:hint="eastAsia" w:asciiTheme="minorEastAsia" w:hAnsiTheme="minorEastAsia" w:eastAsiaTheme="minorEastAsia" w:cstheme="minorEastAsia"/>
                <w:sz w:val="21"/>
                <w:szCs w:val="21"/>
              </w:rPr>
            </w:pPr>
          </w:p>
        </w:tc>
        <w:tc>
          <w:tcPr>
            <w:tcW w:w="738" w:type="pct"/>
            <w:vAlign w:val="top"/>
          </w:tcPr>
          <w:p w14:paraId="3FC5DBFE">
            <w:pPr>
              <w:rPr>
                <w:rFonts w:hint="eastAsia" w:asciiTheme="minorEastAsia" w:hAnsiTheme="minorEastAsia" w:eastAsiaTheme="minorEastAsia" w:cstheme="minorEastAsia"/>
                <w:sz w:val="21"/>
                <w:szCs w:val="21"/>
              </w:rPr>
            </w:pPr>
          </w:p>
        </w:tc>
        <w:tc>
          <w:tcPr>
            <w:tcW w:w="858" w:type="pct"/>
            <w:vAlign w:val="top"/>
          </w:tcPr>
          <w:p w14:paraId="2A2AA9D1">
            <w:pPr>
              <w:jc w:val="center"/>
              <w:rPr>
                <w:rFonts w:hint="eastAsia" w:asciiTheme="minorEastAsia" w:hAnsiTheme="minorEastAsia" w:eastAsiaTheme="minorEastAsia" w:cstheme="minorEastAsia"/>
                <w:sz w:val="21"/>
                <w:szCs w:val="21"/>
              </w:rPr>
            </w:pPr>
          </w:p>
        </w:tc>
        <w:tc>
          <w:tcPr>
            <w:tcW w:w="493" w:type="pct"/>
            <w:vAlign w:val="top"/>
          </w:tcPr>
          <w:p w14:paraId="4E8AAA92">
            <w:pPr>
              <w:rPr>
                <w:rFonts w:hint="eastAsia" w:asciiTheme="minorEastAsia" w:hAnsiTheme="minorEastAsia" w:eastAsiaTheme="minorEastAsia" w:cstheme="minorEastAsia"/>
                <w:sz w:val="21"/>
                <w:szCs w:val="21"/>
              </w:rPr>
            </w:pPr>
          </w:p>
        </w:tc>
      </w:tr>
      <w:tr w14:paraId="46D1F6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jc w:val="center"/>
        </w:trPr>
        <w:tc>
          <w:tcPr>
            <w:tcW w:w="368" w:type="pct"/>
            <w:vAlign w:val="top"/>
          </w:tcPr>
          <w:p w14:paraId="5ED4FBD8">
            <w:pPr>
              <w:rPr>
                <w:rFonts w:hint="eastAsia" w:asciiTheme="minorEastAsia" w:hAnsiTheme="minorEastAsia" w:eastAsiaTheme="minorEastAsia" w:cstheme="minorEastAsia"/>
                <w:sz w:val="21"/>
                <w:szCs w:val="21"/>
              </w:rPr>
            </w:pPr>
          </w:p>
        </w:tc>
        <w:tc>
          <w:tcPr>
            <w:tcW w:w="826" w:type="pct"/>
            <w:vAlign w:val="top"/>
          </w:tcPr>
          <w:p w14:paraId="1BAF517A">
            <w:pPr>
              <w:rPr>
                <w:rFonts w:hint="eastAsia" w:asciiTheme="minorEastAsia" w:hAnsiTheme="minorEastAsia" w:eastAsiaTheme="minorEastAsia" w:cstheme="minorEastAsia"/>
                <w:sz w:val="21"/>
                <w:szCs w:val="21"/>
              </w:rPr>
            </w:pPr>
          </w:p>
        </w:tc>
        <w:tc>
          <w:tcPr>
            <w:tcW w:w="879" w:type="pct"/>
            <w:vAlign w:val="top"/>
          </w:tcPr>
          <w:p w14:paraId="67313319">
            <w:pPr>
              <w:rPr>
                <w:rFonts w:hint="eastAsia" w:asciiTheme="minorEastAsia" w:hAnsiTheme="minorEastAsia" w:eastAsiaTheme="minorEastAsia" w:cstheme="minorEastAsia"/>
                <w:sz w:val="21"/>
                <w:szCs w:val="21"/>
              </w:rPr>
            </w:pPr>
          </w:p>
        </w:tc>
        <w:tc>
          <w:tcPr>
            <w:tcW w:w="835" w:type="pct"/>
            <w:vAlign w:val="top"/>
          </w:tcPr>
          <w:p w14:paraId="364B1AA6">
            <w:pPr>
              <w:rPr>
                <w:rFonts w:hint="eastAsia" w:asciiTheme="minorEastAsia" w:hAnsiTheme="minorEastAsia" w:eastAsiaTheme="minorEastAsia" w:cstheme="minorEastAsia"/>
                <w:sz w:val="21"/>
                <w:szCs w:val="21"/>
              </w:rPr>
            </w:pPr>
          </w:p>
        </w:tc>
        <w:tc>
          <w:tcPr>
            <w:tcW w:w="738" w:type="pct"/>
            <w:vAlign w:val="top"/>
          </w:tcPr>
          <w:p w14:paraId="459EFCB0">
            <w:pPr>
              <w:rPr>
                <w:rFonts w:hint="eastAsia" w:asciiTheme="minorEastAsia" w:hAnsiTheme="minorEastAsia" w:eastAsiaTheme="minorEastAsia" w:cstheme="minorEastAsia"/>
                <w:sz w:val="21"/>
                <w:szCs w:val="21"/>
              </w:rPr>
            </w:pPr>
          </w:p>
        </w:tc>
        <w:tc>
          <w:tcPr>
            <w:tcW w:w="858" w:type="pct"/>
            <w:vAlign w:val="top"/>
          </w:tcPr>
          <w:p w14:paraId="34C02484">
            <w:pPr>
              <w:jc w:val="center"/>
              <w:rPr>
                <w:rFonts w:hint="eastAsia" w:asciiTheme="minorEastAsia" w:hAnsiTheme="minorEastAsia" w:eastAsiaTheme="minorEastAsia" w:cstheme="minorEastAsia"/>
                <w:sz w:val="21"/>
                <w:szCs w:val="21"/>
              </w:rPr>
            </w:pPr>
          </w:p>
        </w:tc>
        <w:tc>
          <w:tcPr>
            <w:tcW w:w="493" w:type="pct"/>
            <w:vAlign w:val="top"/>
          </w:tcPr>
          <w:p w14:paraId="5565A9B5">
            <w:pPr>
              <w:rPr>
                <w:rFonts w:hint="eastAsia" w:asciiTheme="minorEastAsia" w:hAnsiTheme="minorEastAsia" w:eastAsiaTheme="minorEastAsia" w:cstheme="minorEastAsia"/>
                <w:sz w:val="21"/>
                <w:szCs w:val="21"/>
              </w:rPr>
            </w:pPr>
          </w:p>
        </w:tc>
      </w:tr>
      <w:tr w14:paraId="3BEE95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jc w:val="center"/>
        </w:trPr>
        <w:tc>
          <w:tcPr>
            <w:tcW w:w="368" w:type="pct"/>
            <w:vAlign w:val="top"/>
          </w:tcPr>
          <w:p w14:paraId="12D86E34">
            <w:pPr>
              <w:rPr>
                <w:rFonts w:hint="eastAsia" w:asciiTheme="minorEastAsia" w:hAnsiTheme="minorEastAsia" w:eastAsiaTheme="minorEastAsia" w:cstheme="minorEastAsia"/>
                <w:sz w:val="21"/>
                <w:szCs w:val="21"/>
              </w:rPr>
            </w:pPr>
          </w:p>
        </w:tc>
        <w:tc>
          <w:tcPr>
            <w:tcW w:w="826" w:type="pct"/>
            <w:vAlign w:val="top"/>
          </w:tcPr>
          <w:p w14:paraId="0B43F4B6">
            <w:pPr>
              <w:rPr>
                <w:rFonts w:hint="eastAsia" w:asciiTheme="minorEastAsia" w:hAnsiTheme="minorEastAsia" w:eastAsiaTheme="minorEastAsia" w:cstheme="minorEastAsia"/>
                <w:sz w:val="21"/>
                <w:szCs w:val="21"/>
              </w:rPr>
            </w:pPr>
          </w:p>
        </w:tc>
        <w:tc>
          <w:tcPr>
            <w:tcW w:w="879" w:type="pct"/>
            <w:vAlign w:val="top"/>
          </w:tcPr>
          <w:p w14:paraId="3664B975">
            <w:pPr>
              <w:rPr>
                <w:rFonts w:hint="eastAsia" w:asciiTheme="minorEastAsia" w:hAnsiTheme="minorEastAsia" w:eastAsiaTheme="minorEastAsia" w:cstheme="minorEastAsia"/>
                <w:sz w:val="21"/>
                <w:szCs w:val="21"/>
              </w:rPr>
            </w:pPr>
          </w:p>
        </w:tc>
        <w:tc>
          <w:tcPr>
            <w:tcW w:w="835" w:type="pct"/>
            <w:vAlign w:val="top"/>
          </w:tcPr>
          <w:p w14:paraId="5BF63179">
            <w:pPr>
              <w:rPr>
                <w:rFonts w:hint="eastAsia" w:asciiTheme="minorEastAsia" w:hAnsiTheme="minorEastAsia" w:eastAsiaTheme="minorEastAsia" w:cstheme="minorEastAsia"/>
                <w:sz w:val="21"/>
                <w:szCs w:val="21"/>
              </w:rPr>
            </w:pPr>
          </w:p>
        </w:tc>
        <w:tc>
          <w:tcPr>
            <w:tcW w:w="738" w:type="pct"/>
            <w:vAlign w:val="top"/>
          </w:tcPr>
          <w:p w14:paraId="78D7DD2E">
            <w:pPr>
              <w:rPr>
                <w:rFonts w:hint="eastAsia" w:asciiTheme="minorEastAsia" w:hAnsiTheme="minorEastAsia" w:eastAsiaTheme="minorEastAsia" w:cstheme="minorEastAsia"/>
                <w:sz w:val="21"/>
                <w:szCs w:val="21"/>
              </w:rPr>
            </w:pPr>
          </w:p>
        </w:tc>
        <w:tc>
          <w:tcPr>
            <w:tcW w:w="858" w:type="pct"/>
            <w:vAlign w:val="top"/>
          </w:tcPr>
          <w:p w14:paraId="6555298E">
            <w:pPr>
              <w:jc w:val="center"/>
              <w:rPr>
                <w:rFonts w:hint="eastAsia" w:asciiTheme="minorEastAsia" w:hAnsiTheme="minorEastAsia" w:eastAsiaTheme="minorEastAsia" w:cstheme="minorEastAsia"/>
                <w:sz w:val="21"/>
                <w:szCs w:val="21"/>
              </w:rPr>
            </w:pPr>
          </w:p>
        </w:tc>
        <w:tc>
          <w:tcPr>
            <w:tcW w:w="493" w:type="pct"/>
            <w:vAlign w:val="top"/>
          </w:tcPr>
          <w:p w14:paraId="0B3E4CBF">
            <w:pPr>
              <w:rPr>
                <w:rFonts w:hint="eastAsia" w:asciiTheme="minorEastAsia" w:hAnsiTheme="minorEastAsia" w:eastAsiaTheme="minorEastAsia" w:cstheme="minorEastAsia"/>
                <w:sz w:val="21"/>
                <w:szCs w:val="21"/>
              </w:rPr>
            </w:pPr>
          </w:p>
        </w:tc>
      </w:tr>
      <w:tr w14:paraId="43B516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jc w:val="center"/>
        </w:trPr>
        <w:tc>
          <w:tcPr>
            <w:tcW w:w="368" w:type="pct"/>
            <w:vAlign w:val="top"/>
          </w:tcPr>
          <w:p w14:paraId="5877C7ED">
            <w:pPr>
              <w:rPr>
                <w:rFonts w:hint="eastAsia" w:asciiTheme="minorEastAsia" w:hAnsiTheme="minorEastAsia" w:eastAsiaTheme="minorEastAsia" w:cstheme="minorEastAsia"/>
                <w:sz w:val="21"/>
                <w:szCs w:val="21"/>
              </w:rPr>
            </w:pPr>
          </w:p>
        </w:tc>
        <w:tc>
          <w:tcPr>
            <w:tcW w:w="826" w:type="pct"/>
            <w:vAlign w:val="top"/>
          </w:tcPr>
          <w:p w14:paraId="7D64261B">
            <w:pPr>
              <w:rPr>
                <w:rFonts w:hint="eastAsia" w:asciiTheme="minorEastAsia" w:hAnsiTheme="minorEastAsia" w:eastAsiaTheme="minorEastAsia" w:cstheme="minorEastAsia"/>
                <w:sz w:val="21"/>
                <w:szCs w:val="21"/>
              </w:rPr>
            </w:pPr>
          </w:p>
        </w:tc>
        <w:tc>
          <w:tcPr>
            <w:tcW w:w="879" w:type="pct"/>
            <w:vAlign w:val="top"/>
          </w:tcPr>
          <w:p w14:paraId="24D07525">
            <w:pPr>
              <w:rPr>
                <w:rFonts w:hint="eastAsia" w:asciiTheme="minorEastAsia" w:hAnsiTheme="minorEastAsia" w:eastAsiaTheme="minorEastAsia" w:cstheme="minorEastAsia"/>
                <w:sz w:val="21"/>
                <w:szCs w:val="21"/>
              </w:rPr>
            </w:pPr>
          </w:p>
        </w:tc>
        <w:tc>
          <w:tcPr>
            <w:tcW w:w="835" w:type="pct"/>
            <w:vAlign w:val="top"/>
          </w:tcPr>
          <w:p w14:paraId="2D0FA234">
            <w:pPr>
              <w:rPr>
                <w:rFonts w:hint="eastAsia" w:asciiTheme="minorEastAsia" w:hAnsiTheme="minorEastAsia" w:eastAsiaTheme="minorEastAsia" w:cstheme="minorEastAsia"/>
                <w:sz w:val="21"/>
                <w:szCs w:val="21"/>
              </w:rPr>
            </w:pPr>
          </w:p>
        </w:tc>
        <w:tc>
          <w:tcPr>
            <w:tcW w:w="738" w:type="pct"/>
            <w:vAlign w:val="top"/>
          </w:tcPr>
          <w:p w14:paraId="3F1CD10C">
            <w:pPr>
              <w:rPr>
                <w:rFonts w:hint="eastAsia" w:asciiTheme="minorEastAsia" w:hAnsiTheme="minorEastAsia" w:eastAsiaTheme="minorEastAsia" w:cstheme="minorEastAsia"/>
                <w:sz w:val="21"/>
                <w:szCs w:val="21"/>
              </w:rPr>
            </w:pPr>
          </w:p>
        </w:tc>
        <w:tc>
          <w:tcPr>
            <w:tcW w:w="858" w:type="pct"/>
            <w:vAlign w:val="top"/>
          </w:tcPr>
          <w:p w14:paraId="29793B80">
            <w:pPr>
              <w:jc w:val="center"/>
              <w:rPr>
                <w:rFonts w:hint="eastAsia" w:asciiTheme="minorEastAsia" w:hAnsiTheme="minorEastAsia" w:eastAsiaTheme="minorEastAsia" w:cstheme="minorEastAsia"/>
                <w:sz w:val="21"/>
                <w:szCs w:val="21"/>
              </w:rPr>
            </w:pPr>
          </w:p>
        </w:tc>
        <w:tc>
          <w:tcPr>
            <w:tcW w:w="493" w:type="pct"/>
            <w:vAlign w:val="top"/>
          </w:tcPr>
          <w:p w14:paraId="2CF271B7">
            <w:pPr>
              <w:rPr>
                <w:rFonts w:hint="eastAsia" w:asciiTheme="minorEastAsia" w:hAnsiTheme="minorEastAsia" w:eastAsiaTheme="minorEastAsia" w:cstheme="minorEastAsia"/>
                <w:sz w:val="21"/>
                <w:szCs w:val="21"/>
              </w:rPr>
            </w:pPr>
          </w:p>
        </w:tc>
      </w:tr>
      <w:tr w14:paraId="0A9EAE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jc w:val="center"/>
        </w:trPr>
        <w:tc>
          <w:tcPr>
            <w:tcW w:w="368" w:type="pct"/>
            <w:vAlign w:val="top"/>
          </w:tcPr>
          <w:p w14:paraId="318EAB1A">
            <w:pPr>
              <w:rPr>
                <w:rFonts w:hint="eastAsia" w:asciiTheme="minorEastAsia" w:hAnsiTheme="minorEastAsia" w:eastAsiaTheme="minorEastAsia" w:cstheme="minorEastAsia"/>
                <w:sz w:val="21"/>
                <w:szCs w:val="21"/>
              </w:rPr>
            </w:pPr>
          </w:p>
        </w:tc>
        <w:tc>
          <w:tcPr>
            <w:tcW w:w="826" w:type="pct"/>
            <w:vAlign w:val="top"/>
          </w:tcPr>
          <w:p w14:paraId="70D6580D">
            <w:pPr>
              <w:rPr>
                <w:rFonts w:hint="eastAsia" w:asciiTheme="minorEastAsia" w:hAnsiTheme="minorEastAsia" w:eastAsiaTheme="minorEastAsia" w:cstheme="minorEastAsia"/>
                <w:sz w:val="21"/>
                <w:szCs w:val="21"/>
              </w:rPr>
            </w:pPr>
          </w:p>
        </w:tc>
        <w:tc>
          <w:tcPr>
            <w:tcW w:w="879" w:type="pct"/>
            <w:vAlign w:val="top"/>
          </w:tcPr>
          <w:p w14:paraId="2F9004F4">
            <w:pPr>
              <w:rPr>
                <w:rFonts w:hint="eastAsia" w:asciiTheme="minorEastAsia" w:hAnsiTheme="minorEastAsia" w:eastAsiaTheme="minorEastAsia" w:cstheme="minorEastAsia"/>
                <w:sz w:val="21"/>
                <w:szCs w:val="21"/>
              </w:rPr>
            </w:pPr>
          </w:p>
        </w:tc>
        <w:tc>
          <w:tcPr>
            <w:tcW w:w="835" w:type="pct"/>
            <w:vAlign w:val="top"/>
          </w:tcPr>
          <w:p w14:paraId="1AE86737">
            <w:pPr>
              <w:rPr>
                <w:rFonts w:hint="eastAsia" w:asciiTheme="minorEastAsia" w:hAnsiTheme="minorEastAsia" w:eastAsiaTheme="minorEastAsia" w:cstheme="minorEastAsia"/>
                <w:sz w:val="21"/>
                <w:szCs w:val="21"/>
              </w:rPr>
            </w:pPr>
          </w:p>
        </w:tc>
        <w:tc>
          <w:tcPr>
            <w:tcW w:w="738" w:type="pct"/>
            <w:vAlign w:val="top"/>
          </w:tcPr>
          <w:p w14:paraId="30F23C63">
            <w:pPr>
              <w:rPr>
                <w:rFonts w:hint="eastAsia" w:asciiTheme="minorEastAsia" w:hAnsiTheme="minorEastAsia" w:eastAsiaTheme="minorEastAsia" w:cstheme="minorEastAsia"/>
                <w:sz w:val="21"/>
                <w:szCs w:val="21"/>
              </w:rPr>
            </w:pPr>
          </w:p>
        </w:tc>
        <w:tc>
          <w:tcPr>
            <w:tcW w:w="858" w:type="pct"/>
            <w:vAlign w:val="top"/>
          </w:tcPr>
          <w:p w14:paraId="07947EDA">
            <w:pPr>
              <w:jc w:val="center"/>
              <w:rPr>
                <w:rFonts w:hint="eastAsia" w:asciiTheme="minorEastAsia" w:hAnsiTheme="minorEastAsia" w:eastAsiaTheme="minorEastAsia" w:cstheme="minorEastAsia"/>
                <w:sz w:val="21"/>
                <w:szCs w:val="21"/>
              </w:rPr>
            </w:pPr>
          </w:p>
        </w:tc>
        <w:tc>
          <w:tcPr>
            <w:tcW w:w="493" w:type="pct"/>
            <w:vAlign w:val="top"/>
          </w:tcPr>
          <w:p w14:paraId="3C06EB89">
            <w:pPr>
              <w:rPr>
                <w:rFonts w:hint="eastAsia" w:asciiTheme="minorEastAsia" w:hAnsiTheme="minorEastAsia" w:eastAsiaTheme="minorEastAsia" w:cstheme="minorEastAsia"/>
                <w:sz w:val="21"/>
                <w:szCs w:val="21"/>
              </w:rPr>
            </w:pPr>
          </w:p>
        </w:tc>
      </w:tr>
      <w:tr w14:paraId="352FD7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jc w:val="center"/>
        </w:trPr>
        <w:tc>
          <w:tcPr>
            <w:tcW w:w="368" w:type="pct"/>
            <w:vAlign w:val="top"/>
          </w:tcPr>
          <w:p w14:paraId="0DC4BC35">
            <w:pPr>
              <w:rPr>
                <w:rFonts w:hint="eastAsia" w:asciiTheme="minorEastAsia" w:hAnsiTheme="minorEastAsia" w:eastAsiaTheme="minorEastAsia" w:cstheme="minorEastAsia"/>
                <w:sz w:val="21"/>
                <w:szCs w:val="21"/>
              </w:rPr>
            </w:pPr>
          </w:p>
        </w:tc>
        <w:tc>
          <w:tcPr>
            <w:tcW w:w="826" w:type="pct"/>
            <w:vAlign w:val="top"/>
          </w:tcPr>
          <w:p w14:paraId="2A681113">
            <w:pPr>
              <w:rPr>
                <w:rFonts w:hint="eastAsia" w:asciiTheme="minorEastAsia" w:hAnsiTheme="minorEastAsia" w:eastAsiaTheme="minorEastAsia" w:cstheme="minorEastAsia"/>
                <w:sz w:val="21"/>
                <w:szCs w:val="21"/>
              </w:rPr>
            </w:pPr>
          </w:p>
        </w:tc>
        <w:tc>
          <w:tcPr>
            <w:tcW w:w="879" w:type="pct"/>
            <w:vAlign w:val="top"/>
          </w:tcPr>
          <w:p w14:paraId="75223060">
            <w:pPr>
              <w:rPr>
                <w:rFonts w:hint="eastAsia" w:asciiTheme="minorEastAsia" w:hAnsiTheme="minorEastAsia" w:eastAsiaTheme="minorEastAsia" w:cstheme="minorEastAsia"/>
                <w:sz w:val="21"/>
                <w:szCs w:val="21"/>
              </w:rPr>
            </w:pPr>
          </w:p>
        </w:tc>
        <w:tc>
          <w:tcPr>
            <w:tcW w:w="835" w:type="pct"/>
            <w:vAlign w:val="top"/>
          </w:tcPr>
          <w:p w14:paraId="5F7309CC">
            <w:pPr>
              <w:rPr>
                <w:rFonts w:hint="eastAsia" w:asciiTheme="minorEastAsia" w:hAnsiTheme="minorEastAsia" w:eastAsiaTheme="minorEastAsia" w:cstheme="minorEastAsia"/>
                <w:sz w:val="21"/>
                <w:szCs w:val="21"/>
              </w:rPr>
            </w:pPr>
          </w:p>
        </w:tc>
        <w:tc>
          <w:tcPr>
            <w:tcW w:w="738" w:type="pct"/>
            <w:vAlign w:val="top"/>
          </w:tcPr>
          <w:p w14:paraId="660F599A">
            <w:pPr>
              <w:rPr>
                <w:rFonts w:hint="eastAsia" w:asciiTheme="minorEastAsia" w:hAnsiTheme="minorEastAsia" w:eastAsiaTheme="minorEastAsia" w:cstheme="minorEastAsia"/>
                <w:sz w:val="21"/>
                <w:szCs w:val="21"/>
              </w:rPr>
            </w:pPr>
          </w:p>
        </w:tc>
        <w:tc>
          <w:tcPr>
            <w:tcW w:w="858" w:type="pct"/>
            <w:vAlign w:val="top"/>
          </w:tcPr>
          <w:p w14:paraId="2CB61A3A">
            <w:pPr>
              <w:jc w:val="center"/>
              <w:rPr>
                <w:rFonts w:hint="eastAsia" w:asciiTheme="minorEastAsia" w:hAnsiTheme="minorEastAsia" w:eastAsiaTheme="minorEastAsia" w:cstheme="minorEastAsia"/>
                <w:sz w:val="21"/>
                <w:szCs w:val="21"/>
              </w:rPr>
            </w:pPr>
          </w:p>
        </w:tc>
        <w:tc>
          <w:tcPr>
            <w:tcW w:w="493" w:type="pct"/>
            <w:vAlign w:val="top"/>
          </w:tcPr>
          <w:p w14:paraId="4CF4C430">
            <w:pPr>
              <w:rPr>
                <w:rFonts w:hint="eastAsia" w:asciiTheme="minorEastAsia" w:hAnsiTheme="minorEastAsia" w:eastAsiaTheme="minorEastAsia" w:cstheme="minorEastAsia"/>
                <w:sz w:val="21"/>
                <w:szCs w:val="21"/>
              </w:rPr>
            </w:pPr>
          </w:p>
        </w:tc>
      </w:tr>
      <w:tr w14:paraId="76B059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jc w:val="center"/>
        </w:trPr>
        <w:tc>
          <w:tcPr>
            <w:tcW w:w="368" w:type="pct"/>
            <w:vAlign w:val="top"/>
          </w:tcPr>
          <w:p w14:paraId="117ECD28">
            <w:pPr>
              <w:rPr>
                <w:rFonts w:hint="eastAsia" w:asciiTheme="minorEastAsia" w:hAnsiTheme="minorEastAsia" w:eastAsiaTheme="minorEastAsia" w:cstheme="minorEastAsia"/>
                <w:sz w:val="21"/>
                <w:szCs w:val="21"/>
              </w:rPr>
            </w:pPr>
          </w:p>
        </w:tc>
        <w:tc>
          <w:tcPr>
            <w:tcW w:w="826" w:type="pct"/>
            <w:vAlign w:val="top"/>
          </w:tcPr>
          <w:p w14:paraId="5CD52AAE">
            <w:pPr>
              <w:rPr>
                <w:rFonts w:hint="eastAsia" w:asciiTheme="minorEastAsia" w:hAnsiTheme="minorEastAsia" w:eastAsiaTheme="minorEastAsia" w:cstheme="minorEastAsia"/>
                <w:sz w:val="21"/>
                <w:szCs w:val="21"/>
              </w:rPr>
            </w:pPr>
          </w:p>
        </w:tc>
        <w:tc>
          <w:tcPr>
            <w:tcW w:w="879" w:type="pct"/>
            <w:vAlign w:val="top"/>
          </w:tcPr>
          <w:p w14:paraId="77C42359">
            <w:pPr>
              <w:rPr>
                <w:rFonts w:hint="eastAsia" w:asciiTheme="minorEastAsia" w:hAnsiTheme="minorEastAsia" w:eastAsiaTheme="minorEastAsia" w:cstheme="minorEastAsia"/>
                <w:sz w:val="21"/>
                <w:szCs w:val="21"/>
              </w:rPr>
            </w:pPr>
          </w:p>
        </w:tc>
        <w:tc>
          <w:tcPr>
            <w:tcW w:w="835" w:type="pct"/>
            <w:vAlign w:val="top"/>
          </w:tcPr>
          <w:p w14:paraId="16ACDDFC">
            <w:pPr>
              <w:rPr>
                <w:rFonts w:hint="eastAsia" w:asciiTheme="minorEastAsia" w:hAnsiTheme="minorEastAsia" w:eastAsiaTheme="minorEastAsia" w:cstheme="minorEastAsia"/>
                <w:sz w:val="21"/>
                <w:szCs w:val="21"/>
              </w:rPr>
            </w:pPr>
          </w:p>
        </w:tc>
        <w:tc>
          <w:tcPr>
            <w:tcW w:w="738" w:type="pct"/>
            <w:vAlign w:val="top"/>
          </w:tcPr>
          <w:p w14:paraId="222E752E">
            <w:pPr>
              <w:rPr>
                <w:rFonts w:hint="eastAsia" w:asciiTheme="minorEastAsia" w:hAnsiTheme="minorEastAsia" w:eastAsiaTheme="minorEastAsia" w:cstheme="minorEastAsia"/>
                <w:sz w:val="21"/>
                <w:szCs w:val="21"/>
              </w:rPr>
            </w:pPr>
          </w:p>
        </w:tc>
        <w:tc>
          <w:tcPr>
            <w:tcW w:w="858" w:type="pct"/>
            <w:vAlign w:val="top"/>
          </w:tcPr>
          <w:p w14:paraId="2B920B6D">
            <w:pPr>
              <w:jc w:val="center"/>
              <w:rPr>
                <w:rFonts w:hint="eastAsia" w:asciiTheme="minorEastAsia" w:hAnsiTheme="minorEastAsia" w:eastAsiaTheme="minorEastAsia" w:cstheme="minorEastAsia"/>
                <w:sz w:val="21"/>
                <w:szCs w:val="21"/>
              </w:rPr>
            </w:pPr>
          </w:p>
        </w:tc>
        <w:tc>
          <w:tcPr>
            <w:tcW w:w="493" w:type="pct"/>
            <w:vAlign w:val="top"/>
          </w:tcPr>
          <w:p w14:paraId="5A94DFB3">
            <w:pPr>
              <w:rPr>
                <w:rFonts w:hint="eastAsia" w:asciiTheme="minorEastAsia" w:hAnsiTheme="minorEastAsia" w:eastAsiaTheme="minorEastAsia" w:cstheme="minorEastAsia"/>
                <w:sz w:val="21"/>
                <w:szCs w:val="21"/>
              </w:rPr>
            </w:pPr>
          </w:p>
        </w:tc>
      </w:tr>
      <w:tr w14:paraId="039F24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jc w:val="center"/>
        </w:trPr>
        <w:tc>
          <w:tcPr>
            <w:tcW w:w="368" w:type="pct"/>
            <w:vAlign w:val="top"/>
          </w:tcPr>
          <w:p w14:paraId="1676EC77">
            <w:pPr>
              <w:rPr>
                <w:rFonts w:hint="eastAsia" w:asciiTheme="minorEastAsia" w:hAnsiTheme="minorEastAsia" w:eastAsiaTheme="minorEastAsia" w:cstheme="minorEastAsia"/>
                <w:sz w:val="21"/>
                <w:szCs w:val="21"/>
              </w:rPr>
            </w:pPr>
          </w:p>
        </w:tc>
        <w:tc>
          <w:tcPr>
            <w:tcW w:w="826" w:type="pct"/>
            <w:vAlign w:val="top"/>
          </w:tcPr>
          <w:p w14:paraId="2FFFAFD5">
            <w:pPr>
              <w:rPr>
                <w:rFonts w:hint="eastAsia" w:asciiTheme="minorEastAsia" w:hAnsiTheme="minorEastAsia" w:eastAsiaTheme="minorEastAsia" w:cstheme="minorEastAsia"/>
                <w:sz w:val="21"/>
                <w:szCs w:val="21"/>
              </w:rPr>
            </w:pPr>
          </w:p>
        </w:tc>
        <w:tc>
          <w:tcPr>
            <w:tcW w:w="879" w:type="pct"/>
            <w:vAlign w:val="top"/>
          </w:tcPr>
          <w:p w14:paraId="195B6B47">
            <w:pPr>
              <w:rPr>
                <w:rFonts w:hint="eastAsia" w:asciiTheme="minorEastAsia" w:hAnsiTheme="minorEastAsia" w:eastAsiaTheme="minorEastAsia" w:cstheme="minorEastAsia"/>
                <w:sz w:val="21"/>
                <w:szCs w:val="21"/>
              </w:rPr>
            </w:pPr>
          </w:p>
        </w:tc>
        <w:tc>
          <w:tcPr>
            <w:tcW w:w="835" w:type="pct"/>
            <w:vAlign w:val="top"/>
          </w:tcPr>
          <w:p w14:paraId="38578EFB">
            <w:pPr>
              <w:rPr>
                <w:rFonts w:hint="eastAsia" w:asciiTheme="minorEastAsia" w:hAnsiTheme="minorEastAsia" w:eastAsiaTheme="minorEastAsia" w:cstheme="minorEastAsia"/>
                <w:sz w:val="21"/>
                <w:szCs w:val="21"/>
              </w:rPr>
            </w:pPr>
          </w:p>
        </w:tc>
        <w:tc>
          <w:tcPr>
            <w:tcW w:w="738" w:type="pct"/>
            <w:vAlign w:val="top"/>
          </w:tcPr>
          <w:p w14:paraId="791DA9CA">
            <w:pPr>
              <w:rPr>
                <w:rFonts w:hint="eastAsia" w:asciiTheme="minorEastAsia" w:hAnsiTheme="minorEastAsia" w:eastAsiaTheme="minorEastAsia" w:cstheme="minorEastAsia"/>
                <w:sz w:val="21"/>
                <w:szCs w:val="21"/>
              </w:rPr>
            </w:pPr>
          </w:p>
        </w:tc>
        <w:tc>
          <w:tcPr>
            <w:tcW w:w="858" w:type="pct"/>
            <w:vAlign w:val="top"/>
          </w:tcPr>
          <w:p w14:paraId="2C7DAD88">
            <w:pPr>
              <w:jc w:val="center"/>
              <w:rPr>
                <w:rFonts w:hint="eastAsia" w:asciiTheme="minorEastAsia" w:hAnsiTheme="minorEastAsia" w:eastAsiaTheme="minorEastAsia" w:cstheme="minorEastAsia"/>
                <w:sz w:val="21"/>
                <w:szCs w:val="21"/>
              </w:rPr>
            </w:pPr>
          </w:p>
        </w:tc>
        <w:tc>
          <w:tcPr>
            <w:tcW w:w="493" w:type="pct"/>
            <w:vAlign w:val="top"/>
          </w:tcPr>
          <w:p w14:paraId="2F96400B">
            <w:pPr>
              <w:rPr>
                <w:rFonts w:hint="eastAsia" w:asciiTheme="minorEastAsia" w:hAnsiTheme="minorEastAsia" w:eastAsiaTheme="minorEastAsia" w:cstheme="minorEastAsia"/>
                <w:sz w:val="21"/>
                <w:szCs w:val="21"/>
              </w:rPr>
            </w:pPr>
          </w:p>
        </w:tc>
      </w:tr>
      <w:tr w14:paraId="43E7F8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jc w:val="center"/>
        </w:trPr>
        <w:tc>
          <w:tcPr>
            <w:tcW w:w="368" w:type="pct"/>
            <w:vAlign w:val="top"/>
          </w:tcPr>
          <w:p w14:paraId="311A878F">
            <w:pPr>
              <w:rPr>
                <w:rFonts w:hint="eastAsia" w:asciiTheme="minorEastAsia" w:hAnsiTheme="minorEastAsia" w:eastAsiaTheme="minorEastAsia" w:cstheme="minorEastAsia"/>
                <w:sz w:val="21"/>
                <w:szCs w:val="21"/>
              </w:rPr>
            </w:pPr>
          </w:p>
        </w:tc>
        <w:tc>
          <w:tcPr>
            <w:tcW w:w="826" w:type="pct"/>
            <w:vAlign w:val="top"/>
          </w:tcPr>
          <w:p w14:paraId="14BEDCDA">
            <w:pPr>
              <w:rPr>
                <w:rFonts w:hint="eastAsia" w:asciiTheme="minorEastAsia" w:hAnsiTheme="minorEastAsia" w:eastAsiaTheme="minorEastAsia" w:cstheme="minorEastAsia"/>
                <w:sz w:val="21"/>
                <w:szCs w:val="21"/>
              </w:rPr>
            </w:pPr>
          </w:p>
        </w:tc>
        <w:tc>
          <w:tcPr>
            <w:tcW w:w="879" w:type="pct"/>
            <w:vAlign w:val="top"/>
          </w:tcPr>
          <w:p w14:paraId="01011AF1">
            <w:pPr>
              <w:rPr>
                <w:rFonts w:hint="eastAsia" w:asciiTheme="minorEastAsia" w:hAnsiTheme="minorEastAsia" w:eastAsiaTheme="minorEastAsia" w:cstheme="minorEastAsia"/>
                <w:sz w:val="21"/>
                <w:szCs w:val="21"/>
              </w:rPr>
            </w:pPr>
          </w:p>
        </w:tc>
        <w:tc>
          <w:tcPr>
            <w:tcW w:w="835" w:type="pct"/>
            <w:vAlign w:val="top"/>
          </w:tcPr>
          <w:p w14:paraId="3E6E31E3">
            <w:pPr>
              <w:rPr>
                <w:rFonts w:hint="eastAsia" w:asciiTheme="minorEastAsia" w:hAnsiTheme="minorEastAsia" w:eastAsiaTheme="minorEastAsia" w:cstheme="minorEastAsia"/>
                <w:sz w:val="21"/>
                <w:szCs w:val="21"/>
              </w:rPr>
            </w:pPr>
          </w:p>
        </w:tc>
        <w:tc>
          <w:tcPr>
            <w:tcW w:w="738" w:type="pct"/>
            <w:vAlign w:val="top"/>
          </w:tcPr>
          <w:p w14:paraId="6BB82197">
            <w:pPr>
              <w:rPr>
                <w:rFonts w:hint="eastAsia" w:asciiTheme="minorEastAsia" w:hAnsiTheme="minorEastAsia" w:eastAsiaTheme="minorEastAsia" w:cstheme="minorEastAsia"/>
                <w:sz w:val="21"/>
                <w:szCs w:val="21"/>
              </w:rPr>
            </w:pPr>
          </w:p>
        </w:tc>
        <w:tc>
          <w:tcPr>
            <w:tcW w:w="858" w:type="pct"/>
            <w:vAlign w:val="top"/>
          </w:tcPr>
          <w:p w14:paraId="3463B5E8">
            <w:pPr>
              <w:jc w:val="center"/>
              <w:rPr>
                <w:rFonts w:hint="eastAsia" w:asciiTheme="minorEastAsia" w:hAnsiTheme="minorEastAsia" w:eastAsiaTheme="minorEastAsia" w:cstheme="minorEastAsia"/>
                <w:sz w:val="21"/>
                <w:szCs w:val="21"/>
              </w:rPr>
            </w:pPr>
          </w:p>
        </w:tc>
        <w:tc>
          <w:tcPr>
            <w:tcW w:w="493" w:type="pct"/>
            <w:vAlign w:val="top"/>
          </w:tcPr>
          <w:p w14:paraId="63C52134">
            <w:pPr>
              <w:rPr>
                <w:rFonts w:hint="eastAsia" w:asciiTheme="minorEastAsia" w:hAnsiTheme="minorEastAsia" w:eastAsiaTheme="minorEastAsia" w:cstheme="minorEastAsia"/>
                <w:sz w:val="21"/>
                <w:szCs w:val="21"/>
              </w:rPr>
            </w:pPr>
          </w:p>
        </w:tc>
      </w:tr>
    </w:tbl>
    <w:p w14:paraId="4418CB9A">
      <w:pPr>
        <w:spacing w:line="290" w:lineRule="auto"/>
        <w:rPr>
          <w:rFonts w:hint="eastAsia" w:asciiTheme="minorEastAsia" w:hAnsiTheme="minorEastAsia" w:eastAsiaTheme="minorEastAsia" w:cstheme="minorEastAsia"/>
          <w:sz w:val="21"/>
          <w:szCs w:val="21"/>
        </w:rPr>
      </w:pPr>
    </w:p>
    <w:p w14:paraId="2884903F">
      <w:pPr>
        <w:spacing w:line="290" w:lineRule="auto"/>
        <w:rPr>
          <w:rFonts w:hint="eastAsia" w:asciiTheme="minorEastAsia" w:hAnsiTheme="minorEastAsia" w:eastAsiaTheme="minorEastAsia" w:cstheme="minorEastAsia"/>
          <w:sz w:val="21"/>
          <w:szCs w:val="21"/>
        </w:rPr>
      </w:pPr>
    </w:p>
    <w:p w14:paraId="77165DF7">
      <w:pPr>
        <w:spacing w:line="290" w:lineRule="auto"/>
        <w:rPr>
          <w:rFonts w:hint="eastAsia" w:asciiTheme="minorEastAsia" w:hAnsiTheme="minorEastAsia" w:eastAsiaTheme="minorEastAsia" w:cstheme="minorEastAsia"/>
          <w:sz w:val="21"/>
          <w:szCs w:val="21"/>
        </w:rPr>
      </w:pPr>
    </w:p>
    <w:p w14:paraId="7ED5967F">
      <w:pPr>
        <w:pStyle w:val="41"/>
        <w:pBdr>
          <w:top w:val="none" w:color="auto" w:sz="0" w:space="0"/>
          <w:left w:val="none" w:color="auto" w:sz="0" w:space="0"/>
          <w:bottom w:val="none" w:color="auto" w:sz="0" w:space="0"/>
          <w:right w:val="none" w:color="auto" w:sz="0" w:space="0"/>
          <w:between w:val="none" w:color="auto" w:sz="0" w:space="0"/>
        </w:pBdr>
        <w:spacing w:line="360" w:lineRule="auto"/>
        <w:ind w:left="176" w:firstLine="5280" w:firstLineChars="2200"/>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lang w:eastAsia="zh-CN"/>
        </w:rPr>
        <w:t>供应商</w:t>
      </w:r>
      <w:r>
        <w:rPr>
          <w:rFonts w:hint="eastAsia" w:asciiTheme="minorEastAsia" w:hAnsiTheme="minorEastAsia" w:eastAsiaTheme="minorEastAsia" w:cstheme="minorEastAsia"/>
          <w:color w:val="auto"/>
          <w:sz w:val="24"/>
          <w:szCs w:val="24"/>
        </w:rPr>
        <w:t>（盖章）：</w:t>
      </w:r>
      <w:r>
        <w:rPr>
          <w:rFonts w:hint="eastAsia" w:asciiTheme="minorEastAsia" w:hAnsiTheme="minorEastAsia" w:eastAsiaTheme="minorEastAsia" w:cstheme="minorEastAsia"/>
          <w:color w:val="auto"/>
          <w:sz w:val="24"/>
          <w:szCs w:val="24"/>
          <w:u w:val="single"/>
        </w:rPr>
        <w:t xml:space="preserve">       </w:t>
      </w:r>
    </w:p>
    <w:p w14:paraId="1A7407EE">
      <w:pPr>
        <w:pStyle w:val="41"/>
        <w:pBdr>
          <w:top w:val="none" w:color="auto" w:sz="0" w:space="0"/>
          <w:left w:val="none" w:color="auto" w:sz="0" w:space="0"/>
          <w:bottom w:val="none" w:color="auto" w:sz="0" w:space="0"/>
          <w:right w:val="none" w:color="auto" w:sz="0" w:space="0"/>
          <w:between w:val="none" w:color="auto" w:sz="0" w:space="0"/>
        </w:pBdr>
        <w:spacing w:line="360" w:lineRule="auto"/>
        <w:ind w:left="176"/>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 xml:space="preserve">                  </w:t>
      </w:r>
      <w:r>
        <w:rPr>
          <w:rFonts w:hint="eastAsia" w:asciiTheme="minorEastAsia" w:hAnsiTheme="minorEastAsia" w:eastAsiaTheme="minorEastAsia" w:cstheme="minorEastAsia"/>
          <w:color w:val="auto"/>
          <w:sz w:val="24"/>
          <w:szCs w:val="24"/>
        </w:rPr>
        <w:t>法定代表人或其委托代理人</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签字或盖章）：</w:t>
      </w:r>
      <w:r>
        <w:rPr>
          <w:rFonts w:hint="eastAsia" w:asciiTheme="minorEastAsia" w:hAnsiTheme="minorEastAsia" w:eastAsiaTheme="minorEastAsia" w:cstheme="minorEastAsia"/>
          <w:color w:val="auto"/>
          <w:sz w:val="24"/>
          <w:szCs w:val="24"/>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 xml:space="preserve">      </w:t>
      </w:r>
    </w:p>
    <w:p w14:paraId="7E73DA37">
      <w:pPr>
        <w:pStyle w:val="12"/>
        <w:widowControl w:val="0"/>
        <w:numPr>
          <w:ilvl w:val="0"/>
          <w:numId w:val="0"/>
        </w:numPr>
        <w:tabs>
          <w:tab w:val="left" w:pos="780"/>
        </w:tabs>
        <w:spacing w:before="79" w:line="222"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4"/>
          <w:szCs w:val="24"/>
          <w:lang w:val="en-US" w:eastAsia="zh-CN"/>
        </w:rPr>
        <w:t xml:space="preserve">                                         </w:t>
      </w:r>
      <w:r>
        <w:rPr>
          <w:rFonts w:hint="eastAsia" w:asciiTheme="minorEastAsia" w:hAnsiTheme="minorEastAsia" w:eastAsiaTheme="minorEastAsia" w:cstheme="minorEastAsia"/>
          <w:color w:val="auto"/>
          <w:sz w:val="24"/>
          <w:szCs w:val="24"/>
        </w:rPr>
        <w:t>日期：</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年</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月</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日</w:t>
      </w:r>
    </w:p>
    <w:p w14:paraId="469E0232">
      <w:pPr>
        <w:pStyle w:val="12"/>
        <w:widowControl w:val="0"/>
        <w:numPr>
          <w:ilvl w:val="0"/>
          <w:numId w:val="0"/>
        </w:numPr>
        <w:tabs>
          <w:tab w:val="left" w:pos="780"/>
        </w:tabs>
        <w:spacing w:before="79" w:line="222" w:lineRule="auto"/>
        <w:rPr>
          <w:rFonts w:hint="eastAsia" w:asciiTheme="minorEastAsia" w:hAnsiTheme="minorEastAsia" w:eastAsiaTheme="minorEastAsia" w:cstheme="minorEastAsia"/>
          <w:sz w:val="21"/>
          <w:szCs w:val="21"/>
        </w:rPr>
      </w:pPr>
    </w:p>
    <w:p w14:paraId="631C3AB1">
      <w:pPr>
        <w:pStyle w:val="12"/>
        <w:widowControl w:val="0"/>
        <w:numPr>
          <w:ilvl w:val="0"/>
          <w:numId w:val="0"/>
        </w:numPr>
        <w:tabs>
          <w:tab w:val="left" w:pos="780"/>
        </w:tabs>
        <w:spacing w:before="79" w:line="222" w:lineRule="auto"/>
        <w:rPr>
          <w:rFonts w:hint="eastAsia" w:asciiTheme="minorEastAsia" w:hAnsiTheme="minorEastAsia" w:eastAsiaTheme="minorEastAsia" w:cstheme="minorEastAsia"/>
          <w:sz w:val="21"/>
          <w:szCs w:val="21"/>
        </w:rPr>
      </w:pPr>
    </w:p>
    <w:p w14:paraId="13BFEDD1">
      <w:pPr>
        <w:pStyle w:val="12"/>
        <w:widowControl w:val="0"/>
        <w:numPr>
          <w:ilvl w:val="0"/>
          <w:numId w:val="0"/>
        </w:numPr>
        <w:tabs>
          <w:tab w:val="left" w:pos="780"/>
        </w:tabs>
        <w:spacing w:before="79" w:line="222" w:lineRule="auto"/>
        <w:rPr>
          <w:rFonts w:hint="eastAsia" w:asciiTheme="minorEastAsia" w:hAnsiTheme="minorEastAsia" w:eastAsiaTheme="minorEastAsia" w:cstheme="minorEastAsia"/>
          <w:sz w:val="21"/>
          <w:szCs w:val="21"/>
        </w:rPr>
      </w:pPr>
    </w:p>
    <w:p w14:paraId="7CB22C69">
      <w:pPr>
        <w:pStyle w:val="12"/>
        <w:widowControl w:val="0"/>
        <w:numPr>
          <w:ilvl w:val="0"/>
          <w:numId w:val="0"/>
        </w:numPr>
        <w:tabs>
          <w:tab w:val="left" w:pos="780"/>
        </w:tabs>
        <w:spacing w:before="79" w:line="222" w:lineRule="auto"/>
        <w:rPr>
          <w:rFonts w:hint="eastAsia" w:asciiTheme="minorEastAsia" w:hAnsiTheme="minorEastAsia" w:eastAsiaTheme="minorEastAsia" w:cstheme="minorEastAsia"/>
          <w:sz w:val="21"/>
          <w:szCs w:val="21"/>
        </w:rPr>
      </w:pPr>
    </w:p>
    <w:p w14:paraId="770FD0B2">
      <w:pPr>
        <w:pStyle w:val="12"/>
        <w:numPr>
          <w:ilvl w:val="0"/>
          <w:numId w:val="0"/>
        </w:numPr>
        <w:spacing w:before="91" w:line="222" w:lineRule="auto"/>
        <w:ind w:left="0" w:leftChars="0" w:firstLine="0" w:firstLineChars="0"/>
        <w:jc w:val="center"/>
        <w:outlineLvl w:val="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pacing w:val="-4"/>
          <w:sz w:val="28"/>
          <w:szCs w:val="28"/>
          <w:lang w:val="zh-CN"/>
        </w:rPr>
        <w:t>供应商</w:t>
      </w:r>
      <w:r>
        <w:rPr>
          <w:rFonts w:hint="eastAsia" w:asciiTheme="minorEastAsia" w:hAnsiTheme="minorEastAsia" w:eastAsiaTheme="minorEastAsia" w:cstheme="minorEastAsia"/>
          <w:b/>
          <w:bCs/>
          <w:spacing w:val="-4"/>
          <w:sz w:val="28"/>
          <w:szCs w:val="28"/>
        </w:rPr>
        <w:t>类似业绩</w:t>
      </w:r>
    </w:p>
    <w:p w14:paraId="084AEB03">
      <w:pPr>
        <w:rPr>
          <w:rFonts w:hint="eastAsia"/>
          <w:lang w:eastAsia="zh-CN"/>
        </w:rPr>
      </w:pPr>
    </w:p>
    <w:tbl>
      <w:tblPr>
        <w:tblStyle w:val="25"/>
        <w:tblW w:w="9115" w:type="dxa"/>
        <w:jc w:val="center"/>
        <w:tblLayout w:type="fixed"/>
        <w:tblCellMar>
          <w:top w:w="0" w:type="dxa"/>
          <w:left w:w="10" w:type="dxa"/>
          <w:bottom w:w="0" w:type="dxa"/>
          <w:right w:w="10" w:type="dxa"/>
        </w:tblCellMar>
      </w:tblPr>
      <w:tblGrid>
        <w:gridCol w:w="1919"/>
        <w:gridCol w:w="7196"/>
      </w:tblGrid>
      <w:tr w14:paraId="2DA5E01B">
        <w:tblPrEx>
          <w:tblCellMar>
            <w:top w:w="0" w:type="dxa"/>
            <w:left w:w="10" w:type="dxa"/>
            <w:bottom w:w="0" w:type="dxa"/>
            <w:right w:w="10" w:type="dxa"/>
          </w:tblCellMar>
        </w:tblPrEx>
        <w:trPr>
          <w:trHeight w:val="511" w:hRule="exact"/>
          <w:jc w:val="center"/>
        </w:trPr>
        <w:tc>
          <w:tcPr>
            <w:tcW w:w="1919" w:type="dxa"/>
            <w:tcBorders>
              <w:top w:val="single" w:color="auto" w:sz="4" w:space="0"/>
              <w:left w:val="single" w:color="auto" w:sz="4" w:space="0"/>
            </w:tcBorders>
            <w:shd w:val="clear" w:color="auto" w:fill="FFFFFF"/>
            <w:vAlign w:val="center"/>
          </w:tcPr>
          <w:p w14:paraId="25A943C1">
            <w:pPr>
              <w:pStyle w:val="40"/>
              <w:pBdr>
                <w:top w:val="none" w:color="auto" w:sz="0" w:space="0"/>
                <w:left w:val="none" w:color="auto" w:sz="0" w:space="0"/>
                <w:bottom w:val="none" w:color="auto" w:sz="0" w:space="0"/>
                <w:right w:val="none" w:color="auto" w:sz="0" w:space="0"/>
                <w:between w:val="none" w:color="auto" w:sz="0" w:space="0"/>
              </w:pBdr>
              <w:spacing w:line="240" w:lineRule="auto"/>
              <w:ind w:firstLine="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项目名称</w:t>
            </w:r>
          </w:p>
        </w:tc>
        <w:tc>
          <w:tcPr>
            <w:tcW w:w="7196" w:type="dxa"/>
            <w:tcBorders>
              <w:top w:val="single" w:color="auto" w:sz="4" w:space="0"/>
              <w:left w:val="single" w:color="auto" w:sz="4" w:space="0"/>
              <w:right w:val="single" w:color="auto" w:sz="4" w:space="0"/>
            </w:tcBorders>
            <w:shd w:val="clear" w:color="auto" w:fill="FFFFFF"/>
          </w:tcPr>
          <w:p w14:paraId="6999001A">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sz w:val="10"/>
                <w:szCs w:val="10"/>
              </w:rPr>
            </w:pPr>
          </w:p>
        </w:tc>
      </w:tr>
      <w:tr w14:paraId="719738D6">
        <w:tblPrEx>
          <w:tblCellMar>
            <w:top w:w="0" w:type="dxa"/>
            <w:left w:w="10" w:type="dxa"/>
            <w:bottom w:w="0" w:type="dxa"/>
            <w:right w:w="10" w:type="dxa"/>
          </w:tblCellMar>
        </w:tblPrEx>
        <w:trPr>
          <w:trHeight w:val="482" w:hRule="exact"/>
          <w:jc w:val="center"/>
        </w:trPr>
        <w:tc>
          <w:tcPr>
            <w:tcW w:w="1919" w:type="dxa"/>
            <w:tcBorders>
              <w:top w:val="single" w:color="auto" w:sz="4" w:space="0"/>
              <w:left w:val="single" w:color="auto" w:sz="4" w:space="0"/>
            </w:tcBorders>
            <w:shd w:val="clear" w:color="auto" w:fill="FFFFFF"/>
          </w:tcPr>
          <w:p w14:paraId="4F932C8C">
            <w:pPr>
              <w:pStyle w:val="40"/>
              <w:pBdr>
                <w:top w:val="none" w:color="auto" w:sz="0" w:space="0"/>
                <w:left w:val="none" w:color="auto" w:sz="0" w:space="0"/>
                <w:bottom w:val="none" w:color="auto" w:sz="0" w:space="0"/>
                <w:right w:val="none" w:color="auto" w:sz="0" w:space="0"/>
                <w:between w:val="none" w:color="auto" w:sz="0" w:space="0"/>
              </w:pBdr>
              <w:spacing w:before="120" w:line="240" w:lineRule="auto"/>
              <w:ind w:firstLine="22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项目单位名称</w:t>
            </w:r>
          </w:p>
        </w:tc>
        <w:tc>
          <w:tcPr>
            <w:tcW w:w="7196" w:type="dxa"/>
            <w:tcBorders>
              <w:top w:val="single" w:color="auto" w:sz="4" w:space="0"/>
              <w:left w:val="single" w:color="auto" w:sz="4" w:space="0"/>
              <w:right w:val="single" w:color="auto" w:sz="4" w:space="0"/>
            </w:tcBorders>
            <w:shd w:val="clear" w:color="auto" w:fill="FFFFFF"/>
          </w:tcPr>
          <w:p w14:paraId="5C20CE4D">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sz w:val="10"/>
                <w:szCs w:val="10"/>
              </w:rPr>
            </w:pPr>
          </w:p>
        </w:tc>
      </w:tr>
      <w:tr w14:paraId="6EDEA9E5">
        <w:tblPrEx>
          <w:tblCellMar>
            <w:top w:w="0" w:type="dxa"/>
            <w:left w:w="10" w:type="dxa"/>
            <w:bottom w:w="0" w:type="dxa"/>
            <w:right w:w="10" w:type="dxa"/>
          </w:tblCellMar>
        </w:tblPrEx>
        <w:trPr>
          <w:trHeight w:val="641" w:hRule="exact"/>
          <w:jc w:val="center"/>
        </w:trPr>
        <w:tc>
          <w:tcPr>
            <w:tcW w:w="1919" w:type="dxa"/>
            <w:tcBorders>
              <w:top w:val="single" w:color="auto" w:sz="4" w:space="0"/>
              <w:left w:val="single" w:color="auto" w:sz="4" w:space="0"/>
            </w:tcBorders>
            <w:shd w:val="clear" w:color="auto" w:fill="FFFFFF"/>
          </w:tcPr>
          <w:p w14:paraId="516C53EA">
            <w:pPr>
              <w:pStyle w:val="40"/>
              <w:pBdr>
                <w:top w:val="none" w:color="auto" w:sz="0" w:space="0"/>
                <w:left w:val="none" w:color="auto" w:sz="0" w:space="0"/>
                <w:bottom w:val="none" w:color="auto" w:sz="0" w:space="0"/>
                <w:right w:val="none" w:color="auto" w:sz="0" w:space="0"/>
                <w:between w:val="none" w:color="auto" w:sz="0" w:space="0"/>
              </w:pBdr>
              <w:spacing w:line="320" w:lineRule="exact"/>
              <w:ind w:firstLine="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项目单位联系姓名及联系方式</w:t>
            </w:r>
          </w:p>
        </w:tc>
        <w:tc>
          <w:tcPr>
            <w:tcW w:w="7196" w:type="dxa"/>
            <w:tcBorders>
              <w:top w:val="single" w:color="auto" w:sz="4" w:space="0"/>
              <w:left w:val="single" w:color="auto" w:sz="4" w:space="0"/>
              <w:right w:val="single" w:color="auto" w:sz="4" w:space="0"/>
            </w:tcBorders>
            <w:shd w:val="clear" w:color="auto" w:fill="FFFFFF"/>
          </w:tcPr>
          <w:p w14:paraId="43DC20AF">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sz w:val="10"/>
                <w:szCs w:val="10"/>
                <w:lang w:eastAsia="zh-CN"/>
              </w:rPr>
            </w:pPr>
          </w:p>
        </w:tc>
      </w:tr>
      <w:tr w14:paraId="3236A2DE">
        <w:tblPrEx>
          <w:tblCellMar>
            <w:top w:w="0" w:type="dxa"/>
            <w:left w:w="10" w:type="dxa"/>
            <w:bottom w:w="0" w:type="dxa"/>
            <w:right w:w="10" w:type="dxa"/>
          </w:tblCellMar>
        </w:tblPrEx>
        <w:trPr>
          <w:trHeight w:val="634" w:hRule="exact"/>
          <w:jc w:val="center"/>
        </w:trPr>
        <w:tc>
          <w:tcPr>
            <w:tcW w:w="1919" w:type="dxa"/>
            <w:tcBorders>
              <w:top w:val="single" w:color="auto" w:sz="4" w:space="0"/>
              <w:left w:val="single" w:color="auto" w:sz="4" w:space="0"/>
            </w:tcBorders>
            <w:shd w:val="clear" w:color="auto" w:fill="FFFFFF"/>
            <w:vAlign w:val="center"/>
          </w:tcPr>
          <w:p w14:paraId="6F28AB9A">
            <w:pPr>
              <w:pStyle w:val="40"/>
              <w:pBdr>
                <w:top w:val="none" w:color="auto" w:sz="0" w:space="0"/>
                <w:left w:val="none" w:color="auto" w:sz="0" w:space="0"/>
                <w:bottom w:val="none" w:color="auto" w:sz="0" w:space="0"/>
                <w:right w:val="none" w:color="auto" w:sz="0" w:space="0"/>
                <w:between w:val="none" w:color="auto" w:sz="0" w:space="0"/>
              </w:pBdr>
              <w:spacing w:line="240" w:lineRule="auto"/>
              <w:ind w:firstLine="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合同金额</w:t>
            </w:r>
          </w:p>
        </w:tc>
        <w:tc>
          <w:tcPr>
            <w:tcW w:w="7196" w:type="dxa"/>
            <w:tcBorders>
              <w:top w:val="single" w:color="auto" w:sz="4" w:space="0"/>
              <w:left w:val="single" w:color="auto" w:sz="4" w:space="0"/>
              <w:right w:val="single" w:color="auto" w:sz="4" w:space="0"/>
            </w:tcBorders>
            <w:shd w:val="clear" w:color="auto" w:fill="FFFFFF"/>
          </w:tcPr>
          <w:p w14:paraId="064C2511">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sz w:val="10"/>
                <w:szCs w:val="10"/>
              </w:rPr>
            </w:pPr>
          </w:p>
        </w:tc>
      </w:tr>
      <w:tr w14:paraId="1A0C81A1">
        <w:tblPrEx>
          <w:tblCellMar>
            <w:top w:w="0" w:type="dxa"/>
            <w:left w:w="10" w:type="dxa"/>
            <w:bottom w:w="0" w:type="dxa"/>
            <w:right w:w="10" w:type="dxa"/>
          </w:tblCellMar>
        </w:tblPrEx>
        <w:trPr>
          <w:trHeight w:val="637" w:hRule="exact"/>
          <w:jc w:val="center"/>
        </w:trPr>
        <w:tc>
          <w:tcPr>
            <w:tcW w:w="1919" w:type="dxa"/>
            <w:tcBorders>
              <w:top w:val="single" w:color="auto" w:sz="4" w:space="0"/>
              <w:left w:val="single" w:color="auto" w:sz="4" w:space="0"/>
            </w:tcBorders>
            <w:shd w:val="clear" w:color="auto" w:fill="FFFFFF"/>
          </w:tcPr>
          <w:p w14:paraId="7512E022">
            <w:pPr>
              <w:pStyle w:val="40"/>
              <w:pBdr>
                <w:top w:val="none" w:color="auto" w:sz="0" w:space="0"/>
                <w:left w:val="none" w:color="auto" w:sz="0" w:space="0"/>
                <w:bottom w:val="none" w:color="auto" w:sz="0" w:space="0"/>
                <w:right w:val="none" w:color="auto" w:sz="0" w:space="0"/>
                <w:between w:val="none" w:color="auto" w:sz="0" w:space="0"/>
              </w:pBdr>
              <w:spacing w:line="306" w:lineRule="exact"/>
              <w:ind w:firstLine="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项目负责人姓名</w:t>
            </w:r>
          </w:p>
        </w:tc>
        <w:tc>
          <w:tcPr>
            <w:tcW w:w="7196" w:type="dxa"/>
            <w:tcBorders>
              <w:top w:val="single" w:color="auto" w:sz="4" w:space="0"/>
              <w:left w:val="single" w:color="auto" w:sz="4" w:space="0"/>
              <w:right w:val="single" w:color="auto" w:sz="4" w:space="0"/>
            </w:tcBorders>
            <w:shd w:val="clear" w:color="auto" w:fill="FFFFFF"/>
          </w:tcPr>
          <w:p w14:paraId="702D6F1C">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sz w:val="10"/>
                <w:szCs w:val="10"/>
              </w:rPr>
            </w:pPr>
          </w:p>
        </w:tc>
      </w:tr>
      <w:tr w14:paraId="581D963A">
        <w:tblPrEx>
          <w:tblCellMar>
            <w:top w:w="0" w:type="dxa"/>
            <w:left w:w="10" w:type="dxa"/>
            <w:bottom w:w="0" w:type="dxa"/>
            <w:right w:w="10" w:type="dxa"/>
          </w:tblCellMar>
        </w:tblPrEx>
        <w:trPr>
          <w:trHeight w:val="879" w:hRule="exact"/>
          <w:jc w:val="center"/>
        </w:trPr>
        <w:tc>
          <w:tcPr>
            <w:tcW w:w="1919" w:type="dxa"/>
            <w:tcBorders>
              <w:top w:val="single" w:color="auto" w:sz="4" w:space="0"/>
              <w:left w:val="single" w:color="auto" w:sz="4" w:space="0"/>
            </w:tcBorders>
            <w:shd w:val="clear" w:color="auto" w:fill="FFFFFF"/>
          </w:tcPr>
          <w:p w14:paraId="38C552E8">
            <w:pPr>
              <w:pStyle w:val="67"/>
              <w:tabs>
                <w:tab w:val="center" w:pos="926"/>
              </w:tabs>
              <w:spacing w:before="78" w:line="221" w:lineRule="auto"/>
              <w:jc w:val="center"/>
              <w:rPr>
                <w:rFonts w:hint="eastAsia" w:asciiTheme="minorEastAsia" w:hAnsiTheme="minorEastAsia" w:eastAsiaTheme="minorEastAsia" w:cstheme="minorEastAsia"/>
                <w:snapToGrid w:val="0"/>
                <w:color w:val="000000"/>
                <w:spacing w:val="-6"/>
                <w:kern w:val="0"/>
                <w:sz w:val="24"/>
                <w:szCs w:val="24"/>
                <w:lang w:val="en-US" w:eastAsia="zh-CN" w:bidi="ar-SA"/>
              </w:rPr>
            </w:pPr>
            <w:r>
              <w:rPr>
                <w:rFonts w:hint="eastAsia" w:asciiTheme="minorEastAsia" w:hAnsiTheme="minorEastAsia" w:eastAsiaTheme="minorEastAsia" w:cstheme="minorEastAsia"/>
                <w:snapToGrid w:val="0"/>
                <w:color w:val="000000"/>
                <w:spacing w:val="-6"/>
                <w:kern w:val="0"/>
                <w:sz w:val="24"/>
                <w:szCs w:val="24"/>
                <w:lang w:val="en-US" w:eastAsia="zh-CN" w:bidi="ar-SA"/>
              </w:rPr>
              <w:t>完工日期</w:t>
            </w:r>
          </w:p>
          <w:p w14:paraId="7051E3B2">
            <w:pPr>
              <w:pStyle w:val="67"/>
              <w:tabs>
                <w:tab w:val="center" w:pos="926"/>
              </w:tabs>
              <w:spacing w:before="78" w:line="221" w:lineRule="auto"/>
              <w:jc w:val="center"/>
              <w:rPr>
                <w:rFonts w:hint="eastAsia" w:asciiTheme="minorEastAsia" w:hAnsiTheme="minorEastAsia" w:eastAsiaTheme="minorEastAsia" w:cstheme="minorEastAsia"/>
                <w:snapToGrid w:val="0"/>
                <w:color w:val="000000"/>
                <w:spacing w:val="-6"/>
                <w:kern w:val="0"/>
                <w:sz w:val="24"/>
                <w:szCs w:val="24"/>
                <w:lang w:val="en-US" w:eastAsia="zh-CN" w:bidi="ar-SA"/>
              </w:rPr>
            </w:pPr>
            <w:r>
              <w:rPr>
                <w:rFonts w:hint="eastAsia" w:asciiTheme="minorEastAsia" w:hAnsiTheme="minorEastAsia" w:eastAsiaTheme="minorEastAsia" w:cstheme="minorEastAsia"/>
                <w:snapToGrid w:val="0"/>
                <w:color w:val="000000"/>
                <w:spacing w:val="-6"/>
                <w:kern w:val="0"/>
                <w:sz w:val="24"/>
                <w:szCs w:val="24"/>
                <w:lang w:val="en-US" w:eastAsia="zh-CN" w:bidi="ar-SA"/>
              </w:rPr>
              <w:t>（交货日期）</w:t>
            </w:r>
          </w:p>
          <w:p w14:paraId="463CDE0D">
            <w:pPr>
              <w:pStyle w:val="40"/>
              <w:pBdr>
                <w:top w:val="none" w:color="auto" w:sz="0" w:space="0"/>
                <w:left w:val="none" w:color="auto" w:sz="0" w:space="0"/>
                <w:bottom w:val="none" w:color="auto" w:sz="0" w:space="0"/>
                <w:right w:val="none" w:color="auto" w:sz="0" w:space="0"/>
                <w:between w:val="none" w:color="auto" w:sz="0" w:space="0"/>
              </w:pBdr>
              <w:spacing w:before="120" w:line="240" w:lineRule="auto"/>
              <w:ind w:firstLine="22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snapToGrid w:val="0"/>
                <w:color w:val="000000"/>
                <w:spacing w:val="-6"/>
                <w:kern w:val="0"/>
                <w:sz w:val="24"/>
                <w:szCs w:val="24"/>
                <w:lang w:val="en-US" w:eastAsia="zh-CN" w:bidi="ar-SA"/>
              </w:rPr>
              <w:t>（交货日期）</w:t>
            </w:r>
          </w:p>
        </w:tc>
        <w:tc>
          <w:tcPr>
            <w:tcW w:w="7196" w:type="dxa"/>
            <w:tcBorders>
              <w:top w:val="single" w:color="auto" w:sz="4" w:space="0"/>
              <w:left w:val="single" w:color="auto" w:sz="4" w:space="0"/>
              <w:right w:val="single" w:color="auto" w:sz="4" w:space="0"/>
            </w:tcBorders>
            <w:shd w:val="clear" w:color="auto" w:fill="FFFFFF"/>
          </w:tcPr>
          <w:p w14:paraId="61035696">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sz w:val="10"/>
                <w:szCs w:val="10"/>
              </w:rPr>
            </w:pPr>
          </w:p>
        </w:tc>
      </w:tr>
      <w:tr w14:paraId="6CA2C9CE">
        <w:tblPrEx>
          <w:tblCellMar>
            <w:top w:w="0" w:type="dxa"/>
            <w:left w:w="10" w:type="dxa"/>
            <w:bottom w:w="0" w:type="dxa"/>
            <w:right w:w="10" w:type="dxa"/>
          </w:tblCellMar>
        </w:tblPrEx>
        <w:trPr>
          <w:trHeight w:val="1699" w:hRule="exact"/>
          <w:jc w:val="center"/>
        </w:trPr>
        <w:tc>
          <w:tcPr>
            <w:tcW w:w="1919" w:type="dxa"/>
            <w:tcBorders>
              <w:top w:val="single" w:color="auto" w:sz="4" w:space="0"/>
              <w:left w:val="single" w:color="auto" w:sz="4" w:space="0"/>
              <w:bottom w:val="single" w:color="auto" w:sz="4" w:space="0"/>
            </w:tcBorders>
            <w:shd w:val="clear" w:color="auto" w:fill="FFFFFF"/>
            <w:vAlign w:val="center"/>
          </w:tcPr>
          <w:p w14:paraId="021911D4">
            <w:pPr>
              <w:pStyle w:val="40"/>
              <w:pBdr>
                <w:top w:val="none" w:color="auto" w:sz="0" w:space="0"/>
                <w:left w:val="none" w:color="auto" w:sz="0" w:space="0"/>
                <w:bottom w:val="none" w:color="auto" w:sz="0" w:space="0"/>
                <w:right w:val="none" w:color="auto" w:sz="0" w:space="0"/>
                <w:between w:val="none" w:color="auto" w:sz="0" w:space="0"/>
              </w:pBdr>
              <w:spacing w:line="240" w:lineRule="auto"/>
              <w:ind w:firstLine="22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项目内容说明</w:t>
            </w:r>
          </w:p>
        </w:tc>
        <w:tc>
          <w:tcPr>
            <w:tcW w:w="7196" w:type="dxa"/>
            <w:tcBorders>
              <w:top w:val="single" w:color="auto" w:sz="4" w:space="0"/>
              <w:left w:val="single" w:color="auto" w:sz="4" w:space="0"/>
              <w:bottom w:val="single" w:color="auto" w:sz="4" w:space="0"/>
              <w:right w:val="single" w:color="auto" w:sz="4" w:space="0"/>
            </w:tcBorders>
            <w:shd w:val="clear" w:color="auto" w:fill="FFFFFF"/>
          </w:tcPr>
          <w:p w14:paraId="16CDB4EE">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sz w:val="10"/>
                <w:szCs w:val="10"/>
              </w:rPr>
            </w:pPr>
          </w:p>
        </w:tc>
      </w:tr>
    </w:tbl>
    <w:p w14:paraId="6B30E947">
      <w:pPr>
        <w:pStyle w:val="12"/>
        <w:numPr>
          <w:ilvl w:val="0"/>
          <w:numId w:val="0"/>
        </w:numPr>
        <w:pBdr>
          <w:top w:val="none" w:color="auto" w:sz="0" w:space="0"/>
          <w:left w:val="none" w:color="auto" w:sz="0" w:space="0"/>
          <w:bottom w:val="none" w:color="auto" w:sz="0" w:space="0"/>
          <w:right w:val="none" w:color="auto" w:sz="0" w:space="0"/>
          <w:between w:val="none" w:color="auto" w:sz="0" w:space="0"/>
        </w:pBdr>
        <w:tabs>
          <w:tab w:val="left" w:pos="8227"/>
        </w:tabs>
        <w:kinsoku w:val="0"/>
        <w:overflowPunct w:val="0"/>
        <w:spacing w:line="381" w:lineRule="auto"/>
        <w:ind w:right="118"/>
        <w:rPr>
          <w:rFonts w:hint="eastAsia" w:asciiTheme="minorEastAsia" w:hAnsiTheme="minorEastAsia" w:eastAsiaTheme="minorEastAsia" w:cstheme="minorEastAsia"/>
          <w:color w:val="auto"/>
          <w:sz w:val="24"/>
          <w:lang w:eastAsia="zh-CN"/>
        </w:rPr>
      </w:pPr>
      <w:r>
        <w:rPr>
          <w:rFonts w:hint="eastAsia" w:asciiTheme="minorEastAsia" w:hAnsiTheme="minorEastAsia" w:eastAsiaTheme="minorEastAsia" w:cstheme="minorEastAsia"/>
          <w:color w:val="auto"/>
          <w:sz w:val="24"/>
          <w:lang w:eastAsia="zh-CN"/>
        </w:rPr>
        <w:t>注：每个业绩须单独附表，并附上</w:t>
      </w:r>
      <w:r>
        <w:rPr>
          <w:rFonts w:hint="eastAsia" w:asciiTheme="minorEastAsia" w:hAnsiTheme="minorEastAsia" w:eastAsiaTheme="minorEastAsia"/>
          <w:color w:val="auto"/>
          <w:sz w:val="24"/>
          <w:szCs w:val="24"/>
        </w:rPr>
        <w:t>须提供合同，中标</w:t>
      </w:r>
      <w:r>
        <w:rPr>
          <w:rFonts w:hint="eastAsia" w:asciiTheme="minorEastAsia" w:hAnsiTheme="minorEastAsia" w:eastAsiaTheme="minorEastAsia"/>
          <w:color w:val="auto"/>
          <w:sz w:val="24"/>
          <w:szCs w:val="24"/>
          <w:lang w:eastAsia="zh-CN"/>
        </w:rPr>
        <w:t>（成交）</w:t>
      </w:r>
      <w:r>
        <w:rPr>
          <w:rFonts w:hint="eastAsia" w:asciiTheme="minorEastAsia" w:hAnsiTheme="minorEastAsia" w:eastAsiaTheme="minorEastAsia"/>
          <w:color w:val="auto"/>
          <w:sz w:val="24"/>
          <w:szCs w:val="24"/>
        </w:rPr>
        <w:t>通知书、竣工或验收报告证明，提供复印件加盖公章</w:t>
      </w:r>
      <w:r>
        <w:rPr>
          <w:rFonts w:hint="eastAsia" w:asciiTheme="minorEastAsia" w:hAnsiTheme="minorEastAsia" w:eastAsiaTheme="minorEastAsia" w:cstheme="minorEastAsia"/>
          <w:color w:val="auto"/>
          <w:sz w:val="24"/>
          <w:lang w:eastAsia="zh-CN"/>
        </w:rPr>
        <w:t>，否则专家在评审时将不予采信。</w:t>
      </w:r>
    </w:p>
    <w:p w14:paraId="49CA8A02">
      <w:pPr>
        <w:pStyle w:val="12"/>
        <w:numPr>
          <w:ilvl w:val="0"/>
          <w:numId w:val="0"/>
        </w:numPr>
        <w:pBdr>
          <w:top w:val="none" w:color="auto" w:sz="0" w:space="0"/>
          <w:left w:val="none" w:color="auto" w:sz="0" w:space="0"/>
          <w:bottom w:val="none" w:color="auto" w:sz="0" w:space="0"/>
          <w:right w:val="none" w:color="auto" w:sz="0" w:space="0"/>
          <w:between w:val="none" w:color="auto" w:sz="0" w:space="0"/>
        </w:pBdr>
        <w:tabs>
          <w:tab w:val="left" w:pos="8227"/>
        </w:tabs>
        <w:kinsoku w:val="0"/>
        <w:overflowPunct w:val="0"/>
        <w:spacing w:line="381" w:lineRule="auto"/>
        <w:ind w:right="118"/>
        <w:rPr>
          <w:rFonts w:hint="eastAsia" w:asciiTheme="minorEastAsia" w:hAnsiTheme="minorEastAsia" w:eastAsiaTheme="minorEastAsia" w:cstheme="minorEastAsia"/>
          <w:color w:val="auto"/>
          <w:sz w:val="24"/>
          <w:lang w:eastAsia="zh-CN"/>
        </w:rPr>
      </w:pPr>
    </w:p>
    <w:p w14:paraId="4E7226C1">
      <w:pPr>
        <w:pStyle w:val="12"/>
        <w:numPr>
          <w:ilvl w:val="0"/>
          <w:numId w:val="0"/>
        </w:numPr>
        <w:pBdr>
          <w:top w:val="none" w:color="auto" w:sz="0" w:space="0"/>
          <w:left w:val="none" w:color="auto" w:sz="0" w:space="0"/>
          <w:bottom w:val="none" w:color="auto" w:sz="0" w:space="0"/>
          <w:right w:val="none" w:color="auto" w:sz="0" w:space="0"/>
          <w:between w:val="none" w:color="auto" w:sz="0" w:space="0"/>
        </w:pBdr>
        <w:tabs>
          <w:tab w:val="left" w:pos="8227"/>
        </w:tabs>
        <w:kinsoku w:val="0"/>
        <w:overflowPunct w:val="0"/>
        <w:spacing w:line="381" w:lineRule="auto"/>
        <w:ind w:left="1680" w:right="118"/>
        <w:rPr>
          <w:rFonts w:hint="eastAsia" w:asciiTheme="minorEastAsia" w:hAnsiTheme="minorEastAsia" w:eastAsiaTheme="minorEastAsia" w:cstheme="minorEastAsia"/>
          <w:color w:val="auto"/>
          <w:sz w:val="24"/>
          <w:lang w:eastAsia="zh-CN"/>
        </w:rPr>
      </w:pPr>
    </w:p>
    <w:p w14:paraId="4ED7048D">
      <w:pPr>
        <w:pStyle w:val="41"/>
        <w:pBdr>
          <w:top w:val="none" w:color="auto" w:sz="0" w:space="0"/>
          <w:left w:val="none" w:color="auto" w:sz="0" w:space="0"/>
          <w:bottom w:val="none" w:color="auto" w:sz="0" w:space="0"/>
          <w:right w:val="none" w:color="auto" w:sz="0" w:space="0"/>
          <w:between w:val="none" w:color="auto" w:sz="0" w:space="0"/>
        </w:pBdr>
        <w:spacing w:line="360" w:lineRule="auto"/>
        <w:ind w:left="176" w:firstLine="5280" w:firstLineChars="2200"/>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lang w:eastAsia="zh-CN"/>
        </w:rPr>
        <w:t>供应商</w:t>
      </w:r>
      <w:r>
        <w:rPr>
          <w:rFonts w:hint="eastAsia" w:asciiTheme="minorEastAsia" w:hAnsiTheme="minorEastAsia" w:eastAsiaTheme="minorEastAsia" w:cstheme="minorEastAsia"/>
          <w:color w:val="auto"/>
          <w:sz w:val="24"/>
          <w:szCs w:val="24"/>
        </w:rPr>
        <w:t>（盖章）：</w:t>
      </w:r>
      <w:r>
        <w:rPr>
          <w:rFonts w:hint="eastAsia" w:asciiTheme="minorEastAsia" w:hAnsiTheme="minorEastAsia" w:eastAsiaTheme="minorEastAsia" w:cstheme="minorEastAsia"/>
          <w:color w:val="auto"/>
          <w:sz w:val="24"/>
          <w:szCs w:val="24"/>
          <w:u w:val="single"/>
        </w:rPr>
        <w:t xml:space="preserve">       </w:t>
      </w:r>
    </w:p>
    <w:p w14:paraId="645228A7">
      <w:pPr>
        <w:pStyle w:val="41"/>
        <w:pBdr>
          <w:top w:val="none" w:color="auto" w:sz="0" w:space="0"/>
          <w:left w:val="none" w:color="auto" w:sz="0" w:space="0"/>
          <w:bottom w:val="none" w:color="auto" w:sz="0" w:space="0"/>
          <w:right w:val="none" w:color="auto" w:sz="0" w:space="0"/>
          <w:between w:val="none" w:color="auto" w:sz="0" w:space="0"/>
        </w:pBdr>
        <w:spacing w:line="360" w:lineRule="auto"/>
        <w:ind w:left="176"/>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 xml:space="preserve">                  </w:t>
      </w:r>
      <w:r>
        <w:rPr>
          <w:rFonts w:hint="eastAsia" w:asciiTheme="minorEastAsia" w:hAnsiTheme="minorEastAsia" w:eastAsiaTheme="minorEastAsia" w:cstheme="minorEastAsia"/>
          <w:color w:val="auto"/>
          <w:sz w:val="24"/>
          <w:szCs w:val="24"/>
        </w:rPr>
        <w:t>法定代表人或其委托代理人</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签字或盖章）：</w:t>
      </w:r>
      <w:r>
        <w:rPr>
          <w:rFonts w:hint="eastAsia" w:asciiTheme="minorEastAsia" w:hAnsiTheme="minorEastAsia" w:eastAsiaTheme="minorEastAsia" w:cstheme="minorEastAsia"/>
          <w:color w:val="auto"/>
          <w:sz w:val="24"/>
          <w:szCs w:val="24"/>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 xml:space="preserve">      </w:t>
      </w:r>
    </w:p>
    <w:p w14:paraId="341AF9AA">
      <w:pPr>
        <w:pStyle w:val="12"/>
        <w:numPr>
          <w:ilvl w:val="0"/>
          <w:numId w:val="0"/>
        </w:numPr>
        <w:pBdr>
          <w:top w:val="none" w:color="auto" w:sz="0" w:space="0"/>
          <w:left w:val="none" w:color="auto" w:sz="0" w:space="0"/>
          <w:bottom w:val="none" w:color="auto" w:sz="0" w:space="0"/>
          <w:right w:val="none" w:color="auto" w:sz="0" w:space="0"/>
          <w:between w:val="none" w:color="auto" w:sz="0" w:space="0"/>
        </w:pBdr>
        <w:kinsoku w:val="0"/>
        <w:overflowPunct w:val="0"/>
        <w:spacing w:before="34" w:line="357" w:lineRule="auto"/>
        <w:ind w:left="480" w:right="126"/>
        <w:jc w:val="center"/>
        <w:rPr>
          <w:rFonts w:hint="eastAsia" w:asciiTheme="minorEastAsia" w:hAnsiTheme="minorEastAsia" w:eastAsiaTheme="minorEastAsia" w:cstheme="minorEastAsia"/>
          <w:b/>
          <w:bCs/>
          <w:color w:val="auto"/>
          <w:sz w:val="36"/>
          <w:szCs w:val="36"/>
          <w:lang w:eastAsia="zh-CN"/>
        </w:rPr>
      </w:pPr>
      <w:r>
        <w:rPr>
          <w:rFonts w:hint="eastAsia" w:asciiTheme="minorEastAsia" w:hAnsiTheme="minorEastAsia" w:eastAsiaTheme="minorEastAsia" w:cstheme="minorEastAsia"/>
          <w:color w:val="auto"/>
          <w:sz w:val="24"/>
          <w:szCs w:val="24"/>
          <w:lang w:val="en-US" w:eastAsia="zh-CN"/>
        </w:rPr>
        <w:t xml:space="preserve">                                        </w:t>
      </w:r>
      <w:r>
        <w:rPr>
          <w:rFonts w:hint="eastAsia" w:asciiTheme="minorEastAsia" w:hAnsiTheme="minorEastAsia" w:eastAsiaTheme="minorEastAsia" w:cstheme="minorEastAsia"/>
          <w:color w:val="auto"/>
          <w:sz w:val="24"/>
          <w:szCs w:val="24"/>
        </w:rPr>
        <w:t>日期：</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年</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月</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日</w:t>
      </w:r>
    </w:p>
    <w:p w14:paraId="2987D860">
      <w:pPr>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Theme="minorEastAsia" w:hAnsiTheme="minorEastAsia" w:eastAsiaTheme="minorEastAsia" w:cstheme="minorEastAsia"/>
          <w:bCs/>
          <w:color w:val="auto"/>
          <w:sz w:val="36"/>
          <w:szCs w:val="36"/>
          <w:lang w:eastAsia="zh-CN"/>
        </w:rPr>
      </w:pPr>
    </w:p>
    <w:p w14:paraId="5B84A9C6">
      <w:pPr>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Theme="minorEastAsia" w:hAnsiTheme="minorEastAsia" w:eastAsiaTheme="minorEastAsia" w:cstheme="minorEastAsia"/>
          <w:bCs/>
          <w:color w:val="auto"/>
          <w:sz w:val="36"/>
          <w:szCs w:val="36"/>
          <w:lang w:eastAsia="zh-CN"/>
        </w:rPr>
      </w:pPr>
    </w:p>
    <w:p w14:paraId="0B71F50A">
      <w:pPr>
        <w:pStyle w:val="36"/>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bCs/>
          <w:color w:val="auto"/>
          <w:sz w:val="36"/>
          <w:szCs w:val="36"/>
        </w:rPr>
      </w:pPr>
    </w:p>
    <w:p w14:paraId="2DD22786">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p>
    <w:p w14:paraId="55A9CF80">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p>
    <w:p w14:paraId="585870D5">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p>
    <w:p w14:paraId="1AB06AF4">
      <w:p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p>
    <w:p w14:paraId="7242FD91">
      <w:pPr>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Theme="minorEastAsia" w:hAnsiTheme="minorEastAsia" w:eastAsiaTheme="minorEastAsia" w:cstheme="minorEastAsia"/>
          <w:bCs/>
          <w:color w:val="auto"/>
          <w:sz w:val="36"/>
          <w:szCs w:val="36"/>
          <w:lang w:eastAsia="zh-CN"/>
        </w:rPr>
      </w:pPr>
    </w:p>
    <w:p w14:paraId="2200653F">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3600"/>
        </w:tabs>
        <w:adjustRightInd w:val="0"/>
        <w:snapToGrid w:val="0"/>
        <w:spacing w:line="440" w:lineRule="exact"/>
        <w:jc w:val="left"/>
        <w:outlineLvl w:val="1"/>
        <w:rPr>
          <w:rFonts w:hint="eastAsia" w:asciiTheme="minorEastAsia" w:hAnsiTheme="minorEastAsia" w:eastAsiaTheme="minorEastAsia" w:cstheme="minorEastAsia"/>
          <w:b/>
          <w:bCs/>
          <w:color w:val="auto"/>
          <w:sz w:val="36"/>
          <w:szCs w:val="36"/>
          <w:lang w:eastAsia="zh-CN"/>
        </w:rPr>
      </w:pPr>
      <w:r>
        <w:rPr>
          <w:rFonts w:hint="eastAsia" w:asciiTheme="minorEastAsia" w:hAnsiTheme="minorEastAsia" w:eastAsiaTheme="minorEastAsia" w:cstheme="minorEastAsia"/>
          <w:b/>
          <w:bCs/>
          <w:color w:val="auto"/>
          <w:sz w:val="36"/>
          <w:szCs w:val="36"/>
          <w:lang w:val="en-US" w:eastAsia="zh-CN" w:bidi="en-US"/>
        </w:rPr>
        <w:t>8、</w:t>
      </w:r>
      <w:r>
        <w:rPr>
          <w:rFonts w:hint="eastAsia" w:asciiTheme="minorEastAsia" w:hAnsiTheme="minorEastAsia" w:eastAsiaTheme="minorEastAsia" w:cstheme="minorEastAsia"/>
          <w:b/>
          <w:bCs/>
          <w:color w:val="auto"/>
          <w:sz w:val="36"/>
          <w:szCs w:val="36"/>
          <w:lang w:eastAsia="zh-CN"/>
        </w:rPr>
        <w:t>评分标准和细则中商务技术部分证明材料</w:t>
      </w:r>
    </w:p>
    <w:p w14:paraId="200536CC">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3600"/>
        </w:tabs>
        <w:adjustRightInd w:val="0"/>
        <w:snapToGrid w:val="0"/>
        <w:spacing w:line="440" w:lineRule="exact"/>
        <w:ind w:firstLine="2530" w:firstLineChars="700"/>
        <w:jc w:val="left"/>
        <w:rPr>
          <w:rFonts w:hint="eastAsia" w:asciiTheme="minorEastAsia" w:hAnsiTheme="minorEastAsia" w:eastAsiaTheme="minorEastAsia" w:cstheme="minorEastAsia"/>
          <w:b/>
          <w:bCs/>
          <w:color w:val="auto"/>
          <w:sz w:val="36"/>
          <w:szCs w:val="36"/>
          <w:lang w:eastAsia="zh-CN"/>
        </w:rPr>
      </w:pPr>
      <w:r>
        <w:rPr>
          <w:rFonts w:hint="eastAsia" w:asciiTheme="minorEastAsia" w:hAnsiTheme="minorEastAsia" w:eastAsiaTheme="minorEastAsia" w:cstheme="minorEastAsia"/>
          <w:b/>
          <w:bCs/>
          <w:color w:val="auto"/>
          <w:sz w:val="36"/>
          <w:szCs w:val="36"/>
          <w:lang w:eastAsia="zh-CN"/>
        </w:rPr>
        <w:t>（格式自拟）</w:t>
      </w:r>
    </w:p>
    <w:p w14:paraId="0313E9F5">
      <w:pPr>
        <w:numPr>
          <w:ilvl w:val="1"/>
          <w:numId w:val="0"/>
        </w:numPr>
        <w:pBdr>
          <w:top w:val="none" w:color="auto" w:sz="0" w:space="0"/>
          <w:left w:val="none" w:color="auto" w:sz="0" w:space="0"/>
          <w:bottom w:val="none" w:color="auto" w:sz="0" w:space="0"/>
          <w:right w:val="none" w:color="auto" w:sz="0" w:space="0"/>
          <w:between w:val="none" w:color="auto" w:sz="0" w:space="0"/>
        </w:pBdr>
        <w:tabs>
          <w:tab w:val="left" w:pos="540"/>
        </w:tabs>
        <w:spacing w:line="240" w:lineRule="atLeast"/>
        <w:ind w:left="617" w:leftChars="257"/>
        <w:outlineLvl w:val="9"/>
        <w:rPr>
          <w:rFonts w:hint="eastAsia" w:asciiTheme="minorEastAsia" w:hAnsiTheme="minorEastAsia" w:eastAsiaTheme="minorEastAsia" w:cstheme="minorEastAsia"/>
          <w:color w:val="auto"/>
          <w:sz w:val="24"/>
          <w:lang w:eastAsia="zh-CN"/>
        </w:rPr>
      </w:pPr>
    </w:p>
    <w:p w14:paraId="2E03182C">
      <w:pPr>
        <w:pBdr>
          <w:top w:val="none" w:color="auto" w:sz="0" w:space="0"/>
          <w:left w:val="none" w:color="auto" w:sz="0" w:space="0"/>
          <w:bottom w:val="none" w:color="auto" w:sz="0" w:space="0"/>
          <w:right w:val="none" w:color="auto" w:sz="0" w:space="0"/>
          <w:between w:val="none" w:color="auto" w:sz="0" w:space="0"/>
        </w:pBdr>
        <w:outlineLvl w:val="9"/>
        <w:rPr>
          <w:rFonts w:hint="eastAsia" w:asciiTheme="minorEastAsia" w:hAnsiTheme="minorEastAsia" w:eastAsiaTheme="minorEastAsia" w:cstheme="minorEastAsia"/>
          <w:color w:val="auto"/>
          <w:sz w:val="24"/>
          <w:lang w:eastAsia="zh-CN"/>
        </w:rPr>
      </w:pPr>
      <w:r>
        <w:rPr>
          <w:rFonts w:hint="eastAsia" w:asciiTheme="minorEastAsia" w:hAnsiTheme="minorEastAsia" w:eastAsiaTheme="minorEastAsia" w:cstheme="minorEastAsia"/>
          <w:color w:val="auto"/>
          <w:sz w:val="24"/>
          <w:lang w:eastAsia="zh-CN"/>
        </w:rPr>
        <w:t xml:space="preserve">   </w:t>
      </w:r>
    </w:p>
    <w:p w14:paraId="47C3245B">
      <w:pPr>
        <w:pBdr>
          <w:top w:val="none" w:color="auto" w:sz="0" w:space="0"/>
          <w:left w:val="none" w:color="auto" w:sz="0" w:space="0"/>
          <w:bottom w:val="none" w:color="auto" w:sz="0" w:space="0"/>
          <w:right w:val="none" w:color="auto" w:sz="0" w:space="0"/>
          <w:between w:val="none" w:color="auto" w:sz="0" w:space="0"/>
        </w:pBdr>
        <w:outlineLvl w:val="9"/>
        <w:rPr>
          <w:rFonts w:hint="eastAsia" w:asciiTheme="minorEastAsia" w:hAnsiTheme="minorEastAsia" w:eastAsiaTheme="minorEastAsia" w:cstheme="minorEastAsia"/>
          <w:color w:val="auto"/>
          <w:lang w:eastAsia="zh-CN"/>
        </w:rPr>
      </w:pPr>
    </w:p>
    <w:p w14:paraId="245695C5">
      <w:pPr>
        <w:numPr>
          <w:ilvl w:val="1"/>
          <w:numId w:val="0"/>
        </w:numPr>
        <w:pBdr>
          <w:top w:val="none" w:color="auto" w:sz="0" w:space="0"/>
          <w:left w:val="none" w:color="auto" w:sz="0" w:space="0"/>
          <w:bottom w:val="none" w:color="auto" w:sz="0" w:space="0"/>
          <w:right w:val="none" w:color="auto" w:sz="0" w:space="0"/>
          <w:between w:val="none" w:color="auto" w:sz="0" w:space="0"/>
        </w:pBdr>
        <w:tabs>
          <w:tab w:val="left" w:pos="540"/>
        </w:tabs>
        <w:spacing w:line="240" w:lineRule="atLeast"/>
        <w:ind w:left="617" w:leftChars="257"/>
        <w:outlineLvl w:val="9"/>
        <w:rPr>
          <w:rFonts w:hint="eastAsia" w:asciiTheme="minorEastAsia" w:hAnsiTheme="minorEastAsia" w:eastAsiaTheme="minorEastAsia" w:cstheme="minorEastAsia"/>
          <w:color w:val="auto"/>
          <w:sz w:val="24"/>
          <w:lang w:eastAsia="zh-CN"/>
        </w:rPr>
      </w:pPr>
    </w:p>
    <w:p w14:paraId="28BC70D2">
      <w:pPr>
        <w:pBdr>
          <w:top w:val="none" w:color="auto" w:sz="0" w:space="0"/>
          <w:left w:val="none" w:color="auto" w:sz="0" w:space="0"/>
          <w:bottom w:val="none" w:color="auto" w:sz="0" w:space="0"/>
          <w:right w:val="none" w:color="auto" w:sz="0" w:space="0"/>
          <w:between w:val="none" w:color="auto" w:sz="0" w:space="0"/>
        </w:pBdr>
        <w:tabs>
          <w:tab w:val="left" w:pos="3600"/>
        </w:tabs>
        <w:adjustRightInd w:val="0"/>
        <w:snapToGrid w:val="0"/>
        <w:spacing w:line="440" w:lineRule="exact"/>
        <w:jc w:val="both"/>
        <w:outlineLvl w:val="1"/>
        <w:rPr>
          <w:rFonts w:hint="eastAsia" w:asciiTheme="minorEastAsia" w:hAnsiTheme="minorEastAsia" w:eastAsiaTheme="minorEastAsia" w:cstheme="minorEastAsia"/>
          <w:b/>
          <w:bCs/>
          <w:color w:val="auto"/>
          <w:w w:val="90"/>
          <w:sz w:val="36"/>
          <w:szCs w:val="36"/>
          <w:lang w:eastAsia="zh-CN"/>
        </w:rPr>
      </w:pPr>
      <w:r>
        <w:rPr>
          <w:rFonts w:hint="eastAsia" w:asciiTheme="minorEastAsia" w:hAnsiTheme="minorEastAsia" w:eastAsiaTheme="minorEastAsia" w:cstheme="minorEastAsia"/>
          <w:b/>
          <w:bCs/>
          <w:color w:val="auto"/>
          <w:sz w:val="36"/>
          <w:szCs w:val="36"/>
          <w:lang w:val="en-US" w:eastAsia="zh-CN"/>
        </w:rPr>
        <w:t>9</w:t>
      </w:r>
      <w:r>
        <w:rPr>
          <w:rFonts w:hint="eastAsia" w:asciiTheme="minorEastAsia" w:hAnsiTheme="minorEastAsia" w:eastAsiaTheme="minorEastAsia" w:cstheme="minorEastAsia"/>
          <w:b/>
          <w:bCs/>
          <w:color w:val="auto"/>
          <w:sz w:val="36"/>
          <w:szCs w:val="36"/>
          <w:lang w:eastAsia="zh-CN"/>
        </w:rPr>
        <w:t>、</w:t>
      </w:r>
      <w:r>
        <w:rPr>
          <w:rFonts w:hint="eastAsia" w:asciiTheme="minorEastAsia" w:hAnsiTheme="minorEastAsia" w:eastAsiaTheme="minorEastAsia" w:cstheme="minorEastAsia"/>
          <w:b/>
          <w:bCs/>
          <w:color w:val="auto"/>
          <w:w w:val="90"/>
          <w:sz w:val="36"/>
          <w:szCs w:val="36"/>
          <w:lang w:eastAsia="zh-CN"/>
        </w:rPr>
        <w:t>投标人认为有必要提供的其他证明材料</w:t>
      </w:r>
    </w:p>
    <w:p w14:paraId="6041025A">
      <w:pPr>
        <w:pStyle w:val="14"/>
        <w:pBdr>
          <w:top w:val="none" w:color="auto" w:sz="0" w:space="0"/>
          <w:left w:val="none" w:color="auto" w:sz="0" w:space="0"/>
          <w:bottom w:val="none" w:color="auto" w:sz="0" w:space="0"/>
          <w:right w:val="none" w:color="auto" w:sz="0" w:space="0"/>
          <w:between w:val="none" w:color="auto" w:sz="0" w:space="0"/>
        </w:pBdr>
        <w:tabs>
          <w:tab w:val="left" w:pos="5580"/>
        </w:tabs>
        <w:spacing w:line="240" w:lineRule="atLeast"/>
        <w:ind w:firstLine="480" w:firstLineChars="200"/>
        <w:rPr>
          <w:rFonts w:hint="eastAsia" w:asciiTheme="minorEastAsia" w:hAnsiTheme="minorEastAsia" w:eastAsiaTheme="minorEastAsia" w:cstheme="minorEastAsia"/>
          <w:color w:val="auto"/>
          <w:lang w:eastAsia="zh-CN"/>
        </w:rPr>
      </w:pPr>
    </w:p>
    <w:p w14:paraId="34CECBAA">
      <w:pPr>
        <w:pBdr>
          <w:top w:val="none" w:color="auto" w:sz="0" w:space="0"/>
          <w:left w:val="none" w:color="auto" w:sz="0" w:space="0"/>
          <w:bottom w:val="none" w:color="auto" w:sz="0" w:space="0"/>
          <w:right w:val="none" w:color="auto" w:sz="0" w:space="0"/>
          <w:between w:val="none" w:color="auto" w:sz="0" w:space="0"/>
        </w:pBdr>
        <w:tabs>
          <w:tab w:val="left" w:pos="3600"/>
        </w:tabs>
        <w:adjustRightInd w:val="0"/>
        <w:snapToGrid w:val="0"/>
        <w:spacing w:line="440" w:lineRule="exact"/>
        <w:jc w:val="both"/>
        <w:rPr>
          <w:rFonts w:hint="eastAsia" w:asciiTheme="minorEastAsia" w:hAnsiTheme="minorEastAsia" w:eastAsiaTheme="minorEastAsia" w:cstheme="minorEastAsia"/>
          <w:color w:val="auto"/>
          <w:sz w:val="36"/>
          <w:szCs w:val="36"/>
          <w:lang w:eastAsia="zh-CN"/>
        </w:rPr>
      </w:pPr>
    </w:p>
    <w:p w14:paraId="160BE1BB">
      <w:pPr>
        <w:pBdr>
          <w:top w:val="none" w:color="auto" w:sz="0" w:space="0"/>
          <w:left w:val="none" w:color="auto" w:sz="0" w:space="0"/>
          <w:bottom w:val="none" w:color="auto" w:sz="0" w:space="0"/>
          <w:right w:val="none" w:color="auto" w:sz="0" w:space="0"/>
          <w:between w:val="none" w:color="auto" w:sz="0" w:space="0"/>
        </w:pBdr>
        <w:tabs>
          <w:tab w:val="left" w:pos="3600"/>
        </w:tabs>
        <w:adjustRightInd w:val="0"/>
        <w:snapToGrid w:val="0"/>
        <w:spacing w:line="440" w:lineRule="exact"/>
        <w:jc w:val="both"/>
        <w:rPr>
          <w:rFonts w:hint="eastAsia" w:asciiTheme="minorEastAsia" w:hAnsiTheme="minorEastAsia" w:eastAsiaTheme="minorEastAsia" w:cstheme="minorEastAsia"/>
          <w:color w:val="auto"/>
          <w:sz w:val="36"/>
          <w:szCs w:val="36"/>
          <w:lang w:eastAsia="zh-CN"/>
        </w:rPr>
      </w:pPr>
    </w:p>
    <w:p w14:paraId="4C4765F5">
      <w:pPr>
        <w:pBdr>
          <w:top w:val="none" w:color="auto" w:sz="0" w:space="0"/>
          <w:left w:val="none" w:color="auto" w:sz="0" w:space="0"/>
          <w:bottom w:val="none" w:color="auto" w:sz="0" w:space="0"/>
          <w:right w:val="none" w:color="auto" w:sz="0" w:space="0"/>
          <w:between w:val="none" w:color="auto" w:sz="0" w:space="0"/>
        </w:pBdr>
        <w:tabs>
          <w:tab w:val="left" w:pos="3600"/>
        </w:tabs>
        <w:adjustRightInd w:val="0"/>
        <w:snapToGrid w:val="0"/>
        <w:spacing w:line="440" w:lineRule="exact"/>
        <w:jc w:val="both"/>
        <w:rPr>
          <w:rFonts w:hint="eastAsia" w:asciiTheme="minorEastAsia" w:hAnsiTheme="minorEastAsia" w:eastAsiaTheme="minorEastAsia" w:cstheme="minorEastAsia"/>
          <w:color w:val="auto"/>
          <w:sz w:val="36"/>
          <w:szCs w:val="36"/>
          <w:lang w:eastAsia="zh-CN"/>
        </w:rPr>
      </w:pPr>
    </w:p>
    <w:p w14:paraId="2294B725">
      <w:pPr>
        <w:pBdr>
          <w:top w:val="none" w:color="auto" w:sz="0" w:space="0"/>
          <w:left w:val="none" w:color="auto" w:sz="0" w:space="0"/>
          <w:bottom w:val="none" w:color="auto" w:sz="0" w:space="0"/>
          <w:right w:val="none" w:color="auto" w:sz="0" w:space="0"/>
          <w:between w:val="none" w:color="auto" w:sz="0" w:space="0"/>
        </w:pBdr>
        <w:tabs>
          <w:tab w:val="left" w:pos="3600"/>
        </w:tabs>
        <w:adjustRightInd w:val="0"/>
        <w:snapToGrid w:val="0"/>
        <w:spacing w:line="440" w:lineRule="exact"/>
        <w:jc w:val="both"/>
        <w:rPr>
          <w:rFonts w:hint="eastAsia" w:asciiTheme="minorEastAsia" w:hAnsiTheme="minorEastAsia" w:eastAsiaTheme="minorEastAsia" w:cstheme="minorEastAsia"/>
          <w:color w:val="auto"/>
          <w:sz w:val="36"/>
          <w:szCs w:val="36"/>
          <w:lang w:eastAsia="zh-CN"/>
        </w:rPr>
      </w:pPr>
    </w:p>
    <w:p w14:paraId="7522064B">
      <w:pPr>
        <w:pBdr>
          <w:top w:val="none" w:color="auto" w:sz="0" w:space="0"/>
          <w:left w:val="none" w:color="auto" w:sz="0" w:space="0"/>
          <w:bottom w:val="none" w:color="auto" w:sz="0" w:space="0"/>
          <w:right w:val="none" w:color="auto" w:sz="0" w:space="0"/>
          <w:between w:val="none" w:color="auto" w:sz="0" w:space="0"/>
        </w:pBdr>
        <w:tabs>
          <w:tab w:val="left" w:pos="3600"/>
        </w:tabs>
        <w:adjustRightInd w:val="0"/>
        <w:snapToGrid w:val="0"/>
        <w:spacing w:line="440" w:lineRule="exact"/>
        <w:jc w:val="both"/>
        <w:rPr>
          <w:rFonts w:hint="eastAsia" w:asciiTheme="minorEastAsia" w:hAnsiTheme="minorEastAsia" w:eastAsiaTheme="minorEastAsia" w:cstheme="minorEastAsia"/>
          <w:color w:val="auto"/>
          <w:sz w:val="36"/>
          <w:szCs w:val="36"/>
          <w:lang w:eastAsia="zh-CN"/>
        </w:rPr>
      </w:pPr>
    </w:p>
    <w:p w14:paraId="223A3412">
      <w:pPr>
        <w:pBdr>
          <w:top w:val="none" w:color="auto" w:sz="0" w:space="0"/>
          <w:left w:val="none" w:color="auto" w:sz="0" w:space="0"/>
          <w:bottom w:val="none" w:color="auto" w:sz="0" w:space="0"/>
          <w:right w:val="none" w:color="auto" w:sz="0" w:space="0"/>
          <w:between w:val="none" w:color="auto" w:sz="0" w:space="0"/>
        </w:pBdr>
        <w:tabs>
          <w:tab w:val="left" w:pos="3600"/>
        </w:tabs>
        <w:adjustRightInd w:val="0"/>
        <w:snapToGrid w:val="0"/>
        <w:spacing w:line="440" w:lineRule="exact"/>
        <w:jc w:val="both"/>
        <w:rPr>
          <w:rFonts w:hint="eastAsia" w:asciiTheme="minorEastAsia" w:hAnsiTheme="minorEastAsia" w:eastAsiaTheme="minorEastAsia" w:cstheme="minorEastAsia"/>
          <w:color w:val="auto"/>
          <w:sz w:val="36"/>
          <w:szCs w:val="36"/>
          <w:lang w:eastAsia="zh-CN"/>
        </w:rPr>
      </w:pPr>
    </w:p>
    <w:p w14:paraId="2D567827">
      <w:pPr>
        <w:pBdr>
          <w:top w:val="none" w:color="auto" w:sz="0" w:space="0"/>
          <w:left w:val="none" w:color="auto" w:sz="0" w:space="0"/>
          <w:bottom w:val="none" w:color="auto" w:sz="0" w:space="0"/>
          <w:right w:val="none" w:color="auto" w:sz="0" w:space="0"/>
          <w:between w:val="none" w:color="auto" w:sz="0" w:space="0"/>
        </w:pBdr>
        <w:tabs>
          <w:tab w:val="left" w:pos="3600"/>
        </w:tabs>
        <w:adjustRightInd w:val="0"/>
        <w:snapToGrid w:val="0"/>
        <w:spacing w:line="440" w:lineRule="exact"/>
        <w:jc w:val="both"/>
        <w:rPr>
          <w:rFonts w:hint="eastAsia" w:asciiTheme="minorEastAsia" w:hAnsiTheme="minorEastAsia" w:eastAsiaTheme="minorEastAsia" w:cstheme="minorEastAsia"/>
          <w:color w:val="auto"/>
          <w:sz w:val="36"/>
          <w:szCs w:val="36"/>
          <w:lang w:eastAsia="zh-CN"/>
        </w:rPr>
      </w:pPr>
    </w:p>
    <w:p w14:paraId="5869260C">
      <w:pPr>
        <w:pBdr>
          <w:top w:val="none" w:color="auto" w:sz="0" w:space="0"/>
          <w:left w:val="none" w:color="auto" w:sz="0" w:space="0"/>
          <w:bottom w:val="none" w:color="auto" w:sz="0" w:space="0"/>
          <w:right w:val="none" w:color="auto" w:sz="0" w:space="0"/>
          <w:between w:val="none" w:color="auto" w:sz="0" w:space="0"/>
        </w:pBdr>
        <w:tabs>
          <w:tab w:val="left" w:pos="3600"/>
        </w:tabs>
        <w:adjustRightInd w:val="0"/>
        <w:snapToGrid w:val="0"/>
        <w:spacing w:line="440" w:lineRule="exact"/>
        <w:jc w:val="both"/>
        <w:rPr>
          <w:rFonts w:hint="eastAsia" w:asciiTheme="minorEastAsia" w:hAnsiTheme="minorEastAsia" w:eastAsiaTheme="minorEastAsia" w:cstheme="minorEastAsia"/>
          <w:color w:val="auto"/>
          <w:sz w:val="36"/>
          <w:szCs w:val="36"/>
          <w:lang w:eastAsia="zh-CN"/>
        </w:rPr>
      </w:pPr>
    </w:p>
    <w:p w14:paraId="35BCE4CC">
      <w:pPr>
        <w:pBdr>
          <w:top w:val="none" w:color="auto" w:sz="0" w:space="0"/>
          <w:left w:val="none" w:color="auto" w:sz="0" w:space="0"/>
          <w:bottom w:val="none" w:color="auto" w:sz="0" w:space="0"/>
          <w:right w:val="none" w:color="auto" w:sz="0" w:space="0"/>
          <w:between w:val="none" w:color="auto" w:sz="0" w:space="0"/>
        </w:pBdr>
        <w:tabs>
          <w:tab w:val="left" w:pos="3600"/>
        </w:tabs>
        <w:adjustRightInd w:val="0"/>
        <w:snapToGrid w:val="0"/>
        <w:spacing w:line="440" w:lineRule="exact"/>
        <w:jc w:val="both"/>
        <w:rPr>
          <w:rFonts w:hint="eastAsia" w:asciiTheme="minorEastAsia" w:hAnsiTheme="minorEastAsia" w:eastAsiaTheme="minorEastAsia" w:cstheme="minorEastAsia"/>
          <w:color w:val="auto"/>
          <w:sz w:val="36"/>
          <w:szCs w:val="36"/>
          <w:lang w:eastAsia="zh-CN"/>
        </w:rPr>
      </w:pPr>
    </w:p>
    <w:p w14:paraId="504AC07F">
      <w:pPr>
        <w:pBdr>
          <w:top w:val="none" w:color="auto" w:sz="0" w:space="0"/>
          <w:left w:val="none" w:color="auto" w:sz="0" w:space="0"/>
          <w:bottom w:val="none" w:color="auto" w:sz="0" w:space="0"/>
          <w:right w:val="none" w:color="auto" w:sz="0" w:space="0"/>
          <w:between w:val="none" w:color="auto" w:sz="0" w:space="0"/>
        </w:pBdr>
        <w:tabs>
          <w:tab w:val="left" w:pos="3600"/>
        </w:tabs>
        <w:adjustRightInd w:val="0"/>
        <w:snapToGrid w:val="0"/>
        <w:spacing w:line="440" w:lineRule="exact"/>
        <w:jc w:val="both"/>
        <w:rPr>
          <w:rFonts w:hint="eastAsia" w:asciiTheme="minorEastAsia" w:hAnsiTheme="minorEastAsia" w:eastAsiaTheme="minorEastAsia" w:cstheme="minorEastAsia"/>
          <w:color w:val="auto"/>
          <w:sz w:val="36"/>
          <w:szCs w:val="36"/>
          <w:lang w:eastAsia="zh-CN"/>
        </w:rPr>
      </w:pPr>
    </w:p>
    <w:p w14:paraId="073A59F6">
      <w:pPr>
        <w:pBdr>
          <w:top w:val="none" w:color="auto" w:sz="0" w:space="0"/>
          <w:left w:val="none" w:color="auto" w:sz="0" w:space="0"/>
          <w:bottom w:val="none" w:color="auto" w:sz="0" w:space="0"/>
          <w:right w:val="none" w:color="auto" w:sz="0" w:space="0"/>
          <w:between w:val="none" w:color="auto" w:sz="0" w:space="0"/>
        </w:pBdr>
        <w:tabs>
          <w:tab w:val="left" w:pos="3600"/>
        </w:tabs>
        <w:adjustRightInd w:val="0"/>
        <w:snapToGrid w:val="0"/>
        <w:spacing w:line="440" w:lineRule="exact"/>
        <w:jc w:val="both"/>
        <w:rPr>
          <w:rFonts w:hint="eastAsia" w:asciiTheme="minorEastAsia" w:hAnsiTheme="minorEastAsia" w:eastAsiaTheme="minorEastAsia" w:cstheme="minorEastAsia"/>
          <w:color w:val="auto"/>
          <w:sz w:val="36"/>
          <w:szCs w:val="36"/>
          <w:lang w:eastAsia="zh-CN"/>
        </w:rPr>
      </w:pPr>
    </w:p>
    <w:p w14:paraId="4B3C168A">
      <w:pPr>
        <w:pBdr>
          <w:top w:val="none" w:color="auto" w:sz="0" w:space="0"/>
          <w:left w:val="none" w:color="auto" w:sz="0" w:space="0"/>
          <w:bottom w:val="none" w:color="auto" w:sz="0" w:space="0"/>
          <w:right w:val="none" w:color="auto" w:sz="0" w:space="0"/>
          <w:between w:val="none" w:color="auto" w:sz="0" w:space="0"/>
        </w:pBdr>
        <w:tabs>
          <w:tab w:val="left" w:pos="3600"/>
        </w:tabs>
        <w:adjustRightInd w:val="0"/>
        <w:snapToGrid w:val="0"/>
        <w:spacing w:line="440" w:lineRule="exact"/>
        <w:jc w:val="both"/>
        <w:rPr>
          <w:rFonts w:hint="eastAsia" w:asciiTheme="minorEastAsia" w:hAnsiTheme="minorEastAsia" w:eastAsiaTheme="minorEastAsia" w:cstheme="minorEastAsia"/>
          <w:color w:val="auto"/>
          <w:sz w:val="36"/>
          <w:szCs w:val="36"/>
          <w:lang w:eastAsia="zh-CN"/>
        </w:rPr>
      </w:pPr>
    </w:p>
    <w:p w14:paraId="089CAF60">
      <w:pPr>
        <w:pBdr>
          <w:top w:val="none" w:color="auto" w:sz="0" w:space="0"/>
          <w:left w:val="none" w:color="auto" w:sz="0" w:space="0"/>
          <w:bottom w:val="none" w:color="auto" w:sz="0" w:space="0"/>
          <w:right w:val="none" w:color="auto" w:sz="0" w:space="0"/>
          <w:between w:val="none" w:color="auto" w:sz="0" w:space="0"/>
        </w:pBdr>
        <w:tabs>
          <w:tab w:val="left" w:pos="3600"/>
        </w:tabs>
        <w:adjustRightInd w:val="0"/>
        <w:snapToGrid w:val="0"/>
        <w:spacing w:line="440" w:lineRule="exact"/>
        <w:jc w:val="both"/>
        <w:rPr>
          <w:rFonts w:hint="eastAsia" w:asciiTheme="minorEastAsia" w:hAnsiTheme="minorEastAsia" w:eastAsiaTheme="minorEastAsia" w:cstheme="minorEastAsia"/>
          <w:color w:val="auto"/>
          <w:sz w:val="36"/>
          <w:szCs w:val="36"/>
          <w:lang w:eastAsia="zh-CN"/>
        </w:rPr>
      </w:pPr>
    </w:p>
    <w:p w14:paraId="28CC3634">
      <w:pPr>
        <w:pBdr>
          <w:top w:val="none" w:color="auto" w:sz="0" w:space="0"/>
          <w:left w:val="none" w:color="auto" w:sz="0" w:space="0"/>
          <w:bottom w:val="none" w:color="auto" w:sz="0" w:space="0"/>
          <w:right w:val="none" w:color="auto" w:sz="0" w:space="0"/>
          <w:between w:val="none" w:color="auto" w:sz="0" w:space="0"/>
        </w:pBdr>
        <w:tabs>
          <w:tab w:val="left" w:pos="3600"/>
        </w:tabs>
        <w:adjustRightInd w:val="0"/>
        <w:snapToGrid w:val="0"/>
        <w:spacing w:line="440" w:lineRule="exact"/>
        <w:jc w:val="both"/>
        <w:rPr>
          <w:rFonts w:hint="eastAsia" w:asciiTheme="minorEastAsia" w:hAnsiTheme="minorEastAsia" w:eastAsiaTheme="minorEastAsia" w:cstheme="minorEastAsia"/>
          <w:color w:val="auto"/>
          <w:sz w:val="36"/>
          <w:szCs w:val="36"/>
          <w:lang w:eastAsia="zh-CN"/>
        </w:rPr>
      </w:pPr>
    </w:p>
    <w:p w14:paraId="2E0E8A01">
      <w:pPr>
        <w:pBdr>
          <w:top w:val="none" w:color="auto" w:sz="0" w:space="0"/>
          <w:left w:val="none" w:color="auto" w:sz="0" w:space="0"/>
          <w:bottom w:val="none" w:color="auto" w:sz="0" w:space="0"/>
          <w:right w:val="none" w:color="auto" w:sz="0" w:space="0"/>
          <w:between w:val="none" w:color="auto" w:sz="0" w:space="0"/>
        </w:pBdr>
        <w:tabs>
          <w:tab w:val="left" w:pos="3600"/>
        </w:tabs>
        <w:adjustRightInd w:val="0"/>
        <w:snapToGrid w:val="0"/>
        <w:spacing w:line="440" w:lineRule="exact"/>
        <w:jc w:val="both"/>
        <w:rPr>
          <w:rFonts w:hint="eastAsia" w:asciiTheme="minorEastAsia" w:hAnsiTheme="minorEastAsia" w:eastAsiaTheme="minorEastAsia" w:cstheme="minorEastAsia"/>
          <w:color w:val="auto"/>
          <w:sz w:val="36"/>
          <w:szCs w:val="36"/>
          <w:lang w:eastAsia="zh-CN"/>
        </w:rPr>
      </w:pPr>
    </w:p>
    <w:p w14:paraId="0FF4A232">
      <w:pPr>
        <w:pBdr>
          <w:top w:val="none" w:color="auto" w:sz="0" w:space="0"/>
          <w:left w:val="none" w:color="auto" w:sz="0" w:space="0"/>
          <w:bottom w:val="none" w:color="auto" w:sz="0" w:space="0"/>
          <w:right w:val="none" w:color="auto" w:sz="0" w:space="0"/>
          <w:between w:val="none" w:color="auto" w:sz="0" w:space="0"/>
        </w:pBdr>
        <w:tabs>
          <w:tab w:val="left" w:pos="3600"/>
        </w:tabs>
        <w:adjustRightInd w:val="0"/>
        <w:snapToGrid w:val="0"/>
        <w:spacing w:line="440" w:lineRule="exact"/>
        <w:jc w:val="both"/>
        <w:rPr>
          <w:rFonts w:hint="eastAsia" w:asciiTheme="minorEastAsia" w:hAnsiTheme="minorEastAsia" w:eastAsiaTheme="minorEastAsia" w:cstheme="minorEastAsia"/>
          <w:color w:val="auto"/>
          <w:sz w:val="36"/>
          <w:szCs w:val="36"/>
          <w:lang w:eastAsia="zh-CN"/>
        </w:rPr>
      </w:pPr>
    </w:p>
    <w:p w14:paraId="20C2B5C4">
      <w:pPr>
        <w:pBdr>
          <w:top w:val="none" w:color="auto" w:sz="0" w:space="0"/>
          <w:left w:val="none" w:color="auto" w:sz="0" w:space="0"/>
          <w:bottom w:val="none" w:color="auto" w:sz="0" w:space="0"/>
          <w:right w:val="none" w:color="auto" w:sz="0" w:space="0"/>
          <w:between w:val="none" w:color="auto" w:sz="0" w:space="0"/>
        </w:pBdr>
        <w:tabs>
          <w:tab w:val="left" w:pos="3600"/>
        </w:tabs>
        <w:adjustRightInd w:val="0"/>
        <w:snapToGrid w:val="0"/>
        <w:spacing w:line="440" w:lineRule="exact"/>
        <w:jc w:val="both"/>
        <w:rPr>
          <w:rFonts w:hint="eastAsia" w:asciiTheme="minorEastAsia" w:hAnsiTheme="minorEastAsia" w:eastAsiaTheme="minorEastAsia" w:cstheme="minorEastAsia"/>
          <w:color w:val="auto"/>
          <w:sz w:val="36"/>
          <w:szCs w:val="36"/>
          <w:lang w:eastAsia="zh-CN"/>
        </w:rPr>
      </w:pPr>
    </w:p>
    <w:p w14:paraId="4DC824A5">
      <w:pPr>
        <w:pBdr>
          <w:top w:val="none" w:color="auto" w:sz="0" w:space="0"/>
          <w:left w:val="none" w:color="auto" w:sz="0" w:space="0"/>
          <w:bottom w:val="none" w:color="auto" w:sz="0" w:space="0"/>
          <w:right w:val="none" w:color="auto" w:sz="0" w:space="0"/>
          <w:between w:val="none" w:color="auto" w:sz="0" w:space="0"/>
        </w:pBdr>
        <w:tabs>
          <w:tab w:val="left" w:pos="3600"/>
        </w:tabs>
        <w:adjustRightInd w:val="0"/>
        <w:snapToGrid w:val="0"/>
        <w:spacing w:line="440" w:lineRule="exact"/>
        <w:jc w:val="both"/>
        <w:rPr>
          <w:rFonts w:hint="eastAsia" w:asciiTheme="minorEastAsia" w:hAnsiTheme="minorEastAsia" w:eastAsiaTheme="minorEastAsia" w:cstheme="minorEastAsia"/>
          <w:color w:val="auto"/>
          <w:sz w:val="36"/>
          <w:szCs w:val="36"/>
          <w:lang w:eastAsia="zh-CN"/>
        </w:rPr>
      </w:pPr>
    </w:p>
    <w:p w14:paraId="371B8385">
      <w:pPr>
        <w:pBdr>
          <w:top w:val="none" w:color="auto" w:sz="0" w:space="0"/>
          <w:left w:val="none" w:color="auto" w:sz="0" w:space="0"/>
          <w:bottom w:val="none" w:color="auto" w:sz="0" w:space="0"/>
          <w:right w:val="none" w:color="auto" w:sz="0" w:space="0"/>
          <w:between w:val="none" w:color="auto" w:sz="0" w:space="0"/>
        </w:pBdr>
        <w:tabs>
          <w:tab w:val="left" w:pos="3600"/>
        </w:tabs>
        <w:adjustRightInd w:val="0"/>
        <w:snapToGrid w:val="0"/>
        <w:spacing w:line="440" w:lineRule="exact"/>
        <w:jc w:val="both"/>
        <w:rPr>
          <w:rFonts w:hint="eastAsia" w:asciiTheme="minorEastAsia" w:hAnsiTheme="minorEastAsia" w:eastAsiaTheme="minorEastAsia" w:cstheme="minorEastAsia"/>
          <w:color w:val="auto"/>
          <w:sz w:val="36"/>
          <w:szCs w:val="36"/>
          <w:lang w:eastAsia="zh-CN"/>
        </w:rPr>
      </w:pPr>
    </w:p>
    <w:p w14:paraId="6A8F480F">
      <w:pPr>
        <w:pBdr>
          <w:top w:val="none" w:color="auto" w:sz="0" w:space="0"/>
          <w:left w:val="none" w:color="auto" w:sz="0" w:space="0"/>
          <w:bottom w:val="none" w:color="auto" w:sz="0" w:space="0"/>
          <w:right w:val="none" w:color="auto" w:sz="0" w:space="0"/>
          <w:between w:val="none" w:color="auto" w:sz="0" w:space="0"/>
        </w:pBdr>
        <w:tabs>
          <w:tab w:val="left" w:pos="3600"/>
        </w:tabs>
        <w:adjustRightInd w:val="0"/>
        <w:snapToGrid w:val="0"/>
        <w:spacing w:line="440" w:lineRule="exact"/>
        <w:jc w:val="both"/>
        <w:rPr>
          <w:rFonts w:hint="eastAsia" w:asciiTheme="minorEastAsia" w:hAnsiTheme="minorEastAsia" w:eastAsiaTheme="minorEastAsia" w:cstheme="minorEastAsia"/>
          <w:color w:val="auto"/>
          <w:sz w:val="36"/>
          <w:szCs w:val="36"/>
          <w:lang w:eastAsia="zh-CN"/>
        </w:rPr>
      </w:pPr>
    </w:p>
    <w:p w14:paraId="324E847B">
      <w:pPr>
        <w:pBdr>
          <w:top w:val="none" w:color="auto" w:sz="0" w:space="0"/>
          <w:left w:val="none" w:color="auto" w:sz="0" w:space="0"/>
          <w:bottom w:val="none" w:color="auto" w:sz="0" w:space="0"/>
          <w:right w:val="none" w:color="auto" w:sz="0" w:space="0"/>
          <w:between w:val="none" w:color="auto" w:sz="0" w:space="0"/>
        </w:pBdr>
        <w:tabs>
          <w:tab w:val="left" w:pos="3600"/>
        </w:tabs>
        <w:adjustRightInd w:val="0"/>
        <w:snapToGrid w:val="0"/>
        <w:spacing w:line="440" w:lineRule="exact"/>
        <w:jc w:val="both"/>
        <w:rPr>
          <w:rFonts w:hint="eastAsia" w:asciiTheme="minorEastAsia" w:hAnsiTheme="minorEastAsia" w:eastAsiaTheme="minorEastAsia" w:cstheme="minorEastAsia"/>
          <w:color w:val="auto"/>
          <w:sz w:val="36"/>
          <w:szCs w:val="36"/>
          <w:lang w:eastAsia="zh-CN"/>
        </w:rPr>
      </w:pPr>
    </w:p>
    <w:p w14:paraId="2284AEA5">
      <w:pPr>
        <w:pBdr>
          <w:top w:val="none" w:color="auto" w:sz="0" w:space="0"/>
          <w:left w:val="none" w:color="auto" w:sz="0" w:space="0"/>
          <w:bottom w:val="none" w:color="auto" w:sz="0" w:space="0"/>
          <w:right w:val="none" w:color="auto" w:sz="0" w:space="0"/>
          <w:between w:val="none" w:color="auto" w:sz="0" w:space="0"/>
        </w:pBdr>
        <w:tabs>
          <w:tab w:val="left" w:pos="3600"/>
        </w:tabs>
        <w:adjustRightInd w:val="0"/>
        <w:snapToGrid w:val="0"/>
        <w:spacing w:line="440" w:lineRule="exact"/>
        <w:jc w:val="both"/>
        <w:rPr>
          <w:rFonts w:hint="eastAsia" w:asciiTheme="minorEastAsia" w:hAnsiTheme="minorEastAsia" w:eastAsiaTheme="minorEastAsia" w:cstheme="minorEastAsia"/>
          <w:color w:val="auto"/>
          <w:sz w:val="36"/>
          <w:szCs w:val="36"/>
          <w:lang w:eastAsia="zh-CN"/>
        </w:rPr>
      </w:pPr>
    </w:p>
    <w:p w14:paraId="28335064">
      <w:pPr>
        <w:pBdr>
          <w:top w:val="none" w:color="auto" w:sz="0" w:space="0"/>
          <w:left w:val="none" w:color="auto" w:sz="0" w:space="0"/>
          <w:bottom w:val="none" w:color="auto" w:sz="0" w:space="0"/>
          <w:right w:val="none" w:color="auto" w:sz="0" w:space="0"/>
          <w:between w:val="none" w:color="auto" w:sz="0" w:space="0"/>
        </w:pBdr>
        <w:tabs>
          <w:tab w:val="left" w:pos="3600"/>
        </w:tabs>
        <w:adjustRightInd w:val="0"/>
        <w:snapToGrid w:val="0"/>
        <w:spacing w:line="440" w:lineRule="exact"/>
        <w:jc w:val="both"/>
        <w:rPr>
          <w:rFonts w:hint="eastAsia" w:asciiTheme="minorEastAsia" w:hAnsiTheme="minorEastAsia" w:eastAsiaTheme="minorEastAsia" w:cstheme="minorEastAsia"/>
          <w:color w:val="auto"/>
          <w:sz w:val="36"/>
          <w:szCs w:val="36"/>
          <w:lang w:eastAsia="zh-CN"/>
        </w:rPr>
      </w:pPr>
    </w:p>
    <w:p w14:paraId="6E34CCB9">
      <w:pPr>
        <w:pBdr>
          <w:top w:val="none" w:color="auto" w:sz="0" w:space="0"/>
          <w:left w:val="none" w:color="auto" w:sz="0" w:space="0"/>
          <w:bottom w:val="none" w:color="auto" w:sz="0" w:space="0"/>
          <w:right w:val="none" w:color="auto" w:sz="0" w:space="0"/>
          <w:between w:val="none" w:color="auto" w:sz="0" w:space="0"/>
        </w:pBdr>
        <w:tabs>
          <w:tab w:val="left" w:pos="3600"/>
        </w:tabs>
        <w:adjustRightInd w:val="0"/>
        <w:snapToGrid w:val="0"/>
        <w:spacing w:line="440" w:lineRule="exact"/>
        <w:jc w:val="both"/>
        <w:rPr>
          <w:rFonts w:hint="eastAsia" w:asciiTheme="minorEastAsia" w:hAnsiTheme="minorEastAsia" w:eastAsiaTheme="minorEastAsia" w:cstheme="minorEastAsia"/>
          <w:color w:val="auto"/>
          <w:sz w:val="36"/>
          <w:szCs w:val="36"/>
          <w:lang w:eastAsia="zh-CN"/>
        </w:rPr>
      </w:pPr>
    </w:p>
    <w:p w14:paraId="0BF0D5D4">
      <w:pPr>
        <w:pStyle w:val="12"/>
        <w:numPr>
          <w:ilvl w:val="0"/>
          <w:numId w:val="0"/>
        </w:numPr>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szCs w:val="22"/>
          <w:lang w:eastAsia="zh-CN"/>
        </w:rPr>
      </w:pPr>
    </w:p>
    <w:p w14:paraId="372FC0E6">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1"/>
        <w:rPr>
          <w:rFonts w:hint="eastAsia" w:asciiTheme="minorEastAsia" w:hAnsiTheme="minorEastAsia" w:eastAsiaTheme="minorEastAsia" w:cstheme="minorEastAsia"/>
          <w:b/>
          <w:color w:val="auto"/>
          <w:lang w:eastAsia="zh-CN"/>
        </w:rPr>
      </w:pPr>
      <w:r>
        <w:rPr>
          <w:rFonts w:hint="eastAsia" w:asciiTheme="minorEastAsia" w:hAnsiTheme="minorEastAsia" w:eastAsiaTheme="minorEastAsia" w:cstheme="minorEastAsia"/>
          <w:b/>
          <w:bCs/>
          <w:color w:val="auto"/>
          <w:w w:val="90"/>
          <w:sz w:val="36"/>
          <w:szCs w:val="36"/>
          <w:lang w:val="en-US" w:eastAsia="zh-CN"/>
        </w:rPr>
        <w:t>10</w:t>
      </w:r>
      <w:r>
        <w:rPr>
          <w:rFonts w:hint="eastAsia" w:asciiTheme="minorEastAsia" w:hAnsiTheme="minorEastAsia" w:eastAsiaTheme="minorEastAsia" w:cstheme="minorEastAsia"/>
          <w:b/>
          <w:bCs/>
          <w:color w:val="auto"/>
          <w:w w:val="90"/>
          <w:sz w:val="36"/>
          <w:szCs w:val="36"/>
          <w:lang w:eastAsia="zh-CN"/>
        </w:rPr>
        <w:t>、中小企业声明函格式（可选）</w:t>
      </w:r>
    </w:p>
    <w:p w14:paraId="0DEEE83C">
      <w:pPr>
        <w:widowControl/>
        <w:pBdr>
          <w:top w:val="none" w:color="auto" w:sz="0" w:space="0"/>
          <w:left w:val="none" w:color="auto" w:sz="0" w:space="0"/>
          <w:bottom w:val="none" w:color="auto" w:sz="0" w:space="0"/>
          <w:right w:val="none" w:color="auto" w:sz="0" w:space="0"/>
          <w:between w:val="none" w:color="auto" w:sz="0" w:space="0"/>
        </w:pBdr>
        <w:ind w:firstLine="480" w:firstLineChars="200"/>
        <w:jc w:val="center"/>
        <w:rPr>
          <w:rFonts w:hint="eastAsia" w:asciiTheme="minorEastAsia" w:hAnsiTheme="minorEastAsia" w:eastAsiaTheme="minorEastAsia" w:cstheme="minorEastAsia"/>
          <w:b/>
          <w:bCs/>
          <w:color w:val="auto"/>
          <w:sz w:val="28"/>
          <w:szCs w:val="28"/>
          <w:lang w:eastAsia="zh-CN"/>
        </w:rPr>
      </w:pPr>
      <w:bookmarkStart w:id="132" w:name="_Toc27586"/>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b/>
          <w:bCs/>
          <w:color w:val="auto"/>
          <w:lang w:eastAsia="zh-CN"/>
        </w:rPr>
        <w:t xml:space="preserve"> </w:t>
      </w:r>
      <w:r>
        <w:rPr>
          <w:rFonts w:hint="eastAsia" w:asciiTheme="minorEastAsia" w:hAnsiTheme="minorEastAsia" w:eastAsiaTheme="minorEastAsia" w:cstheme="minorEastAsia"/>
          <w:b/>
          <w:bCs/>
          <w:color w:val="auto"/>
          <w:sz w:val="28"/>
          <w:szCs w:val="28"/>
          <w:lang w:eastAsia="zh-CN"/>
        </w:rPr>
        <w:t>中小企业声明函（货物）</w:t>
      </w:r>
    </w:p>
    <w:p w14:paraId="5007974A">
      <w:pPr>
        <w:pStyle w:val="16"/>
        <w:pBdr>
          <w:top w:val="none" w:color="auto" w:sz="0" w:space="0"/>
          <w:left w:val="none" w:color="auto" w:sz="0" w:space="0"/>
          <w:bottom w:val="none" w:color="auto" w:sz="0" w:space="0"/>
          <w:right w:val="none" w:color="auto" w:sz="0" w:space="0"/>
          <w:between w:val="none" w:color="auto" w:sz="0" w:space="0"/>
        </w:pBdr>
        <w:rPr>
          <w:rFonts w:hint="eastAsia" w:asciiTheme="minorEastAsia" w:hAnsiTheme="minorEastAsia" w:eastAsiaTheme="minorEastAsia" w:cstheme="minorEastAsia"/>
          <w:color w:val="auto"/>
          <w:lang w:eastAsia="zh-CN"/>
        </w:rPr>
      </w:pPr>
    </w:p>
    <w:p w14:paraId="7237E273">
      <w:pPr>
        <w:widowControl/>
        <w:pBdr>
          <w:top w:val="none" w:color="auto" w:sz="0" w:space="0"/>
          <w:left w:val="none" w:color="auto" w:sz="0" w:space="0"/>
          <w:bottom w:val="none" w:color="auto" w:sz="0" w:space="0"/>
          <w:right w:val="none" w:color="auto" w:sz="0" w:space="0"/>
          <w:between w:val="none" w:color="auto" w:sz="0" w:space="0"/>
        </w:pBdr>
        <w:spacing w:line="360" w:lineRule="auto"/>
        <w:ind w:firstLine="708" w:firstLineChars="300"/>
        <w:rPr>
          <w:rFonts w:hint="eastAsia" w:asciiTheme="minorEastAsia" w:hAnsiTheme="minorEastAsia" w:eastAsiaTheme="minorEastAsia" w:cstheme="minorEastAsia"/>
          <w:color w:val="auto"/>
          <w:spacing w:val="-2"/>
          <w:szCs w:val="21"/>
          <w:lang w:eastAsia="zh-CN"/>
        </w:rPr>
      </w:pPr>
      <w:r>
        <w:rPr>
          <w:rFonts w:hint="eastAsia" w:asciiTheme="minorEastAsia" w:hAnsiTheme="minorEastAsia" w:eastAsiaTheme="minorEastAsia" w:cstheme="minorEastAsia"/>
          <w:color w:val="auto"/>
          <w:spacing w:val="-2"/>
          <w:szCs w:val="21"/>
          <w:lang w:eastAsia="zh-CN"/>
        </w:rPr>
        <w:t>本公司（联合体）郑重声明， 根据《政府采购促进中小企业发展管理办法》（财库﹝ 2020﹞ 46 号）的规定，本公司（联合体）参加（单位名称）的</w:t>
      </w:r>
      <w:r>
        <w:rPr>
          <w:rFonts w:hint="eastAsia" w:asciiTheme="minorEastAsia" w:hAnsiTheme="minorEastAsia" w:eastAsiaTheme="minorEastAsia" w:cstheme="minorEastAsia"/>
          <w:color w:val="auto"/>
          <w:spacing w:val="-2"/>
          <w:szCs w:val="21"/>
          <w:u w:val="single"/>
          <w:lang w:eastAsia="zh-CN"/>
        </w:rPr>
        <w:t xml:space="preserve">（项目名称） </w:t>
      </w:r>
      <w:r>
        <w:rPr>
          <w:rFonts w:hint="eastAsia" w:asciiTheme="minorEastAsia" w:hAnsiTheme="minorEastAsia" w:eastAsiaTheme="minorEastAsia" w:cstheme="minorEastAsia"/>
          <w:color w:val="auto"/>
          <w:spacing w:val="-2"/>
          <w:szCs w:val="21"/>
          <w:lang w:eastAsia="zh-CN"/>
        </w:rPr>
        <w:t>采购活动，提供的货物全部由符合政策要求的中小企业制造。相关企业（含联合体中的中小企业、签订分包意向协议的中小企业）的具体情况如下：</w:t>
      </w:r>
    </w:p>
    <w:p w14:paraId="5EC849F4">
      <w:pPr>
        <w:widowControl/>
        <w:pBdr>
          <w:top w:val="none" w:color="auto" w:sz="0" w:space="0"/>
          <w:left w:val="none" w:color="auto" w:sz="0" w:space="0"/>
          <w:bottom w:val="none" w:color="auto" w:sz="0" w:space="0"/>
          <w:right w:val="none" w:color="auto" w:sz="0" w:space="0"/>
          <w:between w:val="none" w:color="auto" w:sz="0" w:space="0"/>
        </w:pBdr>
        <w:spacing w:line="360" w:lineRule="auto"/>
        <w:ind w:firstLine="480" w:firstLineChars="200"/>
        <w:jc w:val="left"/>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 xml:space="preserve">1. </w:t>
      </w:r>
      <w:r>
        <w:rPr>
          <w:rFonts w:hint="eastAsia" w:asciiTheme="minorEastAsia" w:hAnsiTheme="minorEastAsia" w:eastAsiaTheme="minorEastAsia" w:cstheme="minorEastAsia"/>
          <w:color w:val="auto"/>
          <w:szCs w:val="21"/>
          <w:u w:val="single"/>
          <w:lang w:eastAsia="zh-CN"/>
        </w:rPr>
        <w:t>（标的名称）</w:t>
      </w:r>
      <w:r>
        <w:rPr>
          <w:rFonts w:hint="eastAsia" w:asciiTheme="minorEastAsia" w:hAnsiTheme="minorEastAsia" w:eastAsiaTheme="minorEastAsia" w:cstheme="minorEastAsia"/>
          <w:color w:val="auto"/>
          <w:szCs w:val="21"/>
          <w:lang w:eastAsia="zh-CN"/>
        </w:rPr>
        <w:t xml:space="preserve"> ，属于</w:t>
      </w:r>
      <w:r>
        <w:rPr>
          <w:rFonts w:hint="eastAsia" w:asciiTheme="minorEastAsia" w:hAnsiTheme="minorEastAsia" w:eastAsiaTheme="minorEastAsia" w:cstheme="minorEastAsia"/>
          <w:color w:val="auto"/>
          <w:szCs w:val="21"/>
          <w:u w:val="single"/>
          <w:lang w:eastAsia="zh-CN"/>
        </w:rPr>
        <w:t>（采购文件中明确的所属行业）行业</w:t>
      </w:r>
      <w:r>
        <w:rPr>
          <w:rFonts w:hint="eastAsia" w:asciiTheme="minorEastAsia" w:hAnsiTheme="minorEastAsia" w:eastAsiaTheme="minorEastAsia" w:cstheme="minorEastAsia"/>
          <w:color w:val="auto"/>
          <w:szCs w:val="21"/>
          <w:lang w:eastAsia="zh-CN"/>
        </w:rPr>
        <w:t>；制造商为</w:t>
      </w:r>
      <w:r>
        <w:rPr>
          <w:rFonts w:hint="eastAsia" w:asciiTheme="minorEastAsia" w:hAnsiTheme="minorEastAsia" w:eastAsiaTheme="minorEastAsia" w:cstheme="minorEastAsia"/>
          <w:color w:val="auto"/>
          <w:szCs w:val="21"/>
          <w:u w:val="single"/>
          <w:lang w:eastAsia="zh-CN"/>
        </w:rPr>
        <w:t>（ 企业名称）</w:t>
      </w:r>
      <w:r>
        <w:rPr>
          <w:rFonts w:hint="eastAsia" w:asciiTheme="minorEastAsia" w:hAnsiTheme="minorEastAsia" w:eastAsiaTheme="minorEastAsia" w:cstheme="minorEastAsia"/>
          <w:color w:val="auto"/>
          <w:szCs w:val="21"/>
          <w:lang w:eastAsia="zh-CN"/>
        </w:rPr>
        <w:t>，从业人员</w:t>
      </w:r>
      <w:r>
        <w:rPr>
          <w:rFonts w:hint="eastAsia" w:asciiTheme="minorEastAsia" w:hAnsiTheme="minorEastAsia" w:eastAsiaTheme="minorEastAsia" w:cstheme="minorEastAsia"/>
          <w:color w:val="auto"/>
          <w:szCs w:val="21"/>
          <w:u w:val="single"/>
          <w:lang w:eastAsia="zh-CN"/>
        </w:rPr>
        <w:t xml:space="preserve">      </w:t>
      </w:r>
      <w:r>
        <w:rPr>
          <w:rFonts w:hint="eastAsia" w:asciiTheme="minorEastAsia" w:hAnsiTheme="minorEastAsia" w:eastAsiaTheme="minorEastAsia" w:cstheme="minorEastAsia"/>
          <w:color w:val="auto"/>
          <w:szCs w:val="21"/>
          <w:lang w:eastAsia="zh-CN"/>
        </w:rPr>
        <w:t>人，营业收入为</w:t>
      </w:r>
      <w:r>
        <w:rPr>
          <w:rFonts w:hint="eastAsia" w:asciiTheme="minorEastAsia" w:hAnsiTheme="minorEastAsia" w:eastAsiaTheme="minorEastAsia" w:cstheme="minorEastAsia"/>
          <w:color w:val="auto"/>
          <w:szCs w:val="21"/>
          <w:u w:val="single"/>
          <w:lang w:eastAsia="zh-CN"/>
        </w:rPr>
        <w:t xml:space="preserve">     </w:t>
      </w:r>
      <w:r>
        <w:rPr>
          <w:rFonts w:hint="eastAsia" w:asciiTheme="minorEastAsia" w:hAnsiTheme="minorEastAsia" w:eastAsiaTheme="minorEastAsia" w:cstheme="minorEastAsia"/>
          <w:color w:val="auto"/>
          <w:szCs w:val="21"/>
          <w:lang w:eastAsia="zh-CN"/>
        </w:rPr>
        <w:t>万元，资产总额为</w:t>
      </w:r>
      <w:r>
        <w:rPr>
          <w:rFonts w:hint="eastAsia" w:asciiTheme="minorEastAsia" w:hAnsiTheme="minorEastAsia" w:eastAsiaTheme="minorEastAsia" w:cstheme="minorEastAsia"/>
          <w:color w:val="auto"/>
          <w:szCs w:val="21"/>
          <w:u w:val="single"/>
          <w:lang w:eastAsia="zh-CN"/>
        </w:rPr>
        <w:t xml:space="preserve">      </w:t>
      </w:r>
      <w:r>
        <w:rPr>
          <w:rFonts w:hint="eastAsia" w:asciiTheme="minorEastAsia" w:hAnsiTheme="minorEastAsia" w:eastAsiaTheme="minorEastAsia" w:cstheme="minorEastAsia"/>
          <w:color w:val="auto"/>
          <w:szCs w:val="21"/>
          <w:lang w:eastAsia="zh-CN"/>
        </w:rPr>
        <w:t>万元，属于（</w:t>
      </w:r>
      <w:r>
        <w:rPr>
          <w:rFonts w:hint="eastAsia" w:asciiTheme="minorEastAsia" w:hAnsiTheme="minorEastAsia" w:eastAsiaTheme="minorEastAsia" w:cstheme="minorEastAsia"/>
          <w:color w:val="auto"/>
          <w:szCs w:val="21"/>
          <w:u w:val="single"/>
          <w:lang w:eastAsia="zh-CN"/>
        </w:rPr>
        <w:t>中型企业、 小型企业、 微型企业</w:t>
      </w:r>
      <w:r>
        <w:rPr>
          <w:rFonts w:hint="eastAsia" w:asciiTheme="minorEastAsia" w:hAnsiTheme="minorEastAsia" w:eastAsiaTheme="minorEastAsia" w:cstheme="minorEastAsia"/>
          <w:color w:val="auto"/>
          <w:szCs w:val="21"/>
          <w:lang w:eastAsia="zh-CN"/>
        </w:rPr>
        <w:t>）；</w:t>
      </w:r>
    </w:p>
    <w:p w14:paraId="1DA5DFC6">
      <w:pPr>
        <w:widowControl/>
        <w:pBdr>
          <w:top w:val="none" w:color="auto" w:sz="0" w:space="0"/>
          <w:left w:val="none" w:color="auto" w:sz="0" w:space="0"/>
          <w:bottom w:val="none" w:color="auto" w:sz="0" w:space="0"/>
          <w:right w:val="none" w:color="auto" w:sz="0" w:space="0"/>
          <w:between w:val="none" w:color="auto" w:sz="0" w:space="0"/>
        </w:pBdr>
        <w:spacing w:line="360" w:lineRule="auto"/>
        <w:ind w:firstLine="480" w:firstLineChars="200"/>
        <w:jc w:val="left"/>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 xml:space="preserve">2. </w:t>
      </w:r>
      <w:r>
        <w:rPr>
          <w:rFonts w:hint="eastAsia" w:asciiTheme="minorEastAsia" w:hAnsiTheme="minorEastAsia" w:eastAsiaTheme="minorEastAsia" w:cstheme="minorEastAsia"/>
          <w:color w:val="auto"/>
          <w:szCs w:val="21"/>
          <w:u w:val="single"/>
          <w:lang w:eastAsia="zh-CN"/>
        </w:rPr>
        <w:t>（标的名称）</w:t>
      </w:r>
      <w:r>
        <w:rPr>
          <w:rFonts w:hint="eastAsia" w:asciiTheme="minorEastAsia" w:hAnsiTheme="minorEastAsia" w:eastAsiaTheme="minorEastAsia" w:cstheme="minorEastAsia"/>
          <w:color w:val="auto"/>
          <w:szCs w:val="21"/>
          <w:lang w:eastAsia="zh-CN"/>
        </w:rPr>
        <w:t xml:space="preserve"> ，属于</w:t>
      </w:r>
      <w:r>
        <w:rPr>
          <w:rFonts w:hint="eastAsia" w:asciiTheme="minorEastAsia" w:hAnsiTheme="minorEastAsia" w:eastAsiaTheme="minorEastAsia" w:cstheme="minorEastAsia"/>
          <w:color w:val="auto"/>
          <w:szCs w:val="21"/>
          <w:u w:val="single"/>
          <w:lang w:eastAsia="zh-CN"/>
        </w:rPr>
        <w:t>（采购文件中明确的所属行业）</w:t>
      </w:r>
      <w:r>
        <w:rPr>
          <w:rFonts w:hint="eastAsia" w:asciiTheme="minorEastAsia" w:hAnsiTheme="minorEastAsia" w:eastAsiaTheme="minorEastAsia" w:cstheme="minorEastAsia"/>
          <w:color w:val="auto"/>
          <w:szCs w:val="21"/>
          <w:lang w:eastAsia="zh-CN"/>
        </w:rPr>
        <w:t>行业；制造商为</w:t>
      </w:r>
      <w:r>
        <w:rPr>
          <w:rFonts w:hint="eastAsia" w:asciiTheme="minorEastAsia" w:hAnsiTheme="minorEastAsia" w:eastAsiaTheme="minorEastAsia" w:cstheme="minorEastAsia"/>
          <w:color w:val="auto"/>
          <w:szCs w:val="21"/>
          <w:u w:val="single"/>
          <w:lang w:eastAsia="zh-CN"/>
        </w:rPr>
        <w:t>（ 企业名称）</w:t>
      </w:r>
      <w:r>
        <w:rPr>
          <w:rFonts w:hint="eastAsia" w:asciiTheme="minorEastAsia" w:hAnsiTheme="minorEastAsia" w:eastAsiaTheme="minorEastAsia" w:cstheme="minorEastAsia"/>
          <w:color w:val="auto"/>
          <w:szCs w:val="21"/>
          <w:lang w:eastAsia="zh-CN"/>
        </w:rPr>
        <w:t>，从业人员</w:t>
      </w:r>
      <w:r>
        <w:rPr>
          <w:rFonts w:hint="eastAsia" w:asciiTheme="minorEastAsia" w:hAnsiTheme="minorEastAsia" w:eastAsiaTheme="minorEastAsia" w:cstheme="minorEastAsia"/>
          <w:color w:val="auto"/>
          <w:szCs w:val="21"/>
          <w:u w:val="single"/>
          <w:lang w:eastAsia="zh-CN"/>
        </w:rPr>
        <w:t xml:space="preserve">      </w:t>
      </w:r>
      <w:r>
        <w:rPr>
          <w:rFonts w:hint="eastAsia" w:asciiTheme="minorEastAsia" w:hAnsiTheme="minorEastAsia" w:eastAsiaTheme="minorEastAsia" w:cstheme="minorEastAsia"/>
          <w:color w:val="auto"/>
          <w:szCs w:val="21"/>
          <w:lang w:eastAsia="zh-CN"/>
        </w:rPr>
        <w:t>人，营业收为</w:t>
      </w:r>
      <w:r>
        <w:rPr>
          <w:rFonts w:hint="eastAsia" w:asciiTheme="minorEastAsia" w:hAnsiTheme="minorEastAsia" w:eastAsiaTheme="minorEastAsia" w:cstheme="minorEastAsia"/>
          <w:color w:val="auto"/>
          <w:szCs w:val="21"/>
          <w:u w:val="single"/>
          <w:lang w:eastAsia="zh-CN"/>
        </w:rPr>
        <w:t xml:space="preserve">      </w:t>
      </w:r>
      <w:r>
        <w:rPr>
          <w:rFonts w:hint="eastAsia" w:asciiTheme="minorEastAsia" w:hAnsiTheme="minorEastAsia" w:eastAsiaTheme="minorEastAsia" w:cstheme="minorEastAsia"/>
          <w:color w:val="auto"/>
          <w:szCs w:val="21"/>
          <w:lang w:eastAsia="zh-CN"/>
        </w:rPr>
        <w:t>万元， 资产总额为</w:t>
      </w:r>
      <w:r>
        <w:rPr>
          <w:rFonts w:hint="eastAsia" w:asciiTheme="minorEastAsia" w:hAnsiTheme="minorEastAsia" w:eastAsiaTheme="minorEastAsia" w:cstheme="minorEastAsia"/>
          <w:color w:val="auto"/>
          <w:szCs w:val="21"/>
          <w:u w:val="single"/>
          <w:lang w:eastAsia="zh-CN"/>
        </w:rPr>
        <w:t xml:space="preserve">   </w:t>
      </w:r>
      <w:r>
        <w:rPr>
          <w:rFonts w:hint="eastAsia" w:asciiTheme="minorEastAsia" w:hAnsiTheme="minorEastAsia" w:eastAsiaTheme="minorEastAsia" w:cstheme="minorEastAsia"/>
          <w:color w:val="auto"/>
          <w:szCs w:val="21"/>
          <w:lang w:eastAsia="zh-CN"/>
        </w:rPr>
        <w:t>万元， 属于</w:t>
      </w:r>
      <w:r>
        <w:rPr>
          <w:rFonts w:hint="eastAsia" w:asciiTheme="minorEastAsia" w:hAnsiTheme="minorEastAsia" w:eastAsiaTheme="minorEastAsia" w:cstheme="minorEastAsia"/>
          <w:color w:val="auto"/>
          <w:szCs w:val="21"/>
          <w:u w:val="single"/>
          <w:lang w:eastAsia="zh-CN"/>
        </w:rPr>
        <w:t>（中型企业、 小型企业、 微型企业）</w:t>
      </w:r>
      <w:r>
        <w:rPr>
          <w:rFonts w:hint="eastAsia" w:asciiTheme="minorEastAsia" w:hAnsiTheme="minorEastAsia" w:eastAsiaTheme="minorEastAsia" w:cstheme="minorEastAsia"/>
          <w:color w:val="auto"/>
          <w:szCs w:val="21"/>
          <w:lang w:eastAsia="zh-CN"/>
        </w:rPr>
        <w:t>；</w:t>
      </w:r>
    </w:p>
    <w:p w14:paraId="6B13BF34">
      <w:pPr>
        <w:widowControl/>
        <w:pBdr>
          <w:top w:val="none" w:color="auto" w:sz="0" w:space="0"/>
          <w:left w:val="none" w:color="auto" w:sz="0" w:space="0"/>
          <w:bottom w:val="none" w:color="auto" w:sz="0" w:space="0"/>
          <w:right w:val="none" w:color="auto" w:sz="0" w:space="0"/>
          <w:between w:val="none" w:color="auto" w:sz="0" w:space="0"/>
        </w:pBdr>
        <w:spacing w:line="360" w:lineRule="auto"/>
        <w:ind w:firstLine="480" w:firstLineChars="2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w:t>
      </w:r>
    </w:p>
    <w:p w14:paraId="1E2970C6">
      <w:pPr>
        <w:widowControl/>
        <w:pBdr>
          <w:top w:val="none" w:color="auto" w:sz="0" w:space="0"/>
          <w:left w:val="none" w:color="auto" w:sz="0" w:space="0"/>
          <w:bottom w:val="none" w:color="auto" w:sz="0" w:space="0"/>
          <w:right w:val="none" w:color="auto" w:sz="0" w:space="0"/>
          <w:between w:val="none" w:color="auto" w:sz="0" w:space="0"/>
        </w:pBdr>
        <w:spacing w:line="360" w:lineRule="auto"/>
        <w:ind w:firstLine="480" w:firstLineChars="2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以上企业， 不属于大企业的分支机构， 不存在控股股东为大企业的情形， 也不存在与大企业的负责人为同一人的情形。</w:t>
      </w:r>
    </w:p>
    <w:p w14:paraId="3A525EB6">
      <w:pPr>
        <w:widowControl/>
        <w:pBdr>
          <w:top w:val="none" w:color="auto" w:sz="0" w:space="0"/>
          <w:left w:val="none" w:color="auto" w:sz="0" w:space="0"/>
          <w:bottom w:val="none" w:color="auto" w:sz="0" w:space="0"/>
          <w:right w:val="none" w:color="auto" w:sz="0" w:space="0"/>
          <w:between w:val="none" w:color="auto" w:sz="0" w:space="0"/>
        </w:pBdr>
        <w:spacing w:line="360" w:lineRule="auto"/>
        <w:ind w:firstLine="480" w:firstLineChars="2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本企业对上述声明内容的真实性负责。 如有虚假， 将依法承担相应责任。</w:t>
      </w:r>
    </w:p>
    <w:p w14:paraId="60EFEAF2">
      <w:pPr>
        <w:widowControl/>
        <w:pBdr>
          <w:top w:val="none" w:color="auto" w:sz="0" w:space="0"/>
          <w:left w:val="none" w:color="auto" w:sz="0" w:space="0"/>
          <w:bottom w:val="none" w:color="auto" w:sz="0" w:space="0"/>
          <w:right w:val="none" w:color="auto" w:sz="0" w:space="0"/>
          <w:between w:val="none" w:color="auto" w:sz="0" w:space="0"/>
        </w:pBdr>
        <w:wordWrap w:val="0"/>
        <w:spacing w:line="360" w:lineRule="auto"/>
        <w:ind w:firstLine="480" w:firstLineChars="200"/>
        <w:jc w:val="right"/>
        <w:rPr>
          <w:rFonts w:hint="eastAsia" w:asciiTheme="minorEastAsia" w:hAnsiTheme="minorEastAsia" w:eastAsiaTheme="minorEastAsia" w:cstheme="minorEastAsia"/>
          <w:color w:val="auto"/>
          <w:lang w:eastAsia="zh-CN"/>
        </w:rPr>
      </w:pPr>
    </w:p>
    <w:p w14:paraId="680342C7">
      <w:pPr>
        <w:widowControl/>
        <w:pBdr>
          <w:top w:val="none" w:color="auto" w:sz="0" w:space="0"/>
          <w:left w:val="none" w:color="auto" w:sz="0" w:space="0"/>
          <w:bottom w:val="none" w:color="auto" w:sz="0" w:space="0"/>
          <w:right w:val="none" w:color="auto" w:sz="0" w:space="0"/>
          <w:between w:val="none" w:color="auto" w:sz="0" w:space="0"/>
        </w:pBdr>
        <w:wordWrap w:val="0"/>
        <w:spacing w:line="360" w:lineRule="auto"/>
        <w:ind w:firstLine="480" w:firstLineChars="200"/>
        <w:jc w:val="right"/>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 w:val="24"/>
          <w:szCs w:val="24"/>
          <w:lang w:eastAsia="zh-CN"/>
        </w:rPr>
        <w:t>供应商</w:t>
      </w:r>
      <w:r>
        <w:rPr>
          <w:rFonts w:hint="eastAsia" w:asciiTheme="minorEastAsia" w:hAnsiTheme="minorEastAsia" w:eastAsiaTheme="minorEastAsia" w:cstheme="minorEastAsia"/>
          <w:color w:val="auto"/>
          <w:szCs w:val="21"/>
          <w:lang w:eastAsia="zh-CN"/>
        </w:rPr>
        <w:t xml:space="preserve">（盖章）：        </w:t>
      </w:r>
    </w:p>
    <w:p w14:paraId="629232E9">
      <w:pPr>
        <w:pStyle w:val="60"/>
        <w:pBdr>
          <w:top w:val="none" w:color="auto" w:sz="0" w:space="0"/>
          <w:left w:val="none" w:color="auto" w:sz="0" w:space="0"/>
          <w:bottom w:val="none" w:color="auto" w:sz="0" w:space="0"/>
          <w:right w:val="none" w:color="auto" w:sz="0" w:space="0"/>
          <w:between w:val="none" w:color="auto" w:sz="0" w:space="0"/>
        </w:pBdr>
        <w:spacing w:line="560" w:lineRule="exact"/>
        <w:ind w:firstLine="6510" w:firstLineChars="3100"/>
        <w:rPr>
          <w:rFonts w:hint="eastAsia" w:asciiTheme="minorEastAsia" w:hAnsiTheme="minorEastAsia" w:eastAsiaTheme="minorEastAsia" w:cstheme="minorEastAsia"/>
          <w:spacing w:val="-2"/>
          <w:szCs w:val="21"/>
        </w:rPr>
      </w:pPr>
      <w:r>
        <w:rPr>
          <w:rFonts w:hint="eastAsia" w:asciiTheme="minorEastAsia" w:hAnsiTheme="minorEastAsia" w:eastAsiaTheme="minorEastAsia" w:cstheme="minorEastAsia"/>
          <w:kern w:val="0"/>
          <w:szCs w:val="21"/>
        </w:rPr>
        <w:t xml:space="preserve">日 期：   </w:t>
      </w:r>
    </w:p>
    <w:p w14:paraId="3E9AF5FB">
      <w:pPr>
        <w:widowControl/>
        <w:pBdr>
          <w:top w:val="none" w:color="auto" w:sz="0" w:space="0"/>
          <w:left w:val="none" w:color="auto" w:sz="0" w:space="0"/>
          <w:bottom w:val="none" w:color="auto" w:sz="0" w:space="0"/>
          <w:right w:val="none" w:color="auto" w:sz="0" w:space="0"/>
          <w:between w:val="none" w:color="auto" w:sz="0" w:space="0"/>
        </w:pBdr>
        <w:wordWrap w:val="0"/>
        <w:spacing w:line="360" w:lineRule="auto"/>
        <w:ind w:right="480" w:firstLine="480" w:firstLineChars="200"/>
        <w:jc w:val="right"/>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 xml:space="preserve">     </w:t>
      </w:r>
    </w:p>
    <w:p w14:paraId="130DF002">
      <w:pPr>
        <w:widowControl/>
        <w:pBdr>
          <w:top w:val="none" w:color="auto" w:sz="0" w:space="0"/>
          <w:left w:val="none" w:color="auto" w:sz="0" w:space="0"/>
          <w:bottom w:val="none" w:color="auto" w:sz="0" w:space="0"/>
          <w:right w:val="none" w:color="auto" w:sz="0" w:space="0"/>
          <w:between w:val="none" w:color="auto" w:sz="0" w:space="0"/>
        </w:pBdr>
        <w:spacing w:line="360" w:lineRule="auto"/>
        <w:ind w:right="480" w:firstLine="480" w:firstLineChars="200"/>
        <w:jc w:val="right"/>
        <w:rPr>
          <w:rFonts w:hint="eastAsia" w:asciiTheme="minorEastAsia" w:hAnsiTheme="minorEastAsia" w:eastAsiaTheme="minorEastAsia" w:cstheme="minorEastAsia"/>
          <w:color w:val="auto"/>
          <w:lang w:eastAsia="zh-CN"/>
        </w:rPr>
      </w:pPr>
    </w:p>
    <w:p w14:paraId="556E69BA">
      <w:pPr>
        <w:widowControl/>
        <w:pBdr>
          <w:top w:val="none" w:color="auto" w:sz="0" w:space="0"/>
          <w:left w:val="none" w:color="auto" w:sz="0" w:space="0"/>
          <w:bottom w:val="none" w:color="auto" w:sz="0" w:space="0"/>
          <w:right w:val="none" w:color="auto" w:sz="0" w:space="0"/>
          <w:between w:val="none" w:color="auto" w:sz="0" w:space="0"/>
        </w:pBdr>
        <w:spacing w:before="100" w:beforeAutospacing="1" w:after="100" w:afterAutospacing="1" w:line="360" w:lineRule="auto"/>
        <w:ind w:firstLine="3132" w:firstLineChars="1300"/>
        <w:rPr>
          <w:rFonts w:hint="eastAsia" w:asciiTheme="minorEastAsia" w:hAnsiTheme="minorEastAsia" w:eastAsiaTheme="minorEastAsia" w:cstheme="minorEastAsia"/>
          <w:b/>
          <w:color w:val="auto"/>
          <w:lang w:eastAsia="zh-CN"/>
        </w:rPr>
      </w:pPr>
    </w:p>
    <w:p w14:paraId="297E52EB">
      <w:pPr>
        <w:pBdr>
          <w:top w:val="none" w:color="auto" w:sz="0" w:space="0"/>
          <w:left w:val="none" w:color="auto" w:sz="0" w:space="0"/>
          <w:bottom w:val="none" w:color="auto" w:sz="0" w:space="0"/>
          <w:right w:val="none" w:color="auto" w:sz="0" w:space="0"/>
          <w:between w:val="none" w:color="auto" w:sz="0" w:space="0"/>
        </w:pBdr>
        <w:adjustRightInd w:val="0"/>
        <w:snapToGrid w:val="0"/>
        <w:spacing w:line="360" w:lineRule="auto"/>
        <w:ind w:right="24"/>
        <w:rPr>
          <w:rFonts w:hint="eastAsia" w:asciiTheme="minorEastAsia" w:hAnsiTheme="minorEastAsia" w:eastAsiaTheme="minorEastAsia" w:cstheme="minorEastAsia"/>
          <w:color w:val="auto"/>
          <w:sz w:val="22"/>
          <w:szCs w:val="20"/>
          <w:lang w:eastAsia="zh-CN"/>
        </w:rPr>
      </w:pPr>
      <w:r>
        <w:rPr>
          <w:rFonts w:hint="eastAsia" w:asciiTheme="minorEastAsia" w:hAnsiTheme="minorEastAsia" w:eastAsiaTheme="minorEastAsia" w:cstheme="minorEastAsia"/>
          <w:color w:val="auto"/>
          <w:sz w:val="22"/>
          <w:szCs w:val="20"/>
          <w:lang w:eastAsia="zh-CN"/>
        </w:rPr>
        <w:t>注：1、从业人员、营业收入、资产总额填报上一年度数据，无上一年度数据的新成立企业可不填报。</w:t>
      </w:r>
    </w:p>
    <w:p w14:paraId="0F01E4E7">
      <w:pPr>
        <w:numPr>
          <w:ilvl w:val="0"/>
          <w:numId w:val="0"/>
        </w:numPr>
        <w:pBdr>
          <w:top w:val="none" w:color="auto" w:sz="0" w:space="0"/>
          <w:left w:val="none" w:color="auto" w:sz="0" w:space="0"/>
          <w:bottom w:val="none" w:color="auto" w:sz="0" w:space="0"/>
          <w:right w:val="none" w:color="auto" w:sz="0" w:space="0"/>
          <w:between w:val="none" w:color="auto" w:sz="0" w:space="0"/>
        </w:pBdr>
        <w:adjustRightInd w:val="0"/>
        <w:snapToGrid w:val="0"/>
        <w:spacing w:line="360" w:lineRule="auto"/>
        <w:ind w:right="24" w:rightChars="0" w:firstLine="442" w:firstLineChars="200"/>
        <w:rPr>
          <w:rFonts w:hint="eastAsia" w:asciiTheme="minorEastAsia" w:hAnsiTheme="minorEastAsia" w:eastAsiaTheme="minorEastAsia" w:cstheme="minorEastAsia"/>
          <w:b/>
          <w:color w:val="auto"/>
          <w:szCs w:val="21"/>
          <w:lang w:eastAsia="zh-CN"/>
        </w:rPr>
      </w:pPr>
      <w:r>
        <w:rPr>
          <w:rFonts w:hint="eastAsia" w:asciiTheme="minorEastAsia" w:hAnsiTheme="minorEastAsia" w:eastAsiaTheme="minorEastAsia" w:cstheme="minorEastAsia"/>
          <w:b/>
          <w:color w:val="auto"/>
          <w:sz w:val="22"/>
          <w:szCs w:val="20"/>
          <w:lang w:val="en-US" w:eastAsia="zh-CN" w:bidi="en-US"/>
        </w:rPr>
        <w:t>2、</w:t>
      </w:r>
      <w:r>
        <w:rPr>
          <w:rFonts w:hint="eastAsia" w:asciiTheme="minorEastAsia" w:hAnsiTheme="minorEastAsia" w:eastAsiaTheme="minorEastAsia" w:cstheme="minorEastAsia"/>
          <w:b/>
          <w:color w:val="auto"/>
          <w:sz w:val="22"/>
          <w:szCs w:val="20"/>
          <w:lang w:eastAsia="zh-CN"/>
        </w:rPr>
        <w:t>如未按上述要求提供、填写，评审时造成的资格审查不通过或价格评审时的价格扣除不予认定等后果，由供应商自行承担。</w:t>
      </w: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b/>
          <w:color w:val="auto"/>
          <w:szCs w:val="20"/>
          <w:lang w:eastAsia="zh-CN"/>
        </w:rPr>
        <w:t>　</w:t>
      </w:r>
    </w:p>
    <w:p w14:paraId="5282491D">
      <w:pPr>
        <w:pBdr>
          <w:top w:val="none" w:color="auto" w:sz="0" w:space="0"/>
          <w:left w:val="none" w:color="auto" w:sz="0" w:space="0"/>
          <w:bottom w:val="none" w:color="auto" w:sz="0" w:space="0"/>
          <w:right w:val="none" w:color="auto" w:sz="0" w:space="0"/>
          <w:between w:val="none" w:color="auto" w:sz="0" w:space="0"/>
        </w:pBdr>
        <w:tabs>
          <w:tab w:val="left" w:pos="540"/>
        </w:tabs>
        <w:jc w:val="center"/>
        <w:outlineLvl w:val="9"/>
        <w:rPr>
          <w:rFonts w:hint="eastAsia" w:asciiTheme="minorEastAsia" w:hAnsiTheme="minorEastAsia" w:eastAsiaTheme="minorEastAsia" w:cstheme="minorEastAsia"/>
          <w:color w:val="auto"/>
          <w:lang w:eastAsia="zh-CN"/>
        </w:rPr>
      </w:pPr>
    </w:p>
    <w:p w14:paraId="3484C9CD">
      <w:pPr>
        <w:pStyle w:val="18"/>
        <w:rPr>
          <w:rFonts w:hint="eastAsia"/>
          <w:lang w:eastAsia="zh-CN"/>
        </w:rPr>
      </w:pPr>
    </w:p>
    <w:p w14:paraId="2DDB5661">
      <w:pPr>
        <w:pStyle w:val="3"/>
        <w:pBdr>
          <w:top w:val="none" w:color="auto" w:sz="0" w:space="0"/>
          <w:left w:val="none" w:color="auto" w:sz="0" w:space="0"/>
          <w:bottom w:val="none" w:color="auto" w:sz="0" w:space="0"/>
          <w:right w:val="none" w:color="auto" w:sz="0" w:space="0"/>
          <w:between w:val="none" w:color="auto" w:sz="0" w:space="0"/>
        </w:pBdr>
        <w:jc w:val="center"/>
        <w:rPr>
          <w:rFonts w:hint="eastAsia" w:asciiTheme="minorEastAsia" w:hAnsiTheme="minorEastAsia" w:eastAsiaTheme="minorEastAsia" w:cstheme="minorEastAsia"/>
          <w:b/>
          <w:color w:val="auto"/>
          <w:highlight w:val="yellow"/>
          <w:lang w:eastAsia="zh-CN"/>
        </w:rPr>
      </w:pPr>
      <w:r>
        <w:rPr>
          <w:rFonts w:hint="eastAsia" w:asciiTheme="minorEastAsia" w:hAnsiTheme="minorEastAsia" w:eastAsiaTheme="minorEastAsia" w:cstheme="minorEastAsia"/>
          <w:color w:val="auto"/>
          <w:lang w:eastAsia="zh-CN"/>
        </w:rPr>
        <w:t>监狱企业声明函</w:t>
      </w:r>
      <w:bookmarkEnd w:id="132"/>
    </w:p>
    <w:p w14:paraId="735271EA">
      <w:pPr>
        <w:widowControl/>
        <w:pBdr>
          <w:top w:val="none" w:color="auto" w:sz="0" w:space="0"/>
          <w:left w:val="none" w:color="auto" w:sz="0" w:space="0"/>
          <w:bottom w:val="none" w:color="auto" w:sz="0" w:space="0"/>
          <w:right w:val="none" w:color="auto" w:sz="0" w:space="0"/>
          <w:between w:val="none" w:color="auto" w:sz="0" w:space="0"/>
        </w:pBdr>
        <w:spacing w:before="100" w:beforeAutospacing="1" w:after="100" w:afterAutospacing="1" w:line="360" w:lineRule="auto"/>
        <w:ind w:firstLine="480" w:firstLineChars="2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本企业（单位）郑重声明下列事项（按照实际情况勾选或填空）：</w:t>
      </w:r>
    </w:p>
    <w:p w14:paraId="3DC93785">
      <w:pPr>
        <w:widowControl/>
        <w:pBdr>
          <w:top w:val="none" w:color="auto" w:sz="0" w:space="0"/>
          <w:left w:val="none" w:color="auto" w:sz="0" w:space="0"/>
          <w:bottom w:val="none" w:color="auto" w:sz="0" w:space="0"/>
          <w:right w:val="none" w:color="auto" w:sz="0" w:space="0"/>
          <w:between w:val="none" w:color="auto" w:sz="0" w:space="0"/>
        </w:pBdr>
        <w:spacing w:before="100" w:beforeAutospacing="1" w:after="100" w:afterAutospacing="1" w:line="360" w:lineRule="auto"/>
        <w:ind w:firstLine="480" w:firstLineChars="2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本企业（单位）为直接服务商，提供本企业（单位）服务。</w:t>
      </w:r>
    </w:p>
    <w:p w14:paraId="201243EF">
      <w:pPr>
        <w:widowControl/>
        <w:pBdr>
          <w:top w:val="none" w:color="auto" w:sz="0" w:space="0"/>
          <w:left w:val="none" w:color="auto" w:sz="0" w:space="0"/>
          <w:bottom w:val="none" w:color="auto" w:sz="0" w:space="0"/>
          <w:right w:val="none" w:color="auto" w:sz="0" w:space="0"/>
          <w:between w:val="none" w:color="auto" w:sz="0" w:space="0"/>
        </w:pBdr>
        <w:spacing w:before="100" w:beforeAutospacing="1" w:after="100" w:afterAutospacing="1" w:line="360" w:lineRule="auto"/>
        <w:ind w:firstLine="360" w:firstLineChars="15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（1）本企业（单位）</w:t>
      </w:r>
      <w:r>
        <w:rPr>
          <w:rFonts w:hint="eastAsia" w:asciiTheme="minorEastAsia" w:hAnsiTheme="minorEastAsia" w:eastAsiaTheme="minorEastAsia" w:cstheme="minorEastAsia"/>
          <w:color w:val="auto"/>
          <w:szCs w:val="21"/>
          <w:u w:val="single"/>
          <w:lang w:eastAsia="zh-CN"/>
        </w:rPr>
        <w:t xml:space="preserve">        </w:t>
      </w:r>
      <w:r>
        <w:rPr>
          <w:rFonts w:hint="eastAsia" w:asciiTheme="minorEastAsia" w:hAnsiTheme="minorEastAsia" w:eastAsiaTheme="minorEastAsia" w:cstheme="minorEastAsia"/>
          <w:color w:val="auto"/>
          <w:szCs w:val="21"/>
          <w:lang w:eastAsia="zh-CN"/>
        </w:rPr>
        <w:t>（请填写：是、不是）监狱企业。后附省级以上监狱管理局、戒毒管理局（含新疆生产建设兵团）出具的属于监狱企业的证明文件。</w:t>
      </w:r>
    </w:p>
    <w:p w14:paraId="7E3BF5D0">
      <w:pPr>
        <w:widowControl/>
        <w:pBdr>
          <w:top w:val="none" w:color="auto" w:sz="0" w:space="0"/>
          <w:left w:val="none" w:color="auto" w:sz="0" w:space="0"/>
          <w:bottom w:val="none" w:color="auto" w:sz="0" w:space="0"/>
          <w:right w:val="none" w:color="auto" w:sz="0" w:space="0"/>
          <w:between w:val="none" w:color="auto" w:sz="0" w:space="0"/>
        </w:pBdr>
        <w:spacing w:before="100" w:beforeAutospacing="1" w:after="100" w:afterAutospacing="1" w:line="360" w:lineRule="auto"/>
        <w:ind w:firstLine="42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（2）本企业（单位）</w:t>
      </w:r>
      <w:r>
        <w:rPr>
          <w:rFonts w:hint="eastAsia" w:asciiTheme="minorEastAsia" w:hAnsiTheme="minorEastAsia" w:eastAsiaTheme="minorEastAsia" w:cstheme="minorEastAsia"/>
          <w:color w:val="auto"/>
          <w:szCs w:val="21"/>
          <w:u w:val="single"/>
          <w:lang w:eastAsia="zh-CN"/>
        </w:rPr>
        <w:t xml:space="preserve">        </w:t>
      </w:r>
      <w:r>
        <w:rPr>
          <w:rFonts w:hint="eastAsia" w:asciiTheme="minorEastAsia" w:hAnsiTheme="minorEastAsia" w:eastAsiaTheme="minorEastAsia" w:cstheme="minorEastAsia"/>
          <w:color w:val="auto"/>
          <w:szCs w:val="21"/>
          <w:lang w:eastAsia="zh-CN"/>
        </w:rPr>
        <w:t>（请填写：是、不是）为联合体一方，提供本企业（单位）的服务。本企业（单位）提供协议合同金额占到共同投标协议合同总金额的比例为</w:t>
      </w:r>
      <w:r>
        <w:rPr>
          <w:rFonts w:hint="eastAsia" w:asciiTheme="minorEastAsia" w:hAnsiTheme="minorEastAsia" w:eastAsiaTheme="minorEastAsia" w:cstheme="minorEastAsia"/>
          <w:color w:val="auto"/>
          <w:szCs w:val="21"/>
          <w:u w:val="single"/>
          <w:lang w:eastAsia="zh-CN"/>
        </w:rPr>
        <w:t xml:space="preserve">       </w:t>
      </w:r>
      <w:r>
        <w:rPr>
          <w:rFonts w:hint="eastAsia" w:asciiTheme="minorEastAsia" w:hAnsiTheme="minorEastAsia" w:eastAsiaTheme="minorEastAsia" w:cstheme="minorEastAsia"/>
          <w:color w:val="auto"/>
          <w:szCs w:val="21"/>
          <w:lang w:eastAsia="zh-CN"/>
        </w:rPr>
        <w:t>。</w:t>
      </w:r>
    </w:p>
    <w:p w14:paraId="1206DA16">
      <w:pPr>
        <w:widowControl/>
        <w:pBdr>
          <w:top w:val="none" w:color="auto" w:sz="0" w:space="0"/>
          <w:left w:val="none" w:color="auto" w:sz="0" w:space="0"/>
          <w:bottom w:val="none" w:color="auto" w:sz="0" w:space="0"/>
          <w:right w:val="none" w:color="auto" w:sz="0" w:space="0"/>
          <w:between w:val="none" w:color="auto" w:sz="0" w:space="0"/>
        </w:pBdr>
        <w:spacing w:before="100" w:beforeAutospacing="1" w:after="100" w:afterAutospacing="1" w:line="360" w:lineRule="auto"/>
        <w:ind w:firstLine="408"/>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本企业（单位）对上述声明的真实性负责。如有虚假，将依法承担相应责任。</w:t>
      </w:r>
    </w:p>
    <w:p w14:paraId="70DFCAE6">
      <w:pPr>
        <w:widowControl/>
        <w:pBdr>
          <w:top w:val="none" w:color="auto" w:sz="0" w:space="0"/>
          <w:left w:val="none" w:color="auto" w:sz="0" w:space="0"/>
          <w:bottom w:val="none" w:color="auto" w:sz="0" w:space="0"/>
          <w:right w:val="none" w:color="auto" w:sz="0" w:space="0"/>
          <w:between w:val="none" w:color="auto" w:sz="0" w:space="0"/>
        </w:pBdr>
        <w:spacing w:before="100" w:beforeAutospacing="1" w:after="100" w:afterAutospacing="1" w:line="360" w:lineRule="auto"/>
        <w:ind w:firstLine="408"/>
        <w:rPr>
          <w:rFonts w:hint="eastAsia" w:asciiTheme="minorEastAsia" w:hAnsiTheme="minorEastAsia" w:eastAsiaTheme="minorEastAsia" w:cstheme="minorEastAsia"/>
          <w:color w:val="auto"/>
          <w:szCs w:val="21"/>
          <w:lang w:eastAsia="zh-CN"/>
        </w:rPr>
      </w:pPr>
    </w:p>
    <w:p w14:paraId="0049AEEF">
      <w:pPr>
        <w:widowControl/>
        <w:pBdr>
          <w:top w:val="none" w:color="auto" w:sz="0" w:space="0"/>
          <w:left w:val="none" w:color="auto" w:sz="0" w:space="0"/>
          <w:bottom w:val="none" w:color="auto" w:sz="0" w:space="0"/>
          <w:right w:val="none" w:color="auto" w:sz="0" w:space="0"/>
          <w:between w:val="none" w:color="auto" w:sz="0" w:space="0"/>
        </w:pBdr>
        <w:spacing w:before="100" w:beforeAutospacing="1" w:after="100" w:afterAutospacing="1" w:line="360" w:lineRule="auto"/>
        <w:ind w:firstLine="3960" w:firstLineChars="165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 w:val="24"/>
          <w:szCs w:val="24"/>
          <w:lang w:eastAsia="zh-CN"/>
        </w:rPr>
        <w:t>供应商</w:t>
      </w:r>
      <w:r>
        <w:rPr>
          <w:rFonts w:hint="eastAsia" w:asciiTheme="minorEastAsia" w:hAnsiTheme="minorEastAsia" w:eastAsiaTheme="minorEastAsia" w:cstheme="minorEastAsia"/>
          <w:color w:val="auto"/>
          <w:szCs w:val="21"/>
          <w:lang w:eastAsia="zh-CN"/>
        </w:rPr>
        <w:t>（盖公章）：</w:t>
      </w:r>
      <w:r>
        <w:rPr>
          <w:rFonts w:hint="eastAsia" w:asciiTheme="minorEastAsia" w:hAnsiTheme="minorEastAsia" w:eastAsiaTheme="minorEastAsia" w:cstheme="minorEastAsia"/>
          <w:color w:val="auto"/>
          <w:szCs w:val="21"/>
          <w:u w:val="single"/>
          <w:lang w:eastAsia="zh-CN"/>
        </w:rPr>
        <w:t xml:space="preserve">             </w:t>
      </w:r>
    </w:p>
    <w:p w14:paraId="5B9FE801">
      <w:pPr>
        <w:widowControl/>
        <w:pBdr>
          <w:top w:val="none" w:color="auto" w:sz="0" w:space="0"/>
          <w:left w:val="none" w:color="auto" w:sz="0" w:space="0"/>
          <w:bottom w:val="none" w:color="auto" w:sz="0" w:space="0"/>
          <w:right w:val="none" w:color="auto" w:sz="0" w:space="0"/>
          <w:between w:val="none" w:color="auto" w:sz="0" w:space="0"/>
        </w:pBdr>
        <w:spacing w:before="100" w:beforeAutospacing="1" w:after="100" w:afterAutospacing="1" w:line="360" w:lineRule="auto"/>
        <w:ind w:right="210" w:firstLine="3960" w:firstLineChars="1650"/>
        <w:rPr>
          <w:rFonts w:hint="eastAsia" w:asciiTheme="minorEastAsia" w:hAnsiTheme="minorEastAsia" w:eastAsiaTheme="minorEastAsia" w:cstheme="minorEastAsia"/>
          <w:color w:val="auto"/>
          <w:szCs w:val="21"/>
          <w:u w:val="single"/>
          <w:lang w:eastAsia="zh-CN"/>
        </w:rPr>
      </w:pPr>
      <w:r>
        <w:rPr>
          <w:rFonts w:hint="eastAsia" w:asciiTheme="minorEastAsia" w:hAnsiTheme="minorEastAsia" w:eastAsiaTheme="minorEastAsia" w:cstheme="minorEastAsia"/>
          <w:color w:val="auto"/>
          <w:szCs w:val="21"/>
          <w:lang w:eastAsia="zh-CN"/>
        </w:rPr>
        <w:t>日　期：</w:t>
      </w:r>
      <w:r>
        <w:rPr>
          <w:rFonts w:hint="eastAsia" w:asciiTheme="minorEastAsia" w:hAnsiTheme="minorEastAsia" w:eastAsiaTheme="minorEastAsia" w:cstheme="minorEastAsia"/>
          <w:color w:val="auto"/>
          <w:szCs w:val="21"/>
          <w:u w:val="single"/>
          <w:lang w:eastAsia="zh-CN"/>
        </w:rPr>
        <w:t xml:space="preserve">             </w:t>
      </w:r>
    </w:p>
    <w:p w14:paraId="4D06B2C0">
      <w:pPr>
        <w:widowControl/>
        <w:pBdr>
          <w:top w:val="none" w:color="auto" w:sz="0" w:space="0"/>
          <w:left w:val="none" w:color="auto" w:sz="0" w:space="0"/>
          <w:bottom w:val="none" w:color="auto" w:sz="0" w:space="0"/>
          <w:right w:val="none" w:color="auto" w:sz="0" w:space="0"/>
          <w:between w:val="none" w:color="auto" w:sz="0" w:space="0"/>
        </w:pBdr>
        <w:spacing w:before="100" w:beforeAutospacing="1" w:after="100" w:afterAutospacing="1" w:line="360" w:lineRule="auto"/>
        <w:ind w:right="210" w:firstLine="3960" w:firstLineChars="1650"/>
        <w:rPr>
          <w:rFonts w:hint="eastAsia" w:asciiTheme="minorEastAsia" w:hAnsiTheme="minorEastAsia" w:eastAsiaTheme="minorEastAsia" w:cstheme="minorEastAsia"/>
          <w:color w:val="auto"/>
          <w:szCs w:val="21"/>
          <w:highlight w:val="yellow"/>
          <w:u w:val="single"/>
          <w:lang w:eastAsia="zh-CN"/>
        </w:rPr>
      </w:pPr>
    </w:p>
    <w:p w14:paraId="6D1A2681">
      <w:pPr>
        <w:widowControl/>
        <w:pBdr>
          <w:top w:val="none" w:color="auto" w:sz="0" w:space="0"/>
          <w:left w:val="none" w:color="auto" w:sz="0" w:space="0"/>
          <w:bottom w:val="none" w:color="auto" w:sz="0" w:space="0"/>
          <w:right w:val="none" w:color="auto" w:sz="0" w:space="0"/>
          <w:between w:val="none" w:color="auto" w:sz="0" w:space="0"/>
        </w:pBdr>
        <w:adjustRightInd w:val="0"/>
        <w:snapToGrid w:val="0"/>
        <w:spacing w:line="360" w:lineRule="auto"/>
        <w:ind w:firstLine="504" w:firstLineChars="200"/>
        <w:rPr>
          <w:rFonts w:hint="eastAsia" w:asciiTheme="minorEastAsia" w:hAnsiTheme="minorEastAsia" w:eastAsiaTheme="minorEastAsia" w:cstheme="minorEastAsia"/>
          <w:b/>
          <w:color w:val="auto"/>
          <w:spacing w:val="6"/>
          <w:szCs w:val="21"/>
          <w:lang w:eastAsia="zh-CN"/>
        </w:rPr>
      </w:pPr>
      <w:r>
        <w:rPr>
          <w:rFonts w:hint="eastAsia" w:asciiTheme="minorEastAsia" w:hAnsiTheme="minorEastAsia" w:eastAsiaTheme="minorEastAsia" w:cstheme="minorEastAsia"/>
          <w:color w:val="auto"/>
          <w:spacing w:val="6"/>
          <w:szCs w:val="21"/>
          <w:lang w:eastAsia="zh-CN"/>
        </w:rPr>
        <w:t>说明：</w:t>
      </w:r>
      <w:r>
        <w:rPr>
          <w:rFonts w:hint="eastAsia" w:asciiTheme="minorEastAsia" w:hAnsiTheme="minorEastAsia" w:eastAsiaTheme="minorEastAsia" w:cstheme="minorEastAsia"/>
          <w:b/>
          <w:color w:val="auto"/>
          <w:spacing w:val="6"/>
          <w:szCs w:val="21"/>
          <w:lang w:eastAsia="zh-CN"/>
        </w:rPr>
        <w:t>非监狱企业，本表可不提供。</w:t>
      </w:r>
    </w:p>
    <w:p w14:paraId="7594C9D0">
      <w:pPr>
        <w:widowControl/>
        <w:pBdr>
          <w:top w:val="none" w:color="auto" w:sz="0" w:space="0"/>
          <w:left w:val="none" w:color="auto" w:sz="0" w:space="0"/>
          <w:bottom w:val="none" w:color="auto" w:sz="0" w:space="0"/>
          <w:right w:val="none" w:color="auto" w:sz="0" w:space="0"/>
          <w:between w:val="none" w:color="auto" w:sz="0" w:space="0"/>
        </w:pBdr>
        <w:spacing w:before="100" w:beforeAutospacing="1" w:after="100" w:afterAutospacing="1" w:line="360" w:lineRule="auto"/>
        <w:ind w:right="210"/>
        <w:jc w:val="center"/>
        <w:rPr>
          <w:rFonts w:hint="eastAsia" w:asciiTheme="minorEastAsia" w:hAnsiTheme="minorEastAsia" w:eastAsiaTheme="minorEastAsia" w:cstheme="minorEastAsia"/>
          <w:b/>
          <w:bCs/>
          <w:color w:val="auto"/>
          <w:szCs w:val="32"/>
          <w:lang w:eastAsia="zh-CN"/>
        </w:rPr>
      </w:pPr>
      <w:r>
        <w:rPr>
          <w:rFonts w:hint="eastAsia" w:asciiTheme="minorEastAsia" w:hAnsiTheme="minorEastAsia" w:eastAsiaTheme="minorEastAsia" w:cstheme="minorEastAsia"/>
          <w:color w:val="auto"/>
          <w:szCs w:val="21"/>
          <w:highlight w:val="yellow"/>
          <w:lang w:eastAsia="zh-CN"/>
        </w:rPr>
        <w:br w:type="page"/>
      </w:r>
      <w:bookmarkStart w:id="133" w:name="_Toc28922"/>
      <w:r>
        <w:rPr>
          <w:rFonts w:hint="eastAsia" w:asciiTheme="minorEastAsia" w:hAnsiTheme="minorEastAsia" w:eastAsiaTheme="minorEastAsia" w:cstheme="minorEastAsia"/>
          <w:b/>
          <w:bCs/>
          <w:color w:val="auto"/>
          <w:szCs w:val="32"/>
          <w:lang w:eastAsia="zh-CN"/>
        </w:rPr>
        <w:t>残疾人福利性单位声明函</w:t>
      </w:r>
      <w:bookmarkEnd w:id="133"/>
    </w:p>
    <w:p w14:paraId="425756A9">
      <w:pPr>
        <w:pBdr>
          <w:top w:val="none" w:color="auto" w:sz="0" w:space="0"/>
          <w:left w:val="none" w:color="auto" w:sz="0" w:space="0"/>
          <w:bottom w:val="none" w:color="auto" w:sz="0" w:space="0"/>
          <w:right w:val="none" w:color="auto" w:sz="0" w:space="0"/>
          <w:between w:val="none" w:color="auto" w:sz="0" w:space="0"/>
        </w:pBdr>
        <w:spacing w:line="360" w:lineRule="auto"/>
        <w:ind w:left="1157" w:leftChars="257" w:hanging="540"/>
        <w:jc w:val="center"/>
        <w:rPr>
          <w:rFonts w:hint="eastAsia" w:asciiTheme="minorEastAsia" w:hAnsiTheme="minorEastAsia" w:eastAsiaTheme="minorEastAsia" w:cstheme="minorEastAsia"/>
          <w:color w:val="auto"/>
          <w:szCs w:val="20"/>
          <w:highlight w:val="yellow"/>
          <w:lang w:eastAsia="zh-CN"/>
        </w:rPr>
      </w:pPr>
    </w:p>
    <w:p w14:paraId="7B2B2AF3">
      <w:pPr>
        <w:pBdr>
          <w:top w:val="none" w:color="auto" w:sz="0" w:space="0"/>
          <w:left w:val="none" w:color="auto" w:sz="0" w:space="0"/>
          <w:bottom w:val="none" w:color="auto" w:sz="0" w:space="0"/>
          <w:right w:val="none" w:color="auto" w:sz="0" w:space="0"/>
          <w:between w:val="none" w:color="auto" w:sz="0" w:space="0"/>
        </w:pBdr>
        <w:spacing w:line="360" w:lineRule="auto"/>
        <w:ind w:firstLine="567"/>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23775A67">
      <w:pPr>
        <w:pBdr>
          <w:top w:val="none" w:color="auto" w:sz="0" w:space="0"/>
          <w:left w:val="none" w:color="auto" w:sz="0" w:space="0"/>
          <w:bottom w:val="none" w:color="auto" w:sz="0" w:space="0"/>
          <w:right w:val="none" w:color="auto" w:sz="0" w:space="0"/>
          <w:between w:val="none" w:color="auto" w:sz="0" w:space="0"/>
        </w:pBdr>
        <w:spacing w:line="360" w:lineRule="auto"/>
        <w:ind w:left="1157" w:leftChars="257" w:hanging="54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本单位对上述声明的真实性负责。如有虚假，将依法承担相应责任。</w:t>
      </w:r>
    </w:p>
    <w:p w14:paraId="55C445C1">
      <w:pPr>
        <w:pBdr>
          <w:top w:val="none" w:color="auto" w:sz="0" w:space="0"/>
          <w:left w:val="none" w:color="auto" w:sz="0" w:space="0"/>
          <w:bottom w:val="none" w:color="auto" w:sz="0" w:space="0"/>
          <w:right w:val="none" w:color="auto" w:sz="0" w:space="0"/>
          <w:between w:val="none" w:color="auto" w:sz="0" w:space="0"/>
        </w:pBdr>
        <w:spacing w:line="360" w:lineRule="auto"/>
        <w:ind w:left="1157" w:leftChars="257" w:hanging="540"/>
        <w:jc w:val="center"/>
        <w:rPr>
          <w:rFonts w:hint="eastAsia" w:asciiTheme="minorEastAsia" w:hAnsiTheme="minorEastAsia" w:eastAsiaTheme="minorEastAsia" w:cstheme="minorEastAsia"/>
          <w:color w:val="auto"/>
          <w:szCs w:val="21"/>
          <w:lang w:eastAsia="zh-CN"/>
        </w:rPr>
      </w:pPr>
    </w:p>
    <w:p w14:paraId="4A7D27AB">
      <w:pPr>
        <w:pBdr>
          <w:top w:val="none" w:color="auto" w:sz="0" w:space="0"/>
          <w:left w:val="none" w:color="auto" w:sz="0" w:space="0"/>
          <w:bottom w:val="none" w:color="auto" w:sz="0" w:space="0"/>
          <w:right w:val="none" w:color="auto" w:sz="0" w:space="0"/>
          <w:between w:val="none" w:color="auto" w:sz="0" w:space="0"/>
        </w:pBdr>
        <w:spacing w:line="360" w:lineRule="auto"/>
        <w:ind w:left="1157" w:leftChars="257" w:hanging="540"/>
        <w:jc w:val="center"/>
        <w:rPr>
          <w:rFonts w:hint="eastAsia" w:asciiTheme="minorEastAsia" w:hAnsiTheme="minorEastAsia" w:eastAsiaTheme="minorEastAsia" w:cstheme="minorEastAsia"/>
          <w:color w:val="auto"/>
          <w:szCs w:val="21"/>
          <w:highlight w:val="yellow"/>
          <w:lang w:eastAsia="zh-CN"/>
        </w:rPr>
      </w:pPr>
    </w:p>
    <w:p w14:paraId="09E8E0F0">
      <w:pPr>
        <w:pBdr>
          <w:top w:val="none" w:color="auto" w:sz="0" w:space="0"/>
          <w:left w:val="none" w:color="auto" w:sz="0" w:space="0"/>
          <w:bottom w:val="none" w:color="auto" w:sz="0" w:space="0"/>
          <w:right w:val="none" w:color="auto" w:sz="0" w:space="0"/>
          <w:between w:val="none" w:color="auto" w:sz="0" w:space="0"/>
        </w:pBdr>
        <w:spacing w:line="360" w:lineRule="auto"/>
        <w:ind w:left="1157" w:leftChars="257" w:hanging="540"/>
        <w:jc w:val="center"/>
        <w:rPr>
          <w:rFonts w:hint="eastAsia" w:asciiTheme="minorEastAsia" w:hAnsiTheme="minorEastAsia" w:eastAsiaTheme="minorEastAsia" w:cstheme="minorEastAsia"/>
          <w:color w:val="auto"/>
          <w:szCs w:val="21"/>
          <w:u w:val="single"/>
          <w:lang w:eastAsia="zh-CN"/>
        </w:rPr>
      </w:pPr>
      <w:r>
        <w:rPr>
          <w:rFonts w:hint="eastAsia" w:asciiTheme="minorEastAsia" w:hAnsiTheme="minorEastAsia" w:eastAsiaTheme="minorEastAsia" w:cstheme="minorEastAsia"/>
          <w:color w:val="auto"/>
          <w:szCs w:val="21"/>
          <w:lang w:eastAsia="zh-CN"/>
        </w:rPr>
        <w:t xml:space="preserve">              残疾人福利性单位名称（盖公章）：</w:t>
      </w:r>
      <w:r>
        <w:rPr>
          <w:rFonts w:hint="eastAsia" w:asciiTheme="minorEastAsia" w:hAnsiTheme="minorEastAsia" w:eastAsiaTheme="minorEastAsia" w:cstheme="minorEastAsia"/>
          <w:color w:val="auto"/>
          <w:szCs w:val="21"/>
          <w:u w:val="single"/>
          <w:lang w:eastAsia="zh-CN"/>
        </w:rPr>
        <w:t xml:space="preserve">                  </w:t>
      </w:r>
    </w:p>
    <w:p w14:paraId="0285DF0E">
      <w:pPr>
        <w:pBdr>
          <w:top w:val="none" w:color="auto" w:sz="0" w:space="0"/>
          <w:left w:val="none" w:color="auto" w:sz="0" w:space="0"/>
          <w:bottom w:val="none" w:color="auto" w:sz="0" w:space="0"/>
          <w:right w:val="none" w:color="auto" w:sz="0" w:space="0"/>
          <w:between w:val="none" w:color="auto" w:sz="0" w:space="0"/>
        </w:pBdr>
        <w:spacing w:line="360" w:lineRule="auto"/>
        <w:ind w:left="1157" w:leftChars="257" w:hanging="540"/>
        <w:jc w:val="center"/>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 xml:space="preserve">         </w:t>
      </w:r>
    </w:p>
    <w:p w14:paraId="0E347C9D">
      <w:pPr>
        <w:pBdr>
          <w:top w:val="none" w:color="auto" w:sz="0" w:space="0"/>
          <w:left w:val="none" w:color="auto" w:sz="0" w:space="0"/>
          <w:bottom w:val="none" w:color="auto" w:sz="0" w:space="0"/>
          <w:right w:val="none" w:color="auto" w:sz="0" w:space="0"/>
          <w:between w:val="none" w:color="auto" w:sz="0" w:space="0"/>
        </w:pBdr>
        <w:spacing w:line="360" w:lineRule="auto"/>
        <w:ind w:left="737" w:leftChars="307" w:firstLine="3120" w:firstLineChars="1300"/>
        <w:rPr>
          <w:rFonts w:hint="eastAsia" w:asciiTheme="minorEastAsia" w:hAnsiTheme="minorEastAsia" w:eastAsiaTheme="minorEastAsia" w:cstheme="minorEastAsia"/>
          <w:color w:val="auto"/>
          <w:szCs w:val="21"/>
          <w:u w:val="single"/>
          <w:lang w:eastAsia="zh-CN"/>
        </w:rPr>
      </w:pPr>
      <w:r>
        <w:rPr>
          <w:rFonts w:hint="eastAsia" w:asciiTheme="minorEastAsia" w:hAnsiTheme="minorEastAsia" w:eastAsiaTheme="minorEastAsia" w:cstheme="minorEastAsia"/>
          <w:color w:val="auto"/>
          <w:szCs w:val="21"/>
          <w:lang w:eastAsia="zh-CN"/>
        </w:rPr>
        <w:t>日  期：</w:t>
      </w:r>
      <w:r>
        <w:rPr>
          <w:rFonts w:hint="eastAsia" w:asciiTheme="minorEastAsia" w:hAnsiTheme="minorEastAsia" w:eastAsiaTheme="minorEastAsia" w:cstheme="minorEastAsia"/>
          <w:color w:val="auto"/>
          <w:szCs w:val="21"/>
          <w:u w:val="single"/>
          <w:lang w:eastAsia="zh-CN"/>
        </w:rPr>
        <w:t xml:space="preserve">                             </w:t>
      </w:r>
    </w:p>
    <w:p w14:paraId="2B0D7944">
      <w:pPr>
        <w:widowControl/>
        <w:pBdr>
          <w:top w:val="none" w:color="auto" w:sz="0" w:space="0"/>
          <w:left w:val="none" w:color="auto" w:sz="0" w:space="0"/>
          <w:bottom w:val="none" w:color="auto" w:sz="0" w:space="0"/>
          <w:right w:val="none" w:color="auto" w:sz="0" w:space="0"/>
          <w:between w:val="none" w:color="auto" w:sz="0" w:space="0"/>
        </w:pBdr>
        <w:spacing w:before="100" w:beforeAutospacing="1" w:after="100" w:afterAutospacing="1" w:line="360" w:lineRule="auto"/>
        <w:rPr>
          <w:rFonts w:hint="eastAsia" w:asciiTheme="minorEastAsia" w:hAnsiTheme="minorEastAsia" w:eastAsiaTheme="minorEastAsia" w:cstheme="minorEastAsia"/>
          <w:color w:val="auto"/>
          <w:szCs w:val="21"/>
          <w:highlight w:val="yellow"/>
          <w:lang w:eastAsia="zh-CN"/>
        </w:rPr>
      </w:pPr>
    </w:p>
    <w:p w14:paraId="1B858C38">
      <w:pPr>
        <w:widowControl/>
        <w:pBdr>
          <w:top w:val="none" w:color="auto" w:sz="0" w:space="0"/>
          <w:left w:val="none" w:color="auto" w:sz="0" w:space="0"/>
          <w:bottom w:val="none" w:color="auto" w:sz="0" w:space="0"/>
          <w:right w:val="none" w:color="auto" w:sz="0" w:space="0"/>
          <w:between w:val="none" w:color="auto" w:sz="0" w:space="0"/>
        </w:pBdr>
        <w:spacing w:before="100" w:beforeAutospacing="1" w:after="100" w:afterAutospacing="1" w:line="360" w:lineRule="auto"/>
        <w:rPr>
          <w:rFonts w:hint="eastAsia" w:asciiTheme="minorEastAsia" w:hAnsiTheme="minorEastAsia" w:eastAsiaTheme="minorEastAsia" w:cstheme="minorEastAsia"/>
          <w:color w:val="auto"/>
          <w:szCs w:val="21"/>
          <w:highlight w:val="yellow"/>
          <w:lang w:eastAsia="zh-CN"/>
        </w:rPr>
      </w:pPr>
    </w:p>
    <w:p w14:paraId="2E7E5720">
      <w:pPr>
        <w:pBdr>
          <w:top w:val="none" w:color="auto" w:sz="0" w:space="0"/>
          <w:left w:val="none" w:color="auto" w:sz="0" w:space="0"/>
          <w:bottom w:val="none" w:color="auto" w:sz="0" w:space="0"/>
          <w:right w:val="none" w:color="auto" w:sz="0" w:space="0"/>
          <w:between w:val="none" w:color="auto" w:sz="0" w:space="0"/>
        </w:pBdr>
        <w:spacing w:line="360" w:lineRule="auto"/>
        <w:jc w:val="both"/>
        <w:rPr>
          <w:rFonts w:hint="eastAsia" w:asciiTheme="minorEastAsia" w:hAnsiTheme="minorEastAsia" w:eastAsiaTheme="minorEastAsia" w:cstheme="minorEastAsia"/>
          <w:b/>
          <w:color w:val="auto"/>
          <w:szCs w:val="21"/>
          <w:lang w:eastAsia="zh-CN"/>
        </w:rPr>
      </w:pPr>
      <w:r>
        <w:rPr>
          <w:rFonts w:hint="eastAsia" w:asciiTheme="minorEastAsia" w:hAnsiTheme="minorEastAsia" w:eastAsiaTheme="minorEastAsia" w:cstheme="minorEastAsia"/>
          <w:b/>
          <w:color w:val="auto"/>
          <w:szCs w:val="21"/>
          <w:lang w:eastAsia="zh-CN"/>
        </w:rPr>
        <w:t>　</w:t>
      </w:r>
    </w:p>
    <w:p w14:paraId="05B202AB">
      <w:pPr>
        <w:widowControl/>
        <w:pBdr>
          <w:top w:val="none" w:color="auto" w:sz="0" w:space="0"/>
          <w:left w:val="none" w:color="auto" w:sz="0" w:space="0"/>
          <w:bottom w:val="none" w:color="auto" w:sz="0" w:space="0"/>
          <w:right w:val="none" w:color="auto" w:sz="0" w:space="0"/>
          <w:between w:val="none" w:color="auto" w:sz="0" w:space="0"/>
        </w:pBdr>
        <w:adjustRightInd w:val="0"/>
        <w:snapToGrid w:val="0"/>
        <w:spacing w:line="360" w:lineRule="auto"/>
        <w:ind w:firstLine="504" w:firstLineChars="200"/>
        <w:rPr>
          <w:rFonts w:hint="eastAsia" w:asciiTheme="minorEastAsia" w:hAnsiTheme="minorEastAsia" w:eastAsiaTheme="minorEastAsia" w:cstheme="minorEastAsia"/>
          <w:b/>
          <w:color w:val="auto"/>
          <w:spacing w:val="6"/>
          <w:szCs w:val="21"/>
          <w:lang w:eastAsia="zh-CN"/>
        </w:rPr>
      </w:pPr>
      <w:r>
        <w:rPr>
          <w:rFonts w:hint="eastAsia" w:asciiTheme="minorEastAsia" w:hAnsiTheme="minorEastAsia" w:eastAsiaTheme="minorEastAsia" w:cstheme="minorEastAsia"/>
          <w:color w:val="auto"/>
          <w:spacing w:val="6"/>
          <w:szCs w:val="21"/>
          <w:lang w:eastAsia="zh-CN"/>
        </w:rPr>
        <w:t>说明：按照《关于促进残疾人就业政府采购政策的通知》（财库〔2017〕141号）的规定，残疾人福利性单位仅需提供声明函，不需提供其他证明材料。</w:t>
      </w:r>
      <w:r>
        <w:rPr>
          <w:rFonts w:hint="eastAsia" w:asciiTheme="minorEastAsia" w:hAnsiTheme="minorEastAsia" w:eastAsiaTheme="minorEastAsia" w:cstheme="minorEastAsia"/>
          <w:b/>
          <w:color w:val="auto"/>
          <w:spacing w:val="6"/>
          <w:szCs w:val="21"/>
          <w:lang w:eastAsia="zh-CN"/>
        </w:rPr>
        <w:t>非残疾人福利性单位，本表可不提供。</w:t>
      </w:r>
    </w:p>
    <w:p w14:paraId="69931913">
      <w:pPr>
        <w:pBdr>
          <w:top w:val="none" w:color="auto" w:sz="0" w:space="0"/>
          <w:left w:val="none" w:color="auto" w:sz="0" w:space="0"/>
          <w:bottom w:val="none" w:color="auto" w:sz="0" w:space="0"/>
          <w:right w:val="none" w:color="auto" w:sz="0" w:space="0"/>
          <w:between w:val="none" w:color="auto" w:sz="0" w:space="0"/>
        </w:pBdr>
        <w:tabs>
          <w:tab w:val="left" w:pos="3600"/>
        </w:tabs>
        <w:adjustRightInd w:val="0"/>
        <w:snapToGrid w:val="0"/>
        <w:jc w:val="center"/>
        <w:rPr>
          <w:rFonts w:hint="eastAsia" w:asciiTheme="minorEastAsia" w:hAnsiTheme="minorEastAsia" w:eastAsiaTheme="minorEastAsia" w:cstheme="minorEastAsia"/>
          <w:b/>
          <w:bCs/>
          <w:color w:val="auto"/>
          <w:spacing w:val="6"/>
          <w:highlight w:val="yellow"/>
          <w:lang w:eastAsia="zh-CN"/>
        </w:rPr>
      </w:pPr>
    </w:p>
    <w:p w14:paraId="7D14926C">
      <w:pPr>
        <w:pBdr>
          <w:top w:val="none" w:color="auto" w:sz="0" w:space="0"/>
          <w:left w:val="none" w:color="auto" w:sz="0" w:space="0"/>
          <w:bottom w:val="none" w:color="auto" w:sz="0" w:space="0"/>
          <w:right w:val="none" w:color="auto" w:sz="0" w:space="0"/>
          <w:between w:val="none" w:color="auto" w:sz="0" w:space="0"/>
        </w:pBdr>
        <w:adjustRightInd w:val="0"/>
        <w:snapToGrid w:val="0"/>
        <w:spacing w:line="360" w:lineRule="auto"/>
        <w:ind w:right="24" w:firstLine="482" w:firstLineChars="200"/>
        <w:rPr>
          <w:rFonts w:hint="eastAsia" w:asciiTheme="minorEastAsia" w:hAnsiTheme="minorEastAsia" w:eastAsiaTheme="minorEastAsia" w:cstheme="minorEastAsia"/>
          <w:b/>
          <w:color w:val="auto"/>
          <w:szCs w:val="21"/>
          <w:lang w:eastAsia="zh-CN"/>
        </w:rPr>
      </w:pPr>
      <w:r>
        <w:rPr>
          <w:rFonts w:hint="eastAsia" w:asciiTheme="minorEastAsia" w:hAnsiTheme="minorEastAsia" w:eastAsiaTheme="minorEastAsia" w:cstheme="minorEastAsia"/>
          <w:b/>
          <w:color w:val="auto"/>
          <w:szCs w:val="20"/>
          <w:lang w:eastAsia="zh-CN"/>
        </w:rPr>
        <w:t>　</w:t>
      </w:r>
    </w:p>
    <w:p w14:paraId="2811410C">
      <w:pPr>
        <w:pBdr>
          <w:top w:val="none" w:color="auto" w:sz="0" w:space="0"/>
          <w:left w:val="none" w:color="auto" w:sz="0" w:space="0"/>
          <w:bottom w:val="none" w:color="auto" w:sz="0" w:space="0"/>
          <w:right w:val="none" w:color="auto" w:sz="0" w:space="0"/>
          <w:between w:val="none" w:color="auto" w:sz="0" w:space="0"/>
        </w:pBdr>
        <w:adjustRightInd w:val="0"/>
        <w:snapToGrid w:val="0"/>
        <w:spacing w:line="360" w:lineRule="auto"/>
        <w:ind w:firstLine="600" w:firstLineChars="250"/>
        <w:rPr>
          <w:rFonts w:hint="eastAsia" w:asciiTheme="minorEastAsia" w:hAnsiTheme="minorEastAsia" w:eastAsiaTheme="minorEastAsia" w:cstheme="minorEastAsia"/>
          <w:color w:val="auto"/>
          <w:szCs w:val="21"/>
          <w:highlight w:val="yellow"/>
          <w:lang w:eastAsia="zh-CN"/>
        </w:rPr>
      </w:pPr>
    </w:p>
    <w:p w14:paraId="311AB920">
      <w:pPr>
        <w:pBdr>
          <w:top w:val="none" w:color="auto" w:sz="0" w:space="0"/>
          <w:left w:val="none" w:color="auto" w:sz="0" w:space="0"/>
          <w:bottom w:val="none" w:color="auto" w:sz="0" w:space="0"/>
          <w:right w:val="none" w:color="auto" w:sz="0" w:space="0"/>
          <w:between w:val="none" w:color="auto" w:sz="0" w:space="0"/>
        </w:pBdr>
        <w:adjustRightInd w:val="0"/>
        <w:snapToGrid w:val="0"/>
        <w:spacing w:line="360" w:lineRule="auto"/>
        <w:ind w:firstLine="600" w:firstLineChars="250"/>
        <w:rPr>
          <w:rFonts w:hint="eastAsia" w:asciiTheme="minorEastAsia" w:hAnsiTheme="minorEastAsia" w:eastAsiaTheme="minorEastAsia" w:cstheme="minorEastAsia"/>
          <w:color w:val="auto"/>
          <w:szCs w:val="21"/>
          <w:highlight w:val="yellow"/>
          <w:lang w:eastAsia="zh-CN"/>
        </w:rPr>
      </w:pPr>
    </w:p>
    <w:p w14:paraId="19745BC5">
      <w:pPr>
        <w:pStyle w:val="20"/>
        <w:pBdr>
          <w:top w:val="none" w:color="auto" w:sz="0" w:space="0"/>
          <w:left w:val="none" w:color="auto" w:sz="0" w:space="0"/>
          <w:bottom w:val="none" w:color="auto" w:sz="0" w:space="0"/>
          <w:right w:val="none" w:color="auto" w:sz="0" w:space="0"/>
          <w:between w:val="none" w:color="auto" w:sz="0" w:space="0"/>
        </w:pBdr>
        <w:ind w:left="2880"/>
        <w:rPr>
          <w:rFonts w:hint="eastAsia" w:asciiTheme="minorEastAsia" w:hAnsiTheme="minorEastAsia" w:eastAsiaTheme="minorEastAsia" w:cstheme="minorEastAsia"/>
          <w:lang w:eastAsia="zh-CN"/>
        </w:rPr>
      </w:pPr>
    </w:p>
    <w:sectPr>
      <w:headerReference r:id="rId8" w:type="default"/>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auto"/>
    <w:pitch w:val="default"/>
    <w:sig w:usb0="A00002EF" w:usb1="4000207B" w:usb2="00000000"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_x000B__x000C_">
    <w:altName w:val="Courier New"/>
    <w:panose1 w:val="00000000000000000000"/>
    <w:charset w:val="00"/>
    <w:family w:val="roman"/>
    <w:pitch w:val="default"/>
    <w:sig w:usb0="00000000" w:usb1="00000000" w:usb2="00000000"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华文楷体">
    <w:altName w:val="宋体"/>
    <w:panose1 w:val="02010600040101010101"/>
    <w:charset w:val="86"/>
    <w:family w:val="auto"/>
    <w:pitch w:val="default"/>
    <w:sig w:usb0="00000000" w:usb1="00000000" w:usb2="00000000" w:usb3="00000000" w:csb0="0004009F" w:csb1="DFD70000"/>
  </w:font>
  <w:font w:name="华文中宋">
    <w:altName w:val="宋体"/>
    <w:panose1 w:val="02010600040101010101"/>
    <w:charset w:val="86"/>
    <w:family w:val="auto"/>
    <w:pitch w:val="default"/>
    <w:sig w:usb0="00000000" w:usb1="00000000" w:usb2="00000000" w:usb3="00000000" w:csb0="0004009F" w:csb1="DFD70000"/>
  </w:font>
  <w:font w:name="汉仪书宋二S">
    <w:altName w:val="宋体"/>
    <w:panose1 w:val="00000000000000000000"/>
    <w:charset w:val="00"/>
    <w:family w:val="auto"/>
    <w:pitch w:val="default"/>
    <w:sig w:usb0="00000000" w:usb1="00000000" w:usb2="00000000" w:usb3="00000000" w:csb0="00000000"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80F73">
    <w:pPr>
      <w:pStyle w:val="16"/>
      <w:ind w:right="360"/>
      <w:jc w:val="both"/>
    </w:pPr>
    <w:r>
      <w:rPr>
        <w:sz w:val="16"/>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74E50E4">
                          <w:pPr>
                            <w:pStyle w:val="16"/>
                          </w:pP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36Z5cMBAACP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MXAPCu0PCwqWfjDpCTcVwToXRtFN5Ef68l6yn/2jz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BffpnlwwEAAI8DAAAOAAAAAAAAAAEAIAAAAB4BAABkcnMvZTJvRG9jLnhtbFBL&#10;BQYAAAAABgAGAFkBAABTBQAAAAA=&#10;">
              <v:fill on="f" focussize="0,0"/>
              <v:stroke on="f"/>
              <v:imagedata o:title=""/>
              <o:lock v:ext="edit" aspectratio="f"/>
              <v:textbox inset="0mm,0mm,0mm,0mm" style="mso-fit-shape-to-text:t;">
                <w:txbxContent>
                  <w:p w14:paraId="574E50E4">
                    <w:pPr>
                      <w:pStyle w:val="16"/>
                    </w:pPr>
                  </w:p>
                </w:txbxContent>
              </v:textbox>
            </v:shape>
          </w:pict>
        </mc:Fallback>
      </mc:AlternateContent>
    </w:r>
    <w:r>
      <w:rPr>
        <w:rFonts w:hint="eastAsia"/>
        <w:sz w:val="16"/>
        <w:szCs w:val="16"/>
      </w:rPr>
      <w:t xml:space="preserve"> </w:t>
    </w:r>
    <w:r>
      <w:rPr>
        <w:rFonts w:hint="eastAsia"/>
        <w:color w:val="800000"/>
        <w:sz w:val="16"/>
        <w:szCs w:val="20"/>
        <w:lang w:eastAsia="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0DBF4A">
    <w:pPr>
      <w:pStyle w:val="16"/>
      <w:ind w:right="360"/>
      <w:jc w:val="both"/>
    </w:pPr>
    <w:r>
      <w:rPr>
        <w:sz w:val="16"/>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8BDF21">
                          <w:pPr>
                            <w:pStyle w:val="16"/>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198BDF21">
                    <w:pPr>
                      <w:pStyle w:val="16"/>
                    </w:pPr>
                    <w:r>
                      <w:fldChar w:fldCharType="begin"/>
                    </w:r>
                    <w:r>
                      <w:instrText xml:space="preserve"> PAGE  \* MERGEFORMAT </w:instrText>
                    </w:r>
                    <w:r>
                      <w:fldChar w:fldCharType="separate"/>
                    </w:r>
                    <w:r>
                      <w:t>3</w:t>
                    </w:r>
                    <w:r>
                      <w:fldChar w:fldCharType="end"/>
                    </w:r>
                  </w:p>
                </w:txbxContent>
              </v:textbox>
            </v:shape>
          </w:pict>
        </mc:Fallback>
      </mc:AlternateContent>
    </w:r>
    <w:r>
      <w:rPr>
        <w:sz w:val="16"/>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6A563E8">
                          <w:pPr>
                            <w:pStyle w:val="16"/>
                          </w:pP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61xDCAQAAjQMAAA4AAAAAAAAAAQAgAAAAHgEAAGRycy9lMm9Eb2MueG1sUEsF&#10;BgAAAAAGAAYAWQEAAFIFAAAAAA==&#10;">
              <v:fill on="f" focussize="0,0"/>
              <v:stroke on="f"/>
              <v:imagedata o:title=""/>
              <o:lock v:ext="edit" aspectratio="f"/>
              <v:textbox inset="0mm,0mm,0mm,0mm" style="mso-fit-shape-to-text:t;">
                <w:txbxContent>
                  <w:p w14:paraId="06A563E8">
                    <w:pPr>
                      <w:pStyle w:val="16"/>
                    </w:pPr>
                  </w:p>
                </w:txbxContent>
              </v:textbox>
            </v:shape>
          </w:pict>
        </mc:Fallback>
      </mc:AlternateContent>
    </w:r>
    <w:r>
      <w:rPr>
        <w:rFonts w:hint="eastAsia"/>
        <w:sz w:val="16"/>
        <w:szCs w:val="16"/>
      </w:rPr>
      <w:t xml:space="preserve"> </w:t>
    </w:r>
    <w:r>
      <w:rPr>
        <w:rFonts w:hint="eastAsia"/>
        <w:color w:val="800000"/>
        <w:sz w:val="16"/>
        <w:szCs w:val="20"/>
        <w:lang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242508">
    <w:pPr>
      <w:pStyle w:val="16"/>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DE3D84">
                          <w:pPr>
                            <w:pStyle w:val="16"/>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6EDE3D84">
                    <w:pPr>
                      <w:pStyle w:val="16"/>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5B0811">
    <w:pPr>
      <w:pStyle w:val="16"/>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6D6E37">
                          <w:pPr>
                            <w:pStyle w:val="16"/>
                          </w:pPr>
                          <w:r>
                            <w:fldChar w:fldCharType="begin"/>
                          </w:r>
                          <w:r>
                            <w:instrText xml:space="preserve"> PAGE  \* MERGEFORMAT </w:instrText>
                          </w:r>
                          <w:r>
                            <w:fldChar w:fldCharType="separate"/>
                          </w:r>
                          <w:r>
                            <w:t>99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116D6E37">
                    <w:pPr>
                      <w:pStyle w:val="16"/>
                    </w:pPr>
                    <w:r>
                      <w:fldChar w:fldCharType="begin"/>
                    </w:r>
                    <w:r>
                      <w:instrText xml:space="preserve"> PAGE  \* MERGEFORMAT </w:instrText>
                    </w:r>
                    <w:r>
                      <w:fldChar w:fldCharType="separate"/>
                    </w:r>
                    <w:r>
                      <w:t>99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EA8064">
    <w:pPr>
      <w:pStyle w:val="17"/>
      <w:pBdr>
        <w:bottom w:val="none" w:color="auto" w:sz="0" w:space="0"/>
      </w:pBdr>
      <w:tabs>
        <w:tab w:val="clear" w:pos="4153"/>
        <w:tab w:val="clear" w:pos="8306"/>
      </w:tabs>
      <w:rPr>
        <w:rFonts w:eastAsia="宋体"/>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7FC1B0">
    <w:pPr>
      <w:pStyle w:val="1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C4DA9A">
    <w:pPr>
      <w:pStyle w:val="17"/>
      <w:rPr>
        <w:rFonts w:hint="eastAsia" w:ascii="宋体" w:hAnsi="宋体" w:eastAsia="宋体" w:cs="宋体"/>
        <w:sz w:val="20"/>
        <w:szCs w:val="20"/>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DE47A0"/>
    <w:multiLevelType w:val="singleLevel"/>
    <w:tmpl w:val="BCDE47A0"/>
    <w:lvl w:ilvl="0" w:tentative="0">
      <w:start w:val="1"/>
      <w:numFmt w:val="decimal"/>
      <w:suff w:val="nothing"/>
      <w:lvlText w:val="（%1）"/>
      <w:lvlJc w:val="left"/>
      <w:rPr>
        <w:rFonts w:hint="default"/>
        <w:b w:val="0"/>
        <w:bCs w:val="0"/>
      </w:rPr>
    </w:lvl>
  </w:abstractNum>
  <w:abstractNum w:abstractNumId="1">
    <w:nsid w:val="BF6BC116"/>
    <w:multiLevelType w:val="singleLevel"/>
    <w:tmpl w:val="BF6BC116"/>
    <w:lvl w:ilvl="0" w:tentative="0">
      <w:start w:val="16"/>
      <w:numFmt w:val="decimal"/>
      <w:suff w:val="space"/>
      <w:lvlText w:val="%1."/>
      <w:lvlJc w:val="left"/>
    </w:lvl>
  </w:abstractNum>
  <w:abstractNum w:abstractNumId="2">
    <w:nsid w:val="CFE7C3F8"/>
    <w:multiLevelType w:val="singleLevel"/>
    <w:tmpl w:val="CFE7C3F8"/>
    <w:lvl w:ilvl="0" w:tentative="0">
      <w:start w:val="1"/>
      <w:numFmt w:val="decimal"/>
      <w:suff w:val="nothing"/>
      <w:lvlText w:val="（%1）"/>
      <w:lvlJc w:val="left"/>
    </w:lvl>
  </w:abstractNum>
  <w:abstractNum w:abstractNumId="3">
    <w:nsid w:val="DDECD3BC"/>
    <w:multiLevelType w:val="singleLevel"/>
    <w:tmpl w:val="DDECD3BC"/>
    <w:lvl w:ilvl="0" w:tentative="0">
      <w:start w:val="6"/>
      <w:numFmt w:val="decimal"/>
      <w:suff w:val="space"/>
      <w:lvlText w:val="%1."/>
      <w:lvlJc w:val="left"/>
    </w:lvl>
  </w:abstractNum>
  <w:abstractNum w:abstractNumId="4">
    <w:nsid w:val="DE759F4B"/>
    <w:multiLevelType w:val="singleLevel"/>
    <w:tmpl w:val="DE759F4B"/>
    <w:lvl w:ilvl="0" w:tentative="0">
      <w:start w:val="2"/>
      <w:numFmt w:val="decimal"/>
      <w:suff w:val="space"/>
      <w:lvlText w:val="%1."/>
      <w:lvlJc w:val="left"/>
    </w:lvl>
  </w:abstractNum>
  <w:abstractNum w:abstractNumId="5">
    <w:nsid w:val="DEABE1DB"/>
    <w:multiLevelType w:val="singleLevel"/>
    <w:tmpl w:val="DEABE1DB"/>
    <w:lvl w:ilvl="0" w:tentative="0">
      <w:start w:val="23"/>
      <w:numFmt w:val="decimal"/>
      <w:suff w:val="space"/>
      <w:lvlText w:val="%1."/>
      <w:lvlJc w:val="left"/>
    </w:lvl>
  </w:abstractNum>
  <w:abstractNum w:abstractNumId="6">
    <w:nsid w:val="FFEFC674"/>
    <w:multiLevelType w:val="singleLevel"/>
    <w:tmpl w:val="FFEFC674"/>
    <w:lvl w:ilvl="0" w:tentative="0">
      <w:start w:val="1"/>
      <w:numFmt w:val="decimal"/>
      <w:suff w:val="nothing"/>
      <w:lvlText w:val="（%1）"/>
      <w:lvlJc w:val="left"/>
    </w:lvl>
  </w:abstractNum>
  <w:abstractNum w:abstractNumId="7">
    <w:nsid w:val="0000000D"/>
    <w:multiLevelType w:val="multilevel"/>
    <w:tmpl w:val="0000000D"/>
    <w:lvl w:ilvl="0" w:tentative="0">
      <w:start w:val="1"/>
      <w:numFmt w:val="decimal"/>
      <w:pStyle w:val="12"/>
      <w:lvlText w:val="%1."/>
      <w:lvlJc w:val="left"/>
      <w:pPr>
        <w:tabs>
          <w:tab w:val="left" w:pos="780"/>
        </w:tabs>
        <w:ind w:left="790" w:hanging="430"/>
      </w:pPr>
      <w:rPr>
        <w:rFonts w:hint="eastAsia"/>
      </w:rPr>
    </w:lvl>
    <w:lvl w:ilvl="1" w:tentative="0">
      <w:start w:val="1"/>
      <w:numFmt w:val="decimal"/>
      <w:lvlText w:val="%1.%2"/>
      <w:lvlJc w:val="left"/>
      <w:pPr>
        <w:tabs>
          <w:tab w:val="left" w:pos="880"/>
        </w:tabs>
        <w:ind w:left="880" w:hanging="700"/>
      </w:pPr>
      <w:rPr>
        <w:rFonts w:ascii="宋体" w:hAnsi="宋体" w:eastAsia="宋体" w:cs="Times New Roman"/>
        <w:lang w:val="en-US"/>
      </w:rPr>
    </w:lvl>
    <w:lvl w:ilvl="2" w:tentative="0">
      <w:start w:val="1"/>
      <w:numFmt w:val="decimal"/>
      <w:lvlText w:val="%1.%2.%3"/>
      <w:lvlJc w:val="left"/>
      <w:pPr>
        <w:tabs>
          <w:tab w:val="left" w:pos="1360"/>
        </w:tabs>
        <w:ind w:left="1360" w:hanging="1000"/>
      </w:pPr>
      <w:rPr>
        <w:rFonts w:hint="eastAsia"/>
      </w:rPr>
    </w:lvl>
    <w:lvl w:ilvl="3" w:tentative="0">
      <w:start w:val="1"/>
      <w:numFmt w:val="decimal"/>
      <w:lvlText w:val="%1.%2.%3.%4"/>
      <w:lvlJc w:val="left"/>
      <w:pPr>
        <w:tabs>
          <w:tab w:val="left" w:pos="360"/>
        </w:tabs>
        <w:ind w:left="2344" w:hanging="1984"/>
      </w:pPr>
      <w:rPr>
        <w:rFonts w:hint="eastAsia"/>
      </w:rPr>
    </w:lvl>
    <w:lvl w:ilvl="4" w:tentative="0">
      <w:start w:val="1"/>
      <w:numFmt w:val="decimal"/>
      <w:lvlText w:val="%1.%2.%3.%4.%5"/>
      <w:lvlJc w:val="left"/>
      <w:pPr>
        <w:tabs>
          <w:tab w:val="left" w:pos="2911"/>
        </w:tabs>
        <w:ind w:left="2911" w:hanging="850"/>
      </w:pPr>
      <w:rPr>
        <w:rFonts w:hint="eastAsia"/>
      </w:rPr>
    </w:lvl>
    <w:lvl w:ilvl="5" w:tentative="0">
      <w:start w:val="1"/>
      <w:numFmt w:val="decimal"/>
      <w:lvlText w:val="%1.%2.%3.%4.%5.%6"/>
      <w:lvlJc w:val="left"/>
      <w:pPr>
        <w:tabs>
          <w:tab w:val="left" w:pos="3620"/>
        </w:tabs>
        <w:ind w:left="3620" w:hanging="1134"/>
      </w:pPr>
      <w:rPr>
        <w:rFonts w:hint="eastAsia"/>
      </w:rPr>
    </w:lvl>
    <w:lvl w:ilvl="6" w:tentative="0">
      <w:start w:val="1"/>
      <w:numFmt w:val="decimal"/>
      <w:lvlText w:val="%1.%2.%3.%4.%5.%6.%7"/>
      <w:lvlJc w:val="left"/>
      <w:pPr>
        <w:tabs>
          <w:tab w:val="left" w:pos="4187"/>
        </w:tabs>
        <w:ind w:left="4187" w:hanging="1276"/>
      </w:pPr>
      <w:rPr>
        <w:rFonts w:hint="eastAsia"/>
      </w:rPr>
    </w:lvl>
    <w:lvl w:ilvl="7" w:tentative="0">
      <w:start w:val="1"/>
      <w:numFmt w:val="decimal"/>
      <w:lvlText w:val="%1.%2.%3.%4.%5.%6.%7.%8"/>
      <w:lvlJc w:val="left"/>
      <w:pPr>
        <w:tabs>
          <w:tab w:val="left" w:pos="4754"/>
        </w:tabs>
        <w:ind w:left="4754" w:hanging="1418"/>
      </w:pPr>
      <w:rPr>
        <w:rFonts w:hint="eastAsia"/>
      </w:rPr>
    </w:lvl>
    <w:lvl w:ilvl="8" w:tentative="0">
      <w:start w:val="1"/>
      <w:numFmt w:val="decimal"/>
      <w:lvlText w:val="%1.%2.%3.%4.%5.%6.%7.%8.%9"/>
      <w:lvlJc w:val="left"/>
      <w:pPr>
        <w:tabs>
          <w:tab w:val="left" w:pos="5462"/>
        </w:tabs>
        <w:ind w:left="5462" w:hanging="1700"/>
      </w:pPr>
      <w:rPr>
        <w:rFonts w:hint="eastAsia"/>
      </w:rPr>
    </w:lvl>
  </w:abstractNum>
  <w:abstractNum w:abstractNumId="8">
    <w:nsid w:val="0EB613E9"/>
    <w:multiLevelType w:val="multilevel"/>
    <w:tmpl w:val="0EB613E9"/>
    <w:lvl w:ilvl="0" w:tentative="0">
      <w:start w:val="1"/>
      <w:numFmt w:val="decimal"/>
      <w:pStyle w:val="33"/>
      <w:lvlText w:val="1.%1"/>
      <w:lvlJc w:val="left"/>
      <w:pPr>
        <w:ind w:left="420" w:firstLine="0"/>
      </w:pPr>
      <w:rPr>
        <w:rFonts w:hint="eastAsia" w:ascii="宋体" w:hAnsi="宋体" w:eastAsia="宋体"/>
      </w:rPr>
    </w:lvl>
    <w:lvl w:ilvl="1" w:tentative="0">
      <w:start w:val="1"/>
      <w:numFmt w:val="lowerLetter"/>
      <w:lvlText w:val="%2)"/>
      <w:lvlJc w:val="left"/>
      <w:pPr>
        <w:ind w:left="1080" w:hanging="420"/>
      </w:pPr>
    </w:lvl>
    <w:lvl w:ilvl="2" w:tentative="0">
      <w:start w:val="1"/>
      <w:numFmt w:val="lowerRoman"/>
      <w:lvlText w:val="%3."/>
      <w:lvlJc w:val="right"/>
      <w:pPr>
        <w:ind w:left="1500" w:hanging="420"/>
      </w:pPr>
    </w:lvl>
    <w:lvl w:ilvl="3" w:tentative="0">
      <w:start w:val="1"/>
      <w:numFmt w:val="decimal"/>
      <w:lvlText w:val="%4."/>
      <w:lvlJc w:val="left"/>
      <w:pPr>
        <w:ind w:left="1920" w:hanging="420"/>
      </w:pPr>
    </w:lvl>
    <w:lvl w:ilvl="4" w:tentative="0">
      <w:start w:val="1"/>
      <w:numFmt w:val="lowerLetter"/>
      <w:lvlText w:val="%5)"/>
      <w:lvlJc w:val="left"/>
      <w:pPr>
        <w:ind w:left="2340" w:hanging="420"/>
      </w:pPr>
    </w:lvl>
    <w:lvl w:ilvl="5" w:tentative="0">
      <w:start w:val="1"/>
      <w:numFmt w:val="lowerRoman"/>
      <w:lvlText w:val="%6."/>
      <w:lvlJc w:val="right"/>
      <w:pPr>
        <w:ind w:left="2760" w:hanging="420"/>
      </w:pPr>
    </w:lvl>
    <w:lvl w:ilvl="6" w:tentative="0">
      <w:start w:val="1"/>
      <w:numFmt w:val="decimal"/>
      <w:lvlText w:val="%7."/>
      <w:lvlJc w:val="left"/>
      <w:pPr>
        <w:ind w:left="3180" w:hanging="420"/>
      </w:pPr>
    </w:lvl>
    <w:lvl w:ilvl="7" w:tentative="0">
      <w:start w:val="1"/>
      <w:numFmt w:val="lowerLetter"/>
      <w:lvlText w:val="%8)"/>
      <w:lvlJc w:val="left"/>
      <w:pPr>
        <w:ind w:left="3600" w:hanging="420"/>
      </w:pPr>
    </w:lvl>
    <w:lvl w:ilvl="8" w:tentative="0">
      <w:start w:val="1"/>
      <w:numFmt w:val="lowerRoman"/>
      <w:lvlText w:val="%9."/>
      <w:lvlJc w:val="right"/>
      <w:pPr>
        <w:ind w:left="4020" w:hanging="420"/>
      </w:pPr>
    </w:lvl>
  </w:abstractNum>
  <w:abstractNum w:abstractNumId="9">
    <w:nsid w:val="12E159A9"/>
    <w:multiLevelType w:val="singleLevel"/>
    <w:tmpl w:val="12E159A9"/>
    <w:lvl w:ilvl="0" w:tentative="0">
      <w:start w:val="4"/>
      <w:numFmt w:val="chineseCounting"/>
      <w:suff w:val="space"/>
      <w:lvlText w:val="第%1部分"/>
      <w:lvlJc w:val="left"/>
      <w:rPr>
        <w:rFonts w:hint="eastAsia"/>
      </w:rPr>
    </w:lvl>
  </w:abstractNum>
  <w:abstractNum w:abstractNumId="10">
    <w:nsid w:val="2E37228C"/>
    <w:multiLevelType w:val="multilevel"/>
    <w:tmpl w:val="2E37228C"/>
    <w:lvl w:ilvl="0" w:tentative="0">
      <w:start w:val="1"/>
      <w:numFmt w:val="decimal"/>
      <w:lvlText w:val="%1"/>
      <w:lvlJc w:val="left"/>
      <w:pPr>
        <w:ind w:left="425" w:hanging="425"/>
      </w:pPr>
      <w:rPr>
        <w:rFonts w:hint="eastAsia"/>
      </w:rPr>
    </w:lvl>
    <w:lvl w:ilvl="1" w:tentative="0">
      <w:start w:val="1"/>
      <w:numFmt w:val="decimal"/>
      <w:pStyle w:val="69"/>
      <w:lvlText w:val="%1.%2"/>
      <w:lvlJc w:val="left"/>
      <w:pPr>
        <w:ind w:left="992" w:hanging="567"/>
      </w:pPr>
    </w:lvl>
    <w:lvl w:ilvl="2" w:tentative="0">
      <w:start w:val="1"/>
      <w:numFmt w:val="decimal"/>
      <w:pStyle w:val="70"/>
      <w:lvlText w:val="%1.%2.%3"/>
      <w:lvlJc w:val="left"/>
      <w:pPr>
        <w:ind w:left="1418" w:hanging="567"/>
      </w:pPr>
    </w:lvl>
    <w:lvl w:ilvl="3" w:tentative="0">
      <w:start w:val="1"/>
      <w:numFmt w:val="decimal"/>
      <w:pStyle w:val="71"/>
      <w:lvlText w:val="%1.%2.%3.%4"/>
      <w:lvlJc w:val="left"/>
      <w:pPr>
        <w:ind w:left="1984" w:hanging="708"/>
      </w:pPr>
      <w:rPr>
        <w:rFonts w:hint="eastAsia" w:ascii="宋体" w:hAnsi="宋体" w:eastAsia="宋体"/>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1">
    <w:nsid w:val="439D1A32"/>
    <w:multiLevelType w:val="multilevel"/>
    <w:tmpl w:val="439D1A32"/>
    <w:lvl w:ilvl="0" w:tentative="0">
      <w:start w:val="1"/>
      <w:numFmt w:val="decimal"/>
      <w:lvlText w:val="%1."/>
      <w:lvlJc w:val="left"/>
      <w:pPr>
        <w:ind w:left="640" w:hanging="440"/>
      </w:pPr>
    </w:lvl>
    <w:lvl w:ilvl="1" w:tentative="0">
      <w:start w:val="1"/>
      <w:numFmt w:val="lowerLetter"/>
      <w:lvlText w:val="%2)"/>
      <w:lvlJc w:val="left"/>
      <w:pPr>
        <w:ind w:left="1080" w:hanging="440"/>
      </w:pPr>
    </w:lvl>
    <w:lvl w:ilvl="2" w:tentative="0">
      <w:start w:val="1"/>
      <w:numFmt w:val="lowerRoman"/>
      <w:lvlText w:val="%3."/>
      <w:lvlJc w:val="right"/>
      <w:pPr>
        <w:ind w:left="1520" w:hanging="440"/>
      </w:pPr>
    </w:lvl>
    <w:lvl w:ilvl="3" w:tentative="0">
      <w:start w:val="1"/>
      <w:numFmt w:val="decimal"/>
      <w:lvlText w:val="%4."/>
      <w:lvlJc w:val="left"/>
      <w:pPr>
        <w:ind w:left="1960" w:hanging="440"/>
      </w:pPr>
    </w:lvl>
    <w:lvl w:ilvl="4" w:tentative="0">
      <w:start w:val="1"/>
      <w:numFmt w:val="lowerLetter"/>
      <w:lvlText w:val="%5)"/>
      <w:lvlJc w:val="left"/>
      <w:pPr>
        <w:ind w:left="2400" w:hanging="440"/>
      </w:pPr>
    </w:lvl>
    <w:lvl w:ilvl="5" w:tentative="0">
      <w:start w:val="1"/>
      <w:numFmt w:val="lowerRoman"/>
      <w:lvlText w:val="%6."/>
      <w:lvlJc w:val="right"/>
      <w:pPr>
        <w:ind w:left="2840" w:hanging="440"/>
      </w:pPr>
    </w:lvl>
    <w:lvl w:ilvl="6" w:tentative="0">
      <w:start w:val="1"/>
      <w:numFmt w:val="decimal"/>
      <w:lvlText w:val="%7."/>
      <w:lvlJc w:val="left"/>
      <w:pPr>
        <w:ind w:left="3280" w:hanging="440"/>
      </w:pPr>
    </w:lvl>
    <w:lvl w:ilvl="7" w:tentative="0">
      <w:start w:val="1"/>
      <w:numFmt w:val="lowerLetter"/>
      <w:lvlText w:val="%8)"/>
      <w:lvlJc w:val="left"/>
      <w:pPr>
        <w:ind w:left="3720" w:hanging="440"/>
      </w:pPr>
    </w:lvl>
    <w:lvl w:ilvl="8" w:tentative="0">
      <w:start w:val="1"/>
      <w:numFmt w:val="lowerRoman"/>
      <w:lvlText w:val="%9."/>
      <w:lvlJc w:val="right"/>
      <w:pPr>
        <w:ind w:left="4160" w:hanging="440"/>
      </w:pPr>
    </w:lvl>
  </w:abstractNum>
  <w:abstractNum w:abstractNumId="12">
    <w:nsid w:val="46295251"/>
    <w:multiLevelType w:val="singleLevel"/>
    <w:tmpl w:val="46295251"/>
    <w:lvl w:ilvl="0" w:tentative="0">
      <w:start w:val="5"/>
      <w:numFmt w:val="decimal"/>
      <w:suff w:val="nothing"/>
      <w:lvlText w:val="%1、"/>
      <w:lvlJc w:val="left"/>
    </w:lvl>
  </w:abstractNum>
  <w:abstractNum w:abstractNumId="13">
    <w:nsid w:val="56D3E82B"/>
    <w:multiLevelType w:val="singleLevel"/>
    <w:tmpl w:val="56D3E82B"/>
    <w:lvl w:ilvl="0" w:tentative="0">
      <w:start w:val="1"/>
      <w:numFmt w:val="decimal"/>
      <w:lvlText w:val="%1."/>
      <w:lvlJc w:val="left"/>
      <w:pPr>
        <w:tabs>
          <w:tab w:val="left" w:pos="425"/>
        </w:tabs>
        <w:ind w:left="425" w:hanging="425"/>
      </w:pPr>
      <w:rPr>
        <w:rFonts w:hint="default"/>
      </w:rPr>
    </w:lvl>
  </w:abstractNum>
  <w:abstractNum w:abstractNumId="14">
    <w:nsid w:val="59628050"/>
    <w:multiLevelType w:val="singleLevel"/>
    <w:tmpl w:val="59628050"/>
    <w:lvl w:ilvl="0" w:tentative="0">
      <w:start w:val="1"/>
      <w:numFmt w:val="decimal"/>
      <w:suff w:val="nothing"/>
      <w:lvlText w:val="%1．"/>
      <w:lvlJc w:val="left"/>
      <w:pPr>
        <w:ind w:left="0" w:firstLine="400"/>
      </w:pPr>
      <w:rPr>
        <w:rFonts w:hint="default"/>
      </w:rPr>
    </w:lvl>
  </w:abstractNum>
  <w:abstractNum w:abstractNumId="15">
    <w:nsid w:val="6CBB4DBC"/>
    <w:multiLevelType w:val="singleLevel"/>
    <w:tmpl w:val="6CBB4DBC"/>
    <w:lvl w:ilvl="0" w:tentative="0">
      <w:start w:val="17"/>
      <w:numFmt w:val="decimal"/>
      <w:lvlText w:val="%1."/>
      <w:lvlJc w:val="left"/>
      <w:pPr>
        <w:tabs>
          <w:tab w:val="left" w:pos="312"/>
        </w:tabs>
      </w:pPr>
    </w:lvl>
  </w:abstractNum>
  <w:abstractNum w:abstractNumId="16">
    <w:nsid w:val="7A0F6431"/>
    <w:multiLevelType w:val="singleLevel"/>
    <w:tmpl w:val="7A0F6431"/>
    <w:lvl w:ilvl="0" w:tentative="0">
      <w:start w:val="1"/>
      <w:numFmt w:val="decimal"/>
      <w:suff w:val="space"/>
      <w:lvlText w:val="%1."/>
      <w:lvlJc w:val="left"/>
    </w:lvl>
  </w:abstractNum>
  <w:num w:numId="1">
    <w:abstractNumId w:val="7"/>
  </w:num>
  <w:num w:numId="2">
    <w:abstractNumId w:val="8"/>
  </w:num>
  <w:num w:numId="3">
    <w:abstractNumId w:val="10"/>
  </w:num>
  <w:num w:numId="4">
    <w:abstractNumId w:val="12"/>
  </w:num>
  <w:num w:numId="5">
    <w:abstractNumId w:val="0"/>
  </w:num>
  <w:num w:numId="6">
    <w:abstractNumId w:val="15"/>
  </w:num>
  <w:num w:numId="7">
    <w:abstractNumId w:val="9"/>
  </w:num>
  <w:num w:numId="8">
    <w:abstractNumId w:val="13"/>
  </w:num>
  <w:num w:numId="9">
    <w:abstractNumId w:val="14"/>
  </w:num>
  <w:num w:numId="10">
    <w:abstractNumId w:val="11"/>
  </w:num>
  <w:num w:numId="11">
    <w:abstractNumId w:val="16"/>
  </w:num>
  <w:num w:numId="12">
    <w:abstractNumId w:val="2"/>
  </w:num>
  <w:num w:numId="13">
    <w:abstractNumId w:val="6"/>
  </w:num>
  <w:num w:numId="14">
    <w:abstractNumId w:val="4"/>
  </w:num>
  <w:num w:numId="15">
    <w:abstractNumId w:val="3"/>
  </w:num>
  <w:num w:numId="16">
    <w:abstractNumId w:val="1"/>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RjZTYwMTU5ZjBlZjliNzBkYmQxOGE2OTc1ZjJlYjIifQ=="/>
  </w:docVars>
  <w:rsids>
    <w:rsidRoot w:val="00172A27"/>
    <w:rsid w:val="00036274"/>
    <w:rsid w:val="000E2FF8"/>
    <w:rsid w:val="00172A27"/>
    <w:rsid w:val="00260930"/>
    <w:rsid w:val="0046375D"/>
    <w:rsid w:val="005F65CD"/>
    <w:rsid w:val="00603A60"/>
    <w:rsid w:val="00643BE3"/>
    <w:rsid w:val="00646453"/>
    <w:rsid w:val="00733EE0"/>
    <w:rsid w:val="007B1270"/>
    <w:rsid w:val="008E7CAF"/>
    <w:rsid w:val="00977953"/>
    <w:rsid w:val="00A052C6"/>
    <w:rsid w:val="00B01805"/>
    <w:rsid w:val="00B32AD5"/>
    <w:rsid w:val="00C23986"/>
    <w:rsid w:val="00C27155"/>
    <w:rsid w:val="00D27639"/>
    <w:rsid w:val="00D64AE1"/>
    <w:rsid w:val="00EF16FF"/>
    <w:rsid w:val="00EF7950"/>
    <w:rsid w:val="010205CE"/>
    <w:rsid w:val="0123584C"/>
    <w:rsid w:val="01343A7F"/>
    <w:rsid w:val="013F0117"/>
    <w:rsid w:val="014F6266"/>
    <w:rsid w:val="0152776C"/>
    <w:rsid w:val="016A347B"/>
    <w:rsid w:val="01876FB2"/>
    <w:rsid w:val="01877B89"/>
    <w:rsid w:val="01B841E6"/>
    <w:rsid w:val="01C725F7"/>
    <w:rsid w:val="01CA3F1A"/>
    <w:rsid w:val="01D152A8"/>
    <w:rsid w:val="01DF79C5"/>
    <w:rsid w:val="01E44B68"/>
    <w:rsid w:val="02201D8C"/>
    <w:rsid w:val="02625A47"/>
    <w:rsid w:val="02894026"/>
    <w:rsid w:val="02B04EBD"/>
    <w:rsid w:val="02FC0103"/>
    <w:rsid w:val="03120DC1"/>
    <w:rsid w:val="03152839"/>
    <w:rsid w:val="03634626"/>
    <w:rsid w:val="03653EFA"/>
    <w:rsid w:val="03734F68"/>
    <w:rsid w:val="0385459C"/>
    <w:rsid w:val="03C4585A"/>
    <w:rsid w:val="03D57E12"/>
    <w:rsid w:val="03DC41B1"/>
    <w:rsid w:val="042A106A"/>
    <w:rsid w:val="04822E1A"/>
    <w:rsid w:val="04923B81"/>
    <w:rsid w:val="04936EF5"/>
    <w:rsid w:val="04C2712A"/>
    <w:rsid w:val="04ED23F9"/>
    <w:rsid w:val="04FF212C"/>
    <w:rsid w:val="04FF3EDA"/>
    <w:rsid w:val="0506793D"/>
    <w:rsid w:val="055E32F7"/>
    <w:rsid w:val="056F1251"/>
    <w:rsid w:val="05743EEE"/>
    <w:rsid w:val="0591547A"/>
    <w:rsid w:val="05A72C43"/>
    <w:rsid w:val="05CD222A"/>
    <w:rsid w:val="05CE725F"/>
    <w:rsid w:val="05D435B9"/>
    <w:rsid w:val="05D44242"/>
    <w:rsid w:val="05D76C05"/>
    <w:rsid w:val="05D90BCF"/>
    <w:rsid w:val="05E27A84"/>
    <w:rsid w:val="05E732EC"/>
    <w:rsid w:val="05FD48BE"/>
    <w:rsid w:val="060A030C"/>
    <w:rsid w:val="06141E47"/>
    <w:rsid w:val="062C6F51"/>
    <w:rsid w:val="06385AA9"/>
    <w:rsid w:val="063B7194"/>
    <w:rsid w:val="064424ED"/>
    <w:rsid w:val="064C13A1"/>
    <w:rsid w:val="06571A46"/>
    <w:rsid w:val="06896151"/>
    <w:rsid w:val="06A20D46"/>
    <w:rsid w:val="06B761B3"/>
    <w:rsid w:val="06F63309"/>
    <w:rsid w:val="070E000F"/>
    <w:rsid w:val="07187ECF"/>
    <w:rsid w:val="074309F6"/>
    <w:rsid w:val="07860F05"/>
    <w:rsid w:val="07A33243"/>
    <w:rsid w:val="07B37245"/>
    <w:rsid w:val="07B611C8"/>
    <w:rsid w:val="08030185"/>
    <w:rsid w:val="08071A24"/>
    <w:rsid w:val="0807527A"/>
    <w:rsid w:val="081F7FC2"/>
    <w:rsid w:val="08323FEC"/>
    <w:rsid w:val="085409E1"/>
    <w:rsid w:val="085D5AE7"/>
    <w:rsid w:val="086504F8"/>
    <w:rsid w:val="086C7996"/>
    <w:rsid w:val="08874912"/>
    <w:rsid w:val="08941525"/>
    <w:rsid w:val="089808CE"/>
    <w:rsid w:val="08A2799E"/>
    <w:rsid w:val="08AA0601"/>
    <w:rsid w:val="08CC4A1B"/>
    <w:rsid w:val="08EE2C3C"/>
    <w:rsid w:val="08FC70AE"/>
    <w:rsid w:val="091D31C0"/>
    <w:rsid w:val="091D420B"/>
    <w:rsid w:val="09231976"/>
    <w:rsid w:val="09377670"/>
    <w:rsid w:val="093F2ABC"/>
    <w:rsid w:val="09413235"/>
    <w:rsid w:val="095073FA"/>
    <w:rsid w:val="095B44A7"/>
    <w:rsid w:val="096609CC"/>
    <w:rsid w:val="09811362"/>
    <w:rsid w:val="09B17236"/>
    <w:rsid w:val="09B85E23"/>
    <w:rsid w:val="09F63AFE"/>
    <w:rsid w:val="0A04260D"/>
    <w:rsid w:val="0A1D552E"/>
    <w:rsid w:val="0A3D7C94"/>
    <w:rsid w:val="0A622E54"/>
    <w:rsid w:val="0A6C7AE9"/>
    <w:rsid w:val="0A982D0F"/>
    <w:rsid w:val="0AA51080"/>
    <w:rsid w:val="0AAF279C"/>
    <w:rsid w:val="0ADF4592"/>
    <w:rsid w:val="0AE71698"/>
    <w:rsid w:val="0AEB409B"/>
    <w:rsid w:val="0AEC1713"/>
    <w:rsid w:val="0B0D0762"/>
    <w:rsid w:val="0B1F032B"/>
    <w:rsid w:val="0B213EE8"/>
    <w:rsid w:val="0B2F3756"/>
    <w:rsid w:val="0B426F27"/>
    <w:rsid w:val="0B84338B"/>
    <w:rsid w:val="0B9E39F1"/>
    <w:rsid w:val="0B9F2EC9"/>
    <w:rsid w:val="0BA675DA"/>
    <w:rsid w:val="0BB11E01"/>
    <w:rsid w:val="0BD344B2"/>
    <w:rsid w:val="0BEE6322"/>
    <w:rsid w:val="0BF26C44"/>
    <w:rsid w:val="0C1163A2"/>
    <w:rsid w:val="0C1429D4"/>
    <w:rsid w:val="0C174344"/>
    <w:rsid w:val="0C3B53E1"/>
    <w:rsid w:val="0C6C0B64"/>
    <w:rsid w:val="0C6D3E1F"/>
    <w:rsid w:val="0CA05FA3"/>
    <w:rsid w:val="0D3A0435"/>
    <w:rsid w:val="0D554FDF"/>
    <w:rsid w:val="0D562B05"/>
    <w:rsid w:val="0D5B2D7D"/>
    <w:rsid w:val="0DBB6A20"/>
    <w:rsid w:val="0DC43F13"/>
    <w:rsid w:val="0DD21C31"/>
    <w:rsid w:val="0DD23455"/>
    <w:rsid w:val="0E14312D"/>
    <w:rsid w:val="0E1C0FB5"/>
    <w:rsid w:val="0E3C479C"/>
    <w:rsid w:val="0E4A24FD"/>
    <w:rsid w:val="0E791699"/>
    <w:rsid w:val="0EB90C93"/>
    <w:rsid w:val="0F0310A6"/>
    <w:rsid w:val="0F273882"/>
    <w:rsid w:val="0F2904D1"/>
    <w:rsid w:val="0F3D283C"/>
    <w:rsid w:val="0F4D2461"/>
    <w:rsid w:val="0F51704E"/>
    <w:rsid w:val="0F6B6303"/>
    <w:rsid w:val="0F76748F"/>
    <w:rsid w:val="0F933B9D"/>
    <w:rsid w:val="0FB52476"/>
    <w:rsid w:val="0FD20B69"/>
    <w:rsid w:val="0FD35650"/>
    <w:rsid w:val="0FF94D19"/>
    <w:rsid w:val="10015291"/>
    <w:rsid w:val="100F3B6B"/>
    <w:rsid w:val="101133B7"/>
    <w:rsid w:val="101B0B84"/>
    <w:rsid w:val="10227788"/>
    <w:rsid w:val="103E1D5B"/>
    <w:rsid w:val="10485E1F"/>
    <w:rsid w:val="10536FF3"/>
    <w:rsid w:val="10572E1C"/>
    <w:rsid w:val="10685029"/>
    <w:rsid w:val="10797237"/>
    <w:rsid w:val="10B14F79"/>
    <w:rsid w:val="10CC408D"/>
    <w:rsid w:val="10ED3781"/>
    <w:rsid w:val="10F12E92"/>
    <w:rsid w:val="10F468BD"/>
    <w:rsid w:val="1120151B"/>
    <w:rsid w:val="11265E9F"/>
    <w:rsid w:val="113949E1"/>
    <w:rsid w:val="114227C7"/>
    <w:rsid w:val="11717F0E"/>
    <w:rsid w:val="11A2456B"/>
    <w:rsid w:val="11DE3E23"/>
    <w:rsid w:val="11F03528"/>
    <w:rsid w:val="12080872"/>
    <w:rsid w:val="122035BD"/>
    <w:rsid w:val="123F000C"/>
    <w:rsid w:val="12767ED2"/>
    <w:rsid w:val="127E28E2"/>
    <w:rsid w:val="12B04A66"/>
    <w:rsid w:val="12CE2C53"/>
    <w:rsid w:val="12EA7F78"/>
    <w:rsid w:val="12F07F48"/>
    <w:rsid w:val="13023513"/>
    <w:rsid w:val="130308CA"/>
    <w:rsid w:val="130A686C"/>
    <w:rsid w:val="131B45D5"/>
    <w:rsid w:val="13292BC2"/>
    <w:rsid w:val="132C218A"/>
    <w:rsid w:val="132D7EEA"/>
    <w:rsid w:val="133E130E"/>
    <w:rsid w:val="13497394"/>
    <w:rsid w:val="136E0A98"/>
    <w:rsid w:val="139A7BF0"/>
    <w:rsid w:val="13D6541C"/>
    <w:rsid w:val="13F80B3A"/>
    <w:rsid w:val="13F90708"/>
    <w:rsid w:val="143D67CD"/>
    <w:rsid w:val="14447B5C"/>
    <w:rsid w:val="1469430D"/>
    <w:rsid w:val="146B4990"/>
    <w:rsid w:val="149504DB"/>
    <w:rsid w:val="14972381"/>
    <w:rsid w:val="14F41582"/>
    <w:rsid w:val="15241A91"/>
    <w:rsid w:val="1525173B"/>
    <w:rsid w:val="153251FE"/>
    <w:rsid w:val="153C6A85"/>
    <w:rsid w:val="15482B1B"/>
    <w:rsid w:val="1558244E"/>
    <w:rsid w:val="15C947BC"/>
    <w:rsid w:val="15D13671"/>
    <w:rsid w:val="15E839EB"/>
    <w:rsid w:val="15F15AC1"/>
    <w:rsid w:val="15F31839"/>
    <w:rsid w:val="1611149D"/>
    <w:rsid w:val="16111B25"/>
    <w:rsid w:val="16252AD1"/>
    <w:rsid w:val="16595B0B"/>
    <w:rsid w:val="1663076D"/>
    <w:rsid w:val="16774218"/>
    <w:rsid w:val="167B61DA"/>
    <w:rsid w:val="16A63A4C"/>
    <w:rsid w:val="16A9506F"/>
    <w:rsid w:val="16C15493"/>
    <w:rsid w:val="16FA2753"/>
    <w:rsid w:val="16FF760F"/>
    <w:rsid w:val="171F0B4E"/>
    <w:rsid w:val="174247F3"/>
    <w:rsid w:val="17773DA4"/>
    <w:rsid w:val="1782289D"/>
    <w:rsid w:val="17822E75"/>
    <w:rsid w:val="178D1A71"/>
    <w:rsid w:val="17991F6C"/>
    <w:rsid w:val="17CA65CA"/>
    <w:rsid w:val="17EB3771"/>
    <w:rsid w:val="17FB49D5"/>
    <w:rsid w:val="17FB6783"/>
    <w:rsid w:val="182643EE"/>
    <w:rsid w:val="184A1F22"/>
    <w:rsid w:val="186B1B5B"/>
    <w:rsid w:val="18763A83"/>
    <w:rsid w:val="187C3D68"/>
    <w:rsid w:val="187F45BF"/>
    <w:rsid w:val="188E3A9B"/>
    <w:rsid w:val="189F33C8"/>
    <w:rsid w:val="18A137CE"/>
    <w:rsid w:val="18B33100"/>
    <w:rsid w:val="18DA45EA"/>
    <w:rsid w:val="18FE29CF"/>
    <w:rsid w:val="1910625E"/>
    <w:rsid w:val="19466124"/>
    <w:rsid w:val="196818D5"/>
    <w:rsid w:val="19791440"/>
    <w:rsid w:val="197C031A"/>
    <w:rsid w:val="198A7589"/>
    <w:rsid w:val="198D3D53"/>
    <w:rsid w:val="198F1879"/>
    <w:rsid w:val="199E7D0E"/>
    <w:rsid w:val="19A30E80"/>
    <w:rsid w:val="19B86662"/>
    <w:rsid w:val="19C1039C"/>
    <w:rsid w:val="19D262E0"/>
    <w:rsid w:val="19EB628B"/>
    <w:rsid w:val="19EC0A79"/>
    <w:rsid w:val="1A045DC3"/>
    <w:rsid w:val="1A217544"/>
    <w:rsid w:val="1A22449B"/>
    <w:rsid w:val="1A231FC1"/>
    <w:rsid w:val="1A3702AF"/>
    <w:rsid w:val="1A604FC3"/>
    <w:rsid w:val="1A8A2DE5"/>
    <w:rsid w:val="1A8B64E4"/>
    <w:rsid w:val="1AA14F3E"/>
    <w:rsid w:val="1AB345D8"/>
    <w:rsid w:val="1AC41C40"/>
    <w:rsid w:val="1ACD57BB"/>
    <w:rsid w:val="1AD75407"/>
    <w:rsid w:val="1AD82DAC"/>
    <w:rsid w:val="1AE254F2"/>
    <w:rsid w:val="1B122762"/>
    <w:rsid w:val="1B123D7E"/>
    <w:rsid w:val="1B247CD4"/>
    <w:rsid w:val="1B2C531C"/>
    <w:rsid w:val="1B526E30"/>
    <w:rsid w:val="1B7A3E63"/>
    <w:rsid w:val="1B7E7CEF"/>
    <w:rsid w:val="1B950C9D"/>
    <w:rsid w:val="1B960EC2"/>
    <w:rsid w:val="1B9C027D"/>
    <w:rsid w:val="1BE65325"/>
    <w:rsid w:val="1BEB14AC"/>
    <w:rsid w:val="1BF77A73"/>
    <w:rsid w:val="1C0B780A"/>
    <w:rsid w:val="1C220CF4"/>
    <w:rsid w:val="1C3340F8"/>
    <w:rsid w:val="1C3D6238"/>
    <w:rsid w:val="1C5A616E"/>
    <w:rsid w:val="1C694603"/>
    <w:rsid w:val="1C8D1DF9"/>
    <w:rsid w:val="1CB20E75"/>
    <w:rsid w:val="1CB4256F"/>
    <w:rsid w:val="1CB57848"/>
    <w:rsid w:val="1CC048D1"/>
    <w:rsid w:val="1D104A7F"/>
    <w:rsid w:val="1D457AD9"/>
    <w:rsid w:val="1D631052"/>
    <w:rsid w:val="1D660734"/>
    <w:rsid w:val="1D9D5AD0"/>
    <w:rsid w:val="1DA11B7B"/>
    <w:rsid w:val="1DA16DA3"/>
    <w:rsid w:val="1DB01DBE"/>
    <w:rsid w:val="1DB21FDA"/>
    <w:rsid w:val="1DBC769C"/>
    <w:rsid w:val="1DC37D43"/>
    <w:rsid w:val="1DDE4B7D"/>
    <w:rsid w:val="1E026ABD"/>
    <w:rsid w:val="1E0D3ABF"/>
    <w:rsid w:val="1E54417D"/>
    <w:rsid w:val="1E5D0198"/>
    <w:rsid w:val="1E6813A9"/>
    <w:rsid w:val="1E7D4396"/>
    <w:rsid w:val="1E873E8D"/>
    <w:rsid w:val="1E8A470F"/>
    <w:rsid w:val="1EC021F7"/>
    <w:rsid w:val="1ECE4F82"/>
    <w:rsid w:val="1EE5064C"/>
    <w:rsid w:val="1EE53001"/>
    <w:rsid w:val="1EF06916"/>
    <w:rsid w:val="1EFB350D"/>
    <w:rsid w:val="1F006516"/>
    <w:rsid w:val="1F010B23"/>
    <w:rsid w:val="1F1963DA"/>
    <w:rsid w:val="1F1F4218"/>
    <w:rsid w:val="1F51312D"/>
    <w:rsid w:val="1F5B26D6"/>
    <w:rsid w:val="1F6007D8"/>
    <w:rsid w:val="1FA6381C"/>
    <w:rsid w:val="1FA714E9"/>
    <w:rsid w:val="1FB262C1"/>
    <w:rsid w:val="1FBC0EEE"/>
    <w:rsid w:val="1FE52181"/>
    <w:rsid w:val="1FF73CD4"/>
    <w:rsid w:val="1FFF0CB9"/>
    <w:rsid w:val="20052895"/>
    <w:rsid w:val="20341BF8"/>
    <w:rsid w:val="203828DD"/>
    <w:rsid w:val="20384595"/>
    <w:rsid w:val="20401B1F"/>
    <w:rsid w:val="20666F74"/>
    <w:rsid w:val="20987265"/>
    <w:rsid w:val="20C77B4A"/>
    <w:rsid w:val="20EC75B1"/>
    <w:rsid w:val="20F326ED"/>
    <w:rsid w:val="20F621DE"/>
    <w:rsid w:val="212C5A43"/>
    <w:rsid w:val="21316F3F"/>
    <w:rsid w:val="213A47C0"/>
    <w:rsid w:val="214116AB"/>
    <w:rsid w:val="214C62A1"/>
    <w:rsid w:val="215A1295"/>
    <w:rsid w:val="21856C22"/>
    <w:rsid w:val="21CC3B3B"/>
    <w:rsid w:val="21D20555"/>
    <w:rsid w:val="21D47956"/>
    <w:rsid w:val="21F04E7F"/>
    <w:rsid w:val="22004907"/>
    <w:rsid w:val="22123047"/>
    <w:rsid w:val="22137BA5"/>
    <w:rsid w:val="221565FB"/>
    <w:rsid w:val="224C009A"/>
    <w:rsid w:val="22717D6E"/>
    <w:rsid w:val="227D5ED7"/>
    <w:rsid w:val="229323DA"/>
    <w:rsid w:val="22965E6B"/>
    <w:rsid w:val="22C02AA3"/>
    <w:rsid w:val="22D7082A"/>
    <w:rsid w:val="22D93D5B"/>
    <w:rsid w:val="22F917C9"/>
    <w:rsid w:val="230F7587"/>
    <w:rsid w:val="23463622"/>
    <w:rsid w:val="23490CEA"/>
    <w:rsid w:val="234E6301"/>
    <w:rsid w:val="235B27CC"/>
    <w:rsid w:val="23874BA3"/>
    <w:rsid w:val="23C16DA8"/>
    <w:rsid w:val="23F32A04"/>
    <w:rsid w:val="24174945"/>
    <w:rsid w:val="241C1D6E"/>
    <w:rsid w:val="2432177F"/>
    <w:rsid w:val="245B2E54"/>
    <w:rsid w:val="247A3A3B"/>
    <w:rsid w:val="24B93C4E"/>
    <w:rsid w:val="25002F8D"/>
    <w:rsid w:val="25090731"/>
    <w:rsid w:val="25440E2B"/>
    <w:rsid w:val="25472F43"/>
    <w:rsid w:val="25546BA5"/>
    <w:rsid w:val="25550156"/>
    <w:rsid w:val="256E2C8A"/>
    <w:rsid w:val="25B12B77"/>
    <w:rsid w:val="25D24FC7"/>
    <w:rsid w:val="262B2929"/>
    <w:rsid w:val="263317DE"/>
    <w:rsid w:val="26600825"/>
    <w:rsid w:val="26782243"/>
    <w:rsid w:val="267D2FA7"/>
    <w:rsid w:val="2685028B"/>
    <w:rsid w:val="26A934BF"/>
    <w:rsid w:val="26AE7449"/>
    <w:rsid w:val="26CD5C4C"/>
    <w:rsid w:val="26D37563"/>
    <w:rsid w:val="26ED58F5"/>
    <w:rsid w:val="26EE5496"/>
    <w:rsid w:val="26F251F5"/>
    <w:rsid w:val="26FD42C6"/>
    <w:rsid w:val="270E64D3"/>
    <w:rsid w:val="27167136"/>
    <w:rsid w:val="276A7481"/>
    <w:rsid w:val="279932E9"/>
    <w:rsid w:val="27C97D8D"/>
    <w:rsid w:val="27ED433A"/>
    <w:rsid w:val="280C1B93"/>
    <w:rsid w:val="283D072F"/>
    <w:rsid w:val="285F4B0C"/>
    <w:rsid w:val="28673105"/>
    <w:rsid w:val="286B44D3"/>
    <w:rsid w:val="287C121A"/>
    <w:rsid w:val="28976074"/>
    <w:rsid w:val="28AD3ACA"/>
    <w:rsid w:val="28B9421C"/>
    <w:rsid w:val="28C82C87"/>
    <w:rsid w:val="28CD7CC8"/>
    <w:rsid w:val="28E374EB"/>
    <w:rsid w:val="28ED4468"/>
    <w:rsid w:val="28F65471"/>
    <w:rsid w:val="28FE2577"/>
    <w:rsid w:val="290967AF"/>
    <w:rsid w:val="29177195"/>
    <w:rsid w:val="291C049E"/>
    <w:rsid w:val="292D4815"/>
    <w:rsid w:val="29336BF5"/>
    <w:rsid w:val="29384AB9"/>
    <w:rsid w:val="294361DC"/>
    <w:rsid w:val="294E1863"/>
    <w:rsid w:val="294E2BCC"/>
    <w:rsid w:val="294F692F"/>
    <w:rsid w:val="296E3259"/>
    <w:rsid w:val="29954C89"/>
    <w:rsid w:val="299F78B6"/>
    <w:rsid w:val="29AE06BF"/>
    <w:rsid w:val="29B9024C"/>
    <w:rsid w:val="29CC4423"/>
    <w:rsid w:val="29EB7458"/>
    <w:rsid w:val="2A015314"/>
    <w:rsid w:val="2A0B6A9C"/>
    <w:rsid w:val="2A0F714F"/>
    <w:rsid w:val="2A2953D2"/>
    <w:rsid w:val="2A5D1FD9"/>
    <w:rsid w:val="2A6F2C28"/>
    <w:rsid w:val="2A81345D"/>
    <w:rsid w:val="2A994305"/>
    <w:rsid w:val="2AB303AA"/>
    <w:rsid w:val="2AB54EB7"/>
    <w:rsid w:val="2AE56C24"/>
    <w:rsid w:val="2AEF2177"/>
    <w:rsid w:val="2AF552B4"/>
    <w:rsid w:val="2AF9470D"/>
    <w:rsid w:val="2B2A724C"/>
    <w:rsid w:val="2B632B65"/>
    <w:rsid w:val="2B762634"/>
    <w:rsid w:val="2BB67139"/>
    <w:rsid w:val="2BC37E07"/>
    <w:rsid w:val="2BCA4992"/>
    <w:rsid w:val="2BD33847"/>
    <w:rsid w:val="2BEB6DE3"/>
    <w:rsid w:val="2C1125C1"/>
    <w:rsid w:val="2C1421D1"/>
    <w:rsid w:val="2C5A3F68"/>
    <w:rsid w:val="2C8F63C3"/>
    <w:rsid w:val="2C901738"/>
    <w:rsid w:val="2CF12A68"/>
    <w:rsid w:val="2D1B0C53"/>
    <w:rsid w:val="2D26209C"/>
    <w:rsid w:val="2D481CC5"/>
    <w:rsid w:val="2D5B7F98"/>
    <w:rsid w:val="2D5E35E4"/>
    <w:rsid w:val="2DB44E75"/>
    <w:rsid w:val="2DB476A8"/>
    <w:rsid w:val="2DF1140A"/>
    <w:rsid w:val="2E057F04"/>
    <w:rsid w:val="2E1B0C2F"/>
    <w:rsid w:val="2E1D349F"/>
    <w:rsid w:val="2E1F6294"/>
    <w:rsid w:val="2E2A1718"/>
    <w:rsid w:val="2E3E4FD5"/>
    <w:rsid w:val="2E6A436D"/>
    <w:rsid w:val="2E764B34"/>
    <w:rsid w:val="2E844228"/>
    <w:rsid w:val="2E862EAD"/>
    <w:rsid w:val="2E964E15"/>
    <w:rsid w:val="2EA35682"/>
    <w:rsid w:val="2EA803FF"/>
    <w:rsid w:val="2EB84F76"/>
    <w:rsid w:val="2ECF342E"/>
    <w:rsid w:val="2F4031E9"/>
    <w:rsid w:val="2F575BC0"/>
    <w:rsid w:val="2F77273B"/>
    <w:rsid w:val="2FA50B1C"/>
    <w:rsid w:val="2FA84FEB"/>
    <w:rsid w:val="301A20DD"/>
    <w:rsid w:val="303312ED"/>
    <w:rsid w:val="303D13E9"/>
    <w:rsid w:val="30A1697A"/>
    <w:rsid w:val="30AB4D93"/>
    <w:rsid w:val="30CB0F91"/>
    <w:rsid w:val="3106021B"/>
    <w:rsid w:val="31116F16"/>
    <w:rsid w:val="31336B36"/>
    <w:rsid w:val="313E10C1"/>
    <w:rsid w:val="31AD4B3A"/>
    <w:rsid w:val="31B41267"/>
    <w:rsid w:val="31C54436"/>
    <w:rsid w:val="31E85B72"/>
    <w:rsid w:val="31F45BB7"/>
    <w:rsid w:val="321626E0"/>
    <w:rsid w:val="322A6639"/>
    <w:rsid w:val="323B2146"/>
    <w:rsid w:val="32472899"/>
    <w:rsid w:val="324C16C5"/>
    <w:rsid w:val="32747406"/>
    <w:rsid w:val="328533C1"/>
    <w:rsid w:val="32A6174D"/>
    <w:rsid w:val="32D65918"/>
    <w:rsid w:val="32D70AF8"/>
    <w:rsid w:val="331D4748"/>
    <w:rsid w:val="33296443"/>
    <w:rsid w:val="334D0383"/>
    <w:rsid w:val="335C76C1"/>
    <w:rsid w:val="338806E6"/>
    <w:rsid w:val="338D6AB1"/>
    <w:rsid w:val="33B066F4"/>
    <w:rsid w:val="33C87493"/>
    <w:rsid w:val="33E54D41"/>
    <w:rsid w:val="33F44528"/>
    <w:rsid w:val="33FC5905"/>
    <w:rsid w:val="343A17C9"/>
    <w:rsid w:val="34465E7F"/>
    <w:rsid w:val="3464452F"/>
    <w:rsid w:val="34993F6F"/>
    <w:rsid w:val="34AC63E7"/>
    <w:rsid w:val="34D80120"/>
    <w:rsid w:val="34F903B8"/>
    <w:rsid w:val="351A6043"/>
    <w:rsid w:val="35427B0F"/>
    <w:rsid w:val="354B6B44"/>
    <w:rsid w:val="355844A3"/>
    <w:rsid w:val="35A95F35"/>
    <w:rsid w:val="35B53FBD"/>
    <w:rsid w:val="35E560EE"/>
    <w:rsid w:val="35E825E5"/>
    <w:rsid w:val="36147E72"/>
    <w:rsid w:val="365B2DB7"/>
    <w:rsid w:val="365B4B65"/>
    <w:rsid w:val="36675384"/>
    <w:rsid w:val="36981915"/>
    <w:rsid w:val="36AA5E0A"/>
    <w:rsid w:val="36AC3612"/>
    <w:rsid w:val="36B60AB7"/>
    <w:rsid w:val="36B62BE6"/>
    <w:rsid w:val="36BE198F"/>
    <w:rsid w:val="36C7604A"/>
    <w:rsid w:val="36CF1B3C"/>
    <w:rsid w:val="372E5DD5"/>
    <w:rsid w:val="3762161D"/>
    <w:rsid w:val="378679C0"/>
    <w:rsid w:val="37904CE2"/>
    <w:rsid w:val="37A9280B"/>
    <w:rsid w:val="37AA0237"/>
    <w:rsid w:val="37D44BCF"/>
    <w:rsid w:val="38083993"/>
    <w:rsid w:val="3810372D"/>
    <w:rsid w:val="3828316D"/>
    <w:rsid w:val="38587E8F"/>
    <w:rsid w:val="38A72ED0"/>
    <w:rsid w:val="38AA4085"/>
    <w:rsid w:val="38C56C0D"/>
    <w:rsid w:val="38D40BFF"/>
    <w:rsid w:val="38D43F54"/>
    <w:rsid w:val="38DE52AC"/>
    <w:rsid w:val="38F8669B"/>
    <w:rsid w:val="38FF6DE9"/>
    <w:rsid w:val="394F0285"/>
    <w:rsid w:val="395104A1"/>
    <w:rsid w:val="39A845B5"/>
    <w:rsid w:val="39C32D6A"/>
    <w:rsid w:val="39E1743C"/>
    <w:rsid w:val="39FC21BB"/>
    <w:rsid w:val="3A1273C6"/>
    <w:rsid w:val="3A32374C"/>
    <w:rsid w:val="3A5D257D"/>
    <w:rsid w:val="3A601CA4"/>
    <w:rsid w:val="3A6F0BDF"/>
    <w:rsid w:val="3A7206CF"/>
    <w:rsid w:val="3A8F1281"/>
    <w:rsid w:val="3A920D71"/>
    <w:rsid w:val="3A9773C9"/>
    <w:rsid w:val="3ABF608A"/>
    <w:rsid w:val="3AD00D45"/>
    <w:rsid w:val="3ADE133A"/>
    <w:rsid w:val="3AE06945"/>
    <w:rsid w:val="3B05797E"/>
    <w:rsid w:val="3B1A6A83"/>
    <w:rsid w:val="3B283ACB"/>
    <w:rsid w:val="3B665553"/>
    <w:rsid w:val="3B7641EF"/>
    <w:rsid w:val="3B8D77D9"/>
    <w:rsid w:val="3BAE1BDB"/>
    <w:rsid w:val="3BCA3912"/>
    <w:rsid w:val="3BD01638"/>
    <w:rsid w:val="3BDE19D1"/>
    <w:rsid w:val="3C024B2C"/>
    <w:rsid w:val="3C044230"/>
    <w:rsid w:val="3C1C1182"/>
    <w:rsid w:val="3C2E0626"/>
    <w:rsid w:val="3C6329C5"/>
    <w:rsid w:val="3CA827C1"/>
    <w:rsid w:val="3CAD59EE"/>
    <w:rsid w:val="3CDA4418"/>
    <w:rsid w:val="3CED04E1"/>
    <w:rsid w:val="3D037D04"/>
    <w:rsid w:val="3D3A1978"/>
    <w:rsid w:val="3D445A7B"/>
    <w:rsid w:val="3D6407A3"/>
    <w:rsid w:val="3D723DD3"/>
    <w:rsid w:val="3D751F42"/>
    <w:rsid w:val="3D9B642E"/>
    <w:rsid w:val="3DA05553"/>
    <w:rsid w:val="3DAC3EF8"/>
    <w:rsid w:val="3DB72FC9"/>
    <w:rsid w:val="3DC567BC"/>
    <w:rsid w:val="3DE6455D"/>
    <w:rsid w:val="3DE74F30"/>
    <w:rsid w:val="3DF05F54"/>
    <w:rsid w:val="3E063608"/>
    <w:rsid w:val="3E3933FF"/>
    <w:rsid w:val="3E611186"/>
    <w:rsid w:val="3E76264A"/>
    <w:rsid w:val="3E846C23"/>
    <w:rsid w:val="3EBE4E2C"/>
    <w:rsid w:val="3ECD4126"/>
    <w:rsid w:val="3ED9341F"/>
    <w:rsid w:val="3EF773F5"/>
    <w:rsid w:val="3F0D4E6A"/>
    <w:rsid w:val="3F0E550D"/>
    <w:rsid w:val="3F0F2990"/>
    <w:rsid w:val="3F5E60C6"/>
    <w:rsid w:val="3F625A9D"/>
    <w:rsid w:val="3F6A143C"/>
    <w:rsid w:val="3F6A3151"/>
    <w:rsid w:val="3F7E3672"/>
    <w:rsid w:val="3F9B2D78"/>
    <w:rsid w:val="3F9C3D42"/>
    <w:rsid w:val="3FD12AA6"/>
    <w:rsid w:val="3FDD483D"/>
    <w:rsid w:val="3FE342ED"/>
    <w:rsid w:val="40354679"/>
    <w:rsid w:val="405745EF"/>
    <w:rsid w:val="405C1C05"/>
    <w:rsid w:val="408E72C3"/>
    <w:rsid w:val="408E7BCF"/>
    <w:rsid w:val="409075E8"/>
    <w:rsid w:val="40AC2398"/>
    <w:rsid w:val="40B26236"/>
    <w:rsid w:val="40C854ED"/>
    <w:rsid w:val="40CF687B"/>
    <w:rsid w:val="40D734D2"/>
    <w:rsid w:val="40F306E9"/>
    <w:rsid w:val="41067DC3"/>
    <w:rsid w:val="411671C1"/>
    <w:rsid w:val="41270465"/>
    <w:rsid w:val="413A424B"/>
    <w:rsid w:val="41681350"/>
    <w:rsid w:val="416F668A"/>
    <w:rsid w:val="41737342"/>
    <w:rsid w:val="41870F04"/>
    <w:rsid w:val="418A7109"/>
    <w:rsid w:val="419F6662"/>
    <w:rsid w:val="41A45E08"/>
    <w:rsid w:val="41A72D03"/>
    <w:rsid w:val="41BC55E0"/>
    <w:rsid w:val="41BD4926"/>
    <w:rsid w:val="41CC4968"/>
    <w:rsid w:val="41DB3ECC"/>
    <w:rsid w:val="41F30347"/>
    <w:rsid w:val="41F45E6E"/>
    <w:rsid w:val="420B7389"/>
    <w:rsid w:val="420C404A"/>
    <w:rsid w:val="421734B8"/>
    <w:rsid w:val="42220C2D"/>
    <w:rsid w:val="423563C7"/>
    <w:rsid w:val="425A3148"/>
    <w:rsid w:val="42723962"/>
    <w:rsid w:val="42C57370"/>
    <w:rsid w:val="42DC527F"/>
    <w:rsid w:val="42FD4743"/>
    <w:rsid w:val="430832B2"/>
    <w:rsid w:val="43144276"/>
    <w:rsid w:val="432E1ACA"/>
    <w:rsid w:val="433A7C09"/>
    <w:rsid w:val="43442CD4"/>
    <w:rsid w:val="43486471"/>
    <w:rsid w:val="437C4518"/>
    <w:rsid w:val="43853221"/>
    <w:rsid w:val="43B22FEA"/>
    <w:rsid w:val="43D124E1"/>
    <w:rsid w:val="43E6630E"/>
    <w:rsid w:val="43E951FD"/>
    <w:rsid w:val="43F26816"/>
    <w:rsid w:val="43F6411F"/>
    <w:rsid w:val="44044A8E"/>
    <w:rsid w:val="44297A79"/>
    <w:rsid w:val="443D3AFC"/>
    <w:rsid w:val="444805B7"/>
    <w:rsid w:val="445769C9"/>
    <w:rsid w:val="44637696"/>
    <w:rsid w:val="4467501D"/>
    <w:rsid w:val="446C43E1"/>
    <w:rsid w:val="446C4F4A"/>
    <w:rsid w:val="446E70C1"/>
    <w:rsid w:val="44740DA7"/>
    <w:rsid w:val="448F109E"/>
    <w:rsid w:val="44B57B36"/>
    <w:rsid w:val="44C935E1"/>
    <w:rsid w:val="45111167"/>
    <w:rsid w:val="4511341E"/>
    <w:rsid w:val="45196AE2"/>
    <w:rsid w:val="454476E3"/>
    <w:rsid w:val="454815E5"/>
    <w:rsid w:val="45673C6A"/>
    <w:rsid w:val="4574179F"/>
    <w:rsid w:val="45792129"/>
    <w:rsid w:val="457B6FB0"/>
    <w:rsid w:val="457C2033"/>
    <w:rsid w:val="45961716"/>
    <w:rsid w:val="45980299"/>
    <w:rsid w:val="45A479C9"/>
    <w:rsid w:val="45A831F7"/>
    <w:rsid w:val="45B20519"/>
    <w:rsid w:val="45C75D73"/>
    <w:rsid w:val="45CD7101"/>
    <w:rsid w:val="45D64208"/>
    <w:rsid w:val="45E2788A"/>
    <w:rsid w:val="45E975DD"/>
    <w:rsid w:val="461566C0"/>
    <w:rsid w:val="465869CB"/>
    <w:rsid w:val="46674E60"/>
    <w:rsid w:val="46794B93"/>
    <w:rsid w:val="46863C71"/>
    <w:rsid w:val="46983D83"/>
    <w:rsid w:val="46A47E62"/>
    <w:rsid w:val="46A95479"/>
    <w:rsid w:val="46D0431B"/>
    <w:rsid w:val="46EC34CC"/>
    <w:rsid w:val="46F77B89"/>
    <w:rsid w:val="4743767B"/>
    <w:rsid w:val="47767A51"/>
    <w:rsid w:val="47871E56"/>
    <w:rsid w:val="478832E0"/>
    <w:rsid w:val="47BC11DC"/>
    <w:rsid w:val="47F2678E"/>
    <w:rsid w:val="47FD28C5"/>
    <w:rsid w:val="47FE17F4"/>
    <w:rsid w:val="48654E23"/>
    <w:rsid w:val="487B3318"/>
    <w:rsid w:val="4884619D"/>
    <w:rsid w:val="48BD16AF"/>
    <w:rsid w:val="48C172BC"/>
    <w:rsid w:val="48C345CB"/>
    <w:rsid w:val="48DD4141"/>
    <w:rsid w:val="48F52BF7"/>
    <w:rsid w:val="49060960"/>
    <w:rsid w:val="491C63D6"/>
    <w:rsid w:val="49272ADC"/>
    <w:rsid w:val="49470F79"/>
    <w:rsid w:val="495F5BB2"/>
    <w:rsid w:val="496248E4"/>
    <w:rsid w:val="496E15DA"/>
    <w:rsid w:val="49726A4B"/>
    <w:rsid w:val="49806038"/>
    <w:rsid w:val="49836455"/>
    <w:rsid w:val="498521CD"/>
    <w:rsid w:val="498D2E30"/>
    <w:rsid w:val="49C04BA6"/>
    <w:rsid w:val="49D2118A"/>
    <w:rsid w:val="49D26F45"/>
    <w:rsid w:val="4A106DA0"/>
    <w:rsid w:val="4A4060F4"/>
    <w:rsid w:val="4A6873F9"/>
    <w:rsid w:val="4A711501"/>
    <w:rsid w:val="4A712751"/>
    <w:rsid w:val="4A804742"/>
    <w:rsid w:val="4A8A3813"/>
    <w:rsid w:val="4A8F6C91"/>
    <w:rsid w:val="4A930919"/>
    <w:rsid w:val="4A977AF4"/>
    <w:rsid w:val="4A9D1B78"/>
    <w:rsid w:val="4AA5064D"/>
    <w:rsid w:val="4AD252CB"/>
    <w:rsid w:val="4AE01685"/>
    <w:rsid w:val="4B1650A7"/>
    <w:rsid w:val="4B1C6CAA"/>
    <w:rsid w:val="4B490FD8"/>
    <w:rsid w:val="4B7648AE"/>
    <w:rsid w:val="4BB73B85"/>
    <w:rsid w:val="4BF478AD"/>
    <w:rsid w:val="4C003D8D"/>
    <w:rsid w:val="4C172E84"/>
    <w:rsid w:val="4C17356B"/>
    <w:rsid w:val="4C17384D"/>
    <w:rsid w:val="4C257A37"/>
    <w:rsid w:val="4C285091"/>
    <w:rsid w:val="4C575E84"/>
    <w:rsid w:val="4C602571"/>
    <w:rsid w:val="4C611D44"/>
    <w:rsid w:val="4C643B5B"/>
    <w:rsid w:val="4C760354"/>
    <w:rsid w:val="4C83676C"/>
    <w:rsid w:val="4C8E30EC"/>
    <w:rsid w:val="4C947C5B"/>
    <w:rsid w:val="4CD174D7"/>
    <w:rsid w:val="4CDC28B9"/>
    <w:rsid w:val="4D135D42"/>
    <w:rsid w:val="4D20470B"/>
    <w:rsid w:val="4D2A4CD7"/>
    <w:rsid w:val="4D2E5C09"/>
    <w:rsid w:val="4D575818"/>
    <w:rsid w:val="4D5C3245"/>
    <w:rsid w:val="4D7247FE"/>
    <w:rsid w:val="4D737564"/>
    <w:rsid w:val="4D857AAA"/>
    <w:rsid w:val="4DD07926"/>
    <w:rsid w:val="4DD3168B"/>
    <w:rsid w:val="4DD74FC1"/>
    <w:rsid w:val="4DE35714"/>
    <w:rsid w:val="4DF50B78"/>
    <w:rsid w:val="4E0B6A19"/>
    <w:rsid w:val="4E0F02B7"/>
    <w:rsid w:val="4E4A7541"/>
    <w:rsid w:val="4E4C0821"/>
    <w:rsid w:val="4E6938E7"/>
    <w:rsid w:val="4E6C5F3F"/>
    <w:rsid w:val="4E701DC0"/>
    <w:rsid w:val="4E7A6CBB"/>
    <w:rsid w:val="4E850F02"/>
    <w:rsid w:val="4E866BA1"/>
    <w:rsid w:val="4E8E3782"/>
    <w:rsid w:val="4EA737A2"/>
    <w:rsid w:val="4EDD03B5"/>
    <w:rsid w:val="4F006719"/>
    <w:rsid w:val="4F04692B"/>
    <w:rsid w:val="4F066A24"/>
    <w:rsid w:val="4F244236"/>
    <w:rsid w:val="4F2E489B"/>
    <w:rsid w:val="4F4C1097"/>
    <w:rsid w:val="4F5166AD"/>
    <w:rsid w:val="4F5D25FD"/>
    <w:rsid w:val="4F6F318A"/>
    <w:rsid w:val="4F7F146C"/>
    <w:rsid w:val="4FB41D44"/>
    <w:rsid w:val="4FB93303"/>
    <w:rsid w:val="4FBC32D6"/>
    <w:rsid w:val="4FC90E39"/>
    <w:rsid w:val="4FFC2ABD"/>
    <w:rsid w:val="500E27F0"/>
    <w:rsid w:val="50210776"/>
    <w:rsid w:val="505C355C"/>
    <w:rsid w:val="506123D9"/>
    <w:rsid w:val="507F724A"/>
    <w:rsid w:val="50854860"/>
    <w:rsid w:val="5087052D"/>
    <w:rsid w:val="50874A7C"/>
    <w:rsid w:val="508C63A3"/>
    <w:rsid w:val="50947199"/>
    <w:rsid w:val="509F23E6"/>
    <w:rsid w:val="50B213CE"/>
    <w:rsid w:val="50B40034"/>
    <w:rsid w:val="50BF6E81"/>
    <w:rsid w:val="50C75279"/>
    <w:rsid w:val="50DE6667"/>
    <w:rsid w:val="50F1639A"/>
    <w:rsid w:val="5113318E"/>
    <w:rsid w:val="51181B78"/>
    <w:rsid w:val="51204302"/>
    <w:rsid w:val="512C0D4E"/>
    <w:rsid w:val="512C2F2E"/>
    <w:rsid w:val="513F080C"/>
    <w:rsid w:val="5140577A"/>
    <w:rsid w:val="515E03EA"/>
    <w:rsid w:val="516E1798"/>
    <w:rsid w:val="517454DA"/>
    <w:rsid w:val="518E2B89"/>
    <w:rsid w:val="5206255D"/>
    <w:rsid w:val="520A5C5E"/>
    <w:rsid w:val="52132340"/>
    <w:rsid w:val="52320A18"/>
    <w:rsid w:val="52524C16"/>
    <w:rsid w:val="525E7A5F"/>
    <w:rsid w:val="52654DCD"/>
    <w:rsid w:val="52734CD5"/>
    <w:rsid w:val="52796647"/>
    <w:rsid w:val="52880638"/>
    <w:rsid w:val="52925761"/>
    <w:rsid w:val="52B9726B"/>
    <w:rsid w:val="52DD7716"/>
    <w:rsid w:val="5306542C"/>
    <w:rsid w:val="533407C0"/>
    <w:rsid w:val="533662E6"/>
    <w:rsid w:val="53390376"/>
    <w:rsid w:val="53513120"/>
    <w:rsid w:val="53654E1D"/>
    <w:rsid w:val="537961D3"/>
    <w:rsid w:val="53CB4EB4"/>
    <w:rsid w:val="540C7047"/>
    <w:rsid w:val="541D6439"/>
    <w:rsid w:val="54204352"/>
    <w:rsid w:val="542B1BC3"/>
    <w:rsid w:val="545C08EF"/>
    <w:rsid w:val="545F416B"/>
    <w:rsid w:val="549A35B5"/>
    <w:rsid w:val="549E4143"/>
    <w:rsid w:val="54A238AF"/>
    <w:rsid w:val="54D7298C"/>
    <w:rsid w:val="54E63D3C"/>
    <w:rsid w:val="54F008CA"/>
    <w:rsid w:val="551978A3"/>
    <w:rsid w:val="553813F1"/>
    <w:rsid w:val="554910BB"/>
    <w:rsid w:val="557B26D6"/>
    <w:rsid w:val="55821076"/>
    <w:rsid w:val="55AE2AAB"/>
    <w:rsid w:val="55C76F95"/>
    <w:rsid w:val="55DB1F32"/>
    <w:rsid w:val="55EF09CE"/>
    <w:rsid w:val="56004989"/>
    <w:rsid w:val="56057281"/>
    <w:rsid w:val="5612303A"/>
    <w:rsid w:val="56161BD4"/>
    <w:rsid w:val="56440595"/>
    <w:rsid w:val="56493792"/>
    <w:rsid w:val="56794E67"/>
    <w:rsid w:val="569951D6"/>
    <w:rsid w:val="56B51A98"/>
    <w:rsid w:val="56B75990"/>
    <w:rsid w:val="56DE116E"/>
    <w:rsid w:val="56DE4CCA"/>
    <w:rsid w:val="57603931"/>
    <w:rsid w:val="576314C9"/>
    <w:rsid w:val="57881C2C"/>
    <w:rsid w:val="57A001D2"/>
    <w:rsid w:val="57BE2850"/>
    <w:rsid w:val="57C57C38"/>
    <w:rsid w:val="57D460CD"/>
    <w:rsid w:val="57D85BBE"/>
    <w:rsid w:val="57E86CC7"/>
    <w:rsid w:val="581D7A74"/>
    <w:rsid w:val="583C2AE4"/>
    <w:rsid w:val="58582ACD"/>
    <w:rsid w:val="5888512F"/>
    <w:rsid w:val="58AB6E2E"/>
    <w:rsid w:val="58B06B3A"/>
    <w:rsid w:val="58E56AAA"/>
    <w:rsid w:val="58F9403E"/>
    <w:rsid w:val="590824D3"/>
    <w:rsid w:val="59232E69"/>
    <w:rsid w:val="594015B1"/>
    <w:rsid w:val="59407363"/>
    <w:rsid w:val="59575208"/>
    <w:rsid w:val="599B0EFC"/>
    <w:rsid w:val="59AE5A7E"/>
    <w:rsid w:val="59BD150F"/>
    <w:rsid w:val="59F004D4"/>
    <w:rsid w:val="59F40CA9"/>
    <w:rsid w:val="59F94EEB"/>
    <w:rsid w:val="5A03507B"/>
    <w:rsid w:val="5A0E1D6B"/>
    <w:rsid w:val="5A211258"/>
    <w:rsid w:val="5A6526FC"/>
    <w:rsid w:val="5A7A103F"/>
    <w:rsid w:val="5A7D38BB"/>
    <w:rsid w:val="5A8262B5"/>
    <w:rsid w:val="5A8C6419"/>
    <w:rsid w:val="5A9A53AC"/>
    <w:rsid w:val="5AA12BDF"/>
    <w:rsid w:val="5ABF3065"/>
    <w:rsid w:val="5ACD132B"/>
    <w:rsid w:val="5AE0581C"/>
    <w:rsid w:val="5AEE56F8"/>
    <w:rsid w:val="5B1212E9"/>
    <w:rsid w:val="5B653C0C"/>
    <w:rsid w:val="5B687259"/>
    <w:rsid w:val="5BC975F6"/>
    <w:rsid w:val="5BE43388"/>
    <w:rsid w:val="5BF526CB"/>
    <w:rsid w:val="5C0F1DCA"/>
    <w:rsid w:val="5C1318BA"/>
    <w:rsid w:val="5C6914DA"/>
    <w:rsid w:val="5C9A5B38"/>
    <w:rsid w:val="5CD53D28"/>
    <w:rsid w:val="5CE559FB"/>
    <w:rsid w:val="5CFC5149"/>
    <w:rsid w:val="5D0460DC"/>
    <w:rsid w:val="5D094A6B"/>
    <w:rsid w:val="5D0C2A18"/>
    <w:rsid w:val="5D2366CB"/>
    <w:rsid w:val="5D2B52D8"/>
    <w:rsid w:val="5D3331A6"/>
    <w:rsid w:val="5D683540"/>
    <w:rsid w:val="5D940E92"/>
    <w:rsid w:val="5DA12869"/>
    <w:rsid w:val="5DB669A1"/>
    <w:rsid w:val="5DD62281"/>
    <w:rsid w:val="5E135BA1"/>
    <w:rsid w:val="5E1D1079"/>
    <w:rsid w:val="5E2764C6"/>
    <w:rsid w:val="5E2A6A47"/>
    <w:rsid w:val="5E5577A1"/>
    <w:rsid w:val="5E7B50C6"/>
    <w:rsid w:val="5E873F6F"/>
    <w:rsid w:val="5E963C4E"/>
    <w:rsid w:val="5EA64025"/>
    <w:rsid w:val="5EB25567"/>
    <w:rsid w:val="5EDA6373"/>
    <w:rsid w:val="5EE017FC"/>
    <w:rsid w:val="5EE74938"/>
    <w:rsid w:val="5EF7101F"/>
    <w:rsid w:val="5F113312"/>
    <w:rsid w:val="5F1171F6"/>
    <w:rsid w:val="5F3D56E4"/>
    <w:rsid w:val="5F696142"/>
    <w:rsid w:val="5F7563E8"/>
    <w:rsid w:val="5F7A755A"/>
    <w:rsid w:val="5F9F5213"/>
    <w:rsid w:val="5FE968C8"/>
    <w:rsid w:val="5FF13CC0"/>
    <w:rsid w:val="601F4136"/>
    <w:rsid w:val="6020704A"/>
    <w:rsid w:val="60210924"/>
    <w:rsid w:val="6022031E"/>
    <w:rsid w:val="60237BF2"/>
    <w:rsid w:val="602F2A3B"/>
    <w:rsid w:val="60564992"/>
    <w:rsid w:val="60593614"/>
    <w:rsid w:val="605C3E54"/>
    <w:rsid w:val="60607191"/>
    <w:rsid w:val="608B2E61"/>
    <w:rsid w:val="60986C85"/>
    <w:rsid w:val="609A3271"/>
    <w:rsid w:val="60AA69DE"/>
    <w:rsid w:val="60CA5C5B"/>
    <w:rsid w:val="60D84E80"/>
    <w:rsid w:val="610C038F"/>
    <w:rsid w:val="61183C2B"/>
    <w:rsid w:val="611F660B"/>
    <w:rsid w:val="612113C8"/>
    <w:rsid w:val="612B3202"/>
    <w:rsid w:val="61461556"/>
    <w:rsid w:val="61667CC3"/>
    <w:rsid w:val="616C7377"/>
    <w:rsid w:val="618741B1"/>
    <w:rsid w:val="619E1C26"/>
    <w:rsid w:val="61C24BFD"/>
    <w:rsid w:val="61E138C1"/>
    <w:rsid w:val="61FF01EB"/>
    <w:rsid w:val="621B2B87"/>
    <w:rsid w:val="6222429B"/>
    <w:rsid w:val="622C5603"/>
    <w:rsid w:val="623205C0"/>
    <w:rsid w:val="624C1682"/>
    <w:rsid w:val="62640967"/>
    <w:rsid w:val="628E1274"/>
    <w:rsid w:val="629F5C72"/>
    <w:rsid w:val="62B86D17"/>
    <w:rsid w:val="62C843BD"/>
    <w:rsid w:val="62CC4571"/>
    <w:rsid w:val="62DB0C58"/>
    <w:rsid w:val="62DE6052"/>
    <w:rsid w:val="62E01E19"/>
    <w:rsid w:val="62FA76ED"/>
    <w:rsid w:val="62FF66F4"/>
    <w:rsid w:val="630E06E5"/>
    <w:rsid w:val="633F7D00"/>
    <w:rsid w:val="63402869"/>
    <w:rsid w:val="634A483E"/>
    <w:rsid w:val="634A6ACD"/>
    <w:rsid w:val="635602DE"/>
    <w:rsid w:val="636F36FE"/>
    <w:rsid w:val="63B138E5"/>
    <w:rsid w:val="63B84AF5"/>
    <w:rsid w:val="63C51B85"/>
    <w:rsid w:val="63C60FF3"/>
    <w:rsid w:val="63CF1345"/>
    <w:rsid w:val="63D23E09"/>
    <w:rsid w:val="641C6E32"/>
    <w:rsid w:val="6421269A"/>
    <w:rsid w:val="64265EA3"/>
    <w:rsid w:val="642B45E0"/>
    <w:rsid w:val="64370110"/>
    <w:rsid w:val="644663AD"/>
    <w:rsid w:val="645050CE"/>
    <w:rsid w:val="64604EAC"/>
    <w:rsid w:val="6469339F"/>
    <w:rsid w:val="64740A1C"/>
    <w:rsid w:val="64816BEE"/>
    <w:rsid w:val="649773E6"/>
    <w:rsid w:val="64C64F55"/>
    <w:rsid w:val="64CE0D28"/>
    <w:rsid w:val="64D911C7"/>
    <w:rsid w:val="64DF12EB"/>
    <w:rsid w:val="64EE06F3"/>
    <w:rsid w:val="65031DA0"/>
    <w:rsid w:val="65174A38"/>
    <w:rsid w:val="651E6D79"/>
    <w:rsid w:val="655646D9"/>
    <w:rsid w:val="65652A5B"/>
    <w:rsid w:val="656914C6"/>
    <w:rsid w:val="65DC08BB"/>
    <w:rsid w:val="65F73581"/>
    <w:rsid w:val="661753B1"/>
    <w:rsid w:val="66457796"/>
    <w:rsid w:val="66546D57"/>
    <w:rsid w:val="66644AC0"/>
    <w:rsid w:val="66650F64"/>
    <w:rsid w:val="66770C98"/>
    <w:rsid w:val="66852AA1"/>
    <w:rsid w:val="668C1431"/>
    <w:rsid w:val="66A5387A"/>
    <w:rsid w:val="66C0263F"/>
    <w:rsid w:val="66E64CB8"/>
    <w:rsid w:val="66F01132"/>
    <w:rsid w:val="66FD73EF"/>
    <w:rsid w:val="672E6D05"/>
    <w:rsid w:val="67302D72"/>
    <w:rsid w:val="67317098"/>
    <w:rsid w:val="67580AC9"/>
    <w:rsid w:val="675A37CC"/>
    <w:rsid w:val="67656B1B"/>
    <w:rsid w:val="678278F4"/>
    <w:rsid w:val="678C42CF"/>
    <w:rsid w:val="67975017"/>
    <w:rsid w:val="67A36E11"/>
    <w:rsid w:val="67AE419D"/>
    <w:rsid w:val="67B22635"/>
    <w:rsid w:val="67DC25DC"/>
    <w:rsid w:val="67EE0AE5"/>
    <w:rsid w:val="6804305C"/>
    <w:rsid w:val="683769EB"/>
    <w:rsid w:val="685A617B"/>
    <w:rsid w:val="686D2352"/>
    <w:rsid w:val="68880F3A"/>
    <w:rsid w:val="689B2AA8"/>
    <w:rsid w:val="68A044D6"/>
    <w:rsid w:val="68A13DAA"/>
    <w:rsid w:val="68AA5354"/>
    <w:rsid w:val="68AF4B31"/>
    <w:rsid w:val="68BB130F"/>
    <w:rsid w:val="68D128E1"/>
    <w:rsid w:val="68DF627C"/>
    <w:rsid w:val="68EB131E"/>
    <w:rsid w:val="68ED244F"/>
    <w:rsid w:val="68EE4E3C"/>
    <w:rsid w:val="68F14D31"/>
    <w:rsid w:val="68FE2FAA"/>
    <w:rsid w:val="69366BE8"/>
    <w:rsid w:val="696C43B8"/>
    <w:rsid w:val="696D7E31"/>
    <w:rsid w:val="698C50B9"/>
    <w:rsid w:val="69BE432B"/>
    <w:rsid w:val="69D47128"/>
    <w:rsid w:val="69D63CA9"/>
    <w:rsid w:val="69E228CC"/>
    <w:rsid w:val="69F07ED0"/>
    <w:rsid w:val="69FE3890"/>
    <w:rsid w:val="6A242EE4"/>
    <w:rsid w:val="6A42008C"/>
    <w:rsid w:val="6A6634FD"/>
    <w:rsid w:val="6A745C1A"/>
    <w:rsid w:val="6A771266"/>
    <w:rsid w:val="6A7A0A2B"/>
    <w:rsid w:val="6A853830"/>
    <w:rsid w:val="6AA77654"/>
    <w:rsid w:val="6ADE7537"/>
    <w:rsid w:val="6AE663EC"/>
    <w:rsid w:val="6AEA1A38"/>
    <w:rsid w:val="6AF41275"/>
    <w:rsid w:val="6B221B0E"/>
    <w:rsid w:val="6B5E5F82"/>
    <w:rsid w:val="6B6712DB"/>
    <w:rsid w:val="6B8E6D55"/>
    <w:rsid w:val="6BA240C1"/>
    <w:rsid w:val="6BB838E4"/>
    <w:rsid w:val="6C223454"/>
    <w:rsid w:val="6C465394"/>
    <w:rsid w:val="6C5D1E64"/>
    <w:rsid w:val="6C604859"/>
    <w:rsid w:val="6C7543E1"/>
    <w:rsid w:val="6C7D42B4"/>
    <w:rsid w:val="6C8A3E98"/>
    <w:rsid w:val="6C963B87"/>
    <w:rsid w:val="6CA96079"/>
    <w:rsid w:val="6CAC1F8A"/>
    <w:rsid w:val="6CB47060"/>
    <w:rsid w:val="6CC81EA4"/>
    <w:rsid w:val="6CC87B57"/>
    <w:rsid w:val="6CFA617E"/>
    <w:rsid w:val="6D0A2952"/>
    <w:rsid w:val="6D1234C8"/>
    <w:rsid w:val="6D37776E"/>
    <w:rsid w:val="6D3B47CD"/>
    <w:rsid w:val="6D4922A3"/>
    <w:rsid w:val="6D521B17"/>
    <w:rsid w:val="6D686AB5"/>
    <w:rsid w:val="6D754A33"/>
    <w:rsid w:val="6D793547"/>
    <w:rsid w:val="6D7B2760"/>
    <w:rsid w:val="6DB662A4"/>
    <w:rsid w:val="6DCD4D46"/>
    <w:rsid w:val="6DD32C57"/>
    <w:rsid w:val="6DD4077E"/>
    <w:rsid w:val="6DDB1B0C"/>
    <w:rsid w:val="6DE035C6"/>
    <w:rsid w:val="6DEC3141"/>
    <w:rsid w:val="6E0125E2"/>
    <w:rsid w:val="6E054DDB"/>
    <w:rsid w:val="6E102D14"/>
    <w:rsid w:val="6E301E58"/>
    <w:rsid w:val="6EB96428"/>
    <w:rsid w:val="6EE844E0"/>
    <w:rsid w:val="6EEB569F"/>
    <w:rsid w:val="6F046B86"/>
    <w:rsid w:val="6F1A790A"/>
    <w:rsid w:val="6F1C23DC"/>
    <w:rsid w:val="6F2B4E91"/>
    <w:rsid w:val="6F316945"/>
    <w:rsid w:val="6F697B10"/>
    <w:rsid w:val="6FA41D19"/>
    <w:rsid w:val="6FCE44F4"/>
    <w:rsid w:val="6FE075B7"/>
    <w:rsid w:val="6FE74798"/>
    <w:rsid w:val="6FF56CC1"/>
    <w:rsid w:val="6FFC5967"/>
    <w:rsid w:val="6FFD045F"/>
    <w:rsid w:val="701F03D6"/>
    <w:rsid w:val="70231548"/>
    <w:rsid w:val="702A5F16"/>
    <w:rsid w:val="702E0619"/>
    <w:rsid w:val="703412AA"/>
    <w:rsid w:val="704838FD"/>
    <w:rsid w:val="70741413"/>
    <w:rsid w:val="709119F6"/>
    <w:rsid w:val="70950698"/>
    <w:rsid w:val="70B52AE8"/>
    <w:rsid w:val="70BF74C3"/>
    <w:rsid w:val="70C920F0"/>
    <w:rsid w:val="70E076AF"/>
    <w:rsid w:val="71265794"/>
    <w:rsid w:val="712A703B"/>
    <w:rsid w:val="712E4649"/>
    <w:rsid w:val="713B72D1"/>
    <w:rsid w:val="713F6856"/>
    <w:rsid w:val="7141437C"/>
    <w:rsid w:val="71425437"/>
    <w:rsid w:val="71597917"/>
    <w:rsid w:val="715A5602"/>
    <w:rsid w:val="71922E29"/>
    <w:rsid w:val="71C808DC"/>
    <w:rsid w:val="71E06437"/>
    <w:rsid w:val="71E24DC4"/>
    <w:rsid w:val="71ED1E0E"/>
    <w:rsid w:val="71F238C8"/>
    <w:rsid w:val="71F7318A"/>
    <w:rsid w:val="721A3870"/>
    <w:rsid w:val="721A5279"/>
    <w:rsid w:val="7231619E"/>
    <w:rsid w:val="72345C8F"/>
    <w:rsid w:val="72402885"/>
    <w:rsid w:val="72635461"/>
    <w:rsid w:val="726F4F19"/>
    <w:rsid w:val="7275252F"/>
    <w:rsid w:val="7285157E"/>
    <w:rsid w:val="7298446F"/>
    <w:rsid w:val="72A85210"/>
    <w:rsid w:val="72B50B7E"/>
    <w:rsid w:val="72C15778"/>
    <w:rsid w:val="72C40116"/>
    <w:rsid w:val="72DB435C"/>
    <w:rsid w:val="72E6342D"/>
    <w:rsid w:val="72E871A5"/>
    <w:rsid w:val="72FB3F6C"/>
    <w:rsid w:val="73005B71"/>
    <w:rsid w:val="73081ADA"/>
    <w:rsid w:val="732B0E40"/>
    <w:rsid w:val="732E6B82"/>
    <w:rsid w:val="73334198"/>
    <w:rsid w:val="735E48F9"/>
    <w:rsid w:val="735F4F8D"/>
    <w:rsid w:val="7387317C"/>
    <w:rsid w:val="739641CD"/>
    <w:rsid w:val="73A86934"/>
    <w:rsid w:val="73B47087"/>
    <w:rsid w:val="73E07E7C"/>
    <w:rsid w:val="74160FF1"/>
    <w:rsid w:val="74360701"/>
    <w:rsid w:val="74406B6D"/>
    <w:rsid w:val="745208CD"/>
    <w:rsid w:val="74681C20"/>
    <w:rsid w:val="74736F42"/>
    <w:rsid w:val="74A9194D"/>
    <w:rsid w:val="74B23D8F"/>
    <w:rsid w:val="74C652C4"/>
    <w:rsid w:val="74D73C0D"/>
    <w:rsid w:val="74F80127"/>
    <w:rsid w:val="750202C6"/>
    <w:rsid w:val="750C6A4F"/>
    <w:rsid w:val="753541F8"/>
    <w:rsid w:val="753716A3"/>
    <w:rsid w:val="75824D9D"/>
    <w:rsid w:val="75AB1C93"/>
    <w:rsid w:val="75BF0528"/>
    <w:rsid w:val="75CB34FA"/>
    <w:rsid w:val="76045978"/>
    <w:rsid w:val="761B163F"/>
    <w:rsid w:val="761F3505"/>
    <w:rsid w:val="76277FE4"/>
    <w:rsid w:val="763267CE"/>
    <w:rsid w:val="765F1AF7"/>
    <w:rsid w:val="76810114"/>
    <w:rsid w:val="76911902"/>
    <w:rsid w:val="76982C90"/>
    <w:rsid w:val="769A6A08"/>
    <w:rsid w:val="76E41762"/>
    <w:rsid w:val="76EE2721"/>
    <w:rsid w:val="76F43604"/>
    <w:rsid w:val="76F70978"/>
    <w:rsid w:val="77055B4F"/>
    <w:rsid w:val="7711659E"/>
    <w:rsid w:val="7717316E"/>
    <w:rsid w:val="7722255A"/>
    <w:rsid w:val="7726029C"/>
    <w:rsid w:val="77603777"/>
    <w:rsid w:val="77644920"/>
    <w:rsid w:val="77901BB9"/>
    <w:rsid w:val="779D3D11"/>
    <w:rsid w:val="77A66F32"/>
    <w:rsid w:val="77C7479C"/>
    <w:rsid w:val="77C84383"/>
    <w:rsid w:val="77D9530E"/>
    <w:rsid w:val="77ED700C"/>
    <w:rsid w:val="77FB78AA"/>
    <w:rsid w:val="783C67A5"/>
    <w:rsid w:val="785133AA"/>
    <w:rsid w:val="78600FD8"/>
    <w:rsid w:val="78645BB9"/>
    <w:rsid w:val="788334CC"/>
    <w:rsid w:val="788E3223"/>
    <w:rsid w:val="78A37E47"/>
    <w:rsid w:val="78B6564F"/>
    <w:rsid w:val="78E06AB0"/>
    <w:rsid w:val="78FB7425"/>
    <w:rsid w:val="79165CF7"/>
    <w:rsid w:val="79224A93"/>
    <w:rsid w:val="792720A9"/>
    <w:rsid w:val="795F4A3B"/>
    <w:rsid w:val="798E0318"/>
    <w:rsid w:val="79953AA8"/>
    <w:rsid w:val="79A24E4F"/>
    <w:rsid w:val="79A54D9F"/>
    <w:rsid w:val="79AF62F8"/>
    <w:rsid w:val="79BA4CCB"/>
    <w:rsid w:val="79BD71CD"/>
    <w:rsid w:val="7A0128FA"/>
    <w:rsid w:val="7A501F2E"/>
    <w:rsid w:val="7A655ED8"/>
    <w:rsid w:val="7A6F6722"/>
    <w:rsid w:val="7AB756AF"/>
    <w:rsid w:val="7ABB5A9F"/>
    <w:rsid w:val="7ACF29F8"/>
    <w:rsid w:val="7AD66C6A"/>
    <w:rsid w:val="7AD93877"/>
    <w:rsid w:val="7AEC1379"/>
    <w:rsid w:val="7B4056A4"/>
    <w:rsid w:val="7B4F2A51"/>
    <w:rsid w:val="7B573D00"/>
    <w:rsid w:val="7B8B2DC3"/>
    <w:rsid w:val="7B8F3F36"/>
    <w:rsid w:val="7B915F00"/>
    <w:rsid w:val="7BC97448"/>
    <w:rsid w:val="7BF36B1E"/>
    <w:rsid w:val="7BF70459"/>
    <w:rsid w:val="7BFC0690"/>
    <w:rsid w:val="7C0C6DAD"/>
    <w:rsid w:val="7C1728A9"/>
    <w:rsid w:val="7C1D50F5"/>
    <w:rsid w:val="7C2766D2"/>
    <w:rsid w:val="7C321491"/>
    <w:rsid w:val="7C6106D5"/>
    <w:rsid w:val="7C6151AF"/>
    <w:rsid w:val="7C920181"/>
    <w:rsid w:val="7CC540BD"/>
    <w:rsid w:val="7CD026F4"/>
    <w:rsid w:val="7CE07802"/>
    <w:rsid w:val="7CF22837"/>
    <w:rsid w:val="7D004607"/>
    <w:rsid w:val="7D020E63"/>
    <w:rsid w:val="7D423759"/>
    <w:rsid w:val="7D695F1A"/>
    <w:rsid w:val="7D6D25D4"/>
    <w:rsid w:val="7D753793"/>
    <w:rsid w:val="7D7B0C16"/>
    <w:rsid w:val="7DA243F4"/>
    <w:rsid w:val="7DA261A2"/>
    <w:rsid w:val="7DD956AA"/>
    <w:rsid w:val="7DFF1847"/>
    <w:rsid w:val="7E0230E5"/>
    <w:rsid w:val="7E110805"/>
    <w:rsid w:val="7E2D5B39"/>
    <w:rsid w:val="7E857F9E"/>
    <w:rsid w:val="7E8F7533"/>
    <w:rsid w:val="7E941F8F"/>
    <w:rsid w:val="7EAA3560"/>
    <w:rsid w:val="7EB94460"/>
    <w:rsid w:val="7EC60F9F"/>
    <w:rsid w:val="7ED160D1"/>
    <w:rsid w:val="7F043A1B"/>
    <w:rsid w:val="7F1070CB"/>
    <w:rsid w:val="7F1D01D6"/>
    <w:rsid w:val="7F343772"/>
    <w:rsid w:val="7F3C4743"/>
    <w:rsid w:val="7F4244D3"/>
    <w:rsid w:val="7F507FDA"/>
    <w:rsid w:val="7F523FDB"/>
    <w:rsid w:val="7F541B9F"/>
    <w:rsid w:val="7F7325F8"/>
    <w:rsid w:val="7F88470B"/>
    <w:rsid w:val="7F911C85"/>
    <w:rsid w:val="7FA2692E"/>
    <w:rsid w:val="7FA92BB9"/>
    <w:rsid w:val="7FD10FC1"/>
    <w:rsid w:val="7FE71D25"/>
    <w:rsid w:val="7FEA5B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99" w:semiHidden="0" w:name="index 6"/>
    <w:lsdException w:qFormat="1"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99"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pPr>
    <w:rPr>
      <w:rFonts w:ascii="Times New Roman" w:hAnsi="Times New Roman" w:eastAsia="Times New Roman" w:cs="Times New Roman"/>
      <w:color w:val="000000"/>
      <w:sz w:val="24"/>
      <w:szCs w:val="24"/>
      <w:lang w:val="en-US" w:eastAsia="en-US" w:bidi="en-US"/>
    </w:rPr>
  </w:style>
  <w:style w:type="paragraph" w:styleId="2">
    <w:name w:val="heading 1"/>
    <w:basedOn w:val="1"/>
    <w:next w:val="1"/>
    <w:autoRedefine/>
    <w:qFormat/>
    <w:uiPriority w:val="0"/>
    <w:pPr>
      <w:keepNext/>
      <w:keepLines/>
      <w:spacing w:line="360" w:lineRule="auto"/>
      <w:jc w:val="center"/>
      <w:outlineLvl w:val="0"/>
    </w:pPr>
    <w:rPr>
      <w:b/>
      <w:bCs/>
      <w:kern w:val="44"/>
      <w:sz w:val="44"/>
      <w:szCs w:val="44"/>
    </w:rPr>
  </w:style>
  <w:style w:type="paragraph" w:styleId="3">
    <w:name w:val="heading 2"/>
    <w:basedOn w:val="1"/>
    <w:next w:val="1"/>
    <w:autoRedefine/>
    <w:qFormat/>
    <w:uiPriority w:val="0"/>
    <w:pPr>
      <w:tabs>
        <w:tab w:val="left" w:pos="540"/>
      </w:tabs>
      <w:adjustRightInd w:val="0"/>
      <w:snapToGrid w:val="0"/>
      <w:spacing w:line="360" w:lineRule="auto"/>
      <w:jc w:val="center"/>
      <w:outlineLvl w:val="1"/>
    </w:pPr>
    <w:rPr>
      <w:rFonts w:ascii="Arial" w:hAnsi="Arial"/>
      <w:b/>
      <w:sz w:val="28"/>
      <w:szCs w:val="20"/>
    </w:rPr>
  </w:style>
  <w:style w:type="paragraph" w:styleId="4">
    <w:name w:val="heading 3"/>
    <w:basedOn w:val="1"/>
    <w:next w:val="5"/>
    <w:autoRedefine/>
    <w:qFormat/>
    <w:uiPriority w:val="9"/>
    <w:pPr>
      <w:keepNext/>
      <w:keepLines/>
      <w:spacing w:before="260" w:after="260" w:line="416" w:lineRule="auto"/>
      <w:outlineLvl w:val="2"/>
    </w:pPr>
    <w:rPr>
      <w:b/>
      <w:bCs/>
      <w:sz w:val="32"/>
      <w:szCs w:val="32"/>
    </w:rPr>
  </w:style>
  <w:style w:type="paragraph" w:styleId="6">
    <w:name w:val="heading 4"/>
    <w:basedOn w:val="1"/>
    <w:next w:val="1"/>
    <w:autoRedefine/>
    <w:qFormat/>
    <w:uiPriority w:val="9"/>
    <w:pPr>
      <w:keepNext/>
      <w:keepLines/>
      <w:spacing w:before="200"/>
      <w:outlineLvl w:val="3"/>
    </w:pPr>
    <w:rPr>
      <w:i/>
      <w:iCs/>
      <w:color w:val="4F81BD"/>
      <w:sz w:val="20"/>
      <w:szCs w:val="20"/>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5">
    <w:name w:val="Normal Indent"/>
    <w:basedOn w:val="1"/>
    <w:autoRedefine/>
    <w:qFormat/>
    <w:uiPriority w:val="0"/>
    <w:pPr>
      <w:autoSpaceDE w:val="0"/>
      <w:autoSpaceDN w:val="0"/>
      <w:adjustRightInd w:val="0"/>
      <w:ind w:firstLine="420"/>
    </w:pPr>
    <w:rPr>
      <w:rFonts w:ascii="宋体"/>
      <w:szCs w:val="20"/>
    </w:rPr>
  </w:style>
  <w:style w:type="paragraph" w:styleId="7">
    <w:name w:val="table of authorities"/>
    <w:basedOn w:val="1"/>
    <w:next w:val="1"/>
    <w:autoRedefine/>
    <w:qFormat/>
    <w:uiPriority w:val="99"/>
    <w:pPr>
      <w:ind w:left="420" w:leftChars="200"/>
    </w:pPr>
  </w:style>
  <w:style w:type="paragraph" w:styleId="8">
    <w:name w:val="caption"/>
    <w:basedOn w:val="1"/>
    <w:next w:val="1"/>
    <w:semiHidden/>
    <w:unhideWhenUsed/>
    <w:qFormat/>
    <w:uiPriority w:val="35"/>
    <w:rPr>
      <w:rFonts w:eastAsia="黑体" w:asciiTheme="majorHAnsi" w:hAnsiTheme="majorHAnsi" w:cstheme="majorBidi"/>
      <w:sz w:val="20"/>
      <w:szCs w:val="20"/>
    </w:rPr>
  </w:style>
  <w:style w:type="paragraph" w:styleId="9">
    <w:name w:val="toa heading"/>
    <w:basedOn w:val="1"/>
    <w:next w:val="1"/>
    <w:autoRedefine/>
    <w:qFormat/>
    <w:uiPriority w:val="0"/>
    <w:pPr>
      <w:spacing w:before="120"/>
    </w:pPr>
    <w:rPr>
      <w:rFonts w:ascii="Cambria" w:hAnsi="Cambria"/>
      <w:szCs w:val="20"/>
    </w:rPr>
  </w:style>
  <w:style w:type="paragraph" w:styleId="10">
    <w:name w:val="annotation text"/>
    <w:basedOn w:val="1"/>
    <w:autoRedefine/>
    <w:qFormat/>
    <w:uiPriority w:val="0"/>
  </w:style>
  <w:style w:type="paragraph" w:styleId="11">
    <w:name w:val="index 6"/>
    <w:basedOn w:val="1"/>
    <w:next w:val="1"/>
    <w:qFormat/>
    <w:uiPriority w:val="99"/>
    <w:pPr>
      <w:ind w:left="2100"/>
    </w:pPr>
  </w:style>
  <w:style w:type="paragraph" w:styleId="12">
    <w:name w:val="Body Text"/>
    <w:basedOn w:val="1"/>
    <w:autoRedefine/>
    <w:qFormat/>
    <w:uiPriority w:val="99"/>
    <w:pPr>
      <w:numPr>
        <w:ilvl w:val="0"/>
        <w:numId w:val="1"/>
      </w:numPr>
      <w:tabs>
        <w:tab w:val="clear" w:pos="780"/>
      </w:tabs>
      <w:ind w:left="0" w:firstLine="0"/>
    </w:pPr>
    <w:rPr>
      <w:rFonts w:ascii="黑体" w:eastAsia="黑体"/>
      <w:sz w:val="22"/>
    </w:rPr>
  </w:style>
  <w:style w:type="paragraph" w:styleId="13">
    <w:name w:val="Body Text Indent"/>
    <w:basedOn w:val="1"/>
    <w:autoRedefine/>
    <w:qFormat/>
    <w:uiPriority w:val="0"/>
    <w:pPr>
      <w:spacing w:after="120"/>
      <w:ind w:left="200" w:leftChars="200"/>
    </w:pPr>
  </w:style>
  <w:style w:type="paragraph" w:styleId="14">
    <w:name w:val="Plain Text"/>
    <w:basedOn w:val="1"/>
    <w:autoRedefine/>
    <w:qFormat/>
    <w:uiPriority w:val="0"/>
    <w:rPr>
      <w:rFonts w:ascii="宋体"/>
      <w:szCs w:val="20"/>
      <w:u w:color="000000"/>
    </w:rPr>
  </w:style>
  <w:style w:type="paragraph" w:styleId="15">
    <w:name w:val="Date"/>
    <w:basedOn w:val="1"/>
    <w:next w:val="1"/>
    <w:autoRedefine/>
    <w:qFormat/>
    <w:uiPriority w:val="0"/>
    <w:rPr>
      <w:rFonts w:ascii="Arial" w:hAnsi="Arial" w:eastAsia="仿宋_GB2312"/>
      <w:sz w:val="32"/>
      <w:szCs w:val="20"/>
      <w:u w:color="000000"/>
    </w:rPr>
  </w:style>
  <w:style w:type="paragraph" w:styleId="16">
    <w:name w:val="footer"/>
    <w:basedOn w:val="1"/>
    <w:autoRedefine/>
    <w:qFormat/>
    <w:uiPriority w:val="0"/>
    <w:pPr>
      <w:tabs>
        <w:tab w:val="center" w:pos="4153"/>
        <w:tab w:val="right" w:pos="8306"/>
      </w:tabs>
      <w:snapToGrid w:val="0"/>
    </w:pPr>
    <w:rPr>
      <w:sz w:val="18"/>
    </w:rPr>
  </w:style>
  <w:style w:type="paragraph" w:styleId="1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8">
    <w:name w:val="toc 1"/>
    <w:basedOn w:val="1"/>
    <w:next w:val="1"/>
    <w:autoRedefine/>
    <w:qFormat/>
    <w:uiPriority w:val="0"/>
  </w:style>
  <w:style w:type="paragraph" w:styleId="19">
    <w:name w:val="footnote text"/>
    <w:basedOn w:val="1"/>
    <w:autoRedefine/>
    <w:semiHidden/>
    <w:unhideWhenUsed/>
    <w:qFormat/>
    <w:uiPriority w:val="99"/>
    <w:pPr>
      <w:snapToGrid w:val="0"/>
    </w:pPr>
    <w:rPr>
      <w:sz w:val="18"/>
      <w:szCs w:val="18"/>
    </w:rPr>
  </w:style>
  <w:style w:type="paragraph" w:styleId="20">
    <w:name w:val="index 7"/>
    <w:basedOn w:val="1"/>
    <w:next w:val="1"/>
    <w:autoRedefine/>
    <w:qFormat/>
    <w:uiPriority w:val="0"/>
    <w:pPr>
      <w:ind w:left="1200" w:leftChars="1200"/>
    </w:pPr>
    <w:rPr>
      <w:color w:val="auto"/>
      <w:kern w:val="2"/>
    </w:rPr>
  </w:style>
  <w:style w:type="paragraph" w:styleId="21">
    <w:name w:val="Body Text 2"/>
    <w:basedOn w:val="1"/>
    <w:autoRedefine/>
    <w:qFormat/>
    <w:uiPriority w:val="0"/>
    <w:pPr>
      <w:tabs>
        <w:tab w:val="left" w:pos="0"/>
      </w:tabs>
      <w:spacing w:line="400" w:lineRule="atLeast"/>
    </w:pPr>
    <w:rPr>
      <w:rFonts w:ascii="Arial" w:hAnsi="Arial"/>
    </w:rPr>
  </w:style>
  <w:style w:type="paragraph" w:styleId="22">
    <w:name w:val="Normal (Web)"/>
    <w:basedOn w:val="1"/>
    <w:autoRedefine/>
    <w:qFormat/>
    <w:uiPriority w:val="99"/>
    <w:pPr>
      <w:widowControl/>
    </w:pPr>
    <w:rPr>
      <w:rFonts w:ascii="宋体" w:hAnsi="宋体" w:eastAsia="宋体" w:cs="宋体"/>
    </w:rPr>
  </w:style>
  <w:style w:type="paragraph" w:styleId="23">
    <w:name w:val="Body Text First Indent"/>
    <w:basedOn w:val="12"/>
    <w:autoRedefine/>
    <w:qFormat/>
    <w:uiPriority w:val="0"/>
    <w:pPr>
      <w:tabs>
        <w:tab w:val="left" w:pos="630"/>
        <w:tab w:val="left" w:pos="780"/>
      </w:tabs>
      <w:spacing w:after="120"/>
      <w:ind w:firstLine="100" w:firstLineChars="100"/>
      <w:jc w:val="both"/>
    </w:pPr>
    <w:rPr>
      <w:rFonts w:ascii="Times New Roman"/>
      <w:sz w:val="21"/>
    </w:rPr>
  </w:style>
  <w:style w:type="paragraph" w:styleId="24">
    <w:name w:val="Body Text First Indent 2"/>
    <w:basedOn w:val="13"/>
    <w:autoRedefine/>
    <w:qFormat/>
    <w:uiPriority w:val="99"/>
    <w:pPr>
      <w:ind w:firstLine="420" w:firstLineChars="200"/>
    </w:pPr>
    <w:rPr>
      <w:rFonts w:ascii="仿宋_GB2312" w:hAnsi="Calibri"/>
    </w:rPr>
  </w:style>
  <w:style w:type="table" w:styleId="26">
    <w:name w:val="Table Grid"/>
    <w:basedOn w:val="2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autoRedefine/>
    <w:qFormat/>
    <w:uiPriority w:val="0"/>
    <w:rPr>
      <w:b/>
      <w:bCs/>
    </w:rPr>
  </w:style>
  <w:style w:type="character" w:styleId="29">
    <w:name w:val="Hyperlink"/>
    <w:autoRedefine/>
    <w:qFormat/>
    <w:uiPriority w:val="99"/>
    <w:rPr>
      <w:color w:val="0000FF"/>
      <w:u w:val="single"/>
    </w:rPr>
  </w:style>
  <w:style w:type="character" w:styleId="30">
    <w:name w:val="footnote reference"/>
    <w:basedOn w:val="27"/>
    <w:autoRedefine/>
    <w:semiHidden/>
    <w:unhideWhenUsed/>
    <w:qFormat/>
    <w:uiPriority w:val="99"/>
    <w:rPr>
      <w:vertAlign w:val="superscript"/>
    </w:rPr>
  </w:style>
  <w:style w:type="character" w:styleId="31">
    <w:name w:val="HTML Sample"/>
    <w:basedOn w:val="27"/>
    <w:autoRedefine/>
    <w:qFormat/>
    <w:uiPriority w:val="0"/>
    <w:rPr>
      <w:rFonts w:ascii="Courier New" w:hAnsi="Courier New"/>
    </w:rPr>
  </w:style>
  <w:style w:type="paragraph" w:customStyle="1" w:styleId="32">
    <w:name w:val="_Style 2"/>
    <w:basedOn w:val="2"/>
    <w:next w:val="1"/>
    <w:autoRedefine/>
    <w:qFormat/>
    <w:uiPriority w:val="39"/>
    <w:pPr>
      <w:widowControl/>
      <w:tabs>
        <w:tab w:val="left" w:pos="715"/>
      </w:tabs>
      <w:spacing w:before="480" w:line="276" w:lineRule="auto"/>
      <w:jc w:val="left"/>
      <w:outlineLvl w:val="9"/>
    </w:pPr>
    <w:rPr>
      <w:rFonts w:ascii="Cambria" w:hAnsi="Cambria" w:eastAsia="宋体"/>
      <w:color w:val="365F91"/>
      <w:kern w:val="0"/>
      <w:sz w:val="28"/>
      <w:szCs w:val="28"/>
    </w:rPr>
  </w:style>
  <w:style w:type="paragraph" w:customStyle="1" w:styleId="33">
    <w:name w:val="二级标题"/>
    <w:basedOn w:val="2"/>
    <w:next w:val="1"/>
    <w:autoRedefine/>
    <w:qFormat/>
    <w:uiPriority w:val="0"/>
    <w:pPr>
      <w:numPr>
        <w:ilvl w:val="0"/>
        <w:numId w:val="2"/>
      </w:numPr>
      <w:spacing w:line="415" w:lineRule="auto"/>
      <w:ind w:left="226" w:hanging="226" w:hangingChars="75"/>
      <w:outlineLvl w:val="1"/>
    </w:pPr>
    <w:rPr>
      <w:sz w:val="30"/>
      <w:szCs w:val="28"/>
    </w:rPr>
  </w:style>
  <w:style w:type="paragraph" w:customStyle="1" w:styleId="34">
    <w:name w:val="正文格式"/>
    <w:basedOn w:val="1"/>
    <w:autoRedefine/>
    <w:qFormat/>
    <w:uiPriority w:val="99"/>
    <w:pPr>
      <w:widowControl/>
      <w:adjustRightInd w:val="0"/>
      <w:snapToGrid w:val="0"/>
      <w:spacing w:line="400" w:lineRule="atLeast"/>
      <w:ind w:firstLine="482"/>
      <w:textAlignment w:val="baseline"/>
    </w:pPr>
  </w:style>
  <w:style w:type="paragraph" w:customStyle="1" w:styleId="35">
    <w:name w:val="文档正文"/>
    <w:basedOn w:val="5"/>
    <w:autoRedefine/>
    <w:qFormat/>
    <w:uiPriority w:val="0"/>
    <w:pPr>
      <w:spacing w:line="360" w:lineRule="auto"/>
    </w:pPr>
    <w:rPr>
      <w:rFonts w:hAnsi="宋体"/>
      <w:b/>
      <w:bCs/>
    </w:rPr>
  </w:style>
  <w:style w:type="paragraph" w:customStyle="1" w:styleId="36">
    <w:name w:val="Default"/>
    <w:next w:val="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7">
    <w:name w:val="Heading #2|1"/>
    <w:basedOn w:val="1"/>
    <w:autoRedefine/>
    <w:qFormat/>
    <w:uiPriority w:val="0"/>
    <w:pPr>
      <w:spacing w:before="60" w:after="270"/>
      <w:jc w:val="center"/>
      <w:outlineLvl w:val="1"/>
    </w:pPr>
    <w:rPr>
      <w:rFonts w:ascii="宋体" w:hAnsi="宋体" w:eastAsia="宋体" w:cs="宋体"/>
      <w:sz w:val="36"/>
      <w:szCs w:val="36"/>
      <w:lang w:val="zh-TW" w:eastAsia="zh-TW" w:bidi="zh-TW"/>
    </w:rPr>
  </w:style>
  <w:style w:type="paragraph" w:customStyle="1" w:styleId="38">
    <w:name w:val="Body text|2"/>
    <w:basedOn w:val="1"/>
    <w:autoRedefine/>
    <w:qFormat/>
    <w:uiPriority w:val="0"/>
    <w:pPr>
      <w:spacing w:after="260"/>
      <w:ind w:firstLine="140"/>
    </w:pPr>
    <w:rPr>
      <w:rFonts w:ascii="宋体" w:hAnsi="宋体" w:eastAsia="宋体" w:cs="宋体"/>
      <w:sz w:val="30"/>
      <w:szCs w:val="30"/>
      <w:lang w:val="zh-TW" w:eastAsia="zh-TW" w:bidi="zh-TW"/>
    </w:rPr>
  </w:style>
  <w:style w:type="paragraph" w:customStyle="1" w:styleId="39">
    <w:name w:val="Body text|1"/>
    <w:basedOn w:val="1"/>
    <w:autoRedefine/>
    <w:qFormat/>
    <w:uiPriority w:val="0"/>
    <w:pPr>
      <w:spacing w:line="454" w:lineRule="auto"/>
      <w:ind w:firstLine="140"/>
    </w:pPr>
    <w:rPr>
      <w:rFonts w:ascii="宋体" w:hAnsi="宋体" w:eastAsia="宋体" w:cs="宋体"/>
      <w:sz w:val="22"/>
      <w:szCs w:val="22"/>
      <w:lang w:val="zh-TW" w:eastAsia="zh-TW" w:bidi="zh-TW"/>
    </w:rPr>
  </w:style>
  <w:style w:type="paragraph" w:customStyle="1" w:styleId="40">
    <w:name w:val="Other|1"/>
    <w:basedOn w:val="1"/>
    <w:autoRedefine/>
    <w:qFormat/>
    <w:uiPriority w:val="0"/>
    <w:pPr>
      <w:spacing w:line="454" w:lineRule="auto"/>
      <w:ind w:firstLine="140"/>
    </w:pPr>
    <w:rPr>
      <w:rFonts w:ascii="宋体" w:hAnsi="宋体" w:eastAsia="宋体" w:cs="宋体"/>
      <w:sz w:val="22"/>
      <w:szCs w:val="22"/>
      <w:lang w:val="zh-TW" w:eastAsia="zh-TW" w:bidi="zh-TW"/>
    </w:rPr>
  </w:style>
  <w:style w:type="paragraph" w:customStyle="1" w:styleId="41">
    <w:name w:val="Table caption|1"/>
    <w:basedOn w:val="1"/>
    <w:autoRedefine/>
    <w:qFormat/>
    <w:uiPriority w:val="0"/>
    <w:rPr>
      <w:rFonts w:ascii="宋体" w:hAnsi="宋体" w:eastAsia="宋体" w:cs="宋体"/>
      <w:sz w:val="22"/>
      <w:szCs w:val="22"/>
      <w:lang w:val="zh-TW" w:eastAsia="zh-TW" w:bidi="zh-TW"/>
    </w:rPr>
  </w:style>
  <w:style w:type="paragraph" w:customStyle="1" w:styleId="42">
    <w:name w:val="Table Paragraph"/>
    <w:basedOn w:val="1"/>
    <w:autoRedefine/>
    <w:qFormat/>
    <w:uiPriority w:val="1"/>
    <w:pPr>
      <w:autoSpaceDE w:val="0"/>
      <w:autoSpaceDN w:val="0"/>
      <w:adjustRightInd w:val="0"/>
    </w:pPr>
    <w:rPr>
      <w:rFonts w:eastAsia="宋体"/>
    </w:rPr>
  </w:style>
  <w:style w:type="paragraph" w:customStyle="1" w:styleId="43">
    <w:name w:val="black1"/>
    <w:basedOn w:val="1"/>
    <w:autoRedefine/>
    <w:qFormat/>
    <w:uiPriority w:val="0"/>
    <w:pPr>
      <w:widowControl/>
      <w:spacing w:before="100" w:beforeAutospacing="1" w:after="100" w:afterAutospacing="1" w:line="280" w:lineRule="atLeast"/>
    </w:pPr>
    <w:rPr>
      <w:rFonts w:ascii="_x000B__x000C_" w:hAnsi="_x000B__x000C_"/>
      <w:sz w:val="18"/>
      <w:szCs w:val="18"/>
    </w:rPr>
  </w:style>
  <w:style w:type="paragraph" w:customStyle="1" w:styleId="44">
    <w:name w:val="图例"/>
    <w:basedOn w:val="1"/>
    <w:autoRedefine/>
    <w:qFormat/>
    <w:uiPriority w:val="0"/>
    <w:pPr>
      <w:spacing w:before="120" w:after="120" w:line="360" w:lineRule="auto"/>
      <w:jc w:val="center"/>
    </w:pPr>
    <w:rPr>
      <w:rFonts w:eastAsia="仿宋_GB2312"/>
      <w:b/>
    </w:rPr>
  </w:style>
  <w:style w:type="paragraph" w:customStyle="1" w:styleId="45">
    <w:name w:val="WPS Plain"/>
    <w:autoRedefine/>
    <w:qFormat/>
    <w:uiPriority w:val="0"/>
    <w:rPr>
      <w:rFonts w:ascii="Times New Roman" w:hAnsi="Times New Roman" w:eastAsia="宋体" w:cs="Times New Roman"/>
      <w:lang w:val="en-US" w:eastAsia="zh-CN" w:bidi="ar-SA"/>
    </w:rPr>
  </w:style>
  <w:style w:type="paragraph" w:customStyle="1" w:styleId="46">
    <w:name w:val="样式 左侧:  0 厘米 悬挂缩进: 2.5 字符"/>
    <w:basedOn w:val="1"/>
    <w:autoRedefine/>
    <w:qFormat/>
    <w:uiPriority w:val="0"/>
    <w:pPr>
      <w:ind w:left="525" w:hanging="525" w:hangingChars="250"/>
    </w:pPr>
    <w:rPr>
      <w:szCs w:val="20"/>
    </w:rPr>
  </w:style>
  <w:style w:type="character" w:customStyle="1" w:styleId="47">
    <w:name w:val="font11"/>
    <w:basedOn w:val="27"/>
    <w:autoRedefine/>
    <w:qFormat/>
    <w:uiPriority w:val="0"/>
    <w:rPr>
      <w:rFonts w:ascii="Calibri" w:hAnsi="Calibri" w:cs="Calibri"/>
      <w:color w:val="000000"/>
      <w:sz w:val="20"/>
      <w:szCs w:val="20"/>
      <w:u w:val="none"/>
    </w:rPr>
  </w:style>
  <w:style w:type="table" w:customStyle="1" w:styleId="48">
    <w:name w:val="TableGrid"/>
    <w:basedOn w:val="25"/>
    <w:autoRedefine/>
    <w:qFormat/>
    <w:uiPriority w:val="0"/>
    <w:rPr>
      <w:rFonts w:hint="eastAsia" w:ascii="等线" w:hAnsi="等线" w:eastAsia="等线" w:cs="等线"/>
      <w:kern w:val="2"/>
      <w:sz w:val="21"/>
      <w:szCs w:val="22"/>
    </w:rPr>
    <w:tblPr>
      <w:tblCellMar>
        <w:left w:w="0" w:type="dxa"/>
        <w:right w:w="0" w:type="dxa"/>
      </w:tblCellMar>
    </w:tblPr>
  </w:style>
  <w:style w:type="paragraph" w:styleId="49">
    <w:name w:val="List Paragraph"/>
    <w:basedOn w:val="1"/>
    <w:autoRedefine/>
    <w:unhideWhenUsed/>
    <w:qFormat/>
    <w:uiPriority w:val="0"/>
    <w:pPr>
      <w:ind w:firstLine="200" w:firstLineChars="200"/>
    </w:pPr>
    <w:rPr>
      <w:sz w:val="21"/>
    </w:rPr>
  </w:style>
  <w:style w:type="paragraph" w:customStyle="1" w:styleId="50">
    <w:name w:val="正文缩进2格"/>
    <w:basedOn w:val="1"/>
    <w:autoRedefine/>
    <w:qFormat/>
    <w:uiPriority w:val="0"/>
    <w:pPr>
      <w:spacing w:line="600" w:lineRule="exact"/>
      <w:ind w:firstLine="639" w:firstLineChars="206"/>
    </w:pPr>
    <w:rPr>
      <w:rFonts w:ascii="仿宋_GB2312" w:hAnsi="宋体" w:eastAsia="仿宋_GB2312"/>
      <w:sz w:val="31"/>
      <w:szCs w:val="28"/>
    </w:rPr>
  </w:style>
  <w:style w:type="paragraph" w:customStyle="1" w:styleId="51">
    <w:name w:val="WPSOffice手动目录 1"/>
    <w:autoRedefine/>
    <w:qFormat/>
    <w:uiPriority w:val="0"/>
    <w:rPr>
      <w:rFonts w:ascii="Times New Roman" w:hAnsi="Times New Roman" w:eastAsia="宋体" w:cs="Times New Roman"/>
      <w:lang w:val="en-US" w:eastAsia="zh-CN" w:bidi="ar-SA"/>
    </w:rPr>
  </w:style>
  <w:style w:type="paragraph" w:customStyle="1" w:styleId="52">
    <w:name w:val="列表段落1"/>
    <w:basedOn w:val="1"/>
    <w:autoRedefine/>
    <w:qFormat/>
    <w:uiPriority w:val="34"/>
    <w:pPr>
      <w:ind w:firstLine="420" w:firstLineChars="200"/>
    </w:pPr>
  </w:style>
  <w:style w:type="character" w:customStyle="1" w:styleId="53">
    <w:name w:val="font51"/>
    <w:basedOn w:val="27"/>
    <w:autoRedefine/>
    <w:qFormat/>
    <w:uiPriority w:val="0"/>
    <w:rPr>
      <w:rFonts w:hint="eastAsia" w:ascii="仿宋" w:hAnsi="仿宋" w:eastAsia="仿宋" w:cs="仿宋"/>
      <w:color w:val="000000"/>
      <w:sz w:val="22"/>
      <w:szCs w:val="22"/>
      <w:u w:val="none"/>
    </w:rPr>
  </w:style>
  <w:style w:type="character" w:customStyle="1" w:styleId="54">
    <w:name w:val="font31"/>
    <w:basedOn w:val="27"/>
    <w:autoRedefine/>
    <w:qFormat/>
    <w:uiPriority w:val="0"/>
    <w:rPr>
      <w:rFonts w:hint="eastAsia" w:ascii="仿宋" w:hAnsi="仿宋" w:eastAsia="仿宋" w:cs="仿宋"/>
      <w:b/>
      <w:color w:val="000000"/>
      <w:sz w:val="22"/>
      <w:szCs w:val="22"/>
      <w:u w:val="none"/>
    </w:rPr>
  </w:style>
  <w:style w:type="character" w:customStyle="1" w:styleId="55">
    <w:name w:val="font21"/>
    <w:basedOn w:val="27"/>
    <w:autoRedefine/>
    <w:qFormat/>
    <w:uiPriority w:val="0"/>
    <w:rPr>
      <w:rFonts w:hint="eastAsia" w:ascii="宋体" w:hAnsi="宋体" w:eastAsia="宋体" w:cs="宋体"/>
      <w:b/>
      <w:color w:val="000000"/>
      <w:sz w:val="22"/>
      <w:szCs w:val="22"/>
      <w:u w:val="none"/>
    </w:rPr>
  </w:style>
  <w:style w:type="character" w:customStyle="1" w:styleId="56">
    <w:name w:val="font01"/>
    <w:basedOn w:val="27"/>
    <w:autoRedefine/>
    <w:qFormat/>
    <w:uiPriority w:val="0"/>
    <w:rPr>
      <w:rFonts w:hint="eastAsia" w:ascii="宋体" w:hAnsi="宋体" w:eastAsia="宋体" w:cs="宋体"/>
      <w:color w:val="444444"/>
      <w:sz w:val="22"/>
      <w:szCs w:val="22"/>
      <w:u w:val="none"/>
    </w:rPr>
  </w:style>
  <w:style w:type="character" w:customStyle="1" w:styleId="57">
    <w:name w:val="font41"/>
    <w:basedOn w:val="27"/>
    <w:autoRedefine/>
    <w:qFormat/>
    <w:uiPriority w:val="0"/>
    <w:rPr>
      <w:rFonts w:hint="eastAsia" w:ascii="宋体" w:hAnsi="宋体" w:eastAsia="宋体" w:cs="宋体"/>
      <w:color w:val="444444"/>
      <w:sz w:val="22"/>
      <w:szCs w:val="22"/>
      <w:u w:val="none"/>
    </w:rPr>
  </w:style>
  <w:style w:type="paragraph" w:customStyle="1" w:styleId="58">
    <w:name w:val="正文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9">
    <w:name w:val="列出段落1"/>
    <w:basedOn w:val="1"/>
    <w:autoRedefine/>
    <w:qFormat/>
    <w:uiPriority w:val="99"/>
    <w:pPr>
      <w:widowControl/>
      <w:adjustRightInd w:val="0"/>
      <w:snapToGrid w:val="0"/>
      <w:spacing w:after="200"/>
      <w:ind w:firstLine="420" w:firstLineChars="200"/>
    </w:pPr>
    <w:rPr>
      <w:rFonts w:ascii="Tahoma" w:hAnsi="Tahoma" w:eastAsia="微软雅黑" w:cs="Tahoma"/>
      <w:sz w:val="22"/>
      <w:szCs w:val="22"/>
    </w:rPr>
  </w:style>
  <w:style w:type="paragraph" w:customStyle="1" w:styleId="60">
    <w:name w:val="正文_8"/>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61">
    <w:name w:val="正文文本_0_0"/>
    <w:basedOn w:val="60"/>
    <w:autoRedefine/>
    <w:qFormat/>
    <w:uiPriority w:val="1"/>
    <w:pPr>
      <w:autoSpaceDE w:val="0"/>
      <w:autoSpaceDN w:val="0"/>
      <w:ind w:left="220"/>
      <w:jc w:val="left"/>
    </w:pPr>
    <w:rPr>
      <w:rFonts w:ascii="仿宋" w:hAnsi="仿宋" w:eastAsia="仿宋"/>
      <w:kern w:val="0"/>
      <w:sz w:val="32"/>
      <w:szCs w:val="32"/>
      <w:lang w:eastAsia="en-US"/>
    </w:rPr>
  </w:style>
  <w:style w:type="paragraph" w:customStyle="1" w:styleId="62">
    <w:name w:val="标题 L1"/>
    <w:basedOn w:val="2"/>
    <w:next w:val="1"/>
    <w:qFormat/>
    <w:uiPriority w:val="0"/>
    <w:pPr>
      <w:spacing w:before="120" w:after="120"/>
      <w:jc w:val="left"/>
    </w:pPr>
    <w:rPr>
      <w:rFonts w:eastAsia="仿宋" w:asciiTheme="minorEastAsia" w:hAnsiTheme="minorEastAsia"/>
      <w:sz w:val="30"/>
    </w:rPr>
  </w:style>
  <w:style w:type="table" w:customStyle="1" w:styleId="63">
    <w:name w:val="Table Normal"/>
    <w:autoRedefine/>
    <w:semiHidden/>
    <w:unhideWhenUsed/>
    <w:qFormat/>
    <w:uiPriority w:val="0"/>
    <w:tblPr>
      <w:tblCellMar>
        <w:top w:w="0" w:type="dxa"/>
        <w:left w:w="0" w:type="dxa"/>
        <w:bottom w:w="0" w:type="dxa"/>
        <w:right w:w="0" w:type="dxa"/>
      </w:tblCellMar>
    </w:tblPr>
  </w:style>
  <w:style w:type="character" w:customStyle="1" w:styleId="64">
    <w:name w:val="font91"/>
    <w:basedOn w:val="27"/>
    <w:qFormat/>
    <w:uiPriority w:val="0"/>
    <w:rPr>
      <w:rFonts w:hint="eastAsia" w:ascii="宋体" w:hAnsi="宋体" w:eastAsia="宋体" w:cs="宋体"/>
      <w:color w:val="000000"/>
      <w:sz w:val="28"/>
      <w:szCs w:val="28"/>
      <w:u w:val="none"/>
    </w:rPr>
  </w:style>
  <w:style w:type="character" w:customStyle="1" w:styleId="65">
    <w:name w:val="font131"/>
    <w:basedOn w:val="27"/>
    <w:qFormat/>
    <w:uiPriority w:val="0"/>
    <w:rPr>
      <w:rFonts w:ascii="Calibri" w:hAnsi="Calibri" w:cs="Calibri"/>
      <w:color w:val="000000"/>
      <w:sz w:val="28"/>
      <w:szCs w:val="28"/>
      <w:u w:val="none"/>
    </w:rPr>
  </w:style>
  <w:style w:type="paragraph" w:customStyle="1" w:styleId="66">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67">
    <w:name w:val="Table Text"/>
    <w:basedOn w:val="1"/>
    <w:autoRedefine/>
    <w:semiHidden/>
    <w:qFormat/>
    <w:uiPriority w:val="0"/>
    <w:rPr>
      <w:rFonts w:ascii="仿宋" w:hAnsi="仿宋" w:eastAsia="仿宋" w:cs="仿宋"/>
      <w:sz w:val="24"/>
      <w:szCs w:val="24"/>
      <w:lang w:val="en-US" w:eastAsia="en-US" w:bidi="ar-SA"/>
    </w:rPr>
  </w:style>
  <w:style w:type="character" w:customStyle="1" w:styleId="68">
    <w:name w:val="font141"/>
    <w:basedOn w:val="27"/>
    <w:qFormat/>
    <w:uiPriority w:val="0"/>
    <w:rPr>
      <w:rFonts w:ascii="Calibri" w:hAnsi="Calibri" w:cs="Calibri"/>
      <w:color w:val="000000"/>
      <w:sz w:val="28"/>
      <w:szCs w:val="28"/>
      <w:u w:val="none"/>
    </w:rPr>
  </w:style>
  <w:style w:type="paragraph" w:customStyle="1" w:styleId="69">
    <w:name w:val="标题 L2"/>
    <w:basedOn w:val="3"/>
    <w:next w:val="1"/>
    <w:qFormat/>
    <w:uiPriority w:val="0"/>
    <w:pPr>
      <w:numPr>
        <w:ilvl w:val="1"/>
        <w:numId w:val="3"/>
      </w:numPr>
      <w:spacing w:before="50" w:beforeLines="50" w:after="50" w:afterLines="50" w:line="240" w:lineRule="auto"/>
      <w:ind w:left="567"/>
      <w:jc w:val="left"/>
    </w:pPr>
    <w:rPr>
      <w:rFonts w:ascii="宋体" w:hAnsi="宋体" w:eastAsia="宋体" w:cs="宋体"/>
      <w:sz w:val="21"/>
      <w:szCs w:val="21"/>
    </w:rPr>
  </w:style>
  <w:style w:type="paragraph" w:customStyle="1" w:styleId="70">
    <w:name w:val="标题 L3"/>
    <w:basedOn w:val="4"/>
    <w:next w:val="1"/>
    <w:qFormat/>
    <w:uiPriority w:val="0"/>
    <w:pPr>
      <w:numPr>
        <w:ilvl w:val="2"/>
        <w:numId w:val="3"/>
      </w:numPr>
      <w:spacing w:before="0" w:after="0" w:line="360" w:lineRule="auto"/>
      <w:ind w:left="567"/>
    </w:pPr>
    <w:rPr>
      <w:rFonts w:ascii="宋体" w:hAnsi="宋体" w:cs="宋体"/>
      <w:sz w:val="21"/>
      <w:szCs w:val="21"/>
    </w:rPr>
  </w:style>
  <w:style w:type="paragraph" w:customStyle="1" w:styleId="71">
    <w:name w:val="标题 L4"/>
    <w:basedOn w:val="6"/>
    <w:next w:val="1"/>
    <w:qFormat/>
    <w:uiPriority w:val="0"/>
    <w:pPr>
      <w:numPr>
        <w:ilvl w:val="3"/>
        <w:numId w:val="3"/>
      </w:numPr>
      <w:spacing w:before="0" w:after="0" w:line="360" w:lineRule="auto"/>
      <w:ind w:left="709" w:hanging="709"/>
      <w:jc w:val="left"/>
    </w:pPr>
    <w:rPr>
      <w:rFonts w:ascii="宋体" w:hAnsi="宋体" w:eastAsia="宋体"/>
      <w:kern w:val="44"/>
      <w:sz w:val="21"/>
      <w:szCs w:val="21"/>
    </w:rPr>
  </w:style>
  <w:style w:type="paragraph" w:customStyle="1" w:styleId="72">
    <w:name w:val="_Style 7"/>
    <w:basedOn w:val="1"/>
    <w:qFormat/>
    <w:uiPriority w:val="0"/>
    <w:pPr>
      <w:spacing w:before="340" w:after="330"/>
      <w:ind w:firstLine="420" w:firstLineChars="200"/>
    </w:pPr>
    <w:rPr>
      <w:rFonts w:ascii="Calibri" w:hAnsi="Calibri" w:cs="Times New Roman"/>
      <w:kern w:val="0"/>
      <w:sz w:val="20"/>
      <w:szCs w:val="20"/>
    </w:rPr>
  </w:style>
  <w:style w:type="paragraph" w:customStyle="1" w:styleId="73">
    <w:name w:val="无间隔1"/>
    <w:qFormat/>
    <w:uiPriority w:val="1"/>
    <w:pPr>
      <w:widowControl w:val="0"/>
      <w:jc w:val="both"/>
    </w:pPr>
    <w:rPr>
      <w:rFonts w:ascii="Calibri" w:hAnsi="Calibri" w:eastAsia="宋体" w:cs="黑体"/>
      <w:kern w:val="2"/>
      <w:sz w:val="21"/>
      <w:szCs w:val="22"/>
      <w:lang w:val="en-US" w:eastAsia="zh-CN" w:bidi="ar-SA"/>
    </w:rPr>
  </w:style>
  <w:style w:type="paragraph" w:customStyle="1" w:styleId="74">
    <w:name w:val="投标文件 正文首行缩进"/>
    <w:basedOn w:val="24"/>
    <w:qFormat/>
    <w:uiPriority w:val="0"/>
    <w:pPr>
      <w:spacing w:after="220" w:line="360" w:lineRule="auto"/>
      <w:ind w:left="0" w:leftChars="0" w:firstLine="200"/>
    </w:pPr>
    <w:rPr>
      <w:rFonts w:ascii="Arial" w:hAnsi="Arial"/>
      <w:szCs w:val="24"/>
    </w:rPr>
  </w:style>
  <w:style w:type="paragraph" w:customStyle="1" w:styleId="75">
    <w:name w:val="列表（符号一级）（绿盟科技）"/>
    <w:basedOn w:val="1"/>
    <w:qFormat/>
    <w:uiPriority w:val="0"/>
    <w:pPr>
      <w:widowControl/>
      <w:spacing w:line="300" w:lineRule="auto"/>
      <w:ind w:left="840" w:hanging="420"/>
      <w:jc w:val="left"/>
    </w:pPr>
    <w:rPr>
      <w:rFonts w:ascii="Arial" w:hAnsi="Arial" w:eastAsiaTheme="minorEastAsia"/>
      <w:kern w:val="0"/>
    </w:rPr>
  </w:style>
  <w:style w:type="paragraph" w:customStyle="1" w:styleId="76">
    <w:name w:val="正文1"/>
    <w:basedOn w:val="1"/>
    <w:qFormat/>
    <w:uiPriority w:val="0"/>
    <w:pPr>
      <w:widowControl/>
      <w:spacing w:line="360" w:lineRule="auto"/>
      <w:ind w:left="360" w:firstLine="420"/>
      <w:jc w:val="left"/>
    </w:pPr>
    <w:rPr>
      <w:rFonts w:ascii="Times New Roman" w:hAnsi="Times New Roman" w:cs="宋体"/>
      <w:kern w:val="0"/>
      <w:sz w:val="20"/>
      <w:szCs w:val="20"/>
    </w:rPr>
  </w:style>
  <w:style w:type="paragraph" w:customStyle="1" w:styleId="77">
    <w:name w:val="段"/>
    <w:qFormat/>
    <w:uiPriority w:val="0"/>
    <w:pPr>
      <w:autoSpaceDE w:val="0"/>
      <w:autoSpaceDN w:val="0"/>
      <w:ind w:firstLine="200" w:firstLineChars="200"/>
      <w:jc w:val="both"/>
    </w:pPr>
    <w:rPr>
      <w:rFonts w:ascii="宋体" w:hAnsi="Times New Roman" w:eastAsia="宋体" w:cs="宋体"/>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svg"/><Relationship Id="rId13" Type="http://schemas.openxmlformats.org/officeDocument/2006/relationships/image" Target="media/image3.png"/><Relationship Id="rId12" Type="http://schemas.openxmlformats.org/officeDocument/2006/relationships/image" Target="media/image2.sv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172</Pages>
  <Words>32641</Words>
  <Characters>34713</Characters>
  <Lines>426</Lines>
  <Paragraphs>120</Paragraphs>
  <TotalTime>1</TotalTime>
  <ScaleCrop>false</ScaleCrop>
  <LinksUpToDate>false</LinksUpToDate>
  <CharactersWithSpaces>36029</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2021-12-16T05:31:00Z</dcterms:created>
  <dc:creator>梦花雨   甘安莉</dc:creator>
  <cp:lastModifiedBy>『林小墨』﹉</cp:lastModifiedBy>
  <cp:lastPrinted>2024-11-05T09:51:00Z</cp:lastPrinted>
  <dcterms:modified xsi:type="dcterms:W3CDTF">2024-11-07T02:42:10Z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9A02948232C545DDAE366C16BE4D8448_13</vt:lpwstr>
  </property>
</Properties>
</file>