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310EA2">
      <w:pPr>
        <w:jc w:val="center"/>
        <w:rPr>
          <w:rFonts w:hint="eastAsia" w:ascii="宋体" w:hAnsi="宋体" w:eastAsia="宋体" w:cs="宋体"/>
          <w:b/>
          <w:bCs/>
          <w:sz w:val="52"/>
          <w:szCs w:val="52"/>
          <w:highlight w:val="none"/>
          <w:lang w:val="en-US" w:eastAsia="zh-CN"/>
        </w:rPr>
      </w:pPr>
    </w:p>
    <w:p w14:paraId="6A222B4B">
      <w:pPr>
        <w:pStyle w:val="20"/>
        <w:rPr>
          <w:rFonts w:hint="eastAsia" w:ascii="宋体" w:hAnsi="宋体" w:eastAsia="宋体" w:cs="宋体"/>
          <w:b/>
          <w:bCs/>
          <w:sz w:val="52"/>
          <w:szCs w:val="52"/>
          <w:highlight w:val="none"/>
          <w:lang w:val="en-US" w:eastAsia="zh-CN"/>
        </w:rPr>
      </w:pPr>
    </w:p>
    <w:p w14:paraId="571A7CE7">
      <w:pPr>
        <w:rPr>
          <w:rFonts w:hint="eastAsia" w:ascii="宋体" w:hAnsi="宋体" w:eastAsia="宋体" w:cs="宋体"/>
          <w:highlight w:val="none"/>
          <w:lang w:val="en-US" w:eastAsia="zh-CN"/>
        </w:rPr>
      </w:pPr>
    </w:p>
    <w:p w14:paraId="5645E286">
      <w:pPr>
        <w:jc w:val="center"/>
        <w:outlineLvl w:val="0"/>
        <w:rPr>
          <w:rFonts w:hint="eastAsia" w:ascii="宋体" w:hAnsi="宋体" w:eastAsia="宋体" w:cs="宋体"/>
          <w:sz w:val="16"/>
          <w:szCs w:val="20"/>
          <w:highlight w:val="none"/>
          <w:lang w:val="en-US"/>
        </w:rPr>
      </w:pPr>
      <w:r>
        <w:rPr>
          <w:rFonts w:hint="eastAsia" w:ascii="宋体" w:hAnsi="宋体" w:eastAsia="宋体" w:cs="宋体"/>
          <w:b/>
          <w:bCs/>
          <w:sz w:val="60"/>
          <w:szCs w:val="60"/>
          <w:highlight w:val="none"/>
        </w:rPr>
        <w:t>政府采购项目</w:t>
      </w:r>
    </w:p>
    <w:p w14:paraId="30BBA34B">
      <w:pPr>
        <w:jc w:val="center"/>
        <w:rPr>
          <w:rFonts w:hint="eastAsia" w:ascii="宋体" w:hAnsi="宋体" w:eastAsia="宋体" w:cs="宋体"/>
          <w:sz w:val="28"/>
          <w:szCs w:val="28"/>
          <w:highlight w:val="none"/>
        </w:rPr>
      </w:pPr>
      <w:r>
        <w:rPr>
          <w:rFonts w:hint="eastAsia" w:ascii="宋体" w:hAnsi="宋体" w:eastAsia="宋体" w:cs="宋体"/>
          <w:b/>
          <w:bCs/>
          <w:sz w:val="60"/>
          <w:szCs w:val="60"/>
          <w:highlight w:val="none"/>
        </w:rPr>
        <w:t>公开招标文件</w:t>
      </w:r>
    </w:p>
    <w:p w14:paraId="63B45D6D">
      <w:pPr>
        <w:pStyle w:val="90"/>
        <w:rPr>
          <w:rFonts w:hint="eastAsia" w:ascii="宋体" w:hAnsi="宋体" w:eastAsia="宋体" w:cs="宋体"/>
          <w:sz w:val="28"/>
          <w:szCs w:val="28"/>
          <w:highlight w:val="none"/>
        </w:rPr>
      </w:pPr>
      <w:bookmarkStart w:id="345" w:name="_GoBack"/>
      <w:bookmarkEnd w:id="345"/>
    </w:p>
    <w:p w14:paraId="4608B288">
      <w:pPr>
        <w:pStyle w:val="8"/>
        <w:rPr>
          <w:rFonts w:hint="eastAsia" w:ascii="宋体" w:hAnsi="宋体" w:eastAsia="宋体" w:cs="宋体"/>
          <w:highlight w:val="none"/>
        </w:rPr>
      </w:pPr>
    </w:p>
    <w:p w14:paraId="2CA304E2">
      <w:pPr>
        <w:rPr>
          <w:rFonts w:hint="eastAsia" w:ascii="宋体" w:hAnsi="宋体" w:eastAsia="宋体" w:cs="宋体"/>
          <w:highlight w:val="none"/>
          <w:lang w:val="zh-CN"/>
        </w:rPr>
      </w:pPr>
    </w:p>
    <w:p w14:paraId="00B162FC">
      <w:pPr>
        <w:pStyle w:val="90"/>
        <w:rPr>
          <w:rFonts w:hint="eastAsia" w:ascii="宋体" w:hAnsi="宋体" w:eastAsia="宋体" w:cs="宋体"/>
          <w:highlight w:val="none"/>
          <w:lang w:val="zh-CN"/>
        </w:rPr>
      </w:pPr>
    </w:p>
    <w:p w14:paraId="63140A1D">
      <w:pPr>
        <w:pStyle w:val="90"/>
        <w:rPr>
          <w:rFonts w:hint="eastAsia" w:ascii="宋体" w:hAnsi="宋体" w:eastAsia="宋体" w:cs="宋体"/>
          <w:highlight w:val="none"/>
          <w:lang w:val="zh-CN"/>
        </w:rPr>
      </w:pPr>
    </w:p>
    <w:p w14:paraId="45C3E549">
      <w:pPr>
        <w:pStyle w:val="90"/>
        <w:rPr>
          <w:rFonts w:hint="eastAsia" w:ascii="宋体" w:hAnsi="宋体" w:eastAsia="宋体" w:cs="宋体"/>
          <w:highlight w:val="none"/>
          <w:lang w:val="zh-CN"/>
        </w:rPr>
      </w:pPr>
    </w:p>
    <w:p w14:paraId="0659E8BA">
      <w:pPr>
        <w:pStyle w:val="90"/>
        <w:rPr>
          <w:rFonts w:hint="eastAsia" w:ascii="宋体" w:hAnsi="宋体" w:eastAsia="宋体" w:cs="宋体"/>
          <w:highlight w:val="none"/>
          <w:lang w:val="zh-CN"/>
        </w:rPr>
      </w:pPr>
    </w:p>
    <w:p w14:paraId="23897685">
      <w:pPr>
        <w:pStyle w:val="90"/>
        <w:rPr>
          <w:rFonts w:hint="eastAsia" w:ascii="宋体" w:hAnsi="宋体" w:eastAsia="宋体" w:cs="宋体"/>
          <w:highlight w:val="none"/>
          <w:lang w:val="zh-CN"/>
        </w:rPr>
      </w:pPr>
    </w:p>
    <w:p w14:paraId="6DB396C3">
      <w:pPr>
        <w:pStyle w:val="90"/>
        <w:rPr>
          <w:rFonts w:hint="eastAsia" w:ascii="宋体" w:hAnsi="宋体" w:eastAsia="宋体" w:cs="宋体"/>
          <w:highlight w:val="none"/>
          <w:lang w:val="zh-CN"/>
        </w:rPr>
      </w:pPr>
    </w:p>
    <w:p w14:paraId="3DE38BAE">
      <w:pPr>
        <w:ind w:left="0" w:leftChars="0" w:firstLine="0" w:firstLineChars="0"/>
        <w:rPr>
          <w:rFonts w:hint="eastAsia" w:ascii="宋体" w:hAnsi="宋体" w:eastAsia="宋体" w:cs="宋体"/>
          <w:highlight w:val="none"/>
          <w:lang w:val="zh-CN"/>
        </w:rPr>
      </w:pPr>
    </w:p>
    <w:p w14:paraId="5B69A295">
      <w:pPr>
        <w:tabs>
          <w:tab w:val="left" w:pos="3240"/>
          <w:tab w:val="left" w:pos="3420"/>
        </w:tabs>
        <w:spacing w:line="360" w:lineRule="auto"/>
        <w:ind w:left="2832" w:leftChars="444" w:hanging="1900" w:hangingChars="528"/>
        <w:jc w:val="left"/>
        <w:rPr>
          <w:rFonts w:hint="default" w:ascii="宋体" w:hAnsi="宋体" w:eastAsia="宋体" w:cs="宋体"/>
          <w:bCs/>
          <w:sz w:val="36"/>
          <w:szCs w:val="36"/>
          <w:highlight w:val="none"/>
          <w:u w:val="single"/>
          <w:lang w:val="en-US" w:eastAsia="zh-CN"/>
        </w:rPr>
      </w:pPr>
      <w:r>
        <w:rPr>
          <w:rFonts w:hint="eastAsia" w:ascii="宋体" w:hAnsi="宋体" w:eastAsia="宋体" w:cs="宋体"/>
          <w:bCs/>
          <w:sz w:val="36"/>
          <w:szCs w:val="36"/>
          <w:highlight w:val="none"/>
        </w:rPr>
        <w:t>项目名称：</w:t>
      </w:r>
      <w:r>
        <w:rPr>
          <w:rFonts w:hint="eastAsia" w:ascii="宋体" w:hAnsi="宋体" w:cs="宋体"/>
          <w:bCs/>
          <w:sz w:val="36"/>
          <w:szCs w:val="36"/>
          <w:highlight w:val="none"/>
          <w:u w:val="single"/>
          <w:lang w:eastAsia="zh-CN"/>
        </w:rPr>
        <w:t>和田地区洛浦县维吾尔医医院饮片类、辅料及药包材采购项目（</w:t>
      </w:r>
      <w:r>
        <w:rPr>
          <w:rFonts w:hint="eastAsia" w:ascii="宋体" w:hAnsi="宋体" w:cs="宋体"/>
          <w:bCs/>
          <w:sz w:val="36"/>
          <w:szCs w:val="36"/>
          <w:highlight w:val="none"/>
          <w:u w:val="single"/>
          <w:lang w:val="en-US" w:eastAsia="zh-CN"/>
        </w:rPr>
        <w:t>包七）</w:t>
      </w:r>
    </w:p>
    <w:p w14:paraId="23F9F17F">
      <w:pPr>
        <w:tabs>
          <w:tab w:val="left" w:pos="3240"/>
          <w:tab w:val="left" w:pos="3420"/>
        </w:tabs>
        <w:spacing w:line="360" w:lineRule="auto"/>
        <w:ind w:left="2832" w:leftChars="444" w:hanging="1900" w:hangingChars="528"/>
        <w:jc w:val="left"/>
        <w:rPr>
          <w:rFonts w:hint="default" w:ascii="宋体" w:hAnsi="宋体" w:eastAsia="宋体" w:cs="宋体"/>
          <w:bCs/>
          <w:color w:val="000000" w:themeColor="text1"/>
          <w:sz w:val="36"/>
          <w:szCs w:val="36"/>
          <w:highlight w:val="none"/>
          <w:u w:val="single"/>
          <w:lang w:val="en-US" w:eastAsia="zh-CN"/>
          <w14:textFill>
            <w14:solidFill>
              <w14:schemeClr w14:val="tx1"/>
            </w14:solidFill>
          </w14:textFill>
        </w:rPr>
      </w:pPr>
      <w:r>
        <w:rPr>
          <w:rFonts w:hint="eastAsia" w:ascii="宋体" w:hAnsi="宋体" w:eastAsia="宋体" w:cs="宋体"/>
          <w:bCs/>
          <w:sz w:val="36"/>
          <w:szCs w:val="36"/>
          <w:highlight w:val="none"/>
        </w:rPr>
        <w:t>项目编号/包号</w:t>
      </w:r>
      <w:r>
        <w:rPr>
          <w:rFonts w:hint="eastAsia" w:ascii="宋体" w:hAnsi="宋体" w:eastAsia="宋体" w:cs="宋体"/>
          <w:bCs/>
          <w:color w:val="000000" w:themeColor="text1"/>
          <w:sz w:val="36"/>
          <w:szCs w:val="36"/>
          <w:highlight w:val="none"/>
          <w:u w:val="single"/>
          <w14:textFill>
            <w14:solidFill>
              <w14:schemeClr w14:val="tx1"/>
            </w14:solidFill>
          </w14:textFill>
        </w:rPr>
        <w:t>：</w:t>
      </w:r>
      <w:r>
        <w:rPr>
          <w:rFonts w:hint="eastAsia" w:ascii="宋体" w:hAnsi="宋体" w:cs="宋体"/>
          <w:bCs/>
          <w:color w:val="000000" w:themeColor="text1"/>
          <w:sz w:val="36"/>
          <w:szCs w:val="36"/>
          <w:highlight w:val="none"/>
          <w:u w:val="single"/>
          <w:lang w:val="en-US" w:eastAsia="zh-CN"/>
          <w14:textFill>
            <w14:solidFill>
              <w14:schemeClr w14:val="tx1"/>
            </w14:solidFill>
          </w14:textFill>
        </w:rPr>
        <w:t>XJXJ-2024-012-07</w:t>
      </w:r>
    </w:p>
    <w:p w14:paraId="2B010A6F">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val="en-US" w:eastAsia="zh-CN"/>
        </w:rPr>
      </w:pPr>
      <w:r>
        <w:rPr>
          <w:rFonts w:hint="eastAsia" w:ascii="宋体" w:hAnsi="宋体" w:eastAsia="宋体" w:cs="宋体"/>
          <w:bCs/>
          <w:sz w:val="36"/>
          <w:szCs w:val="36"/>
          <w:highlight w:val="none"/>
        </w:rPr>
        <w:t>采购人：</w:t>
      </w:r>
      <w:r>
        <w:rPr>
          <w:rFonts w:hint="eastAsia" w:ascii="宋体" w:hAnsi="宋体" w:cs="宋体"/>
          <w:bCs/>
          <w:sz w:val="36"/>
          <w:szCs w:val="36"/>
          <w:highlight w:val="none"/>
          <w:u w:val="single"/>
          <w:lang w:val="en-US" w:eastAsia="zh-CN"/>
        </w:rPr>
        <w:t>洛浦县维吾尔医医院</w:t>
      </w:r>
    </w:p>
    <w:p w14:paraId="1986C1D4">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eastAsia="zh-CN"/>
        </w:rPr>
      </w:pPr>
      <w:r>
        <w:rPr>
          <w:rFonts w:hint="eastAsia" w:ascii="宋体" w:hAnsi="宋体" w:eastAsia="宋体" w:cs="宋体"/>
          <w:bCs/>
          <w:sz w:val="36"/>
          <w:szCs w:val="36"/>
          <w:highlight w:val="none"/>
        </w:rPr>
        <w:t>采购代理机构：</w:t>
      </w:r>
      <w:r>
        <w:rPr>
          <w:rFonts w:hint="eastAsia" w:ascii="宋体" w:hAnsi="宋体" w:cs="宋体"/>
          <w:bCs/>
          <w:sz w:val="36"/>
          <w:szCs w:val="36"/>
          <w:highlight w:val="none"/>
          <w:u w:val="single"/>
          <w:lang w:val="en-US" w:eastAsia="zh-CN"/>
        </w:rPr>
        <w:t>新疆晓君招标有限公司</w:t>
      </w:r>
    </w:p>
    <w:p w14:paraId="23E92674">
      <w:pPr>
        <w:autoSpaceDE w:val="0"/>
        <w:autoSpaceDN w:val="0"/>
        <w:jc w:val="center"/>
        <w:rPr>
          <w:rFonts w:hint="eastAsia" w:ascii="宋体" w:hAnsi="宋体" w:eastAsia="宋体" w:cs="宋体"/>
          <w:bCs/>
          <w:sz w:val="44"/>
          <w:szCs w:val="44"/>
          <w:highlight w:val="none"/>
          <w:lang w:val="zh-CN"/>
        </w:rPr>
      </w:pPr>
    </w:p>
    <w:p w14:paraId="4CD565D9">
      <w:pPr>
        <w:shd w:val="clear" w:color="auto" w:fill="auto"/>
        <w:jc w:val="center"/>
        <w:rPr>
          <w:rFonts w:hint="eastAsia" w:ascii="宋体" w:hAnsi="宋体" w:eastAsia="宋体" w:cs="宋体"/>
          <w:b/>
          <w:bCs/>
          <w:color w:val="auto"/>
          <w:sz w:val="36"/>
          <w:szCs w:val="36"/>
          <w:highlight w:val="none"/>
        </w:rPr>
        <w:sectPr>
          <w:headerReference r:id="rId5" w:type="default"/>
          <w:footerReference r:id="rId6" w:type="default"/>
          <w:type w:val="continuous"/>
          <w:pgSz w:w="11905" w:h="16838"/>
          <w:pgMar w:top="1304" w:right="964" w:bottom="1020" w:left="1191" w:header="567" w:footer="454" w:gutter="0"/>
          <w:cols w:space="720" w:num="1"/>
          <w:rtlGutter w:val="0"/>
          <w:docGrid w:type="lines" w:linePitch="317" w:charSpace="0"/>
        </w:sectPr>
      </w:pPr>
      <w:r>
        <w:rPr>
          <w:rFonts w:hint="eastAsia" w:ascii="宋体" w:hAnsi="宋体" w:cs="宋体"/>
          <w:b/>
          <w:bCs/>
          <w:color w:val="auto"/>
          <w:sz w:val="30"/>
          <w:szCs w:val="30"/>
          <w:highlight w:val="none"/>
          <w:lang w:eastAsia="zh-CN"/>
        </w:rPr>
        <w:t>2024年</w:t>
      </w:r>
      <w:r>
        <w:rPr>
          <w:rFonts w:hint="eastAsia" w:ascii="宋体" w:hAnsi="宋体" w:cs="宋体"/>
          <w:b/>
          <w:bCs/>
          <w:color w:val="auto"/>
          <w:sz w:val="30"/>
          <w:szCs w:val="30"/>
          <w:highlight w:val="none"/>
          <w:lang w:val="en-US" w:eastAsia="zh-CN"/>
        </w:rPr>
        <w:t>8</w:t>
      </w:r>
      <w:r>
        <w:rPr>
          <w:rFonts w:hint="eastAsia" w:ascii="宋体" w:hAnsi="宋体" w:eastAsia="宋体" w:cs="宋体"/>
          <w:b/>
          <w:bCs/>
          <w:color w:val="auto"/>
          <w:sz w:val="30"/>
          <w:szCs w:val="30"/>
          <w:highlight w:val="none"/>
        </w:rPr>
        <w:t>月</w:t>
      </w:r>
    </w:p>
    <w:p w14:paraId="01952FF1">
      <w:pPr>
        <w:autoSpaceDE w:val="0"/>
        <w:autoSpaceDN w:val="0"/>
        <w:ind w:left="0" w:leftChars="0" w:firstLine="0" w:firstLineChars="0"/>
        <w:jc w:val="both"/>
        <w:rPr>
          <w:rFonts w:hint="eastAsia" w:ascii="宋体" w:hAnsi="宋体" w:eastAsia="宋体" w:cs="宋体"/>
          <w:bCs/>
          <w:sz w:val="44"/>
          <w:szCs w:val="44"/>
          <w:highlight w:val="none"/>
          <w:lang w:val="zh-CN"/>
        </w:rPr>
      </w:pPr>
    </w:p>
    <w:p w14:paraId="34F52928">
      <w:pPr>
        <w:autoSpaceDE w:val="0"/>
        <w:autoSpaceDN w:val="0"/>
        <w:adjustRightInd w:val="0"/>
        <w:ind w:left="4375" w:leftChars="150" w:hanging="4060" w:hangingChars="1450"/>
        <w:rPr>
          <w:rFonts w:hint="eastAsia" w:ascii="宋体" w:hAnsi="宋体" w:eastAsia="宋体" w:cs="宋体"/>
          <w:bCs/>
          <w:kern w:val="0"/>
          <w:sz w:val="28"/>
          <w:szCs w:val="28"/>
          <w:highlight w:val="none"/>
          <w:lang w:val="zh-CN"/>
        </w:rPr>
      </w:pPr>
    </w:p>
    <w:p w14:paraId="2D67AEF1">
      <w:pPr>
        <w:autoSpaceDE w:val="0"/>
        <w:autoSpaceDN w:val="0"/>
        <w:adjustRightInd w:val="0"/>
        <w:ind w:left="4375" w:leftChars="150" w:hanging="4060" w:hangingChars="1450"/>
        <w:rPr>
          <w:rFonts w:hint="eastAsia" w:ascii="宋体" w:hAnsi="宋体" w:eastAsia="宋体" w:cs="宋体"/>
          <w:bCs/>
          <w:kern w:val="0"/>
          <w:sz w:val="28"/>
          <w:szCs w:val="28"/>
          <w:highlight w:val="none"/>
          <w:lang w:val="zh-CN"/>
        </w:rPr>
      </w:pPr>
    </w:p>
    <w:p w14:paraId="458480C6">
      <w:pPr>
        <w:spacing w:line="240" w:lineRule="auto"/>
        <w:rPr>
          <w:rFonts w:hint="eastAsia" w:ascii="宋体" w:hAnsi="宋体" w:eastAsia="宋体" w:cs="宋体"/>
          <w:b/>
          <w:bCs/>
          <w:color w:val="auto"/>
          <w:sz w:val="24"/>
          <w:highlight w:val="none"/>
        </w:rPr>
      </w:pPr>
    </w:p>
    <w:p w14:paraId="796A14E7">
      <w:pPr>
        <w:spacing w:line="24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招投标监督管理机构备案登记栏：</w:t>
      </w:r>
    </w:p>
    <w:tbl>
      <w:tblPr>
        <w:tblStyle w:val="72"/>
        <w:tblW w:w="9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6"/>
      </w:tblGrid>
      <w:tr w14:paraId="10E51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1" w:hRule="atLeast"/>
          <w:jc w:val="center"/>
        </w:trPr>
        <w:tc>
          <w:tcPr>
            <w:tcW w:w="9106" w:type="dxa"/>
            <w:noWrap w:val="0"/>
            <w:vAlign w:val="top"/>
          </w:tcPr>
          <w:p w14:paraId="5D779B36">
            <w:pPr>
              <w:spacing w:line="240" w:lineRule="auto"/>
              <w:jc w:val="center"/>
              <w:rPr>
                <w:rFonts w:hint="eastAsia" w:ascii="宋体" w:hAnsi="宋体" w:eastAsia="宋体" w:cs="宋体"/>
                <w:color w:val="auto"/>
                <w:sz w:val="24"/>
                <w:highlight w:val="none"/>
              </w:rPr>
            </w:pPr>
          </w:p>
          <w:p w14:paraId="60A7FF64">
            <w:pPr>
              <w:spacing w:line="240" w:lineRule="auto"/>
              <w:jc w:val="center"/>
              <w:rPr>
                <w:rFonts w:hint="eastAsia" w:ascii="宋体" w:hAnsi="宋体" w:eastAsia="宋体" w:cs="宋体"/>
                <w:color w:val="auto"/>
                <w:sz w:val="24"/>
                <w:highlight w:val="none"/>
              </w:rPr>
            </w:pPr>
          </w:p>
          <w:p w14:paraId="66D80E46">
            <w:pPr>
              <w:spacing w:line="240" w:lineRule="auto"/>
              <w:rPr>
                <w:rFonts w:hint="eastAsia" w:ascii="宋体" w:hAnsi="宋体" w:eastAsia="宋体" w:cs="宋体"/>
                <w:color w:val="auto"/>
                <w:sz w:val="24"/>
                <w:highlight w:val="none"/>
              </w:rPr>
            </w:pPr>
          </w:p>
          <w:p w14:paraId="46E8774C">
            <w:pPr>
              <w:spacing w:line="240" w:lineRule="auto"/>
              <w:rPr>
                <w:rFonts w:hint="eastAsia" w:ascii="宋体" w:hAnsi="宋体" w:eastAsia="宋体" w:cs="宋体"/>
                <w:color w:val="auto"/>
                <w:sz w:val="24"/>
                <w:highlight w:val="none"/>
              </w:rPr>
            </w:pPr>
          </w:p>
          <w:p w14:paraId="53DA3AF9">
            <w:pPr>
              <w:spacing w:line="240" w:lineRule="auto"/>
              <w:jc w:val="center"/>
              <w:rPr>
                <w:rFonts w:hint="eastAsia" w:ascii="宋体" w:hAnsi="宋体" w:eastAsia="宋体" w:cs="宋体"/>
                <w:color w:val="auto"/>
                <w:sz w:val="24"/>
                <w:highlight w:val="none"/>
              </w:rPr>
            </w:pPr>
          </w:p>
          <w:p w14:paraId="41B8CC95">
            <w:pPr>
              <w:widowControl/>
              <w:spacing w:after="120" w:line="240" w:lineRule="auto"/>
              <w:ind w:left="420" w:right="0" w:firstLine="540"/>
              <w:jc w:val="left"/>
              <w:rPr>
                <w:rFonts w:hint="eastAsia" w:ascii="宋体" w:hAnsi="宋体" w:eastAsia="宋体" w:cs="宋体"/>
                <w:color w:val="auto"/>
                <w:kern w:val="0"/>
                <w:sz w:val="20"/>
                <w:highlight w:val="none"/>
                <w:lang w:val="en-US" w:eastAsia="zh-CN" w:bidi="ar-SA"/>
              </w:rPr>
            </w:pPr>
          </w:p>
          <w:p w14:paraId="3F1C9CD3">
            <w:pPr>
              <w:spacing w:line="240" w:lineRule="auto"/>
              <w:rPr>
                <w:rFonts w:hint="eastAsia" w:ascii="宋体" w:hAnsi="宋体" w:eastAsia="宋体" w:cs="宋体"/>
                <w:color w:val="auto"/>
                <w:sz w:val="24"/>
                <w:highlight w:val="none"/>
              </w:rPr>
            </w:pPr>
          </w:p>
          <w:p w14:paraId="48B1ED46">
            <w:pPr>
              <w:spacing w:line="240" w:lineRule="auto"/>
              <w:jc w:val="center"/>
              <w:rPr>
                <w:rFonts w:hint="eastAsia" w:ascii="宋体" w:hAnsi="宋体" w:eastAsia="宋体" w:cs="宋体"/>
                <w:color w:val="auto"/>
                <w:sz w:val="24"/>
                <w:highlight w:val="none"/>
              </w:rPr>
            </w:pPr>
          </w:p>
          <w:p w14:paraId="6FB71D01">
            <w:pPr>
              <w:spacing w:line="240" w:lineRule="auto"/>
              <w:jc w:val="center"/>
              <w:rPr>
                <w:rFonts w:hint="eastAsia" w:ascii="宋体" w:hAnsi="宋体" w:eastAsia="宋体" w:cs="宋体"/>
                <w:color w:val="auto"/>
                <w:sz w:val="24"/>
                <w:highlight w:val="none"/>
              </w:rPr>
            </w:pPr>
          </w:p>
          <w:p w14:paraId="66F30C02">
            <w:pPr>
              <w:spacing w:line="240" w:lineRule="auto"/>
              <w:jc w:val="center"/>
              <w:rPr>
                <w:rFonts w:hint="eastAsia" w:ascii="宋体" w:hAnsi="宋体" w:eastAsia="宋体" w:cs="宋体"/>
                <w:color w:val="auto"/>
                <w:sz w:val="24"/>
                <w:highlight w:val="none"/>
              </w:rPr>
            </w:pPr>
          </w:p>
          <w:p w14:paraId="405379BE">
            <w:pPr>
              <w:spacing w:line="240" w:lineRule="auto"/>
              <w:jc w:val="center"/>
              <w:rPr>
                <w:rFonts w:hint="eastAsia" w:ascii="宋体" w:hAnsi="宋体" w:eastAsia="宋体" w:cs="宋体"/>
                <w:color w:val="auto"/>
                <w:sz w:val="24"/>
                <w:highlight w:val="none"/>
              </w:rPr>
            </w:pPr>
          </w:p>
          <w:p w14:paraId="338CF534">
            <w:pPr>
              <w:spacing w:line="240" w:lineRule="auto"/>
              <w:jc w:val="center"/>
              <w:rPr>
                <w:rFonts w:hint="eastAsia" w:ascii="宋体" w:hAnsi="宋体" w:eastAsia="宋体" w:cs="宋体"/>
                <w:color w:val="auto"/>
                <w:sz w:val="24"/>
                <w:highlight w:val="none"/>
              </w:rPr>
            </w:pPr>
          </w:p>
          <w:p w14:paraId="7359DC88">
            <w:pPr>
              <w:spacing w:line="240" w:lineRule="auto"/>
              <w:jc w:val="center"/>
              <w:rPr>
                <w:rFonts w:hint="eastAsia" w:ascii="宋体" w:hAnsi="宋体" w:eastAsia="宋体" w:cs="宋体"/>
                <w:color w:val="auto"/>
                <w:sz w:val="24"/>
                <w:highlight w:val="none"/>
              </w:rPr>
            </w:pPr>
          </w:p>
          <w:p w14:paraId="5FB99023">
            <w:pPr>
              <w:spacing w:line="240" w:lineRule="auto"/>
              <w:jc w:val="center"/>
              <w:rPr>
                <w:rFonts w:hint="eastAsia" w:ascii="宋体" w:hAnsi="宋体" w:eastAsia="宋体" w:cs="宋体"/>
                <w:color w:val="auto"/>
                <w:sz w:val="24"/>
                <w:highlight w:val="none"/>
              </w:rPr>
            </w:pPr>
          </w:p>
          <w:p w14:paraId="755ACF66">
            <w:pPr>
              <w:spacing w:line="240" w:lineRule="auto"/>
              <w:jc w:val="center"/>
              <w:rPr>
                <w:rFonts w:hint="eastAsia" w:ascii="宋体" w:hAnsi="宋体" w:eastAsia="宋体" w:cs="宋体"/>
                <w:color w:val="auto"/>
                <w:sz w:val="24"/>
                <w:highlight w:val="none"/>
              </w:rPr>
            </w:pPr>
          </w:p>
          <w:p w14:paraId="1B9726A3">
            <w:pPr>
              <w:spacing w:line="240" w:lineRule="auto"/>
              <w:jc w:val="center"/>
              <w:rPr>
                <w:rFonts w:hint="eastAsia" w:ascii="宋体" w:hAnsi="宋体" w:eastAsia="宋体" w:cs="宋体"/>
                <w:color w:val="auto"/>
                <w:sz w:val="24"/>
                <w:highlight w:val="none"/>
              </w:rPr>
            </w:pPr>
          </w:p>
          <w:p w14:paraId="57191852">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本招标文件已报备</w:t>
            </w:r>
          </w:p>
          <w:p w14:paraId="4F4C0FE2">
            <w:pPr>
              <w:spacing w:line="240" w:lineRule="auto"/>
              <w:jc w:val="center"/>
              <w:rPr>
                <w:rFonts w:hint="eastAsia" w:ascii="宋体" w:hAnsi="宋体" w:eastAsia="宋体" w:cs="宋体"/>
                <w:color w:val="auto"/>
                <w:sz w:val="24"/>
                <w:highlight w:val="none"/>
              </w:rPr>
            </w:pPr>
          </w:p>
          <w:p w14:paraId="6C9CE31F">
            <w:pPr>
              <w:spacing w:line="240" w:lineRule="auto"/>
              <w:rPr>
                <w:rFonts w:hint="eastAsia" w:ascii="宋体" w:hAnsi="宋体" w:eastAsia="宋体" w:cs="宋体"/>
                <w:b/>
                <w:bCs/>
                <w:color w:val="auto"/>
                <w:sz w:val="24"/>
                <w:highlight w:val="none"/>
              </w:rPr>
            </w:pPr>
          </w:p>
          <w:p w14:paraId="36751807">
            <w:pPr>
              <w:spacing w:line="240" w:lineRule="auto"/>
              <w:rPr>
                <w:rFonts w:hint="eastAsia" w:ascii="宋体" w:hAnsi="宋体" w:eastAsia="宋体" w:cs="宋体"/>
                <w:b/>
                <w:bCs/>
                <w:color w:val="auto"/>
                <w:sz w:val="24"/>
                <w:highlight w:val="none"/>
              </w:rPr>
            </w:pPr>
          </w:p>
          <w:p w14:paraId="43E07BA6">
            <w:pPr>
              <w:spacing w:line="240" w:lineRule="auto"/>
              <w:rPr>
                <w:rFonts w:hint="eastAsia" w:ascii="宋体" w:hAnsi="宋体" w:eastAsia="宋体" w:cs="宋体"/>
                <w:b/>
                <w:bCs/>
                <w:color w:val="auto"/>
                <w:sz w:val="24"/>
                <w:highlight w:val="none"/>
              </w:rPr>
            </w:pPr>
          </w:p>
          <w:p w14:paraId="21C7A0F4">
            <w:pPr>
              <w:widowControl/>
              <w:spacing w:after="120" w:line="240" w:lineRule="auto"/>
              <w:ind w:left="420" w:right="0" w:firstLine="540"/>
              <w:jc w:val="left"/>
              <w:rPr>
                <w:rFonts w:hint="eastAsia" w:ascii="宋体" w:hAnsi="宋体" w:eastAsia="宋体" w:cs="宋体"/>
                <w:color w:val="auto"/>
                <w:kern w:val="0"/>
                <w:sz w:val="20"/>
                <w:highlight w:val="none"/>
                <w:lang w:val="en-US" w:eastAsia="zh-CN" w:bidi="ar-SA"/>
              </w:rPr>
            </w:pPr>
          </w:p>
          <w:p w14:paraId="106F921A">
            <w:pPr>
              <w:widowControl/>
              <w:spacing w:after="120" w:line="240" w:lineRule="auto"/>
              <w:ind w:left="420" w:right="0" w:firstLine="542"/>
              <w:jc w:val="left"/>
              <w:rPr>
                <w:rFonts w:hint="eastAsia" w:ascii="宋体" w:hAnsi="宋体" w:eastAsia="宋体" w:cs="宋体"/>
                <w:b/>
                <w:bCs/>
                <w:color w:val="auto"/>
                <w:kern w:val="0"/>
                <w:sz w:val="20"/>
                <w:highlight w:val="none"/>
                <w:lang w:val="en-US" w:eastAsia="zh-CN" w:bidi="ar-SA"/>
              </w:rPr>
            </w:pPr>
          </w:p>
          <w:p w14:paraId="166EA07D">
            <w:pPr>
              <w:widowControl/>
              <w:spacing w:after="120" w:line="240" w:lineRule="auto"/>
              <w:ind w:left="420" w:right="0" w:firstLine="542"/>
              <w:jc w:val="left"/>
              <w:rPr>
                <w:rFonts w:hint="eastAsia" w:ascii="宋体" w:hAnsi="宋体" w:eastAsia="宋体" w:cs="宋体"/>
                <w:b/>
                <w:bCs/>
                <w:color w:val="auto"/>
                <w:kern w:val="0"/>
                <w:sz w:val="20"/>
                <w:highlight w:val="none"/>
                <w:lang w:val="en-US" w:eastAsia="zh-CN" w:bidi="ar-SA"/>
              </w:rPr>
            </w:pPr>
          </w:p>
          <w:p w14:paraId="7205C762">
            <w:pPr>
              <w:spacing w:line="240" w:lineRule="auto"/>
              <w:rPr>
                <w:rFonts w:hint="eastAsia" w:ascii="宋体" w:hAnsi="宋体" w:eastAsia="宋体" w:cs="宋体"/>
                <w:b/>
                <w:bCs/>
                <w:color w:val="auto"/>
                <w:sz w:val="24"/>
                <w:highlight w:val="none"/>
              </w:rPr>
            </w:pPr>
          </w:p>
          <w:p w14:paraId="3A18FFC4">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auto"/>
                <w:kern w:val="0"/>
                <w:sz w:val="24"/>
                <w:szCs w:val="24"/>
                <w:highlight w:val="none"/>
                <w:lang w:val="zh-CN" w:eastAsia="zh-CN" w:bidi="ar-SA"/>
              </w:rPr>
            </w:pPr>
          </w:p>
          <w:p w14:paraId="4C573C26">
            <w:pPr>
              <w:spacing w:line="240" w:lineRule="auto"/>
              <w:rPr>
                <w:rFonts w:hint="eastAsia" w:ascii="宋体" w:hAnsi="宋体" w:eastAsia="宋体" w:cs="宋体"/>
                <w:color w:val="auto"/>
                <w:sz w:val="24"/>
                <w:highlight w:val="none"/>
                <w:lang w:eastAsia="zh-CN"/>
              </w:rPr>
            </w:pPr>
            <w:r>
              <w:rPr>
                <w:rFonts w:hint="eastAsia" w:ascii="宋体" w:hAnsi="宋体" w:eastAsia="宋体" w:cs="宋体"/>
                <w:bCs/>
                <w:color w:val="auto"/>
                <w:kern w:val="0"/>
                <w:sz w:val="24"/>
                <w:szCs w:val="24"/>
                <w:highlight w:val="none"/>
                <w:lang w:val="zh-CN" w:eastAsia="zh-CN" w:bidi="ar-SA"/>
              </w:rPr>
              <w:t>项目名称：和田地区洛浦县维吾尔医医院饮片类、辅料及药包材采购项目（包</w:t>
            </w:r>
            <w:r>
              <w:rPr>
                <w:rFonts w:hint="eastAsia" w:ascii="宋体" w:hAnsi="宋体" w:cs="宋体"/>
                <w:bCs/>
                <w:color w:val="auto"/>
                <w:kern w:val="0"/>
                <w:sz w:val="24"/>
                <w:szCs w:val="24"/>
                <w:highlight w:val="none"/>
                <w:lang w:val="en-US" w:eastAsia="zh-CN" w:bidi="ar-SA"/>
              </w:rPr>
              <w:t>七</w:t>
            </w:r>
            <w:r>
              <w:rPr>
                <w:rFonts w:hint="eastAsia" w:ascii="宋体" w:hAnsi="宋体" w:eastAsia="宋体" w:cs="宋体"/>
                <w:bCs/>
                <w:color w:val="auto"/>
                <w:kern w:val="0"/>
                <w:sz w:val="24"/>
                <w:szCs w:val="24"/>
                <w:highlight w:val="none"/>
                <w:lang w:val="zh-CN" w:eastAsia="zh-CN" w:bidi="ar-SA"/>
              </w:rPr>
              <w:t>）</w:t>
            </w:r>
          </w:p>
          <w:p w14:paraId="6E79D7B1">
            <w:pPr>
              <w:spacing w:line="240" w:lineRule="auto"/>
              <w:rPr>
                <w:rFonts w:hint="eastAsia" w:ascii="宋体" w:hAnsi="宋体" w:eastAsia="宋体" w:cs="宋体"/>
                <w:b/>
                <w:bCs/>
                <w:color w:val="auto"/>
                <w:sz w:val="24"/>
                <w:highlight w:val="none"/>
              </w:rPr>
            </w:pPr>
          </w:p>
        </w:tc>
      </w:tr>
    </w:tbl>
    <w:p w14:paraId="490291A7">
      <w:pPr>
        <w:spacing w:line="360" w:lineRule="auto"/>
        <w:jc w:val="right"/>
        <w:rPr>
          <w:rFonts w:hint="eastAsia" w:ascii="宋体" w:hAnsi="宋体" w:eastAsia="宋体" w:cs="宋体"/>
          <w:b/>
          <w:bCs/>
          <w:color w:val="auto"/>
          <w:sz w:val="28"/>
          <w:szCs w:val="28"/>
          <w:highlight w:val="none"/>
        </w:rPr>
      </w:pPr>
      <w:bookmarkStart w:id="0" w:name="_Toc17774"/>
      <w:r>
        <w:rPr>
          <w:rFonts w:hint="eastAsia" w:ascii="宋体" w:hAnsi="宋体" w:cs="宋体"/>
          <w:b w:val="0"/>
          <w:bCs w:val="0"/>
          <w:color w:val="auto"/>
          <w:sz w:val="24"/>
          <w:highlight w:val="none"/>
          <w:lang w:val="en-US" w:eastAsia="zh-CN"/>
        </w:rPr>
        <w:t>洛浦县采购办</w:t>
      </w:r>
    </w:p>
    <w:p w14:paraId="2C9CB379">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318B91FD">
      <w:pPr>
        <w:ind w:left="0" w:firstLine="0" w:firstLineChars="0"/>
        <w:jc w:val="center"/>
        <w:outlineLvl w:val="0"/>
        <w:rPr>
          <w:rFonts w:hint="eastAsia" w:ascii="宋体" w:hAnsi="宋体" w:eastAsia="宋体" w:cs="宋体"/>
          <w:b w:val="0"/>
          <w:bCs w:val="0"/>
          <w:color w:val="auto"/>
          <w:sz w:val="20"/>
          <w:szCs w:val="20"/>
          <w:highlight w:val="none"/>
          <w:lang w:val="en-US" w:eastAsia="zh-CN"/>
        </w:rPr>
      </w:pPr>
      <w:r>
        <w:rPr>
          <w:rFonts w:hint="eastAsia" w:ascii="宋体" w:hAnsi="宋体" w:eastAsia="宋体" w:cs="宋体"/>
          <w:b/>
          <w:sz w:val="28"/>
          <w:szCs w:val="28"/>
          <w:highlight w:val="none"/>
        </w:rPr>
        <w:t>第一章招标公告</w:t>
      </w:r>
      <w:bookmarkEnd w:id="0"/>
    </w:p>
    <w:p w14:paraId="3DB5A423">
      <w:pPr>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宋体" w:hAnsi="宋体" w:eastAsia="宋体" w:cs="宋体"/>
          <w:highlight w:val="none"/>
        </w:rPr>
      </w:pPr>
      <w:r>
        <w:rPr>
          <w:rFonts w:hint="eastAsia" w:ascii="宋体" w:hAnsi="宋体" w:cs="宋体"/>
          <w:b/>
          <w:bCs/>
          <w:sz w:val="36"/>
          <w:szCs w:val="36"/>
          <w:highlight w:val="none"/>
          <w:lang w:val="en-US" w:eastAsia="zh-CN"/>
        </w:rPr>
        <w:t>和田地区洛浦县维吾尔医医院饮片类、辅料及药包材采购项目</w:t>
      </w:r>
      <w:r>
        <w:rPr>
          <w:rFonts w:hint="eastAsia" w:ascii="宋体" w:hAnsi="宋体" w:eastAsia="宋体" w:cs="宋体"/>
          <w:b/>
          <w:bCs/>
          <w:sz w:val="36"/>
          <w:szCs w:val="36"/>
          <w:highlight w:val="none"/>
          <w:lang w:val="en-US" w:eastAsia="zh-CN"/>
        </w:rPr>
        <w:t>公开招标公告</w:t>
      </w:r>
    </w:p>
    <w:p w14:paraId="71897828">
      <w:pPr>
        <w:pBdr>
          <w:top w:val="single" w:color="auto" w:sz="4" w:space="0"/>
          <w:left w:val="single" w:color="auto" w:sz="4" w:space="4"/>
          <w:bottom w:val="single" w:color="auto" w:sz="4" w:space="1"/>
          <w:right w:val="single" w:color="auto" w:sz="4" w:space="4"/>
        </w:pBdr>
        <w:spacing w:line="240" w:lineRule="auto"/>
        <w:rPr>
          <w:rFonts w:hint="eastAsia" w:ascii="宋体" w:hAnsi="宋体" w:eastAsia="宋体" w:cs="宋体"/>
          <w:i w:val="0"/>
          <w:iCs w:val="0"/>
          <w:caps w:val="0"/>
          <w:color w:val="000000"/>
          <w:spacing w:val="0"/>
          <w:kern w:val="0"/>
          <w:sz w:val="24"/>
          <w:szCs w:val="24"/>
          <w:highlight w:val="none"/>
          <w:lang w:val="en-US" w:eastAsia="zh-CN" w:bidi="ar-SA"/>
        </w:rPr>
      </w:pPr>
      <w:bookmarkStart w:id="1" w:name="_Toc35393790"/>
      <w:bookmarkStart w:id="2" w:name="_Toc28359002"/>
      <w:bookmarkStart w:id="3" w:name="_Toc28359079"/>
      <w:bookmarkStart w:id="4" w:name="_Toc35393621"/>
      <w:bookmarkStart w:id="5" w:name="_Hlk24379207"/>
      <w:r>
        <w:rPr>
          <w:rFonts w:hint="eastAsia" w:ascii="宋体" w:hAnsi="宋体" w:eastAsia="宋体" w:cs="宋体"/>
          <w:i w:val="0"/>
          <w:iCs w:val="0"/>
          <w:caps w:val="0"/>
          <w:color w:val="000000"/>
          <w:spacing w:val="0"/>
          <w:kern w:val="0"/>
          <w:sz w:val="24"/>
          <w:szCs w:val="24"/>
          <w:highlight w:val="none"/>
          <w:lang w:val="en-US" w:eastAsia="zh-CN" w:bidi="ar-SA"/>
        </w:rPr>
        <w:t>项目概况</w:t>
      </w:r>
    </w:p>
    <w:p w14:paraId="36A5FE75">
      <w:pPr>
        <w:pBdr>
          <w:top w:val="single" w:color="auto" w:sz="4" w:space="0"/>
          <w:left w:val="single" w:color="auto" w:sz="4" w:space="4"/>
          <w:bottom w:val="single" w:color="auto" w:sz="4" w:space="1"/>
          <w:right w:val="single" w:color="auto" w:sz="4" w:space="4"/>
        </w:pBdr>
        <w:spacing w:line="240" w:lineRule="auto"/>
        <w:ind w:firstLine="480"/>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cs="宋体"/>
          <w:i w:val="0"/>
          <w:iCs w:val="0"/>
          <w:caps w:val="0"/>
          <w:color w:val="000000"/>
          <w:spacing w:val="0"/>
          <w:kern w:val="0"/>
          <w:sz w:val="24"/>
          <w:szCs w:val="24"/>
          <w:highlight w:val="none"/>
          <w:lang w:val="en-US" w:eastAsia="zh-CN" w:bidi="ar-SA"/>
        </w:rPr>
        <w:t>和田地区洛浦县维吾尔医医院饮片类、辅料及药包材采购项目（</w:t>
      </w:r>
      <w:r>
        <w:rPr>
          <w:rFonts w:hint="eastAsia" w:ascii="宋体" w:hAnsi="宋体" w:eastAsia="宋体" w:cs="宋体"/>
          <w:i w:val="0"/>
          <w:iCs w:val="0"/>
          <w:caps w:val="0"/>
          <w:color w:val="000000"/>
          <w:spacing w:val="0"/>
          <w:kern w:val="0"/>
          <w:sz w:val="24"/>
          <w:szCs w:val="24"/>
          <w:highlight w:val="none"/>
          <w:lang w:val="en-US" w:eastAsia="zh-CN" w:bidi="ar-SA"/>
        </w:rPr>
        <w:t>的潜在投标人应登陆政采云平台https://www.zcygov.cn/在线申请获取采购文件（进入“项目采购”应用，在获取采购文件菜单中选择项目，申请获取采购文件），并于</w:t>
      </w:r>
      <w:r>
        <w:rPr>
          <w:rFonts w:hint="eastAsia" w:ascii="宋体" w:hAnsi="宋体" w:cs="宋体"/>
          <w:i w:val="0"/>
          <w:iCs w:val="0"/>
          <w:caps w:val="0"/>
          <w:color w:val="000000"/>
          <w:spacing w:val="0"/>
          <w:kern w:val="0"/>
          <w:sz w:val="24"/>
          <w:szCs w:val="24"/>
          <w:highlight w:val="none"/>
          <w:lang w:val="en-US" w:eastAsia="zh-CN" w:bidi="ar-SA"/>
        </w:rPr>
        <w:t>2024年9月12日</w:t>
      </w:r>
      <w:r>
        <w:rPr>
          <w:rFonts w:hint="eastAsia" w:ascii="宋体" w:hAnsi="宋体" w:eastAsia="宋体" w:cs="宋体"/>
          <w:i w:val="0"/>
          <w:iCs w:val="0"/>
          <w:caps w:val="0"/>
          <w:color w:val="000000"/>
          <w:spacing w:val="0"/>
          <w:kern w:val="0"/>
          <w:sz w:val="24"/>
          <w:szCs w:val="24"/>
          <w:highlight w:val="none"/>
          <w:lang w:val="en-US" w:eastAsia="zh-CN" w:bidi="ar-SA"/>
        </w:rPr>
        <w:t>1</w:t>
      </w:r>
      <w:r>
        <w:rPr>
          <w:rFonts w:hint="eastAsia" w:ascii="宋体" w:hAnsi="宋体" w:cs="宋体"/>
          <w:i w:val="0"/>
          <w:iCs w:val="0"/>
          <w:caps w:val="0"/>
          <w:color w:val="000000"/>
          <w:spacing w:val="0"/>
          <w:kern w:val="0"/>
          <w:sz w:val="24"/>
          <w:szCs w:val="24"/>
          <w:highlight w:val="none"/>
          <w:lang w:val="en-US" w:eastAsia="zh-CN" w:bidi="ar-SA"/>
        </w:rPr>
        <w:t>1</w:t>
      </w:r>
      <w:r>
        <w:rPr>
          <w:rFonts w:hint="eastAsia" w:ascii="宋体" w:hAnsi="宋体" w:eastAsia="宋体" w:cs="宋体"/>
          <w:i w:val="0"/>
          <w:iCs w:val="0"/>
          <w:caps w:val="0"/>
          <w:color w:val="000000"/>
          <w:spacing w:val="0"/>
          <w:kern w:val="0"/>
          <w:sz w:val="24"/>
          <w:szCs w:val="24"/>
          <w:highlight w:val="none"/>
          <w:lang w:val="en-US" w:eastAsia="zh-CN" w:bidi="ar-SA"/>
        </w:rPr>
        <w:t>点</w:t>
      </w:r>
      <w:r>
        <w:rPr>
          <w:rFonts w:hint="eastAsia" w:ascii="宋体" w:hAnsi="宋体" w:cs="宋体"/>
          <w:i w:val="0"/>
          <w:iCs w:val="0"/>
          <w:caps w:val="0"/>
          <w:color w:val="000000"/>
          <w:spacing w:val="0"/>
          <w:kern w:val="0"/>
          <w:sz w:val="24"/>
          <w:szCs w:val="24"/>
          <w:highlight w:val="none"/>
          <w:lang w:val="en-US" w:eastAsia="zh-CN" w:bidi="ar-SA"/>
        </w:rPr>
        <w:t>0</w:t>
      </w:r>
      <w:r>
        <w:rPr>
          <w:rFonts w:hint="eastAsia" w:ascii="宋体" w:hAnsi="宋体" w:eastAsia="宋体" w:cs="宋体"/>
          <w:i w:val="0"/>
          <w:iCs w:val="0"/>
          <w:caps w:val="0"/>
          <w:color w:val="000000"/>
          <w:spacing w:val="0"/>
          <w:kern w:val="0"/>
          <w:sz w:val="24"/>
          <w:szCs w:val="24"/>
          <w:highlight w:val="none"/>
          <w:lang w:val="en-US" w:eastAsia="zh-CN" w:bidi="ar-SA"/>
        </w:rPr>
        <w:t>0分（北京时间）前递交投标文件。</w:t>
      </w:r>
    </w:p>
    <w:bookmarkEnd w:id="1"/>
    <w:bookmarkEnd w:id="2"/>
    <w:bookmarkEnd w:id="3"/>
    <w:bookmarkEnd w:id="4"/>
    <w:bookmarkEnd w:id="5"/>
    <w:p w14:paraId="28FE6A22">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outlineLvl w:val="9"/>
        <w:rPr>
          <w:rFonts w:hint="eastAsia" w:ascii="宋体" w:hAnsi="宋体" w:eastAsia="宋体" w:cs="宋体"/>
          <w:b w:val="0"/>
          <w:bCs w:val="0"/>
          <w:i w:val="0"/>
          <w:iCs w:val="0"/>
          <w:kern w:val="2"/>
          <w:sz w:val="24"/>
          <w:szCs w:val="24"/>
          <w:highlight w:val="none"/>
          <w:lang w:val="en-US" w:eastAsia="zh-CN" w:bidi="ar-SA"/>
        </w:rPr>
      </w:pPr>
    </w:p>
    <w:p w14:paraId="5E7B3357">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Style w:val="75"/>
          <w:rFonts w:hint="eastAsia" w:ascii="宋体" w:hAnsi="宋体" w:eastAsia="宋体" w:cs="宋体"/>
          <w:b/>
          <w:i w:val="0"/>
          <w:iCs w:val="0"/>
          <w:caps w:val="0"/>
          <w:color w:val="000000"/>
          <w:spacing w:val="0"/>
          <w:sz w:val="27"/>
          <w:szCs w:val="27"/>
          <w:highlight w:val="none"/>
        </w:rPr>
      </w:pPr>
      <w:bookmarkStart w:id="6" w:name="_Toc24430"/>
      <w:bookmarkStart w:id="7" w:name="_Toc30392"/>
      <w:bookmarkStart w:id="8" w:name="_Toc27595"/>
      <w:r>
        <w:rPr>
          <w:rFonts w:hint="eastAsia" w:ascii="宋体" w:hAnsi="宋体" w:eastAsia="宋体" w:cs="宋体"/>
          <w:b/>
          <w:bCs/>
          <w:i w:val="0"/>
          <w:iCs w:val="0"/>
          <w:caps w:val="0"/>
          <w:color w:val="000000"/>
          <w:spacing w:val="0"/>
          <w:kern w:val="0"/>
          <w:sz w:val="24"/>
          <w:szCs w:val="24"/>
          <w:highlight w:val="none"/>
          <w:lang w:val="en-US" w:eastAsia="zh-CN" w:bidi="ar"/>
        </w:rPr>
        <w:t>一、项目基本情况</w:t>
      </w:r>
      <w:bookmarkEnd w:id="6"/>
      <w:bookmarkEnd w:id="7"/>
      <w:bookmarkEnd w:id="8"/>
    </w:p>
    <w:p w14:paraId="08443CDE">
      <w:pPr>
        <w:pStyle w:val="67"/>
        <w:keepNext w:val="0"/>
        <w:keepLines w:val="0"/>
        <w:widowControl/>
        <w:suppressLineNumbers w:val="0"/>
        <w:spacing w:before="75" w:beforeAutospacing="0" w:after="75" w:afterAutospacing="0" w:line="240" w:lineRule="auto"/>
        <w:ind w:left="0" w:right="0" w:firstLine="0"/>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项目编号：</w:t>
      </w:r>
      <w:r>
        <w:rPr>
          <w:rFonts w:hint="eastAsia" w:cs="宋体"/>
          <w:i w:val="0"/>
          <w:iCs w:val="0"/>
          <w:caps w:val="0"/>
          <w:color w:val="000000"/>
          <w:spacing w:val="0"/>
          <w:sz w:val="24"/>
          <w:szCs w:val="24"/>
          <w:highlight w:val="none"/>
          <w:lang w:eastAsia="zh-CN"/>
        </w:rPr>
        <w:t>XJXJ-202</w:t>
      </w:r>
      <w:r>
        <w:rPr>
          <w:rFonts w:hint="eastAsia" w:cs="宋体"/>
          <w:i w:val="0"/>
          <w:iCs w:val="0"/>
          <w:caps w:val="0"/>
          <w:color w:val="000000"/>
          <w:spacing w:val="0"/>
          <w:sz w:val="24"/>
          <w:szCs w:val="24"/>
          <w:highlight w:val="none"/>
          <w:lang w:val="en-US" w:eastAsia="zh-CN"/>
        </w:rPr>
        <w:t>4</w:t>
      </w:r>
      <w:r>
        <w:rPr>
          <w:rFonts w:hint="eastAsia" w:cs="宋体"/>
          <w:i w:val="0"/>
          <w:iCs w:val="0"/>
          <w:caps w:val="0"/>
          <w:color w:val="000000"/>
          <w:spacing w:val="0"/>
          <w:sz w:val="24"/>
          <w:szCs w:val="24"/>
          <w:highlight w:val="none"/>
          <w:lang w:eastAsia="zh-CN"/>
        </w:rPr>
        <w:t>-</w:t>
      </w:r>
      <w:r>
        <w:rPr>
          <w:rFonts w:hint="eastAsia" w:cs="宋体"/>
          <w:i w:val="0"/>
          <w:iCs w:val="0"/>
          <w:caps w:val="0"/>
          <w:color w:val="000000"/>
          <w:spacing w:val="0"/>
          <w:sz w:val="24"/>
          <w:szCs w:val="24"/>
          <w:highlight w:val="none"/>
          <w:lang w:val="en-US" w:eastAsia="zh-CN"/>
        </w:rPr>
        <w:t>012</w:t>
      </w:r>
    </w:p>
    <w:p w14:paraId="47CAC9A4">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rPr>
      </w:pPr>
      <w:r>
        <w:rPr>
          <w:rFonts w:hint="eastAsia" w:ascii="宋体" w:hAnsi="宋体" w:eastAsia="宋体" w:cs="宋体"/>
          <w:i w:val="0"/>
          <w:iCs w:val="0"/>
          <w:caps w:val="0"/>
          <w:color w:val="000000"/>
          <w:spacing w:val="0"/>
          <w:sz w:val="24"/>
          <w:szCs w:val="24"/>
          <w:highlight w:val="none"/>
        </w:rPr>
        <w:t>项目名称：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w:t>
      </w:r>
    </w:p>
    <w:p w14:paraId="7107CB39">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rPr>
        <w:t>采购方式：</w:t>
      </w:r>
      <w:r>
        <w:rPr>
          <w:rFonts w:hint="eastAsia" w:ascii="宋体" w:hAnsi="宋体" w:eastAsia="宋体" w:cs="宋体"/>
          <w:i w:val="0"/>
          <w:iCs w:val="0"/>
          <w:caps w:val="0"/>
          <w:color w:val="000000"/>
          <w:spacing w:val="0"/>
          <w:sz w:val="24"/>
          <w:szCs w:val="24"/>
          <w:highlight w:val="none"/>
          <w:lang w:val="en-US" w:eastAsia="zh-CN"/>
        </w:rPr>
        <w:t>公开招标</w:t>
      </w:r>
    </w:p>
    <w:p w14:paraId="51A81D40">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预算金额：</w:t>
      </w:r>
      <w:r>
        <w:rPr>
          <w:rFonts w:hint="eastAsia" w:cs="宋体"/>
          <w:i w:val="0"/>
          <w:iCs w:val="0"/>
          <w:caps w:val="0"/>
          <w:color w:val="000000"/>
          <w:spacing w:val="0"/>
          <w:sz w:val="24"/>
          <w:szCs w:val="24"/>
          <w:highlight w:val="none"/>
          <w:lang w:val="en-US" w:eastAsia="zh-CN"/>
        </w:rPr>
        <w:t>1551.00</w:t>
      </w:r>
      <w:r>
        <w:rPr>
          <w:rFonts w:hint="eastAsia" w:ascii="宋体" w:hAnsi="宋体" w:eastAsia="宋体" w:cs="宋体"/>
          <w:i w:val="0"/>
          <w:iCs w:val="0"/>
          <w:caps w:val="0"/>
          <w:color w:val="000000"/>
          <w:spacing w:val="0"/>
          <w:sz w:val="24"/>
          <w:szCs w:val="24"/>
          <w:highlight w:val="none"/>
          <w:lang w:val="en-US" w:eastAsia="zh-CN"/>
        </w:rPr>
        <w:t>万元</w:t>
      </w:r>
    </w:p>
    <w:p w14:paraId="1C334602">
      <w:pPr>
        <w:pStyle w:val="67"/>
        <w:keepNext w:val="0"/>
        <w:keepLines w:val="0"/>
        <w:widowControl/>
        <w:suppressLineNumbers w:val="0"/>
        <w:spacing w:before="75" w:beforeAutospacing="0" w:after="75" w:afterAutospacing="0" w:line="240" w:lineRule="auto"/>
        <w:ind w:left="0" w:right="0" w:firstLine="0"/>
        <w:rPr>
          <w:rFonts w:hint="default" w:ascii="宋体" w:hAnsi="宋体" w:eastAsia="宋体" w:cs="宋体"/>
          <w:i w:val="0"/>
          <w:iCs w:val="0"/>
          <w:caps w:val="0"/>
          <w:color w:val="FF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最高限价：</w:t>
      </w:r>
      <w:r>
        <w:rPr>
          <w:rFonts w:hint="eastAsia" w:cs="宋体"/>
          <w:i w:val="0"/>
          <w:iCs w:val="0"/>
          <w:caps w:val="0"/>
          <w:color w:val="000000"/>
          <w:spacing w:val="0"/>
          <w:sz w:val="24"/>
          <w:szCs w:val="24"/>
          <w:highlight w:val="none"/>
          <w:lang w:val="en-US" w:eastAsia="zh-CN"/>
        </w:rPr>
        <w:t>包一：4932325.00元；包二：4932083.42元；包三：4932709.60元；包七：712881.98元</w:t>
      </w:r>
    </w:p>
    <w:p w14:paraId="22B18064">
      <w:pPr>
        <w:pStyle w:val="67"/>
        <w:keepNext w:val="0"/>
        <w:keepLines w:val="0"/>
        <w:widowControl/>
        <w:suppressLineNumbers w:val="0"/>
        <w:spacing w:before="75" w:beforeAutospacing="0" w:after="75" w:afterAutospacing="0" w:line="240" w:lineRule="auto"/>
        <w:ind w:left="0" w:right="0" w:firstLine="0"/>
        <w:outlineLvl w:val="0"/>
        <w:rPr>
          <w:rFonts w:hint="eastAsia" w:ascii="宋体" w:hAnsi="宋体" w:eastAsia="宋体" w:cs="宋体"/>
          <w:i w:val="0"/>
          <w:iCs w:val="0"/>
          <w:caps w:val="0"/>
          <w:color w:val="000000"/>
          <w:spacing w:val="0"/>
          <w:sz w:val="24"/>
          <w:szCs w:val="24"/>
          <w:highlight w:val="none"/>
          <w:lang w:val="en-US" w:eastAsia="zh-CN"/>
        </w:rPr>
      </w:pPr>
      <w:bookmarkStart w:id="9" w:name="_Toc15068"/>
      <w:r>
        <w:rPr>
          <w:rFonts w:hint="eastAsia" w:ascii="宋体" w:hAnsi="宋体" w:eastAsia="宋体" w:cs="宋体"/>
          <w:i w:val="0"/>
          <w:iCs w:val="0"/>
          <w:caps w:val="0"/>
          <w:color w:val="000000"/>
          <w:spacing w:val="0"/>
          <w:sz w:val="24"/>
          <w:szCs w:val="24"/>
          <w:highlight w:val="none"/>
          <w:lang w:val="en-US" w:eastAsia="zh-CN"/>
        </w:rPr>
        <w:t>资金来源：</w:t>
      </w:r>
      <w:bookmarkEnd w:id="9"/>
      <w:r>
        <w:rPr>
          <w:rFonts w:hint="eastAsia" w:cs="宋体"/>
          <w:i w:val="0"/>
          <w:iCs w:val="0"/>
          <w:caps w:val="0"/>
          <w:color w:val="000000"/>
          <w:spacing w:val="0"/>
          <w:sz w:val="24"/>
          <w:szCs w:val="24"/>
          <w:highlight w:val="none"/>
          <w:lang w:val="en-US" w:eastAsia="zh-CN"/>
        </w:rPr>
        <w:t>自筹资金</w:t>
      </w:r>
    </w:p>
    <w:p w14:paraId="2483A48D">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项目概况</w:t>
      </w:r>
      <w:r>
        <w:rPr>
          <w:rFonts w:hint="eastAsia" w:ascii="宋体" w:hAnsi="宋体" w:eastAsia="宋体" w:cs="宋体"/>
          <w:i w:val="0"/>
          <w:iCs w:val="0"/>
          <w:caps w:val="0"/>
          <w:color w:val="000000"/>
          <w:spacing w:val="0"/>
          <w:sz w:val="24"/>
          <w:szCs w:val="24"/>
          <w:highlight w:val="none"/>
        </w:rPr>
        <w:t>：</w:t>
      </w:r>
    </w:p>
    <w:p w14:paraId="476DACF4">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标项一</w:t>
      </w:r>
    </w:p>
    <w:p w14:paraId="2F45E3D5">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和田地区洛浦县维吾尔医医院饮片类、辅料及药包材采购项目包一</w:t>
      </w:r>
    </w:p>
    <w:p w14:paraId="6AB006AB">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数量：不限</w:t>
      </w:r>
    </w:p>
    <w:p w14:paraId="5B6B13A2">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4932325.00元</w:t>
      </w:r>
    </w:p>
    <w:p w14:paraId="5B5791E4">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简要规格描述或项目基本概况介绍、用途：采购</w:t>
      </w:r>
      <w:r>
        <w:rPr>
          <w:rFonts w:hint="eastAsia" w:cs="宋体"/>
          <w:i w:val="0"/>
          <w:iCs w:val="0"/>
          <w:caps w:val="0"/>
          <w:color w:val="000000"/>
          <w:spacing w:val="0"/>
          <w:sz w:val="24"/>
          <w:szCs w:val="24"/>
          <w:highlight w:val="none"/>
          <w:lang w:val="en-US" w:eastAsia="zh-CN"/>
        </w:rPr>
        <w:t>饮片类药材及辅料一批</w:t>
      </w:r>
    </w:p>
    <w:p w14:paraId="0519D439">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备注：</w:t>
      </w:r>
    </w:p>
    <w:p w14:paraId="172D4E22">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标项</w:t>
      </w:r>
      <w:r>
        <w:rPr>
          <w:rFonts w:hint="eastAsia" w:cs="宋体"/>
          <w:i w:val="0"/>
          <w:iCs w:val="0"/>
          <w:caps w:val="0"/>
          <w:color w:val="000000"/>
          <w:spacing w:val="0"/>
          <w:sz w:val="24"/>
          <w:szCs w:val="24"/>
          <w:highlight w:val="none"/>
          <w:lang w:val="en-US" w:eastAsia="zh-CN"/>
        </w:rPr>
        <w:t>二</w:t>
      </w:r>
    </w:p>
    <w:p w14:paraId="31A1CAC7">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和田地区洛浦县维吾尔医医院饮片类、辅料及药包材采购项目包二</w:t>
      </w:r>
    </w:p>
    <w:p w14:paraId="10499AD0">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数量：不限</w:t>
      </w:r>
    </w:p>
    <w:p w14:paraId="1F183BF0">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4932083.42元</w:t>
      </w:r>
    </w:p>
    <w:p w14:paraId="3B9AAAF0">
      <w:pPr>
        <w:pStyle w:val="67"/>
        <w:keepNext w:val="0"/>
        <w:keepLines w:val="0"/>
        <w:widowControl/>
        <w:suppressLineNumbers w:val="0"/>
        <w:spacing w:before="75" w:beforeAutospacing="0" w:after="75" w:afterAutospacing="0" w:line="240" w:lineRule="auto"/>
        <w:ind w:left="0" w:right="0" w:firstLine="0"/>
        <w:rPr>
          <w:rFonts w:hint="default"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简要规格描述或项目基本概况介绍、用途：采购</w:t>
      </w:r>
      <w:r>
        <w:rPr>
          <w:rFonts w:hint="eastAsia" w:cs="宋体"/>
          <w:i w:val="0"/>
          <w:iCs w:val="0"/>
          <w:caps w:val="0"/>
          <w:color w:val="000000"/>
          <w:spacing w:val="0"/>
          <w:sz w:val="24"/>
          <w:szCs w:val="24"/>
          <w:highlight w:val="none"/>
          <w:lang w:val="en-US" w:eastAsia="zh-CN"/>
        </w:rPr>
        <w:t>饮片类药材及辅料一批</w:t>
      </w:r>
    </w:p>
    <w:p w14:paraId="1CAF8157">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备注：</w:t>
      </w:r>
    </w:p>
    <w:p w14:paraId="43DB0464">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标项</w:t>
      </w:r>
      <w:r>
        <w:rPr>
          <w:rFonts w:hint="eastAsia" w:cs="宋体"/>
          <w:i w:val="0"/>
          <w:iCs w:val="0"/>
          <w:caps w:val="0"/>
          <w:color w:val="000000"/>
          <w:spacing w:val="0"/>
          <w:sz w:val="24"/>
          <w:szCs w:val="24"/>
          <w:highlight w:val="none"/>
          <w:lang w:val="en-US" w:eastAsia="zh-CN"/>
        </w:rPr>
        <w:t>三</w:t>
      </w:r>
    </w:p>
    <w:p w14:paraId="00F69B8E">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和田地区洛浦县维吾尔医医院饮片类、辅料及药包材采购项目包三</w:t>
      </w:r>
    </w:p>
    <w:p w14:paraId="2E3DC325">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数量：不限</w:t>
      </w:r>
    </w:p>
    <w:p w14:paraId="34A15B42">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4932709.60元</w:t>
      </w:r>
    </w:p>
    <w:p w14:paraId="42130B00">
      <w:pPr>
        <w:pStyle w:val="67"/>
        <w:keepNext w:val="0"/>
        <w:keepLines w:val="0"/>
        <w:widowControl/>
        <w:suppressLineNumbers w:val="0"/>
        <w:spacing w:before="75" w:beforeAutospacing="0" w:after="75" w:afterAutospacing="0" w:line="240" w:lineRule="auto"/>
        <w:ind w:left="0" w:right="0" w:firstLine="0"/>
        <w:rPr>
          <w:rFonts w:hint="default"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简要规格描述或项目基本概况介绍、用途：采购</w:t>
      </w:r>
      <w:r>
        <w:rPr>
          <w:rFonts w:hint="eastAsia" w:cs="宋体"/>
          <w:i w:val="0"/>
          <w:iCs w:val="0"/>
          <w:caps w:val="0"/>
          <w:color w:val="000000"/>
          <w:spacing w:val="0"/>
          <w:sz w:val="24"/>
          <w:szCs w:val="24"/>
          <w:highlight w:val="none"/>
          <w:lang w:val="en-US" w:eastAsia="zh-CN"/>
        </w:rPr>
        <w:t>饮片类药材及辅料一批</w:t>
      </w:r>
    </w:p>
    <w:p w14:paraId="3F9761AC">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备注：</w:t>
      </w:r>
    </w:p>
    <w:p w14:paraId="6FD45C55">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标项</w:t>
      </w:r>
      <w:r>
        <w:rPr>
          <w:rFonts w:hint="eastAsia" w:cs="宋体"/>
          <w:i w:val="0"/>
          <w:iCs w:val="0"/>
          <w:caps w:val="0"/>
          <w:color w:val="auto"/>
          <w:spacing w:val="0"/>
          <w:sz w:val="24"/>
          <w:szCs w:val="24"/>
          <w:highlight w:val="none"/>
          <w:lang w:val="en-US" w:eastAsia="zh-CN"/>
        </w:rPr>
        <w:t>七</w:t>
      </w:r>
    </w:p>
    <w:p w14:paraId="290CDEC9">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rPr>
        <w:t>  标项名称：</w:t>
      </w:r>
      <w:r>
        <w:rPr>
          <w:rFonts w:hint="eastAsia" w:cs="宋体"/>
          <w:i w:val="0"/>
          <w:iCs w:val="0"/>
          <w:caps w:val="0"/>
          <w:color w:val="auto"/>
          <w:spacing w:val="0"/>
          <w:kern w:val="0"/>
          <w:sz w:val="24"/>
          <w:szCs w:val="24"/>
          <w:highlight w:val="none"/>
          <w:lang w:val="en-US" w:eastAsia="zh-CN" w:bidi="ar-SA"/>
        </w:rPr>
        <w:t>和田地区洛浦县维吾尔医医院饮片类、辅料及药包材采购项目包七</w:t>
      </w:r>
    </w:p>
    <w:p w14:paraId="6179922B">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数量：不限</w:t>
      </w:r>
    </w:p>
    <w:p w14:paraId="47C04CFA">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预算金额（元）:</w:t>
      </w:r>
      <w:r>
        <w:rPr>
          <w:rFonts w:hint="eastAsia" w:cs="宋体"/>
          <w:i w:val="0"/>
          <w:iCs w:val="0"/>
          <w:caps w:val="0"/>
          <w:color w:val="auto"/>
          <w:spacing w:val="0"/>
          <w:sz w:val="24"/>
          <w:szCs w:val="24"/>
          <w:highlight w:val="none"/>
          <w:lang w:val="en-US" w:eastAsia="zh-CN"/>
        </w:rPr>
        <w:t>712881.98元</w:t>
      </w:r>
    </w:p>
    <w:p w14:paraId="1BD7657D">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简要规格描述或项目基本概况介绍、用途：采购</w:t>
      </w:r>
      <w:r>
        <w:rPr>
          <w:rFonts w:hint="eastAsia" w:cs="宋体"/>
          <w:i w:val="0"/>
          <w:iCs w:val="0"/>
          <w:caps w:val="0"/>
          <w:color w:val="auto"/>
          <w:spacing w:val="0"/>
          <w:sz w:val="24"/>
          <w:szCs w:val="24"/>
          <w:highlight w:val="none"/>
          <w:lang w:val="en-US" w:eastAsia="zh-CN"/>
        </w:rPr>
        <w:t>药包材一批</w:t>
      </w:r>
    </w:p>
    <w:p w14:paraId="14E91B9C">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备注：</w:t>
      </w:r>
    </w:p>
    <w:p w14:paraId="5A297DD5">
      <w:pPr>
        <w:pStyle w:val="67"/>
        <w:keepNext w:val="0"/>
        <w:keepLines w:val="0"/>
        <w:widowControl/>
        <w:suppressLineNumbers w:val="0"/>
        <w:spacing w:before="75" w:beforeAutospacing="0" w:after="75" w:afterAutospacing="0" w:line="240" w:lineRule="auto"/>
        <w:ind w:left="0" w:right="0" w:firstLine="0"/>
        <w:rPr>
          <w:rFonts w:hint="default" w:ascii="宋体" w:hAnsi="宋体" w:eastAsia="宋体" w:cs="宋体"/>
          <w:i w:val="0"/>
          <w:iCs w:val="0"/>
          <w:caps w:val="0"/>
          <w:color w:val="000000"/>
          <w:spacing w:val="0"/>
          <w:sz w:val="24"/>
          <w:szCs w:val="24"/>
          <w:highlight w:val="none"/>
          <w:lang w:val="en-US"/>
        </w:rPr>
      </w:pPr>
      <w:r>
        <w:rPr>
          <w:rFonts w:hint="eastAsia" w:ascii="宋体" w:hAnsi="宋体" w:eastAsia="宋体" w:cs="宋体"/>
          <w:i w:val="0"/>
          <w:iCs w:val="0"/>
          <w:caps w:val="0"/>
          <w:color w:val="000000"/>
          <w:spacing w:val="0"/>
          <w:sz w:val="24"/>
          <w:szCs w:val="24"/>
          <w:highlight w:val="none"/>
        </w:rPr>
        <w:t>合同履约期限：</w:t>
      </w:r>
      <w:r>
        <w:rPr>
          <w:rFonts w:hint="eastAsia" w:cs="宋体"/>
          <w:i w:val="0"/>
          <w:iCs w:val="0"/>
          <w:caps w:val="0"/>
          <w:color w:val="000000"/>
          <w:spacing w:val="0"/>
          <w:sz w:val="24"/>
          <w:szCs w:val="24"/>
          <w:highlight w:val="none"/>
          <w:lang w:val="en-US" w:eastAsia="zh-CN"/>
        </w:rPr>
        <w:t>包一、二、三、七1年</w:t>
      </w:r>
    </w:p>
    <w:p w14:paraId="7E933B34">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10" w:name="_Toc22990"/>
      <w:bookmarkStart w:id="11" w:name="_Toc22510"/>
      <w:bookmarkStart w:id="12" w:name="_Toc11569"/>
      <w:r>
        <w:rPr>
          <w:rFonts w:hint="eastAsia" w:ascii="宋体" w:hAnsi="宋体" w:eastAsia="宋体" w:cs="宋体"/>
          <w:b/>
          <w:bCs/>
          <w:i w:val="0"/>
          <w:iCs w:val="0"/>
          <w:caps w:val="0"/>
          <w:color w:val="000000"/>
          <w:spacing w:val="0"/>
          <w:kern w:val="0"/>
          <w:sz w:val="24"/>
          <w:szCs w:val="24"/>
          <w:highlight w:val="none"/>
          <w:lang w:val="en-US" w:eastAsia="zh-CN" w:bidi="ar"/>
        </w:rPr>
        <w:t>本项目（是/否）接受联合体投标：否</w:t>
      </w:r>
    </w:p>
    <w:p w14:paraId="780B03F3">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二、申请人的资格要求：</w:t>
      </w:r>
      <w:bookmarkEnd w:id="10"/>
      <w:bookmarkEnd w:id="11"/>
      <w:bookmarkEnd w:id="12"/>
    </w:p>
    <w:p w14:paraId="13996B00">
      <w:pPr>
        <w:pStyle w:val="67"/>
        <w:spacing w:line="200" w:lineRule="atLeast"/>
        <w:ind w:firstLine="420"/>
        <w:rPr>
          <w:rFonts w:hint="eastAsia" w:ascii="宋体" w:hAnsi="宋体" w:eastAsia="宋体" w:cs="宋体"/>
          <w:highlight w:val="none"/>
          <w:lang w:val="en-US" w:eastAsia="zh-CN" w:bidi="ar"/>
        </w:rPr>
      </w:pPr>
      <w:bookmarkStart w:id="13" w:name="_Toc23893"/>
      <w:r>
        <w:rPr>
          <w:rFonts w:hint="eastAsia" w:ascii="宋体" w:hAnsi="宋体" w:eastAsia="宋体" w:cs="宋体"/>
          <w:highlight w:val="none"/>
          <w:lang w:val="en-US" w:eastAsia="zh-CN" w:bidi="ar"/>
        </w:rPr>
        <w:t>1.满足《中华人民共和国政府采购法》第二十二条规定；</w:t>
      </w:r>
      <w:bookmarkEnd w:id="13"/>
    </w:p>
    <w:p w14:paraId="3C54B46E">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2.落实政府采购政策需满足的资格要求：</w:t>
      </w:r>
    </w:p>
    <w:p w14:paraId="5F390925">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2.1中小企业政策</w:t>
      </w:r>
    </w:p>
    <w:p w14:paraId="73989663">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sym w:font="Wingdings 2" w:char="0052"/>
      </w:r>
      <w:r>
        <w:rPr>
          <w:rFonts w:hint="eastAsia" w:ascii="宋体" w:hAnsi="宋体" w:eastAsia="宋体" w:cs="宋体"/>
          <w:highlight w:val="none"/>
          <w:lang w:val="en-US" w:eastAsia="zh-CN" w:bidi="ar"/>
        </w:rPr>
        <w:t>本项目不专门面向中小企业预留采购份额。</w:t>
      </w:r>
    </w:p>
    <w:p w14:paraId="71EFD61B">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□本项目专门面向</w:t>
      </w:r>
      <w:r>
        <w:rPr>
          <w:rFonts w:hint="eastAsia" w:cs="宋体"/>
          <w:highlight w:val="none"/>
          <w:lang w:val="en-US" w:eastAsia="zh-CN" w:bidi="ar"/>
        </w:rPr>
        <w:t>□</w:t>
      </w:r>
      <w:r>
        <w:rPr>
          <w:rFonts w:hint="eastAsia" w:ascii="宋体" w:hAnsi="宋体" w:eastAsia="宋体" w:cs="宋体"/>
          <w:highlight w:val="none"/>
          <w:lang w:val="en-US" w:eastAsia="zh-CN" w:bidi="ar"/>
        </w:rPr>
        <w:t>中小□小微企业采购。即：提供的货物或服务全部由符合政策要求的中小/小微企业制造、服务全部由符合政策要求的中小/小微企业承接。</w:t>
      </w:r>
    </w:p>
    <w:p w14:paraId="1FB498DA">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□本项目预留部分采购项目预算专门面向中小企业采购。对于预留份额，提供的货物由符合政策要求的中小企业制造、服务由符合政策要求的中小企业承接。预留份额通过以下措施进行：__________________。</w:t>
      </w:r>
    </w:p>
    <w:p w14:paraId="27FC0CB6">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2.2落实的政府采购政策</w:t>
      </w:r>
    </w:p>
    <w:p w14:paraId="1F09BD7F">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（1）财政部、国家发展改革委、生态环境部、市场监管总局《关于调整优化节能产品、环境标志产品政府采购执行机制的通知》（财库[2019]9号文）；</w:t>
      </w:r>
    </w:p>
    <w:p w14:paraId="3FA96BAB">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（2）财政部、生态环境部《关于印发环境标志产品政府采购品目清单的通知》（财库[2019]18号文）；</w:t>
      </w:r>
    </w:p>
    <w:p w14:paraId="5D9B400C">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（3）财政部、发展改革委《关于印发节能产品政府采购品目清单的通知》（财库[2019]19号文）；</w:t>
      </w:r>
    </w:p>
    <w:p w14:paraId="4EF462EA">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（4）市场监管总局《市场监管总局关于发布参与实施政府采购节能产品、环境标志产品认证机构名录的公告》（2019年第16号）；</w:t>
      </w:r>
    </w:p>
    <w:p w14:paraId="26C8D6CE">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（5）财政部、工业和信息化部《关于印发《政府采购促进中小企业发展管理办法》的通知》（财库[2020]46号文）《关于进一步加大政府采购支持中小企业力度的通知》（财库[2022]19号文）执行；</w:t>
      </w:r>
    </w:p>
    <w:p w14:paraId="745CBACC">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（6）财政部、民政部、中国残疾人联合会《关于促进残疾人就业政府采购政策的通知》（财库[2017]141号）；</w:t>
      </w:r>
    </w:p>
    <w:p w14:paraId="1A8BB88F">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（7）财政部、司法部《关于政府采购支持监狱企业发展有关问题的通知》（财库[2014]68号文）；</w:t>
      </w:r>
    </w:p>
    <w:p w14:paraId="13F01EB6">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（8）财政部、生态环境部、国家邮政局《关于印发《商品包装政府采购需求标准（试行）》、《快递包装政府采购需求标准（试行）》的通知》（财办库〔2020〕123号）。</w:t>
      </w:r>
    </w:p>
    <w:p w14:paraId="30FE3C37">
      <w:pPr>
        <w:pStyle w:val="67"/>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i w:val="0"/>
          <w:iCs w:val="0"/>
          <w:caps w:val="0"/>
          <w:color w:val="000000"/>
          <w:spacing w:val="0"/>
          <w:sz w:val="24"/>
          <w:szCs w:val="24"/>
          <w:highlight w:val="none"/>
          <w:lang w:val="en-US" w:eastAsia="zh-CN"/>
        </w:rPr>
      </w:pPr>
      <w:bookmarkStart w:id="14" w:name="_Toc5294"/>
      <w:r>
        <w:rPr>
          <w:rFonts w:hint="eastAsia" w:ascii="宋体" w:hAnsi="宋体" w:eastAsia="宋体" w:cs="宋体"/>
          <w:i w:val="0"/>
          <w:iCs w:val="0"/>
          <w:caps w:val="0"/>
          <w:color w:val="000000"/>
          <w:spacing w:val="0"/>
          <w:sz w:val="24"/>
          <w:szCs w:val="24"/>
          <w:highlight w:val="none"/>
          <w:lang w:val="en-US" w:eastAsia="zh-CN"/>
        </w:rPr>
        <w:t>3.本项目的特定资格要求：</w:t>
      </w:r>
      <w:bookmarkEnd w:id="14"/>
    </w:p>
    <w:p w14:paraId="334F0FD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bookmarkStart w:id="15" w:name="_Toc14519"/>
      <w:bookmarkStart w:id="16" w:name="_Toc4096"/>
      <w:bookmarkStart w:id="17" w:name="_Toc29122"/>
      <w:r>
        <w:rPr>
          <w:rFonts w:hint="eastAsia" w:ascii="宋体" w:hAnsi="宋体" w:eastAsia="宋体" w:cs="宋体"/>
          <w:i w:val="0"/>
          <w:iCs w:val="0"/>
          <w:caps w:val="0"/>
          <w:color w:val="000000"/>
          <w:spacing w:val="0"/>
          <w:sz w:val="24"/>
          <w:szCs w:val="24"/>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53FC7E8A">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（2）有依法缴纳税收和社会保障资金的良好记录：提供近三个月（近三个月是指2024年</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月-2024年</w:t>
      </w:r>
      <w:r>
        <w:rPr>
          <w:rFonts w:hint="eastAsia" w:cs="宋体"/>
          <w:i w:val="0"/>
          <w:iCs w:val="0"/>
          <w:caps w:val="0"/>
          <w:color w:val="000000"/>
          <w:spacing w:val="0"/>
          <w:sz w:val="24"/>
          <w:szCs w:val="24"/>
          <w:highlight w:val="none"/>
          <w:lang w:val="en-US" w:eastAsia="zh-CN"/>
        </w:rPr>
        <w:t>7</w:t>
      </w:r>
      <w:r>
        <w:rPr>
          <w:rFonts w:hint="eastAsia" w:ascii="宋体" w:hAnsi="宋体" w:eastAsia="宋体" w:cs="宋体"/>
          <w:i w:val="0"/>
          <w:iCs w:val="0"/>
          <w:caps w:val="0"/>
          <w:color w:val="000000"/>
          <w:spacing w:val="0"/>
          <w:sz w:val="24"/>
          <w:szCs w:val="24"/>
          <w:highlight w:val="none"/>
          <w:lang w:val="en-US" w:eastAsia="zh-CN"/>
        </w:rPr>
        <w:t>月）的缴纳税收的完税证明；如依法免税的，应提供相应文件证明（需含增值税、印花税等税种等；新成立不足3个月的公司按实际发生提供，如当月无需缴税需提供税务机关出具的无欠税证明）；提供近三个月（近三个月是指2024年</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月-2024年</w:t>
      </w:r>
      <w:r>
        <w:rPr>
          <w:rFonts w:hint="eastAsia" w:cs="宋体"/>
          <w:i w:val="0"/>
          <w:iCs w:val="0"/>
          <w:caps w:val="0"/>
          <w:color w:val="000000"/>
          <w:spacing w:val="0"/>
          <w:sz w:val="24"/>
          <w:szCs w:val="24"/>
          <w:highlight w:val="none"/>
          <w:lang w:val="en-US" w:eastAsia="zh-CN"/>
        </w:rPr>
        <w:t>7</w:t>
      </w:r>
      <w:r>
        <w:rPr>
          <w:rFonts w:hint="eastAsia" w:ascii="宋体" w:hAnsi="宋体" w:eastAsia="宋体" w:cs="宋体"/>
          <w:i w:val="0"/>
          <w:iCs w:val="0"/>
          <w:caps w:val="0"/>
          <w:color w:val="000000"/>
          <w:spacing w:val="0"/>
          <w:sz w:val="24"/>
          <w:szCs w:val="24"/>
          <w:highlight w:val="none"/>
          <w:lang w:val="en-US" w:eastAsia="zh-CN"/>
        </w:rPr>
        <w:t>月）投标供应商的社保缴纳证明（社保缴费凭证及明细，新成立不足3个月的公司以实际发生的为准）。如依法不需要缴纳社会保障资金的，应提供相应文件证明；</w:t>
      </w:r>
    </w:p>
    <w:p w14:paraId="448D555E">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（3）具有良好的商业信誉和健全的财务会计制度：提供2023年度由第三方财务审计机构出具的财务审计报告或新成立的企业提供银行出具的近三个月的资信证明；</w:t>
      </w:r>
    </w:p>
    <w:p w14:paraId="422D612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（4）履行合同所必需的设备和专业技术能力：提供《投标人资格声明函》；</w:t>
      </w:r>
    </w:p>
    <w:p w14:paraId="1255D5FD">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64774BC3">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6）近三年内（本项目投标截止期前）未被“信用中国”（www.creditchina.gov.cn）、中国政府采购网（www.ccgp.gov.cn）列入失信被执行人、重大税收违法案件当事人名单、政府采购严重违法失信行为记录名单（开标现场查询）；</w:t>
      </w:r>
    </w:p>
    <w:p w14:paraId="49FBD43D">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（7）企业负责人为同一人或者存在直接控股、管理关系的不同投标人，不得参加同一合同项下的政府采购活动的声明函；否则，皆取消投标资格；</w:t>
      </w:r>
    </w:p>
    <w:p w14:paraId="251269B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（8）投标保证金或电子保函；</w:t>
      </w:r>
    </w:p>
    <w:p w14:paraId="19BF3C31">
      <w:pPr>
        <w:pStyle w:val="67"/>
        <w:keepNext w:val="0"/>
        <w:keepLines w:val="0"/>
        <w:widowControl/>
        <w:suppressLineNumbers w:val="0"/>
        <w:spacing w:before="75" w:beforeAutospacing="0" w:after="75" w:afterAutospacing="0" w:line="240" w:lineRule="auto"/>
        <w:ind w:left="0" w:right="0" w:firstLine="0"/>
        <w:jc w:val="left"/>
        <w:rPr>
          <w:rFonts w:hint="eastAsia" w:cs="宋体"/>
          <w:i w:val="0"/>
          <w:iCs w:val="0"/>
          <w:caps w:val="0"/>
          <w:color w:val="000000"/>
          <w:spacing w:val="0"/>
          <w:sz w:val="24"/>
          <w:szCs w:val="24"/>
          <w:highlight w:val="none"/>
          <w:lang w:val="en-US" w:eastAsia="zh-CN"/>
        </w:rPr>
      </w:pPr>
      <w:r>
        <w:rPr>
          <w:rFonts w:hint="eastAsia" w:cs="宋体"/>
          <w:i w:val="0"/>
          <w:iCs w:val="0"/>
          <w:caps w:val="0"/>
          <w:color w:val="000000"/>
          <w:spacing w:val="0"/>
          <w:sz w:val="24"/>
          <w:szCs w:val="24"/>
          <w:highlight w:val="none"/>
          <w:lang w:val="en-US" w:eastAsia="zh-CN"/>
        </w:rPr>
        <w:t>（9)</w:t>
      </w:r>
      <w:bookmarkEnd w:id="15"/>
      <w:bookmarkEnd w:id="16"/>
      <w:bookmarkEnd w:id="17"/>
      <w:bookmarkStart w:id="18" w:name="_Toc20322"/>
      <w:bookmarkStart w:id="19" w:name="_Toc4398"/>
      <w:bookmarkStart w:id="20" w:name="_Toc4068"/>
      <w:r>
        <w:rPr>
          <w:rFonts w:hint="eastAsia" w:cs="宋体"/>
          <w:i w:val="0"/>
          <w:iCs w:val="0"/>
          <w:caps w:val="0"/>
          <w:color w:val="000000"/>
          <w:spacing w:val="0"/>
          <w:sz w:val="24"/>
          <w:szCs w:val="24"/>
          <w:highlight w:val="none"/>
          <w:lang w:val="en-US" w:eastAsia="zh-CN"/>
        </w:rPr>
        <w:t>包1、包2、包3供应商为中药饮片生产厂家或经销商，若供应商为生产厂家，提供《药品生产许可证》；供应商为经销商，提供《药品经营许可证》。</w:t>
      </w:r>
    </w:p>
    <w:p w14:paraId="691B38E8">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三、招标文件的</w:t>
      </w:r>
      <w:r>
        <w:rPr>
          <w:rFonts w:hint="eastAsia" w:ascii="宋体" w:hAnsi="宋体" w:cs="宋体"/>
          <w:b/>
          <w:bCs/>
          <w:color w:val="auto"/>
          <w:kern w:val="0"/>
          <w:sz w:val="24"/>
          <w:szCs w:val="24"/>
          <w:highlight w:val="none"/>
          <w:lang w:eastAsia="zh-CN"/>
        </w:rPr>
        <w:t>获取</w:t>
      </w:r>
      <w:r>
        <w:rPr>
          <w:rFonts w:hint="eastAsia" w:ascii="宋体" w:hAnsi="宋体" w:eastAsia="宋体" w:cs="宋体"/>
          <w:b/>
          <w:bCs/>
          <w:color w:val="auto"/>
          <w:kern w:val="0"/>
          <w:sz w:val="24"/>
          <w:szCs w:val="24"/>
          <w:highlight w:val="none"/>
        </w:rPr>
        <w:t>时间、地址、售价：</w:t>
      </w:r>
    </w:p>
    <w:p w14:paraId="4301F1B0">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1、</w:t>
      </w:r>
      <w:r>
        <w:rPr>
          <w:rFonts w:hint="eastAsia" w:ascii="宋体" w:hAnsi="宋体" w:cs="宋体"/>
          <w:color w:val="auto"/>
          <w:kern w:val="0"/>
          <w:sz w:val="24"/>
          <w:szCs w:val="24"/>
          <w:highlight w:val="none"/>
          <w:lang w:eastAsia="zh-CN"/>
        </w:rPr>
        <w:t>获取</w:t>
      </w:r>
      <w:r>
        <w:rPr>
          <w:rFonts w:hint="eastAsia" w:ascii="宋体" w:hAnsi="宋体" w:eastAsia="宋体" w:cs="宋体"/>
          <w:color w:val="auto"/>
          <w:kern w:val="0"/>
          <w:sz w:val="24"/>
          <w:szCs w:val="24"/>
          <w:highlight w:val="none"/>
        </w:rPr>
        <w:t>时间：</w:t>
      </w:r>
      <w:r>
        <w:rPr>
          <w:rFonts w:hint="eastAsia" w:ascii="宋体" w:hAnsi="宋体" w:cs="宋体"/>
          <w:color w:val="auto"/>
          <w:kern w:val="0"/>
          <w:sz w:val="24"/>
          <w:szCs w:val="24"/>
          <w:highlight w:val="none"/>
          <w:lang w:eastAsia="zh-CN"/>
        </w:rPr>
        <w:t>2024年</w:t>
      </w:r>
      <w:r>
        <w:rPr>
          <w:rFonts w:hint="eastAsia" w:ascii="宋体" w:hAnsi="宋体" w:cs="宋体"/>
          <w:color w:val="auto"/>
          <w:kern w:val="0"/>
          <w:sz w:val="24"/>
          <w:szCs w:val="24"/>
          <w:highlight w:val="none"/>
          <w:lang w:val="en-US" w:eastAsia="zh-CN"/>
        </w:rPr>
        <w:t>08</w:t>
      </w:r>
      <w:r>
        <w:rPr>
          <w:rFonts w:hint="eastAsia" w:ascii="宋体" w:hAnsi="宋体" w:eastAsia="宋体" w:cs="宋体"/>
          <w:color w:val="auto"/>
          <w:kern w:val="0"/>
          <w:sz w:val="24"/>
          <w:szCs w:val="24"/>
          <w:highlight w:val="none"/>
          <w:lang w:eastAsia="zh-CN"/>
        </w:rPr>
        <w:t>月</w:t>
      </w:r>
      <w:r>
        <w:rPr>
          <w:rFonts w:hint="eastAsia" w:ascii="宋体" w:hAnsi="宋体" w:cs="宋体"/>
          <w:color w:val="auto"/>
          <w:kern w:val="0"/>
          <w:sz w:val="24"/>
          <w:szCs w:val="24"/>
          <w:highlight w:val="none"/>
          <w:lang w:val="en-US" w:eastAsia="zh-CN"/>
        </w:rPr>
        <w:t>23</w:t>
      </w:r>
      <w:r>
        <w:rPr>
          <w:rFonts w:hint="eastAsia" w:ascii="宋体" w:hAnsi="宋体" w:eastAsia="宋体" w:cs="宋体"/>
          <w:color w:val="auto"/>
          <w:kern w:val="0"/>
          <w:sz w:val="24"/>
          <w:szCs w:val="24"/>
          <w:highlight w:val="none"/>
          <w:lang w:eastAsia="zh-CN"/>
        </w:rPr>
        <w:t>日至</w:t>
      </w:r>
      <w:r>
        <w:rPr>
          <w:rFonts w:hint="eastAsia" w:ascii="宋体" w:hAnsi="宋体" w:cs="宋体"/>
          <w:color w:val="auto"/>
          <w:kern w:val="0"/>
          <w:sz w:val="24"/>
          <w:szCs w:val="24"/>
          <w:highlight w:val="none"/>
          <w:lang w:eastAsia="zh-CN"/>
        </w:rPr>
        <w:t>2024年</w:t>
      </w:r>
      <w:r>
        <w:rPr>
          <w:rFonts w:hint="eastAsia" w:ascii="宋体" w:hAnsi="宋体" w:eastAsia="宋体" w:cs="宋体"/>
          <w:color w:val="auto"/>
          <w:kern w:val="0"/>
          <w:sz w:val="24"/>
          <w:szCs w:val="24"/>
          <w:highlight w:val="none"/>
          <w:lang w:val="en-US" w:eastAsia="zh-CN"/>
        </w:rPr>
        <w:t>0</w:t>
      </w:r>
      <w:r>
        <w:rPr>
          <w:rFonts w:hint="eastAsia" w:ascii="宋体"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eastAsia="zh-CN"/>
        </w:rPr>
        <w:t>月</w:t>
      </w:r>
      <w:r>
        <w:rPr>
          <w:rFonts w:hint="eastAsia" w:ascii="宋体" w:hAnsi="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lang w:eastAsia="zh-CN"/>
        </w:rPr>
        <w:t>日</w:t>
      </w:r>
    </w:p>
    <w:p w14:paraId="36D63CD9">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2、地点（网址）：</w:t>
      </w:r>
      <w:r>
        <w:rPr>
          <w:rFonts w:hint="eastAsia" w:ascii="宋体" w:hAnsi="宋体" w:eastAsia="宋体" w:cs="宋体"/>
          <w:kern w:val="0"/>
          <w:sz w:val="24"/>
          <w:szCs w:val="24"/>
          <w:highlight w:val="none"/>
        </w:rPr>
        <w:t>政采云平台（https://www.zcygov.cn/）线上获取</w:t>
      </w:r>
    </w:p>
    <w:p w14:paraId="53AB8AB8">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kern w:val="0"/>
          <w:sz w:val="24"/>
          <w:szCs w:val="24"/>
          <w:highlight w:val="none"/>
        </w:rPr>
      </w:pPr>
      <w:r>
        <w:rPr>
          <w:rFonts w:hint="eastAsia" w:ascii="宋体" w:hAnsi="宋体" w:eastAsia="宋体" w:cs="宋体"/>
          <w:color w:val="auto"/>
          <w:kern w:val="0"/>
          <w:sz w:val="24"/>
          <w:szCs w:val="24"/>
          <w:highlight w:val="none"/>
        </w:rPr>
        <w:t>3、方式：</w:t>
      </w:r>
      <w:r>
        <w:rPr>
          <w:rFonts w:hint="eastAsia" w:ascii="宋体" w:hAnsi="宋体" w:eastAsia="宋体" w:cs="宋体"/>
          <w:kern w:val="0"/>
          <w:sz w:val="24"/>
          <w:szCs w:val="24"/>
          <w:highlight w:val="none"/>
        </w:rPr>
        <w:t>供应商登录政采云平台https://www.zcygov.cn/在线申请获取采购文件（进入“项目采购”应用，在获取采购文件菜单中选择项目，申请获取采购文件）</w:t>
      </w:r>
    </w:p>
    <w:p w14:paraId="00366165">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4、售价：0元</w:t>
      </w:r>
    </w:p>
    <w:p w14:paraId="41E9C68F">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四、提交投标文件截止时间、开标时间和地点</w:t>
      </w:r>
      <w:bookmarkEnd w:id="18"/>
      <w:bookmarkEnd w:id="19"/>
      <w:bookmarkEnd w:id="20"/>
    </w:p>
    <w:p w14:paraId="420337E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提交投标文件截止时间：</w:t>
      </w:r>
      <w:r>
        <w:rPr>
          <w:rFonts w:hint="eastAsia" w:cs="宋体"/>
          <w:i w:val="0"/>
          <w:iCs w:val="0"/>
          <w:caps w:val="0"/>
          <w:color w:val="000000"/>
          <w:spacing w:val="0"/>
          <w:sz w:val="24"/>
          <w:szCs w:val="24"/>
          <w:highlight w:val="none"/>
          <w:lang w:val="en-US" w:eastAsia="zh-CN"/>
        </w:rPr>
        <w:t>2024年9月12日11：00</w:t>
      </w:r>
      <w:r>
        <w:rPr>
          <w:rFonts w:hint="eastAsia" w:ascii="宋体" w:hAnsi="宋体" w:eastAsia="宋体" w:cs="宋体"/>
          <w:i w:val="0"/>
          <w:iCs w:val="0"/>
          <w:caps w:val="0"/>
          <w:color w:val="000000"/>
          <w:spacing w:val="0"/>
          <w:sz w:val="24"/>
          <w:szCs w:val="24"/>
          <w:highlight w:val="none"/>
          <w:lang w:val="en-US" w:eastAsia="zh-CN"/>
        </w:rPr>
        <w:t>分（北京时间）</w:t>
      </w:r>
    </w:p>
    <w:p w14:paraId="0FA0E009">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投标地点：投标人应于</w:t>
      </w:r>
      <w:r>
        <w:rPr>
          <w:rFonts w:hint="eastAsia" w:cs="宋体"/>
          <w:i w:val="0"/>
          <w:iCs w:val="0"/>
          <w:caps w:val="0"/>
          <w:color w:val="000000"/>
          <w:spacing w:val="0"/>
          <w:sz w:val="24"/>
          <w:szCs w:val="24"/>
          <w:highlight w:val="none"/>
          <w:lang w:val="en-US" w:eastAsia="zh-CN"/>
        </w:rPr>
        <w:t>2024年9月12日11：00</w:t>
      </w:r>
      <w:r>
        <w:rPr>
          <w:rFonts w:hint="eastAsia" w:ascii="宋体" w:hAnsi="宋体" w:eastAsia="宋体" w:cs="宋体"/>
          <w:i w:val="0"/>
          <w:iCs w:val="0"/>
          <w:caps w:val="0"/>
          <w:color w:val="000000"/>
          <w:spacing w:val="0"/>
          <w:sz w:val="24"/>
          <w:szCs w:val="24"/>
          <w:highlight w:val="none"/>
          <w:lang w:val="en-US" w:eastAsia="zh-CN"/>
        </w:rPr>
        <w:t>分</w:t>
      </w:r>
      <w:r>
        <w:rPr>
          <w:rFonts w:hint="eastAsia" w:cs="宋体"/>
          <w:i w:val="0"/>
          <w:iCs w:val="0"/>
          <w:caps w:val="0"/>
          <w:color w:val="000000"/>
          <w:spacing w:val="0"/>
          <w:sz w:val="24"/>
          <w:szCs w:val="24"/>
          <w:highlight w:val="none"/>
          <w:lang w:val="en-US" w:eastAsia="zh-CN"/>
        </w:rPr>
        <w:t>（</w:t>
      </w:r>
      <w:r>
        <w:rPr>
          <w:rFonts w:hint="eastAsia" w:ascii="宋体" w:hAnsi="宋体" w:eastAsia="宋体" w:cs="宋体"/>
          <w:i w:val="0"/>
          <w:iCs w:val="0"/>
          <w:caps w:val="0"/>
          <w:color w:val="000000"/>
          <w:spacing w:val="0"/>
          <w:sz w:val="24"/>
          <w:szCs w:val="24"/>
          <w:highlight w:val="none"/>
          <w:lang w:val="en-US" w:eastAsia="zh-CN"/>
        </w:rPr>
        <w:t>北京时间）之前将电子投标文件上传到新疆政府采购平台。应按照本项目招标文件和新疆政府采购平台的要求编制、加密传输投标文件。</w:t>
      </w:r>
    </w:p>
    <w:p w14:paraId="6C090D2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开标时间：</w:t>
      </w:r>
      <w:r>
        <w:rPr>
          <w:rFonts w:hint="eastAsia" w:cs="宋体"/>
          <w:i w:val="0"/>
          <w:iCs w:val="0"/>
          <w:caps w:val="0"/>
          <w:color w:val="000000"/>
          <w:spacing w:val="0"/>
          <w:sz w:val="24"/>
          <w:szCs w:val="24"/>
          <w:highlight w:val="none"/>
          <w:lang w:val="en-US" w:eastAsia="zh-CN"/>
        </w:rPr>
        <w:t>2024年9月12日11：00</w:t>
      </w:r>
      <w:r>
        <w:rPr>
          <w:rFonts w:hint="eastAsia" w:ascii="宋体" w:hAnsi="宋体" w:eastAsia="宋体" w:cs="宋体"/>
          <w:i w:val="0"/>
          <w:iCs w:val="0"/>
          <w:caps w:val="0"/>
          <w:color w:val="000000"/>
          <w:spacing w:val="0"/>
          <w:sz w:val="24"/>
          <w:szCs w:val="24"/>
          <w:highlight w:val="none"/>
          <w:lang w:val="en-US" w:eastAsia="zh-CN"/>
        </w:rPr>
        <w:t>分（北京时间）</w:t>
      </w:r>
    </w:p>
    <w:p w14:paraId="63774E12">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开标地点：政采云平台不见面开标</w:t>
      </w:r>
    </w:p>
    <w:p w14:paraId="54BFDDF6">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1" w:name="_Toc19015"/>
      <w:bookmarkStart w:id="22" w:name="_Toc30941"/>
      <w:bookmarkStart w:id="23" w:name="_Toc9151"/>
      <w:r>
        <w:rPr>
          <w:rFonts w:hint="eastAsia" w:ascii="宋体" w:hAnsi="宋体" w:cs="宋体"/>
          <w:b/>
          <w:bCs/>
          <w:i w:val="0"/>
          <w:iCs w:val="0"/>
          <w:caps w:val="0"/>
          <w:color w:val="000000"/>
          <w:spacing w:val="0"/>
          <w:kern w:val="0"/>
          <w:sz w:val="24"/>
          <w:szCs w:val="24"/>
          <w:highlight w:val="none"/>
          <w:lang w:val="en-US" w:eastAsia="zh-CN" w:bidi="ar"/>
        </w:rPr>
        <w:t>五</w:t>
      </w:r>
      <w:r>
        <w:rPr>
          <w:rFonts w:hint="eastAsia" w:ascii="宋体" w:hAnsi="宋体" w:eastAsia="宋体" w:cs="宋体"/>
          <w:b/>
          <w:bCs/>
          <w:i w:val="0"/>
          <w:iCs w:val="0"/>
          <w:caps w:val="0"/>
          <w:color w:val="000000"/>
          <w:spacing w:val="0"/>
          <w:kern w:val="0"/>
          <w:sz w:val="24"/>
          <w:szCs w:val="24"/>
          <w:highlight w:val="none"/>
          <w:lang w:val="en-US" w:eastAsia="zh-CN" w:bidi="ar"/>
        </w:rPr>
        <w:t>、公告期限</w:t>
      </w:r>
      <w:bookmarkEnd w:id="21"/>
      <w:bookmarkEnd w:id="22"/>
      <w:bookmarkEnd w:id="23"/>
    </w:p>
    <w:p w14:paraId="4773A8DA">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自本公告发布之日起5个工作日。</w:t>
      </w:r>
    </w:p>
    <w:p w14:paraId="18FFE2EE">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4" w:name="_Toc1504"/>
      <w:bookmarkStart w:id="25" w:name="_Toc2426"/>
      <w:bookmarkStart w:id="26" w:name="_Toc32428"/>
      <w:r>
        <w:rPr>
          <w:rFonts w:hint="eastAsia" w:ascii="宋体" w:hAnsi="宋体" w:cs="宋体"/>
          <w:b/>
          <w:bCs/>
          <w:i w:val="0"/>
          <w:iCs w:val="0"/>
          <w:caps w:val="0"/>
          <w:color w:val="000000"/>
          <w:spacing w:val="0"/>
          <w:kern w:val="0"/>
          <w:sz w:val="24"/>
          <w:szCs w:val="24"/>
          <w:highlight w:val="none"/>
          <w:lang w:val="en-US" w:eastAsia="zh-CN" w:bidi="ar"/>
        </w:rPr>
        <w:t>六</w:t>
      </w:r>
      <w:r>
        <w:rPr>
          <w:rFonts w:hint="eastAsia" w:ascii="宋体" w:hAnsi="宋体" w:eastAsia="宋体" w:cs="宋体"/>
          <w:b/>
          <w:bCs/>
          <w:i w:val="0"/>
          <w:iCs w:val="0"/>
          <w:caps w:val="0"/>
          <w:color w:val="000000"/>
          <w:spacing w:val="0"/>
          <w:kern w:val="0"/>
          <w:sz w:val="24"/>
          <w:szCs w:val="24"/>
          <w:highlight w:val="none"/>
          <w:lang w:val="en-US" w:eastAsia="zh-CN" w:bidi="ar"/>
        </w:rPr>
        <w:t>、其他补充事宜</w:t>
      </w:r>
      <w:bookmarkEnd w:id="24"/>
      <w:bookmarkEnd w:id="25"/>
      <w:bookmarkEnd w:id="26"/>
    </w:p>
    <w:p w14:paraId="4AC449C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1、本项目实行网上投标，采用电子投标文件。若供应商参与投标，自行承担投标一切费用。</w:t>
      </w:r>
    </w:p>
    <w:p w14:paraId="41326BC0">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1837B9D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3EBFD60A">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4、有意向参与新疆区域电子开评标的供应商，可访问新疆数字证书认证中心官方网站（https://www.xjca.com.cn/）或下载“新疆政务通”APP自行进行申领。如需咨询，请联系新疆CA服务热线0991-2819290</w:t>
      </w:r>
    </w:p>
    <w:p w14:paraId="1C674FA8">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b/>
          <w:bCs/>
          <w:i w:val="0"/>
          <w:caps w:val="0"/>
          <w:color w:val="000000"/>
          <w:spacing w:val="0"/>
          <w:kern w:val="0"/>
          <w:sz w:val="21"/>
          <w:szCs w:val="21"/>
          <w:highlight w:val="none"/>
          <w:vertAlign w:val="baseline"/>
          <w:lang w:val="en-US" w:eastAsia="zh-CN" w:bidi="ar"/>
        </w:rPr>
        <w:t>特别强调：</w:t>
      </w:r>
    </w:p>
    <w:p w14:paraId="2228D711">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得分的6％～10％作为其价格分。</w:t>
      </w:r>
    </w:p>
    <w:p w14:paraId="2C9263CE">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接受大中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71852908">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7" w:name="_Toc9402"/>
      <w:bookmarkStart w:id="28" w:name="_Toc3331"/>
      <w:bookmarkStart w:id="29" w:name="_Toc3294"/>
      <w:r>
        <w:rPr>
          <w:rFonts w:hint="eastAsia" w:ascii="宋体" w:hAnsi="宋体" w:cs="宋体"/>
          <w:b/>
          <w:bCs/>
          <w:i w:val="0"/>
          <w:iCs w:val="0"/>
          <w:caps w:val="0"/>
          <w:color w:val="000000"/>
          <w:spacing w:val="0"/>
          <w:kern w:val="0"/>
          <w:sz w:val="24"/>
          <w:szCs w:val="24"/>
          <w:highlight w:val="none"/>
          <w:lang w:val="en-US" w:eastAsia="zh-CN" w:bidi="ar"/>
        </w:rPr>
        <w:t>七</w:t>
      </w:r>
      <w:r>
        <w:rPr>
          <w:rFonts w:hint="eastAsia" w:ascii="宋体" w:hAnsi="宋体" w:eastAsia="宋体" w:cs="宋体"/>
          <w:b/>
          <w:bCs/>
          <w:i w:val="0"/>
          <w:iCs w:val="0"/>
          <w:caps w:val="0"/>
          <w:color w:val="000000"/>
          <w:spacing w:val="0"/>
          <w:kern w:val="0"/>
          <w:sz w:val="24"/>
          <w:szCs w:val="24"/>
          <w:highlight w:val="none"/>
          <w:lang w:val="en-US" w:eastAsia="zh-CN" w:bidi="ar"/>
        </w:rPr>
        <w:t>、对本次采购提出询问，请按以下方式联系</w:t>
      </w:r>
      <w:bookmarkEnd w:id="27"/>
      <w:bookmarkEnd w:id="28"/>
      <w:bookmarkEnd w:id="29"/>
    </w:p>
    <w:p w14:paraId="4DC239E3">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1.采购人信息</w:t>
      </w:r>
    </w:p>
    <w:p w14:paraId="4666C9A0">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w:t>
      </w:r>
      <w:r>
        <w:rPr>
          <w:rFonts w:hint="eastAsia" w:cs="宋体"/>
          <w:i w:val="0"/>
          <w:iCs w:val="0"/>
          <w:caps w:val="0"/>
          <w:color w:val="000000"/>
          <w:spacing w:val="0"/>
          <w:sz w:val="24"/>
          <w:szCs w:val="24"/>
          <w:highlight w:val="none"/>
          <w:lang w:val="en-US" w:eastAsia="zh-CN"/>
        </w:rPr>
        <w:t>洛浦县维吾尔医医院</w:t>
      </w:r>
    </w:p>
    <w:p w14:paraId="725E4C37">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color w:val="000000"/>
          <w:sz w:val="24"/>
          <w:szCs w:val="24"/>
          <w:highlight w:val="none"/>
          <w:lang w:eastAsia="zh-CN"/>
        </w:rPr>
      </w:pPr>
      <w:r>
        <w:rPr>
          <w:rFonts w:hint="eastAsia" w:ascii="宋体" w:hAnsi="宋体" w:eastAsia="宋体" w:cs="宋体"/>
          <w:i w:val="0"/>
          <w:iCs w:val="0"/>
          <w:caps w:val="0"/>
          <w:color w:val="000000"/>
          <w:spacing w:val="0"/>
          <w:sz w:val="24"/>
          <w:szCs w:val="24"/>
          <w:highlight w:val="none"/>
          <w:lang w:val="en-US" w:eastAsia="zh-CN"/>
        </w:rPr>
        <w:t>地址：</w:t>
      </w:r>
      <w:r>
        <w:rPr>
          <w:rFonts w:hint="eastAsia" w:cs="宋体"/>
          <w:color w:val="000000"/>
          <w:sz w:val="24"/>
          <w:szCs w:val="24"/>
          <w:highlight w:val="none"/>
          <w:lang w:eastAsia="zh-CN"/>
        </w:rPr>
        <w:t>洛浦县加依铁热克路01号</w:t>
      </w:r>
    </w:p>
    <w:p w14:paraId="3F45EE80">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w:t>
      </w:r>
      <w:r>
        <w:rPr>
          <w:rFonts w:hint="eastAsia" w:cs="宋体"/>
          <w:i w:val="0"/>
          <w:iCs w:val="0"/>
          <w:caps w:val="0"/>
          <w:color w:val="000000"/>
          <w:spacing w:val="0"/>
          <w:sz w:val="24"/>
          <w:szCs w:val="24"/>
          <w:highlight w:val="none"/>
          <w:lang w:val="en-US" w:eastAsia="zh-CN"/>
        </w:rPr>
        <w:t>图女士</w:t>
      </w:r>
    </w:p>
    <w:p w14:paraId="1BE5E530">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w:t>
      </w:r>
      <w:r>
        <w:rPr>
          <w:rFonts w:hint="eastAsia" w:cs="宋体"/>
          <w:i w:val="0"/>
          <w:iCs w:val="0"/>
          <w:caps w:val="0"/>
          <w:color w:val="000000"/>
          <w:spacing w:val="0"/>
          <w:sz w:val="24"/>
          <w:szCs w:val="24"/>
          <w:highlight w:val="none"/>
          <w:lang w:val="en-US" w:eastAsia="zh-CN"/>
        </w:rPr>
        <w:t>15509058884</w:t>
      </w:r>
    </w:p>
    <w:p w14:paraId="58804B7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2.采购代理机构信息</w:t>
      </w:r>
    </w:p>
    <w:p w14:paraId="783D58B6">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w:t>
      </w:r>
      <w:r>
        <w:rPr>
          <w:rFonts w:hint="eastAsia" w:cs="宋体"/>
          <w:i w:val="0"/>
          <w:iCs w:val="0"/>
          <w:caps w:val="0"/>
          <w:color w:val="000000"/>
          <w:spacing w:val="0"/>
          <w:sz w:val="24"/>
          <w:szCs w:val="24"/>
          <w:highlight w:val="none"/>
          <w:lang w:val="en-US" w:eastAsia="zh-CN"/>
        </w:rPr>
        <w:t>新疆晓君招标有限公司</w:t>
      </w:r>
    </w:p>
    <w:p w14:paraId="4470337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w:t>
      </w:r>
      <w:r>
        <w:rPr>
          <w:rFonts w:hint="eastAsia" w:cs="宋体"/>
          <w:i w:val="0"/>
          <w:iCs w:val="0"/>
          <w:caps w:val="0"/>
          <w:color w:val="000000"/>
          <w:spacing w:val="0"/>
          <w:sz w:val="24"/>
          <w:szCs w:val="24"/>
          <w:highlight w:val="none"/>
          <w:lang w:val="en-US" w:eastAsia="zh-CN"/>
        </w:rPr>
        <w:t>和田市光明路66号</w:t>
      </w:r>
    </w:p>
    <w:p w14:paraId="6C647CC9">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w:t>
      </w:r>
      <w:r>
        <w:rPr>
          <w:rFonts w:hint="eastAsia" w:cs="宋体"/>
          <w:i w:val="0"/>
          <w:iCs w:val="0"/>
          <w:caps w:val="0"/>
          <w:color w:val="000000"/>
          <w:spacing w:val="0"/>
          <w:sz w:val="24"/>
          <w:szCs w:val="24"/>
          <w:highlight w:val="none"/>
          <w:lang w:val="en-US" w:eastAsia="zh-CN"/>
        </w:rPr>
        <w:t>杨先生</w:t>
      </w:r>
    </w:p>
    <w:p w14:paraId="77B39176">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w:t>
      </w:r>
      <w:r>
        <w:rPr>
          <w:rFonts w:hint="eastAsia" w:ascii="宋体" w:hAnsi="宋体" w:cs="宋体"/>
          <w:i w:val="0"/>
          <w:iCs w:val="0"/>
          <w:caps w:val="0"/>
          <w:color w:val="000000"/>
          <w:spacing w:val="0"/>
          <w:sz w:val="24"/>
          <w:szCs w:val="24"/>
          <w:highlight w:val="none"/>
          <w:lang w:val="en-US" w:eastAsia="zh-CN"/>
        </w:rPr>
        <w:t>17799150765</w:t>
      </w:r>
    </w:p>
    <w:p w14:paraId="533D88A5">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3.政府采购监督管理部门</w:t>
      </w:r>
    </w:p>
    <w:p w14:paraId="113D9EBE">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名称：</w:t>
      </w:r>
      <w:r>
        <w:rPr>
          <w:rFonts w:hint="eastAsia" w:ascii="宋体" w:hAnsi="宋体" w:cs="宋体"/>
          <w:color w:val="auto"/>
          <w:kern w:val="0"/>
          <w:sz w:val="24"/>
          <w:szCs w:val="24"/>
          <w:highlight w:val="none"/>
          <w:lang w:val="en-US" w:eastAsia="zh-CN"/>
        </w:rPr>
        <w:t>洛浦县</w:t>
      </w:r>
      <w:r>
        <w:rPr>
          <w:rFonts w:hint="eastAsia" w:ascii="宋体" w:hAnsi="宋体" w:eastAsia="宋体" w:cs="宋体"/>
          <w:color w:val="auto"/>
          <w:kern w:val="0"/>
          <w:sz w:val="24"/>
          <w:szCs w:val="24"/>
          <w:highlight w:val="none"/>
          <w:lang w:val="en-US" w:eastAsia="zh-CN"/>
        </w:rPr>
        <w:t>政府采购办公室</w:t>
      </w:r>
    </w:p>
    <w:p w14:paraId="6407081C">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联系人：</w:t>
      </w:r>
      <w:r>
        <w:rPr>
          <w:rFonts w:hint="eastAsia" w:ascii="宋体" w:hAnsi="宋体" w:cs="宋体"/>
          <w:color w:val="auto"/>
          <w:kern w:val="0"/>
          <w:sz w:val="24"/>
          <w:szCs w:val="24"/>
          <w:highlight w:val="none"/>
          <w:lang w:val="en-US" w:eastAsia="zh-CN"/>
        </w:rPr>
        <w:t>唐</w:t>
      </w:r>
      <w:r>
        <w:rPr>
          <w:rFonts w:hint="eastAsia" w:ascii="宋体" w:hAnsi="宋体" w:eastAsia="宋体" w:cs="宋体"/>
          <w:color w:val="auto"/>
          <w:kern w:val="0"/>
          <w:sz w:val="24"/>
          <w:szCs w:val="24"/>
          <w:highlight w:val="none"/>
          <w:lang w:val="en-US" w:eastAsia="zh-CN"/>
        </w:rPr>
        <w:t>先生</w:t>
      </w:r>
    </w:p>
    <w:p w14:paraId="13CCF971">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t>联系电话：0903-6622186</w:t>
      </w:r>
    </w:p>
    <w:p w14:paraId="472CD3CC">
      <w:pPr>
        <w:pStyle w:val="177"/>
        <w:pageBreakBefore w:val="0"/>
        <w:kinsoku/>
        <w:wordWrap/>
        <w:topLinePunct w:val="0"/>
        <w:bidi w:val="0"/>
        <w:spacing w:line="360" w:lineRule="auto"/>
        <w:ind w:firstLine="0"/>
        <w:jc w:val="left"/>
        <w:outlineLvl w:val="9"/>
        <w:rPr>
          <w:rStyle w:val="89"/>
          <w:rFonts w:hint="eastAsia" w:ascii="宋体" w:hAnsi="宋体" w:eastAsia="宋体" w:cs="宋体"/>
          <w:b/>
          <w:bCs/>
          <w:color w:val="000000"/>
          <w:sz w:val="24"/>
          <w:szCs w:val="24"/>
          <w:highlight w:val="none"/>
        </w:rPr>
      </w:pPr>
      <w:bookmarkStart w:id="30" w:name="_Toc16152"/>
      <w:r>
        <w:rPr>
          <w:rStyle w:val="89"/>
          <w:rFonts w:hint="eastAsia" w:ascii="宋体" w:hAnsi="宋体" w:eastAsia="宋体" w:cs="宋体"/>
          <w:b/>
          <w:bCs/>
          <w:color w:val="000000"/>
          <w:sz w:val="24"/>
          <w:szCs w:val="24"/>
          <w:highlight w:val="none"/>
        </w:rPr>
        <w:t>特别提醒：</w:t>
      </w:r>
    </w:p>
    <w:p w14:paraId="0D766D29">
      <w:pPr>
        <w:spacing w:line="360" w:lineRule="auto"/>
        <w:jc w:val="left"/>
        <w:outlineLvl w:val="9"/>
        <w:rPr>
          <w:rStyle w:val="89"/>
          <w:rFonts w:hint="eastAsia" w:ascii="宋体" w:hAnsi="宋体" w:eastAsia="宋体" w:cs="宋体"/>
          <w:b/>
          <w:color w:val="auto"/>
          <w:sz w:val="24"/>
          <w:szCs w:val="24"/>
          <w:highlight w:val="none"/>
        </w:rPr>
      </w:pPr>
      <w:r>
        <w:rPr>
          <w:rStyle w:val="89"/>
          <w:rFonts w:hint="eastAsia" w:ascii="宋体" w:hAnsi="宋体" w:eastAsia="宋体" w:cs="宋体"/>
          <w:b/>
          <w:color w:val="auto"/>
          <w:sz w:val="24"/>
          <w:szCs w:val="24"/>
          <w:highlight w:val="none"/>
          <w:lang w:val="en-US"/>
        </w:rPr>
        <w:t>1</w:t>
      </w:r>
      <w:r>
        <w:rPr>
          <w:rStyle w:val="89"/>
          <w:rFonts w:hint="eastAsia" w:ascii="宋体" w:hAnsi="宋体" w:eastAsia="宋体" w:cs="宋体"/>
          <w:b/>
          <w:color w:val="auto"/>
          <w:sz w:val="24"/>
          <w:szCs w:val="24"/>
          <w:highlight w:val="none"/>
        </w:rPr>
        <w:t>、由投标人基本账户汇出（投标保证金需</w:t>
      </w:r>
      <w:r>
        <w:rPr>
          <w:rStyle w:val="89"/>
          <w:rFonts w:hint="eastAsia" w:ascii="宋体" w:hAnsi="宋体" w:eastAsia="宋体" w:cs="宋体"/>
          <w:b/>
          <w:color w:val="auto"/>
          <w:sz w:val="24"/>
          <w:szCs w:val="24"/>
          <w:highlight w:val="none"/>
          <w:lang w:val="en-US" w:eastAsia="zh-CN"/>
        </w:rPr>
        <w:t>一次性足额</w:t>
      </w:r>
      <w:r>
        <w:rPr>
          <w:rStyle w:val="89"/>
          <w:rFonts w:hint="eastAsia" w:ascii="宋体" w:hAnsi="宋体" w:eastAsia="宋体" w:cs="宋体"/>
          <w:b/>
          <w:color w:val="auto"/>
          <w:sz w:val="24"/>
          <w:szCs w:val="24"/>
          <w:highlight w:val="none"/>
        </w:rPr>
        <w:t>汇出，分笔汇出银行系统将不予统计），且不得以分公司的名义转账，投标保证金需在</w:t>
      </w:r>
      <w:r>
        <w:rPr>
          <w:rStyle w:val="89"/>
          <w:rFonts w:hint="eastAsia" w:ascii="宋体" w:hAnsi="宋体" w:cs="宋体"/>
          <w:b/>
          <w:color w:val="auto"/>
          <w:sz w:val="24"/>
          <w:szCs w:val="24"/>
          <w:highlight w:val="none"/>
          <w:lang w:eastAsia="zh-CN"/>
        </w:rPr>
        <w:t>2024年</w:t>
      </w:r>
      <w:r>
        <w:rPr>
          <w:rStyle w:val="89"/>
          <w:rFonts w:hint="eastAsia" w:ascii="宋体" w:hAnsi="宋体" w:cs="宋体"/>
          <w:b/>
          <w:color w:val="auto"/>
          <w:sz w:val="24"/>
          <w:szCs w:val="24"/>
          <w:highlight w:val="none"/>
          <w:lang w:val="en-US" w:eastAsia="zh-CN"/>
        </w:rPr>
        <w:t>9</w:t>
      </w:r>
      <w:r>
        <w:rPr>
          <w:rStyle w:val="89"/>
          <w:rFonts w:hint="eastAsia" w:ascii="宋体" w:hAnsi="宋体" w:cs="宋体"/>
          <w:b/>
          <w:color w:val="auto"/>
          <w:sz w:val="24"/>
          <w:szCs w:val="24"/>
          <w:highlight w:val="none"/>
          <w:lang w:eastAsia="zh-CN"/>
        </w:rPr>
        <w:t>月</w:t>
      </w:r>
      <w:r>
        <w:rPr>
          <w:rStyle w:val="89"/>
          <w:rFonts w:hint="eastAsia" w:ascii="宋体" w:hAnsi="宋体" w:cs="宋体"/>
          <w:b/>
          <w:color w:val="auto"/>
          <w:sz w:val="24"/>
          <w:szCs w:val="24"/>
          <w:highlight w:val="none"/>
          <w:lang w:val="en-US" w:eastAsia="zh-CN"/>
        </w:rPr>
        <w:t>12</w:t>
      </w:r>
      <w:r>
        <w:rPr>
          <w:rStyle w:val="89"/>
          <w:rFonts w:hint="eastAsia" w:ascii="宋体" w:hAnsi="宋体" w:cs="宋体"/>
          <w:b/>
          <w:color w:val="auto"/>
          <w:sz w:val="24"/>
          <w:szCs w:val="24"/>
          <w:highlight w:val="none"/>
          <w:lang w:eastAsia="zh-CN"/>
        </w:rPr>
        <w:t>日1</w:t>
      </w:r>
      <w:r>
        <w:rPr>
          <w:rStyle w:val="89"/>
          <w:rFonts w:hint="eastAsia" w:ascii="宋体" w:hAnsi="宋体" w:cs="宋体"/>
          <w:b/>
          <w:color w:val="auto"/>
          <w:sz w:val="24"/>
          <w:szCs w:val="24"/>
          <w:highlight w:val="none"/>
          <w:lang w:val="en-US" w:eastAsia="zh-CN"/>
        </w:rPr>
        <w:t>1</w:t>
      </w:r>
      <w:r>
        <w:rPr>
          <w:rStyle w:val="89"/>
          <w:rFonts w:hint="eastAsia" w:ascii="宋体" w:hAnsi="宋体" w:cs="宋体"/>
          <w:b/>
          <w:color w:val="auto"/>
          <w:sz w:val="24"/>
          <w:szCs w:val="24"/>
          <w:highlight w:val="none"/>
          <w:lang w:eastAsia="zh-CN"/>
        </w:rPr>
        <w:t>：00</w:t>
      </w:r>
      <w:r>
        <w:rPr>
          <w:rStyle w:val="89"/>
          <w:rFonts w:hint="eastAsia" w:ascii="宋体" w:hAnsi="宋体" w:eastAsia="宋体" w:cs="宋体"/>
          <w:b/>
          <w:color w:val="000000"/>
          <w:sz w:val="24"/>
          <w:szCs w:val="24"/>
          <w:highlight w:val="none"/>
          <w:lang w:val="en-US" w:eastAsia="zh-CN"/>
        </w:rPr>
        <w:t>（北京时间）</w:t>
      </w:r>
      <w:r>
        <w:rPr>
          <w:rStyle w:val="89"/>
          <w:rFonts w:hint="eastAsia" w:ascii="宋体" w:hAnsi="宋体" w:eastAsia="宋体" w:cs="宋体"/>
          <w:b/>
          <w:color w:val="auto"/>
          <w:sz w:val="24"/>
          <w:szCs w:val="24"/>
          <w:highlight w:val="none"/>
        </w:rPr>
        <w:t>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2821D4F0">
      <w:pPr>
        <w:spacing w:line="360" w:lineRule="auto"/>
        <w:jc w:val="left"/>
        <w:outlineLvl w:val="9"/>
        <w:rPr>
          <w:rStyle w:val="89"/>
          <w:rFonts w:hint="eastAsia" w:ascii="宋体" w:hAnsi="宋体" w:eastAsia="宋体" w:cs="宋体"/>
          <w:b/>
          <w:color w:val="auto"/>
          <w:sz w:val="24"/>
          <w:szCs w:val="24"/>
          <w:highlight w:val="none"/>
        </w:rPr>
      </w:pPr>
      <w:r>
        <w:rPr>
          <w:rStyle w:val="89"/>
          <w:rFonts w:hint="eastAsia" w:ascii="宋体" w:hAnsi="宋体" w:eastAsia="宋体" w:cs="宋体"/>
          <w:b/>
          <w:color w:val="auto"/>
          <w:sz w:val="24"/>
          <w:szCs w:val="24"/>
          <w:highlight w:val="none"/>
          <w:lang w:val="en-US"/>
        </w:rPr>
        <w:t>2</w:t>
      </w:r>
      <w:r>
        <w:rPr>
          <w:rStyle w:val="89"/>
          <w:rFonts w:hint="eastAsia" w:ascii="宋体" w:hAnsi="宋体" w:eastAsia="宋体" w:cs="宋体"/>
          <w:b/>
          <w:color w:val="auto"/>
          <w:sz w:val="24"/>
          <w:szCs w:val="24"/>
          <w:highlight w:val="none"/>
        </w:rPr>
        <w:t>、投标企业下载招标文件后请仔细阅读，如对招标文件内容有质疑，投标人应按招标文件中载明地址，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14:paraId="570046F9">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3、为确保投标保证金的及时退还，评标结束后投标企业需提供保证金汇款凭证、开户许可证复印件、收据并注明开户行行号、联系方式（加盖公司鲜红公章）交至或邮寄（EMS）</w:t>
      </w:r>
      <w:r>
        <w:rPr>
          <w:rFonts w:hint="eastAsia" w:ascii="宋体" w:hAnsi="宋体" w:cs="宋体"/>
          <w:b/>
          <w:bCs/>
          <w:i w:val="0"/>
          <w:iCs w:val="0"/>
          <w:caps w:val="0"/>
          <w:color w:val="000000"/>
          <w:spacing w:val="0"/>
          <w:kern w:val="0"/>
          <w:sz w:val="24"/>
          <w:szCs w:val="24"/>
          <w:highlight w:val="none"/>
          <w:lang w:val="en-US" w:eastAsia="zh-CN" w:bidi="ar"/>
        </w:rPr>
        <w:t>（洛浦县北京工业园区北园区振兴路9号308室 王平：18799378818）</w:t>
      </w:r>
      <w:r>
        <w:rPr>
          <w:rFonts w:hint="eastAsia" w:ascii="宋体" w:hAnsi="宋体" w:eastAsia="宋体" w:cs="宋体"/>
          <w:b/>
          <w:bCs/>
          <w:i w:val="0"/>
          <w:iCs w:val="0"/>
          <w:caps w:val="0"/>
          <w:color w:val="000000"/>
          <w:spacing w:val="0"/>
          <w:kern w:val="0"/>
          <w:sz w:val="24"/>
          <w:szCs w:val="24"/>
          <w:highlight w:val="none"/>
          <w:lang w:val="en-US" w:eastAsia="zh-CN" w:bidi="ar"/>
        </w:rPr>
        <w:t>洛浦县行政服务和公共资源交易中心。（注：废标项目投保证金在后续项目再次招标时银行系统不做统计，请投标企业及时办理退款），中标企业签订政府采购合同后，携带合同原件一份及以上资料办理退投标保证金事宜。</w:t>
      </w:r>
    </w:p>
    <w:p w14:paraId="75192D04">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4.电子保函使用方法：1、登录新疆维吾尔自治区政府采购网，首页点击“电子保函”直接进入新疆政府采购电子保函申请页，点击【立即申请】2、依次完善页面显示的投保人信息（供应商信息），确认您要投保的项目信息，在</w:t>
      </w:r>
      <w:r>
        <w:rPr>
          <w:rFonts w:hint="eastAsia" w:ascii="宋体" w:hAnsi="宋体" w:cs="宋体"/>
          <w:b/>
          <w:bCs/>
          <w:i w:val="0"/>
          <w:iCs w:val="0"/>
          <w:caps w:val="0"/>
          <w:color w:val="000000"/>
          <w:spacing w:val="0"/>
          <w:kern w:val="0"/>
          <w:sz w:val="24"/>
          <w:szCs w:val="24"/>
          <w:highlight w:val="none"/>
          <w:lang w:val="en-US" w:eastAsia="zh-CN" w:bidi="ar"/>
        </w:rPr>
        <w:t>投保的</w:t>
      </w:r>
      <w:r>
        <w:rPr>
          <w:rFonts w:hint="eastAsia" w:ascii="宋体" w:hAnsi="宋体" w:eastAsia="宋体" w:cs="宋体"/>
          <w:b/>
          <w:bCs/>
          <w:i w:val="0"/>
          <w:iCs w:val="0"/>
          <w:caps w:val="0"/>
          <w:color w:val="000000"/>
          <w:spacing w:val="0"/>
          <w:kern w:val="0"/>
          <w:sz w:val="24"/>
          <w:szCs w:val="24"/>
          <w:highlight w:val="none"/>
          <w:lang w:val="en-US" w:eastAsia="zh-CN" w:bidi="ar"/>
        </w:rPr>
        <w:t>项目选择页面选择您需要投保的项目（可根据项目名称或项目保函进行搜索），选择投保项目后填写被保险人信息及投保内容。服务热线：400-9039583</w:t>
      </w:r>
    </w:p>
    <w:p w14:paraId="2A2CF898">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558ACA20">
      <w:pPr>
        <w:widowControl/>
        <w:spacing w:line="320" w:lineRule="exact"/>
        <w:ind w:left="141" w:hanging="141"/>
        <w:jc w:val="center"/>
        <w:outlineLvl w:val="0"/>
        <w:rPr>
          <w:rFonts w:hint="eastAsia" w:ascii="宋体" w:hAnsi="宋体" w:eastAsia="宋体" w:cs="宋体"/>
          <w:b/>
          <w:sz w:val="28"/>
          <w:szCs w:val="28"/>
          <w:highlight w:val="none"/>
        </w:rPr>
      </w:pPr>
      <w:r>
        <w:rPr>
          <w:rFonts w:hint="eastAsia" w:ascii="宋体" w:hAnsi="宋体" w:eastAsia="宋体" w:cs="宋体"/>
          <w:b/>
          <w:sz w:val="28"/>
          <w:szCs w:val="28"/>
          <w:highlight w:val="none"/>
        </w:rPr>
        <w:t>第二章投标人须知</w:t>
      </w:r>
      <w:bookmarkEnd w:id="30"/>
    </w:p>
    <w:p w14:paraId="2B7133D8">
      <w:pPr>
        <w:widowControl/>
        <w:spacing w:line="320" w:lineRule="exact"/>
        <w:ind w:left="141" w:hanging="141"/>
        <w:rPr>
          <w:rFonts w:hint="eastAsia" w:ascii="宋体" w:hAnsi="宋体" w:eastAsia="宋体" w:cs="宋体"/>
          <w:b/>
          <w:sz w:val="28"/>
          <w:szCs w:val="28"/>
          <w:highlight w:val="none"/>
        </w:rPr>
      </w:pPr>
    </w:p>
    <w:p w14:paraId="6E85EF87">
      <w:pPr>
        <w:widowControl/>
        <w:spacing w:line="320" w:lineRule="exact"/>
        <w:ind w:left="141" w:hanging="141"/>
        <w:jc w:val="center"/>
        <w:outlineLvl w:val="1"/>
        <w:rPr>
          <w:rFonts w:hint="eastAsia" w:ascii="宋体" w:hAnsi="宋体" w:eastAsia="宋体" w:cs="宋体"/>
          <w:b/>
          <w:sz w:val="32"/>
          <w:szCs w:val="32"/>
          <w:highlight w:val="none"/>
        </w:rPr>
      </w:pPr>
      <w:bookmarkStart w:id="31" w:name="_Toc10036"/>
      <w:r>
        <w:rPr>
          <w:rFonts w:hint="eastAsia" w:ascii="宋体" w:hAnsi="宋体" w:eastAsia="宋体" w:cs="宋体"/>
          <w:b/>
          <w:sz w:val="32"/>
          <w:szCs w:val="32"/>
          <w:highlight w:val="none"/>
        </w:rPr>
        <w:t>投标人须知前附表</w:t>
      </w:r>
      <w:bookmarkEnd w:id="31"/>
    </w:p>
    <w:p w14:paraId="49B1B450">
      <w:pPr>
        <w:widowControl/>
        <w:spacing w:line="320" w:lineRule="exact"/>
        <w:ind w:left="141" w:hanging="141"/>
        <w:jc w:val="center"/>
        <w:rPr>
          <w:rFonts w:hint="eastAsia" w:ascii="宋体" w:hAnsi="宋体" w:eastAsia="宋体" w:cs="宋体"/>
          <w:b/>
          <w:sz w:val="28"/>
          <w:szCs w:val="28"/>
          <w:highlight w:val="none"/>
        </w:rPr>
      </w:pPr>
    </w:p>
    <w:tbl>
      <w:tblPr>
        <w:tblStyle w:val="72"/>
        <w:tblW w:w="955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493"/>
        <w:gridCol w:w="1550"/>
        <w:gridCol w:w="7512"/>
      </w:tblGrid>
      <w:tr w14:paraId="29F595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tcBorders>
              <w:top w:val="single" w:color="auto" w:sz="12" w:space="0"/>
            </w:tcBorders>
            <w:noWrap w:val="0"/>
            <w:vAlign w:val="center"/>
          </w:tcPr>
          <w:p w14:paraId="5004746A">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1550" w:type="dxa"/>
            <w:tcBorders>
              <w:top w:val="single" w:color="auto" w:sz="12" w:space="0"/>
              <w:right w:val="single" w:color="auto" w:sz="4" w:space="0"/>
            </w:tcBorders>
            <w:noWrap w:val="0"/>
            <w:vAlign w:val="center"/>
          </w:tcPr>
          <w:p w14:paraId="0A8A64C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条款名称</w:t>
            </w:r>
          </w:p>
        </w:tc>
        <w:tc>
          <w:tcPr>
            <w:tcW w:w="7512" w:type="dxa"/>
            <w:tcBorders>
              <w:top w:val="single" w:color="auto" w:sz="12" w:space="0"/>
              <w:left w:val="single" w:color="auto" w:sz="4" w:space="0"/>
            </w:tcBorders>
            <w:noWrap w:val="0"/>
            <w:vAlign w:val="center"/>
          </w:tcPr>
          <w:p w14:paraId="7A2061C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说明和要求</w:t>
            </w:r>
          </w:p>
        </w:tc>
      </w:tr>
      <w:tr w14:paraId="52601B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0" w:hRule="atLeast"/>
          <w:jc w:val="center"/>
        </w:trPr>
        <w:tc>
          <w:tcPr>
            <w:tcW w:w="493" w:type="dxa"/>
            <w:noWrap w:val="0"/>
            <w:vAlign w:val="center"/>
          </w:tcPr>
          <w:p w14:paraId="6EBAA22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550" w:type="dxa"/>
            <w:tcBorders>
              <w:right w:val="single" w:color="auto" w:sz="4" w:space="0"/>
            </w:tcBorders>
            <w:noWrap w:val="0"/>
            <w:vAlign w:val="center"/>
          </w:tcPr>
          <w:p w14:paraId="55BEA741">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采购人</w:t>
            </w:r>
          </w:p>
        </w:tc>
        <w:tc>
          <w:tcPr>
            <w:tcW w:w="7512" w:type="dxa"/>
            <w:tcBorders>
              <w:left w:val="single" w:color="auto" w:sz="4" w:space="0"/>
            </w:tcBorders>
            <w:noWrap w:val="0"/>
            <w:vAlign w:val="center"/>
          </w:tcPr>
          <w:p w14:paraId="57B3B24B">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名称：</w:t>
            </w:r>
            <w:r>
              <w:rPr>
                <w:rFonts w:hint="eastAsia" w:cs="宋体"/>
                <w:kern w:val="2"/>
                <w:sz w:val="24"/>
                <w:szCs w:val="24"/>
                <w:highlight w:val="none"/>
                <w:lang w:val="en-US" w:eastAsia="zh-CN" w:bidi="ar-SA"/>
              </w:rPr>
              <w:t>洛浦县维吾尔医医院</w:t>
            </w:r>
          </w:p>
          <w:p w14:paraId="3647E61F">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地址：</w:t>
            </w:r>
            <w:r>
              <w:rPr>
                <w:rFonts w:hint="eastAsia" w:cs="宋体"/>
                <w:kern w:val="2"/>
                <w:sz w:val="24"/>
                <w:szCs w:val="24"/>
                <w:highlight w:val="none"/>
                <w:lang w:val="en-US" w:eastAsia="zh-CN" w:bidi="ar-SA"/>
              </w:rPr>
              <w:t>洛浦县加依铁热克路01号</w:t>
            </w:r>
          </w:p>
          <w:p w14:paraId="0330E99F">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联系人：</w:t>
            </w:r>
            <w:r>
              <w:rPr>
                <w:rFonts w:hint="eastAsia" w:cs="宋体"/>
                <w:kern w:val="2"/>
                <w:sz w:val="24"/>
                <w:szCs w:val="24"/>
                <w:highlight w:val="none"/>
                <w:lang w:val="en-US" w:eastAsia="zh-CN" w:bidi="ar-SA"/>
              </w:rPr>
              <w:t>图女士</w:t>
            </w:r>
          </w:p>
          <w:p w14:paraId="0384C57E">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联系方式：</w:t>
            </w:r>
            <w:r>
              <w:rPr>
                <w:rFonts w:hint="eastAsia" w:cs="宋体"/>
                <w:kern w:val="2"/>
                <w:sz w:val="24"/>
                <w:szCs w:val="24"/>
                <w:highlight w:val="none"/>
                <w:lang w:val="en-US" w:eastAsia="zh-CN" w:bidi="ar-SA"/>
              </w:rPr>
              <w:t>15509058884</w:t>
            </w:r>
          </w:p>
        </w:tc>
      </w:tr>
      <w:tr w14:paraId="5619EE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75" w:hRule="atLeast"/>
          <w:jc w:val="center"/>
        </w:trPr>
        <w:tc>
          <w:tcPr>
            <w:tcW w:w="493" w:type="dxa"/>
            <w:noWrap w:val="0"/>
            <w:vAlign w:val="center"/>
          </w:tcPr>
          <w:p w14:paraId="36FE7FA3">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1550" w:type="dxa"/>
            <w:tcBorders>
              <w:right w:val="single" w:color="auto" w:sz="4" w:space="0"/>
            </w:tcBorders>
            <w:noWrap w:val="0"/>
            <w:vAlign w:val="center"/>
          </w:tcPr>
          <w:p w14:paraId="69EF206A">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代理机构</w:t>
            </w:r>
          </w:p>
        </w:tc>
        <w:tc>
          <w:tcPr>
            <w:tcW w:w="7512" w:type="dxa"/>
            <w:tcBorders>
              <w:left w:val="single" w:color="auto" w:sz="4" w:space="0"/>
            </w:tcBorders>
            <w:noWrap w:val="0"/>
            <w:vAlign w:val="center"/>
          </w:tcPr>
          <w:p w14:paraId="0232BBE1">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名称：</w:t>
            </w:r>
            <w:r>
              <w:rPr>
                <w:rFonts w:hint="eastAsia" w:cs="宋体"/>
                <w:kern w:val="2"/>
                <w:sz w:val="24"/>
                <w:szCs w:val="24"/>
                <w:highlight w:val="none"/>
                <w:lang w:val="en-US" w:eastAsia="zh-CN" w:bidi="ar-SA"/>
              </w:rPr>
              <w:t>新疆晓君招标有限公司</w:t>
            </w:r>
          </w:p>
          <w:p w14:paraId="46D35E9F">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地址：</w:t>
            </w:r>
            <w:r>
              <w:rPr>
                <w:rFonts w:hint="eastAsia" w:cs="宋体"/>
                <w:kern w:val="2"/>
                <w:sz w:val="24"/>
                <w:szCs w:val="24"/>
                <w:highlight w:val="none"/>
                <w:lang w:val="en-US" w:eastAsia="zh-CN" w:bidi="ar-SA"/>
              </w:rPr>
              <w:t>和田市光明路66号</w:t>
            </w:r>
          </w:p>
          <w:p w14:paraId="1B7A50B4">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联系人：</w:t>
            </w:r>
            <w:r>
              <w:rPr>
                <w:rFonts w:hint="eastAsia" w:cs="宋体"/>
                <w:kern w:val="2"/>
                <w:sz w:val="24"/>
                <w:szCs w:val="24"/>
                <w:highlight w:val="none"/>
                <w:lang w:val="en-US" w:eastAsia="zh-CN" w:bidi="ar-SA"/>
              </w:rPr>
              <w:t>杨先生</w:t>
            </w:r>
          </w:p>
          <w:p w14:paraId="7FB3130C">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联系方式：</w:t>
            </w:r>
            <w:r>
              <w:rPr>
                <w:rFonts w:hint="eastAsia" w:cs="宋体"/>
                <w:kern w:val="2"/>
                <w:sz w:val="24"/>
                <w:szCs w:val="24"/>
                <w:highlight w:val="none"/>
                <w:lang w:val="en-US" w:eastAsia="zh-CN" w:bidi="ar-SA"/>
              </w:rPr>
              <w:t>17799150765</w:t>
            </w:r>
          </w:p>
        </w:tc>
      </w:tr>
      <w:tr w14:paraId="6847F2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37" w:hRule="atLeast"/>
          <w:jc w:val="center"/>
        </w:trPr>
        <w:tc>
          <w:tcPr>
            <w:tcW w:w="493" w:type="dxa"/>
            <w:noWrap w:val="0"/>
            <w:vAlign w:val="center"/>
          </w:tcPr>
          <w:p w14:paraId="6545DA7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550" w:type="dxa"/>
            <w:tcBorders>
              <w:right w:val="single" w:color="auto" w:sz="4" w:space="0"/>
            </w:tcBorders>
            <w:noWrap w:val="0"/>
            <w:vAlign w:val="center"/>
          </w:tcPr>
          <w:p w14:paraId="67B83AAD">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采购项目名称</w:t>
            </w:r>
          </w:p>
        </w:tc>
        <w:tc>
          <w:tcPr>
            <w:tcW w:w="7512" w:type="dxa"/>
            <w:tcBorders>
              <w:left w:val="single" w:color="auto" w:sz="4" w:space="0"/>
            </w:tcBorders>
            <w:noWrap w:val="0"/>
            <w:vAlign w:val="center"/>
          </w:tcPr>
          <w:p w14:paraId="1F7A3A19">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和田地区洛浦县维吾尔医医院饮片类、辅料及药包材采购项目（包</w:t>
            </w:r>
            <w:r>
              <w:rPr>
                <w:rFonts w:hint="eastAsia" w:ascii="宋体" w:hAnsi="宋体" w:cs="宋体"/>
                <w:sz w:val="24"/>
                <w:szCs w:val="24"/>
                <w:highlight w:val="none"/>
                <w:lang w:val="en-US" w:eastAsia="zh-CN"/>
              </w:rPr>
              <w:t>七</w:t>
            </w:r>
            <w:r>
              <w:rPr>
                <w:rFonts w:hint="eastAsia" w:ascii="宋体" w:hAnsi="宋体" w:eastAsia="宋体" w:cs="宋体"/>
                <w:sz w:val="24"/>
                <w:szCs w:val="24"/>
                <w:highlight w:val="none"/>
                <w:lang w:eastAsia="zh-CN"/>
              </w:rPr>
              <w:t>）</w:t>
            </w:r>
          </w:p>
        </w:tc>
      </w:tr>
      <w:tr w14:paraId="6A1286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8" w:hRule="atLeast"/>
          <w:jc w:val="center"/>
        </w:trPr>
        <w:tc>
          <w:tcPr>
            <w:tcW w:w="493" w:type="dxa"/>
            <w:noWrap w:val="0"/>
            <w:vAlign w:val="center"/>
          </w:tcPr>
          <w:p w14:paraId="4E948B3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550" w:type="dxa"/>
            <w:tcBorders>
              <w:right w:val="single" w:color="auto" w:sz="4" w:space="0"/>
            </w:tcBorders>
            <w:noWrap w:val="0"/>
            <w:vAlign w:val="center"/>
          </w:tcPr>
          <w:p w14:paraId="240446A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采购内容</w:t>
            </w:r>
          </w:p>
        </w:tc>
        <w:tc>
          <w:tcPr>
            <w:tcW w:w="7512" w:type="dxa"/>
            <w:tcBorders>
              <w:left w:val="single" w:color="auto" w:sz="4" w:space="0"/>
            </w:tcBorders>
            <w:noWrap w:val="0"/>
            <w:vAlign w:val="center"/>
          </w:tcPr>
          <w:p w14:paraId="66256CED">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采购</w:t>
            </w:r>
            <w:r>
              <w:rPr>
                <w:rFonts w:hint="eastAsia" w:cs="宋体"/>
                <w:i w:val="0"/>
                <w:iCs w:val="0"/>
                <w:caps w:val="0"/>
                <w:color w:val="auto"/>
                <w:spacing w:val="0"/>
                <w:sz w:val="24"/>
                <w:szCs w:val="24"/>
                <w:highlight w:val="none"/>
                <w:lang w:val="en-US" w:eastAsia="zh-CN"/>
              </w:rPr>
              <w:t>药包材一批</w:t>
            </w:r>
          </w:p>
          <w:p w14:paraId="7BBEF9CD">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sz w:val="24"/>
                <w:szCs w:val="24"/>
                <w:highlight w:val="none"/>
                <w:lang w:eastAsia="zh-CN"/>
              </w:rPr>
            </w:pPr>
            <w:r>
              <w:rPr>
                <w:rFonts w:hint="eastAsia" w:ascii="宋体" w:hAnsi="宋体" w:eastAsia="宋体" w:cs="宋体"/>
                <w:kern w:val="2"/>
                <w:sz w:val="24"/>
                <w:szCs w:val="24"/>
                <w:highlight w:val="none"/>
                <w:lang w:val="en-US" w:eastAsia="zh-CN" w:bidi="ar-SA"/>
              </w:rPr>
              <w:t>合同履约期限：</w:t>
            </w:r>
            <w:r>
              <w:rPr>
                <w:rFonts w:hint="eastAsia" w:cs="宋体"/>
                <w:kern w:val="2"/>
                <w:sz w:val="24"/>
                <w:szCs w:val="24"/>
                <w:highlight w:val="none"/>
                <w:lang w:val="en-US" w:eastAsia="zh-CN" w:bidi="ar-SA"/>
              </w:rPr>
              <w:t>1年</w:t>
            </w:r>
          </w:p>
        </w:tc>
      </w:tr>
      <w:tr w14:paraId="39BB42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jc w:val="center"/>
        </w:trPr>
        <w:tc>
          <w:tcPr>
            <w:tcW w:w="493" w:type="dxa"/>
            <w:noWrap w:val="0"/>
            <w:vAlign w:val="center"/>
          </w:tcPr>
          <w:p w14:paraId="4B8E8C5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1550" w:type="dxa"/>
            <w:tcBorders>
              <w:right w:val="single" w:color="auto" w:sz="4" w:space="0"/>
            </w:tcBorders>
            <w:noWrap w:val="0"/>
            <w:vAlign w:val="center"/>
          </w:tcPr>
          <w:p w14:paraId="55AEF0D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资金来源</w:t>
            </w:r>
          </w:p>
        </w:tc>
        <w:tc>
          <w:tcPr>
            <w:tcW w:w="7512" w:type="dxa"/>
            <w:tcBorders>
              <w:left w:val="single" w:color="auto" w:sz="4" w:space="0"/>
            </w:tcBorders>
            <w:noWrap w:val="0"/>
            <w:vAlign w:val="center"/>
          </w:tcPr>
          <w:p w14:paraId="75141A21">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sz w:val="24"/>
                <w:szCs w:val="24"/>
                <w:highlight w:val="none"/>
                <w:lang w:val="en-US" w:eastAsia="zh-CN"/>
              </w:rPr>
              <w:t>自筹资金</w:t>
            </w:r>
          </w:p>
        </w:tc>
      </w:tr>
      <w:tr w14:paraId="502E8F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4D24D8E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1550" w:type="dxa"/>
            <w:tcBorders>
              <w:right w:val="single" w:color="auto" w:sz="4" w:space="0"/>
            </w:tcBorders>
            <w:noWrap w:val="0"/>
            <w:vAlign w:val="center"/>
          </w:tcPr>
          <w:p w14:paraId="4528A44A">
            <w:pPr>
              <w:keepNext w:val="0"/>
              <w:keepLines w:val="0"/>
              <w:pageBreakBefore w:val="0"/>
              <w:tabs>
                <w:tab w:val="left" w:pos="900"/>
              </w:tabs>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t>采购概算价</w:t>
            </w:r>
          </w:p>
        </w:tc>
        <w:tc>
          <w:tcPr>
            <w:tcW w:w="7512" w:type="dxa"/>
            <w:tcBorders>
              <w:left w:val="single" w:color="auto" w:sz="4" w:space="0"/>
            </w:tcBorders>
            <w:noWrap w:val="0"/>
            <w:vAlign w:val="center"/>
          </w:tcPr>
          <w:p w14:paraId="3FBEAED8">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最高限价：</w:t>
            </w:r>
            <w:r>
              <w:rPr>
                <w:rFonts w:hint="eastAsia" w:cs="宋体"/>
                <w:i w:val="0"/>
                <w:iCs w:val="0"/>
                <w:caps w:val="0"/>
                <w:color w:val="000000"/>
                <w:spacing w:val="0"/>
                <w:sz w:val="24"/>
                <w:szCs w:val="24"/>
                <w:highlight w:val="none"/>
                <w:lang w:val="en-US" w:eastAsia="zh-CN"/>
              </w:rPr>
              <w:t>712881.98元</w:t>
            </w:r>
            <w:r>
              <w:rPr>
                <w:rFonts w:hint="eastAsia" w:ascii="宋体" w:hAnsi="宋体" w:eastAsia="宋体" w:cs="宋体"/>
                <w:sz w:val="24"/>
                <w:szCs w:val="24"/>
                <w:highlight w:val="none"/>
                <w:lang w:val="en-US" w:eastAsia="zh-CN"/>
              </w:rPr>
              <w:t>（此采购预算为最高限价、如超过预算价的报价为无效报价</w:t>
            </w:r>
            <w:r>
              <w:rPr>
                <w:rFonts w:hint="eastAsia" w:ascii="宋体" w:hAnsi="宋体" w:cs="宋体"/>
                <w:sz w:val="24"/>
                <w:szCs w:val="24"/>
                <w:highlight w:val="none"/>
                <w:lang w:val="en-US" w:eastAsia="zh-CN"/>
              </w:rPr>
              <w:t>）</w:t>
            </w:r>
          </w:p>
          <w:p w14:paraId="6A9A7B22">
            <w:pPr>
              <w:keepNext w:val="0"/>
              <w:keepLines w:val="0"/>
              <w:pageBreakBefore w:val="0"/>
              <w:tabs>
                <w:tab w:val="left" w:pos="900"/>
              </w:tabs>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b/>
                <w:bCs/>
                <w:color w:val="auto"/>
                <w:kern w:val="0"/>
                <w:sz w:val="24"/>
                <w:szCs w:val="24"/>
                <w:highlight w:val="none"/>
              </w:rPr>
              <w:t>投标报价高于预算限价按废标处理，敬请投标人注意</w:t>
            </w:r>
            <w:r>
              <w:rPr>
                <w:rFonts w:hint="eastAsia" w:ascii="宋体" w:hAnsi="宋体" w:eastAsia="宋体" w:cs="宋体"/>
                <w:b/>
                <w:bCs/>
                <w:color w:val="auto"/>
                <w:kern w:val="0"/>
                <w:sz w:val="24"/>
                <w:szCs w:val="24"/>
                <w:highlight w:val="none"/>
                <w:lang w:eastAsia="zh-CN"/>
              </w:rPr>
              <w:t>！</w:t>
            </w:r>
          </w:p>
        </w:tc>
      </w:tr>
      <w:tr w14:paraId="2E7EF1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66D6DA1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1550" w:type="dxa"/>
            <w:tcBorders>
              <w:right w:val="single" w:color="auto" w:sz="4" w:space="0"/>
            </w:tcBorders>
            <w:noWrap w:val="0"/>
            <w:vAlign w:val="center"/>
          </w:tcPr>
          <w:p w14:paraId="0CF9B2A3">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采购方式</w:t>
            </w:r>
          </w:p>
        </w:tc>
        <w:tc>
          <w:tcPr>
            <w:tcW w:w="7512" w:type="dxa"/>
            <w:tcBorders>
              <w:left w:val="single" w:color="auto" w:sz="4" w:space="0"/>
            </w:tcBorders>
            <w:noWrap w:val="0"/>
            <w:vAlign w:val="center"/>
          </w:tcPr>
          <w:p w14:paraId="483A3F7B">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公开招标</w:t>
            </w:r>
          </w:p>
        </w:tc>
      </w:tr>
      <w:tr w14:paraId="5772D1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717D48E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1550" w:type="dxa"/>
            <w:tcBorders>
              <w:right w:val="single" w:color="auto" w:sz="4" w:space="0"/>
            </w:tcBorders>
            <w:noWrap w:val="0"/>
            <w:vAlign w:val="center"/>
          </w:tcPr>
          <w:p w14:paraId="7339E13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评标方法</w:t>
            </w:r>
          </w:p>
        </w:tc>
        <w:tc>
          <w:tcPr>
            <w:tcW w:w="7512" w:type="dxa"/>
            <w:tcBorders>
              <w:left w:val="single" w:color="auto" w:sz="4" w:space="0"/>
            </w:tcBorders>
            <w:noWrap w:val="0"/>
            <w:vAlign w:val="center"/>
          </w:tcPr>
          <w:p w14:paraId="12E27A83">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eastAsia="宋体" w:cs="宋体"/>
                <w:color w:val="auto"/>
                <w:sz w:val="24"/>
                <w:szCs w:val="24"/>
                <w:highlight w:val="none"/>
              </w:rPr>
              <w:t>根据《政府采购货物和服务招标投标管理办法》（中华人民共和国财政部令第87号）规定的评审标准，采用综合评分法。</w:t>
            </w:r>
            <w:r>
              <w:rPr>
                <w:rFonts w:hint="eastAsia" w:ascii="宋体" w:hAnsi="宋体" w:cs="宋体"/>
                <w:color w:val="auto"/>
                <w:sz w:val="24"/>
                <w:szCs w:val="24"/>
                <w:highlight w:val="none"/>
                <w:lang w:val="en-US" w:eastAsia="zh-CN"/>
              </w:rPr>
              <w:t>本项目各标段兼投不兼中。优先顺序为包1、包2、包3、包7</w:t>
            </w:r>
          </w:p>
        </w:tc>
      </w:tr>
      <w:tr w14:paraId="18F936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6303ED0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w:t>
            </w:r>
          </w:p>
        </w:tc>
        <w:tc>
          <w:tcPr>
            <w:tcW w:w="1550" w:type="dxa"/>
            <w:tcBorders>
              <w:right w:val="single" w:color="auto" w:sz="4" w:space="0"/>
            </w:tcBorders>
            <w:noWrap w:val="0"/>
            <w:vAlign w:val="center"/>
          </w:tcPr>
          <w:p w14:paraId="5C7D3057">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信息公告媒体</w:t>
            </w:r>
          </w:p>
        </w:tc>
        <w:tc>
          <w:tcPr>
            <w:tcW w:w="7512" w:type="dxa"/>
            <w:tcBorders>
              <w:left w:val="single" w:color="auto" w:sz="4" w:space="0"/>
            </w:tcBorders>
            <w:noWrap w:val="0"/>
            <w:vAlign w:val="center"/>
          </w:tcPr>
          <w:p w14:paraId="5D232DFB">
            <w:pPr>
              <w:keepNext w:val="0"/>
              <w:keepLines w:val="0"/>
              <w:pageBreakBefore w:val="0"/>
              <w:kinsoku/>
              <w:wordWrap/>
              <w:overflowPunct/>
              <w:topLinePunct w:val="0"/>
              <w:autoSpaceDE/>
              <w:autoSpaceDN/>
              <w:bidi w:val="0"/>
              <w:adjustRightInd/>
              <w:snapToGrid/>
              <w:spacing w:line="300" w:lineRule="exact"/>
              <w:ind w:left="0" w:right="0" w:firstLine="0" w:firstLineChars="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新疆政府采购网（http://www.ccgp-xinjiang.gov.cn/）</w:t>
            </w:r>
          </w:p>
        </w:tc>
      </w:tr>
      <w:tr w14:paraId="4D433D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1D371BD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w:t>
            </w:r>
          </w:p>
        </w:tc>
        <w:tc>
          <w:tcPr>
            <w:tcW w:w="1550" w:type="dxa"/>
            <w:tcBorders>
              <w:right w:val="single" w:color="auto" w:sz="4" w:space="0"/>
            </w:tcBorders>
            <w:noWrap w:val="0"/>
            <w:vAlign w:val="center"/>
          </w:tcPr>
          <w:p w14:paraId="4713A26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资格要求</w:t>
            </w:r>
          </w:p>
        </w:tc>
        <w:tc>
          <w:tcPr>
            <w:tcW w:w="7512" w:type="dxa"/>
            <w:tcBorders>
              <w:left w:val="single" w:color="auto" w:sz="4" w:space="0"/>
            </w:tcBorders>
            <w:noWrap w:val="0"/>
            <w:vAlign w:val="center"/>
          </w:tcPr>
          <w:p w14:paraId="20A06A63">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1DF1CA58">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2）有依法缴纳税收和社会保障资金的良好记录：提供近三个月（近三个月是指2024年5月-2024年7月）的缴纳税收的完税证明；如依法免税的，应提供相应文件证明（需含增值税、印花税等税种等；新成立不足3个月的公司按实际发生提供，如当月无需缴税需提供税务机关出具的无欠税证明）；提供近三个月（近三个月是指2024年5月-2024年7月）投标供应商的社保缴纳证明（社保缴费凭证及明细，新成立不足3个月的公司以实际发生的为准）。如依法不需要缴纳社会保障资金的，应提供相应文件证明；</w:t>
            </w:r>
          </w:p>
          <w:p w14:paraId="35C88CB2">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（3）具有良好的商业信誉和健全的财务会计制度：提供2023年度由第三方财务审计机构出具的财务审计报告或新成立的企业提供银行出具的近三个月的资信证明；</w:t>
            </w:r>
          </w:p>
          <w:p w14:paraId="037C4339">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（4）履行合同所必需的设备和专业技术能力：提供《投标人资格声明函》；</w:t>
            </w:r>
          </w:p>
          <w:p w14:paraId="31772C59">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2144EF95">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6）近三年内（本项目投标截止期前）未被“信用中国”（www.creditchina.gov.cn）、中国政府采购网（www.ccgp.gov.cn）列入失信被执行人、重大税收违法案件当事人名单、政府采购严重违法失信行为记录名单（开标现场查询）；</w:t>
            </w:r>
          </w:p>
          <w:p w14:paraId="22A55BD0">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（7）企业负责人为同一人或者存在直接控股、管理关系的不同投标人，不得参加同一合同项下的政府采购活动的声明函；否则，皆取消投标资格；</w:t>
            </w:r>
          </w:p>
          <w:p w14:paraId="2F8BB85D">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（8）投标保证金或电子保函；</w:t>
            </w:r>
          </w:p>
        </w:tc>
      </w:tr>
      <w:tr w14:paraId="1316D3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9" w:hRule="atLeast"/>
          <w:jc w:val="center"/>
        </w:trPr>
        <w:tc>
          <w:tcPr>
            <w:tcW w:w="493" w:type="dxa"/>
            <w:noWrap w:val="0"/>
            <w:vAlign w:val="center"/>
          </w:tcPr>
          <w:p w14:paraId="6DCF9A3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11</w:t>
            </w:r>
          </w:p>
        </w:tc>
        <w:tc>
          <w:tcPr>
            <w:tcW w:w="1550" w:type="dxa"/>
            <w:tcBorders>
              <w:right w:val="single" w:color="auto" w:sz="4" w:space="0"/>
            </w:tcBorders>
            <w:noWrap w:val="0"/>
            <w:vAlign w:val="center"/>
          </w:tcPr>
          <w:p w14:paraId="3683C1B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val="0"/>
                <w:bCs w:val="0"/>
                <w:sz w:val="24"/>
                <w:szCs w:val="24"/>
                <w:highlight w:val="none"/>
                <w:lang w:val="en-US" w:eastAsia="zh-CN"/>
              </w:rPr>
              <w:t>供货</w:t>
            </w:r>
            <w:r>
              <w:rPr>
                <w:rFonts w:hint="eastAsia" w:ascii="宋体" w:hAnsi="宋体" w:eastAsia="宋体" w:cs="宋体"/>
                <w:b w:val="0"/>
                <w:bCs w:val="0"/>
                <w:sz w:val="24"/>
                <w:szCs w:val="24"/>
                <w:highlight w:val="none"/>
              </w:rPr>
              <w:t>期</w:t>
            </w:r>
            <w:r>
              <w:rPr>
                <w:rFonts w:hint="eastAsia" w:ascii="宋体" w:hAnsi="宋体" w:eastAsia="宋体" w:cs="宋体"/>
                <w:b w:val="0"/>
                <w:bCs w:val="0"/>
                <w:sz w:val="24"/>
                <w:szCs w:val="24"/>
                <w:highlight w:val="none"/>
                <w:lang w:val="en-US" w:eastAsia="zh-CN"/>
              </w:rPr>
              <w:t>/服务期</w:t>
            </w:r>
          </w:p>
        </w:tc>
        <w:tc>
          <w:tcPr>
            <w:tcW w:w="7512" w:type="dxa"/>
            <w:tcBorders>
              <w:left w:val="single" w:color="auto" w:sz="4" w:space="0"/>
            </w:tcBorders>
            <w:noWrap w:val="0"/>
            <w:vAlign w:val="center"/>
          </w:tcPr>
          <w:p w14:paraId="0A7C8E02">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b/>
                <w:bCs/>
                <w:sz w:val="24"/>
                <w:szCs w:val="24"/>
                <w:highlight w:val="none"/>
                <w:lang w:val="en-US"/>
              </w:rPr>
            </w:pPr>
            <w:r>
              <w:rPr>
                <w:rFonts w:hint="eastAsia" w:ascii="宋体" w:hAnsi="宋体" w:cs="宋体"/>
                <w:sz w:val="24"/>
                <w:szCs w:val="24"/>
                <w:highlight w:val="none"/>
                <w:lang w:val="en-US" w:eastAsia="zh-CN"/>
              </w:rPr>
              <w:t>1年</w:t>
            </w:r>
          </w:p>
        </w:tc>
      </w:tr>
      <w:tr w14:paraId="68E006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35A0B5B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2</w:t>
            </w:r>
          </w:p>
        </w:tc>
        <w:tc>
          <w:tcPr>
            <w:tcW w:w="1550" w:type="dxa"/>
            <w:tcBorders>
              <w:right w:val="single" w:color="auto" w:sz="4" w:space="0"/>
            </w:tcBorders>
            <w:noWrap w:val="0"/>
            <w:vAlign w:val="center"/>
          </w:tcPr>
          <w:p w14:paraId="78DBA8D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质量要求</w:t>
            </w:r>
          </w:p>
        </w:tc>
        <w:tc>
          <w:tcPr>
            <w:tcW w:w="7512" w:type="dxa"/>
            <w:tcBorders>
              <w:left w:val="single" w:color="auto" w:sz="4" w:space="0"/>
            </w:tcBorders>
            <w:noWrap w:val="0"/>
            <w:vAlign w:val="center"/>
          </w:tcPr>
          <w:p w14:paraId="362CB96A">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满足招标文件及国家、自治区相关规范的要求.</w:t>
            </w:r>
          </w:p>
        </w:tc>
      </w:tr>
      <w:tr w14:paraId="021807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0615A51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13</w:t>
            </w:r>
          </w:p>
        </w:tc>
        <w:tc>
          <w:tcPr>
            <w:tcW w:w="1550" w:type="dxa"/>
            <w:tcBorders>
              <w:right w:val="single" w:color="auto" w:sz="4" w:space="0"/>
            </w:tcBorders>
            <w:noWrap w:val="0"/>
            <w:vAlign w:val="center"/>
          </w:tcPr>
          <w:p w14:paraId="1B9C2D81">
            <w:pPr>
              <w:spacing w:line="360" w:lineRule="exact"/>
              <w:ind w:left="120" w:leftChars="0" w:right="62" w:rightChars="0" w:hanging="120" w:hangingChars="5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shd w:val="clear" w:color="auto" w:fill="auto"/>
                <w:lang w:val="en-US" w:eastAsia="zh-CN"/>
              </w:rPr>
              <w:t>合同付款方式</w:t>
            </w:r>
          </w:p>
        </w:tc>
        <w:tc>
          <w:tcPr>
            <w:tcW w:w="7512" w:type="dxa"/>
            <w:tcBorders>
              <w:left w:val="single" w:color="auto" w:sz="4" w:space="0"/>
            </w:tcBorders>
            <w:noWrap w:val="0"/>
            <w:vAlign w:val="center"/>
          </w:tcPr>
          <w:p w14:paraId="18548455">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rPr>
            </w:pPr>
            <w:r>
              <w:rPr>
                <w:rFonts w:hint="eastAsia" w:ascii="宋体" w:hAnsi="宋体" w:eastAsia="宋体" w:cs="宋体"/>
                <w:snapToGrid w:val="0"/>
                <w:color w:val="auto"/>
                <w:kern w:val="0"/>
                <w:sz w:val="24"/>
                <w:szCs w:val="24"/>
                <w:highlight w:val="none"/>
                <w:lang w:val="en-US" w:eastAsia="zh-CN" w:bidi="ar"/>
              </w:rPr>
              <w:t>付款方式：中标人每月所订购的药材到采购人指定的地点交付并通过采购人的验收合格后，中标人凭开具的正式发票，由采购人在6个月内支付货款。</w:t>
            </w:r>
          </w:p>
          <w:p w14:paraId="3B82A906">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rPr>
            </w:pPr>
            <w:r>
              <w:rPr>
                <w:rFonts w:hint="eastAsia" w:ascii="宋体" w:hAnsi="宋体" w:eastAsia="宋体" w:cs="宋体"/>
                <w:snapToGrid w:val="0"/>
                <w:color w:val="auto"/>
                <w:kern w:val="0"/>
                <w:sz w:val="24"/>
                <w:szCs w:val="24"/>
                <w:highlight w:val="none"/>
                <w:lang w:val="en-US" w:eastAsia="zh-CN" w:bidi="ar"/>
              </w:rPr>
              <w:t>1)、中标人货款按月度进行结算。在办理付款手续之前双方须对供应货物的品种、数量、单价、金额等进行统计，并核实无误。</w:t>
            </w:r>
          </w:p>
          <w:p w14:paraId="2D3D78D0">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2)、采购人收到中标人收货凭证复印件和有效等额发票后，6个月内办理支付手续；（具体付款时间以政府财政支付为准）</w:t>
            </w:r>
          </w:p>
        </w:tc>
      </w:tr>
      <w:tr w14:paraId="5D7F96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142E9E6A">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14</w:t>
            </w:r>
          </w:p>
        </w:tc>
        <w:tc>
          <w:tcPr>
            <w:tcW w:w="1550" w:type="dxa"/>
            <w:tcBorders>
              <w:right w:val="single" w:color="auto" w:sz="4" w:space="0"/>
            </w:tcBorders>
            <w:noWrap w:val="0"/>
            <w:vAlign w:val="center"/>
          </w:tcPr>
          <w:p w14:paraId="32BFDF5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验收要求</w:t>
            </w:r>
          </w:p>
        </w:tc>
        <w:tc>
          <w:tcPr>
            <w:tcW w:w="7512" w:type="dxa"/>
            <w:tcBorders>
              <w:left w:val="single" w:color="auto" w:sz="4" w:space="0"/>
            </w:tcBorders>
            <w:noWrap w:val="0"/>
            <w:vAlign w:val="center"/>
          </w:tcPr>
          <w:p w14:paraId="2C325A1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政府采购合同履行完毕后，收到中标人验收申请10日内组织履约验收</w:t>
            </w:r>
          </w:p>
        </w:tc>
      </w:tr>
      <w:tr w14:paraId="6DC371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7" w:hRule="atLeast"/>
          <w:jc w:val="center"/>
        </w:trPr>
        <w:tc>
          <w:tcPr>
            <w:tcW w:w="493" w:type="dxa"/>
            <w:noWrap w:val="0"/>
            <w:vAlign w:val="center"/>
          </w:tcPr>
          <w:p w14:paraId="44E7E07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5</w:t>
            </w:r>
          </w:p>
        </w:tc>
        <w:tc>
          <w:tcPr>
            <w:tcW w:w="1550" w:type="dxa"/>
            <w:tcBorders>
              <w:right w:val="single" w:color="auto" w:sz="4" w:space="0"/>
            </w:tcBorders>
            <w:noWrap w:val="0"/>
            <w:vAlign w:val="center"/>
          </w:tcPr>
          <w:p w14:paraId="239E9847">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联合体投标</w:t>
            </w:r>
          </w:p>
        </w:tc>
        <w:tc>
          <w:tcPr>
            <w:tcW w:w="7512" w:type="dxa"/>
            <w:tcBorders>
              <w:left w:val="single" w:color="auto" w:sz="4" w:space="0"/>
            </w:tcBorders>
            <w:noWrap w:val="0"/>
            <w:vAlign w:val="center"/>
          </w:tcPr>
          <w:p w14:paraId="4694BBC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不接受</w:t>
            </w:r>
          </w:p>
        </w:tc>
      </w:tr>
      <w:tr w14:paraId="57A1A6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49F814B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p>
        </w:tc>
        <w:tc>
          <w:tcPr>
            <w:tcW w:w="1550" w:type="dxa"/>
            <w:tcBorders>
              <w:right w:val="single" w:color="auto" w:sz="4" w:space="0"/>
            </w:tcBorders>
            <w:noWrap w:val="0"/>
            <w:vAlign w:val="center"/>
          </w:tcPr>
          <w:p w14:paraId="5B49206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踏勘</w:t>
            </w:r>
            <w:r>
              <w:rPr>
                <w:rFonts w:hint="eastAsia" w:ascii="宋体" w:hAnsi="宋体" w:eastAsia="宋体" w:cs="宋体"/>
                <w:sz w:val="24"/>
                <w:szCs w:val="24"/>
                <w:highlight w:val="none"/>
              </w:rPr>
              <w:t>现场</w:t>
            </w:r>
          </w:p>
        </w:tc>
        <w:tc>
          <w:tcPr>
            <w:tcW w:w="7512" w:type="dxa"/>
            <w:tcBorders>
              <w:left w:val="single" w:color="auto" w:sz="4" w:space="0"/>
            </w:tcBorders>
            <w:noWrap w:val="0"/>
            <w:vAlign w:val="center"/>
          </w:tcPr>
          <w:p w14:paraId="00AE5E08">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不组织</w:t>
            </w:r>
          </w:p>
        </w:tc>
      </w:tr>
      <w:tr w14:paraId="33A229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61233AB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17</w:t>
            </w:r>
          </w:p>
        </w:tc>
        <w:tc>
          <w:tcPr>
            <w:tcW w:w="1550" w:type="dxa"/>
            <w:tcBorders>
              <w:right w:val="single" w:color="auto" w:sz="4" w:space="0"/>
            </w:tcBorders>
            <w:noWrap w:val="0"/>
            <w:vAlign w:val="center"/>
          </w:tcPr>
          <w:p w14:paraId="1A1E0AF4">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分包、转包</w:t>
            </w:r>
          </w:p>
        </w:tc>
        <w:tc>
          <w:tcPr>
            <w:tcW w:w="7512" w:type="dxa"/>
            <w:tcBorders>
              <w:left w:val="single" w:color="auto" w:sz="4" w:space="0"/>
            </w:tcBorders>
            <w:noWrap w:val="0"/>
            <w:vAlign w:val="center"/>
          </w:tcPr>
          <w:p w14:paraId="73E54524">
            <w:pPr>
              <w:shd w:val="clear" w:color="auto" w:fill="auto"/>
              <w:spacing w:line="440" w:lineRule="exact"/>
              <w:ind w:left="120" w:leftChars="0" w:right="62" w:rightChars="0" w:hanging="120" w:hangingChars="50"/>
              <w:jc w:val="left"/>
              <w:rPr>
                <w:rFonts w:hint="eastAsia" w:ascii="宋体" w:hAnsi="宋体" w:eastAsia="宋体" w:cs="宋体"/>
                <w:sz w:val="24"/>
                <w:szCs w:val="24"/>
                <w:highlight w:val="none"/>
              </w:rPr>
            </w:pP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rPr>
              <w:t>允许</w:t>
            </w:r>
          </w:p>
        </w:tc>
      </w:tr>
      <w:tr w14:paraId="390D88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74BA420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18</w:t>
            </w:r>
          </w:p>
        </w:tc>
        <w:tc>
          <w:tcPr>
            <w:tcW w:w="1550" w:type="dxa"/>
            <w:tcBorders>
              <w:right w:val="single" w:color="auto" w:sz="4" w:space="0"/>
            </w:tcBorders>
            <w:noWrap w:val="0"/>
            <w:vAlign w:val="center"/>
          </w:tcPr>
          <w:p w14:paraId="5C968EE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样品</w:t>
            </w:r>
          </w:p>
        </w:tc>
        <w:tc>
          <w:tcPr>
            <w:tcW w:w="7512" w:type="dxa"/>
            <w:tcBorders>
              <w:left w:val="single" w:color="auto" w:sz="4" w:space="0"/>
            </w:tcBorders>
            <w:noWrap w:val="0"/>
            <w:vAlign w:val="center"/>
          </w:tcPr>
          <w:p w14:paraId="618730E4">
            <w:pPr>
              <w:shd w:val="clear" w:color="auto" w:fill="auto"/>
              <w:spacing w:line="440" w:lineRule="exact"/>
              <w:ind w:left="120" w:leftChars="0" w:right="62" w:rightChars="0" w:hanging="120" w:hangingChars="5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无需</w:t>
            </w:r>
          </w:p>
        </w:tc>
      </w:tr>
      <w:tr w14:paraId="1AD2FB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6" w:hRule="atLeast"/>
          <w:jc w:val="center"/>
        </w:trPr>
        <w:tc>
          <w:tcPr>
            <w:tcW w:w="493" w:type="dxa"/>
            <w:noWrap w:val="0"/>
            <w:vAlign w:val="center"/>
          </w:tcPr>
          <w:p w14:paraId="7D28527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1550" w:type="dxa"/>
            <w:tcBorders>
              <w:right w:val="single" w:color="auto" w:sz="4" w:space="0"/>
            </w:tcBorders>
            <w:noWrap w:val="0"/>
            <w:vAlign w:val="center"/>
          </w:tcPr>
          <w:p w14:paraId="1EDBE89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构成招标文件的其他文件</w:t>
            </w:r>
          </w:p>
        </w:tc>
        <w:tc>
          <w:tcPr>
            <w:tcW w:w="7512" w:type="dxa"/>
            <w:tcBorders>
              <w:left w:val="single" w:color="auto" w:sz="4" w:space="0"/>
            </w:tcBorders>
            <w:noWrap w:val="0"/>
            <w:vAlign w:val="center"/>
          </w:tcPr>
          <w:p w14:paraId="2E1B5B8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招标文件的澄清、修改书及有关补充通知为招标文件的有效组成部分</w:t>
            </w:r>
            <w:r>
              <w:rPr>
                <w:rFonts w:hint="eastAsia" w:ascii="宋体" w:hAnsi="宋体" w:eastAsia="宋体" w:cs="宋体"/>
                <w:color w:val="auto"/>
                <w:sz w:val="24"/>
                <w:szCs w:val="24"/>
                <w:highlight w:val="none"/>
                <w:lang w:eastAsia="zh-CN"/>
              </w:rPr>
              <w:t>。</w:t>
            </w:r>
          </w:p>
        </w:tc>
      </w:tr>
      <w:tr w14:paraId="140279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0" w:hRule="atLeast"/>
          <w:jc w:val="center"/>
        </w:trPr>
        <w:tc>
          <w:tcPr>
            <w:tcW w:w="493" w:type="dxa"/>
            <w:noWrap w:val="0"/>
            <w:vAlign w:val="center"/>
          </w:tcPr>
          <w:p w14:paraId="4B748A82">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1550" w:type="dxa"/>
            <w:tcBorders>
              <w:right w:val="single" w:color="auto" w:sz="4" w:space="0"/>
            </w:tcBorders>
            <w:noWrap w:val="0"/>
            <w:vAlign w:val="center"/>
          </w:tcPr>
          <w:p w14:paraId="5B59817A">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投标截止时间</w:t>
            </w:r>
          </w:p>
        </w:tc>
        <w:tc>
          <w:tcPr>
            <w:tcW w:w="7512" w:type="dxa"/>
            <w:tcBorders>
              <w:left w:val="single" w:color="auto" w:sz="4" w:space="0"/>
            </w:tcBorders>
            <w:noWrap w:val="0"/>
            <w:vAlign w:val="center"/>
          </w:tcPr>
          <w:p w14:paraId="436640A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2024年9月12日11：00</w:t>
            </w:r>
            <w:r>
              <w:rPr>
                <w:rFonts w:hint="eastAsia" w:ascii="宋体" w:hAnsi="宋体" w:eastAsia="宋体" w:cs="宋体"/>
                <w:color w:val="auto"/>
                <w:sz w:val="24"/>
                <w:szCs w:val="24"/>
                <w:highlight w:val="none"/>
                <w:lang w:val="en-US" w:eastAsia="zh-CN"/>
              </w:rPr>
              <w:t>分（北京时间）</w:t>
            </w:r>
          </w:p>
        </w:tc>
      </w:tr>
      <w:tr w14:paraId="50955D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2" w:hRule="atLeast"/>
          <w:jc w:val="center"/>
        </w:trPr>
        <w:tc>
          <w:tcPr>
            <w:tcW w:w="493" w:type="dxa"/>
            <w:noWrap w:val="0"/>
            <w:vAlign w:val="center"/>
          </w:tcPr>
          <w:p w14:paraId="3FCE5BA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p>
        </w:tc>
        <w:tc>
          <w:tcPr>
            <w:tcW w:w="1550" w:type="dxa"/>
            <w:tcBorders>
              <w:right w:val="single" w:color="auto" w:sz="4" w:space="0"/>
            </w:tcBorders>
            <w:noWrap w:val="0"/>
            <w:vAlign w:val="center"/>
          </w:tcPr>
          <w:p w14:paraId="7B2B627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w:t>
            </w:r>
            <w:r>
              <w:rPr>
                <w:rFonts w:hint="eastAsia" w:ascii="宋体" w:hAnsi="宋体" w:eastAsia="宋体" w:cs="宋体"/>
                <w:bCs/>
                <w:color w:val="auto"/>
                <w:sz w:val="24"/>
                <w:szCs w:val="24"/>
                <w:highlight w:val="none"/>
              </w:rPr>
              <w:t>有效期</w:t>
            </w:r>
          </w:p>
        </w:tc>
        <w:tc>
          <w:tcPr>
            <w:tcW w:w="7512" w:type="dxa"/>
            <w:tcBorders>
              <w:left w:val="single" w:color="auto" w:sz="4" w:space="0"/>
            </w:tcBorders>
            <w:noWrap w:val="0"/>
            <w:vAlign w:val="center"/>
          </w:tcPr>
          <w:p w14:paraId="5C2E105F">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90</w:t>
            </w:r>
            <w:r>
              <w:rPr>
                <w:rFonts w:hint="eastAsia" w:ascii="宋体" w:hAnsi="宋体" w:eastAsia="宋体" w:cs="宋体"/>
                <w:color w:val="auto"/>
                <w:sz w:val="24"/>
                <w:szCs w:val="24"/>
                <w:highlight w:val="none"/>
              </w:rPr>
              <w:t>日历天（从投标截止之日算起）</w:t>
            </w:r>
          </w:p>
        </w:tc>
      </w:tr>
      <w:tr w14:paraId="1635CF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24" w:hRule="atLeast"/>
          <w:jc w:val="center"/>
        </w:trPr>
        <w:tc>
          <w:tcPr>
            <w:tcW w:w="493" w:type="dxa"/>
            <w:noWrap w:val="0"/>
            <w:vAlign w:val="center"/>
          </w:tcPr>
          <w:p w14:paraId="54A2A00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p>
        </w:tc>
        <w:tc>
          <w:tcPr>
            <w:tcW w:w="1550" w:type="dxa"/>
            <w:tcBorders>
              <w:right w:val="single" w:color="auto" w:sz="4" w:space="0"/>
            </w:tcBorders>
            <w:noWrap w:val="0"/>
            <w:vAlign w:val="center"/>
          </w:tcPr>
          <w:p w14:paraId="5303F872">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投标保证金</w:t>
            </w:r>
          </w:p>
        </w:tc>
        <w:tc>
          <w:tcPr>
            <w:tcW w:w="7512" w:type="dxa"/>
            <w:tcBorders>
              <w:left w:val="single" w:color="auto" w:sz="4" w:space="0"/>
            </w:tcBorders>
            <w:noWrap w:val="0"/>
            <w:vAlign w:val="center"/>
          </w:tcPr>
          <w:p w14:paraId="6C0EDEEB">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投标保证金的形式：转账、</w:t>
            </w:r>
            <w:r>
              <w:rPr>
                <w:rFonts w:hint="eastAsia" w:ascii="宋体" w:hAnsi="宋体" w:eastAsia="宋体" w:cs="宋体"/>
                <w:b/>
                <w:bCs/>
                <w:sz w:val="24"/>
                <w:szCs w:val="24"/>
                <w:highlight w:val="none"/>
                <w:lang w:val="en-US" w:eastAsia="zh-CN"/>
              </w:rPr>
              <w:t>电汇、电子保函</w:t>
            </w:r>
          </w:p>
          <w:p w14:paraId="61253E8F">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投标保证金的金额：</w:t>
            </w:r>
            <w:r>
              <w:rPr>
                <w:rFonts w:hint="eastAsia" w:ascii="宋体" w:hAnsi="宋体" w:cs="宋体"/>
                <w:b/>
                <w:bCs/>
                <w:sz w:val="24"/>
                <w:szCs w:val="24"/>
                <w:highlight w:val="none"/>
                <w:lang w:val="en-US" w:eastAsia="zh-CN"/>
              </w:rPr>
              <w:t>7</w:t>
            </w:r>
            <w:r>
              <w:rPr>
                <w:rFonts w:hint="eastAsia" w:ascii="宋体" w:hAnsi="宋体" w:eastAsia="宋体" w:cs="宋体"/>
                <w:b/>
                <w:bCs/>
                <w:sz w:val="24"/>
                <w:szCs w:val="24"/>
                <w:highlight w:val="none"/>
                <w:lang w:val="en-US" w:eastAsia="zh-CN"/>
              </w:rPr>
              <w:t>00</w:t>
            </w:r>
            <w:r>
              <w:rPr>
                <w:rFonts w:hint="eastAsia" w:ascii="宋体" w:hAnsi="宋体" w:cs="宋体"/>
                <w:b/>
                <w:bCs/>
                <w:sz w:val="24"/>
                <w:szCs w:val="24"/>
                <w:highlight w:val="none"/>
                <w:lang w:val="en-US" w:eastAsia="zh-CN"/>
              </w:rPr>
              <w:t>0</w:t>
            </w:r>
            <w:r>
              <w:rPr>
                <w:rFonts w:hint="eastAsia" w:ascii="宋体" w:hAnsi="宋体" w:eastAsia="宋体" w:cs="宋体"/>
                <w:b/>
                <w:bCs/>
                <w:sz w:val="24"/>
                <w:szCs w:val="24"/>
                <w:highlight w:val="none"/>
                <w:lang w:val="en-US" w:eastAsia="zh-CN"/>
              </w:rPr>
              <w:t>元</w:t>
            </w:r>
            <w:r>
              <w:rPr>
                <w:rFonts w:hint="eastAsia" w:ascii="宋体" w:hAnsi="宋体" w:cs="宋体"/>
                <w:b/>
                <w:bCs/>
                <w:sz w:val="24"/>
                <w:szCs w:val="24"/>
                <w:highlight w:val="none"/>
                <w:lang w:val="en-US" w:eastAsia="zh-CN"/>
              </w:rPr>
              <w:t>（柒仟元整）</w:t>
            </w:r>
          </w:p>
          <w:p w14:paraId="278D0E4D">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投标保证金缴纳账户：</w:t>
            </w:r>
          </w:p>
          <w:p w14:paraId="7F11AA9B">
            <w:pPr>
              <w:spacing w:line="24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投标保证金账号：</w:t>
            </w:r>
            <w:r>
              <w:rPr>
                <w:rFonts w:hint="eastAsia" w:ascii="宋体" w:hAnsi="宋体" w:cs="宋体"/>
                <w:b/>
                <w:bCs/>
                <w:sz w:val="24"/>
                <w:szCs w:val="24"/>
                <w:highlight w:val="none"/>
                <w:lang w:val="en-US" w:eastAsia="zh-CN"/>
              </w:rPr>
              <w:t>洛浦县政务服务和公共资源交易中心</w:t>
            </w:r>
          </w:p>
          <w:p w14:paraId="4A9170A2">
            <w:pPr>
              <w:spacing w:line="24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开户银行：</w:t>
            </w:r>
            <w:r>
              <w:rPr>
                <w:rFonts w:hint="eastAsia" w:ascii="宋体" w:hAnsi="宋体" w:cs="宋体"/>
                <w:b/>
                <w:bCs/>
                <w:sz w:val="24"/>
                <w:szCs w:val="24"/>
                <w:highlight w:val="none"/>
                <w:lang w:val="en-US" w:eastAsia="zh-CN"/>
              </w:rPr>
              <w:t>中国农业银行股份有限公司洛浦县支行</w:t>
            </w:r>
          </w:p>
          <w:p w14:paraId="46BBB9E3">
            <w:pPr>
              <w:spacing w:line="24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账号：</w:t>
            </w:r>
            <w:r>
              <w:rPr>
                <w:rFonts w:hint="eastAsia" w:ascii="宋体" w:hAnsi="宋体" w:cs="宋体"/>
                <w:b/>
                <w:bCs/>
                <w:sz w:val="24"/>
                <w:szCs w:val="24"/>
                <w:highlight w:val="none"/>
                <w:lang w:val="en-US" w:eastAsia="zh-CN"/>
              </w:rPr>
              <w:t>30581601040888887</w:t>
            </w:r>
          </w:p>
          <w:p w14:paraId="12616446">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注：1.采用银行转账或电汇的方式的，由报名单位基本账户于</w:t>
            </w:r>
            <w:r>
              <w:rPr>
                <w:rFonts w:hint="eastAsia" w:ascii="宋体" w:hAnsi="宋体" w:cs="宋体"/>
                <w:sz w:val="24"/>
                <w:szCs w:val="24"/>
                <w:highlight w:val="none"/>
                <w:lang w:val="en-US" w:eastAsia="zh-CN"/>
              </w:rPr>
              <w:t>2024年9月12日11：00</w:t>
            </w:r>
            <w:r>
              <w:rPr>
                <w:rFonts w:hint="eastAsia" w:ascii="宋体" w:hAnsi="宋体" w:eastAsia="宋体" w:cs="宋体"/>
                <w:sz w:val="24"/>
                <w:szCs w:val="24"/>
                <w:highlight w:val="none"/>
                <w:lang w:val="en-US" w:eastAsia="zh-CN"/>
              </w:rPr>
              <w:t>（北京时间）前汇至</w:t>
            </w:r>
            <w:r>
              <w:rPr>
                <w:rFonts w:hint="eastAsia" w:ascii="宋体" w:hAnsi="宋体" w:cs="宋体"/>
                <w:sz w:val="24"/>
                <w:szCs w:val="24"/>
                <w:highlight w:val="none"/>
                <w:lang w:val="en-US" w:eastAsia="zh-CN"/>
              </w:rPr>
              <w:t>洛浦县政务服务和公共资源交易中心</w:t>
            </w:r>
            <w:r>
              <w:rPr>
                <w:rFonts w:hint="eastAsia" w:ascii="宋体" w:hAnsi="宋体" w:eastAsia="宋体" w:cs="宋体"/>
                <w:sz w:val="24"/>
                <w:szCs w:val="24"/>
                <w:highlight w:val="none"/>
                <w:lang w:val="en-US" w:eastAsia="zh-CN"/>
              </w:rPr>
              <w:t>专用账户，不得以现金和其他形式缴纳，不得以分公司、办事处或其他机构的名义缴纳，报名单位在缴纳保证金时，需在进账凭证上明确资金用途、项目名称，以便查对核实。投标保证金缴纳截止时间为递交投标文件截止时间，无须到</w:t>
            </w:r>
            <w:r>
              <w:rPr>
                <w:rFonts w:hint="eastAsia" w:ascii="宋体" w:hAnsi="宋体" w:cs="宋体"/>
                <w:sz w:val="24"/>
                <w:szCs w:val="24"/>
                <w:highlight w:val="none"/>
                <w:lang w:val="en-US" w:eastAsia="zh-CN"/>
              </w:rPr>
              <w:t>洛浦县政务服务和公共资源交易中心</w:t>
            </w:r>
            <w:r>
              <w:rPr>
                <w:rFonts w:hint="eastAsia" w:ascii="宋体" w:hAnsi="宋体" w:eastAsia="宋体" w:cs="宋体"/>
                <w:sz w:val="24"/>
                <w:szCs w:val="24"/>
                <w:highlight w:val="none"/>
                <w:lang w:val="en-US" w:eastAsia="zh-CN"/>
              </w:rPr>
              <w:t>换取收据。</w:t>
            </w:r>
          </w:p>
          <w:p w14:paraId="0D3BD23E">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电子保函使用方法：1、登录新疆维吾尔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400-9039583。</w:t>
            </w:r>
          </w:p>
          <w:p w14:paraId="3C88992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保函投保金额</w:t>
            </w:r>
            <w:r>
              <w:rPr>
                <w:rFonts w:hint="eastAsia" w:ascii="宋体" w:hAnsi="宋体" w:cs="宋体"/>
                <w:b/>
                <w:bCs/>
                <w:sz w:val="24"/>
                <w:szCs w:val="24"/>
                <w:highlight w:val="none"/>
                <w:lang w:val="en-US" w:eastAsia="zh-CN"/>
              </w:rPr>
              <w:t>（</w:t>
            </w:r>
            <w:r>
              <w:rPr>
                <w:rFonts w:hint="eastAsia" w:ascii="宋体" w:hAnsi="宋体" w:eastAsia="宋体" w:cs="宋体"/>
                <w:b/>
                <w:bCs/>
                <w:sz w:val="24"/>
                <w:szCs w:val="24"/>
                <w:highlight w:val="none"/>
                <w:lang w:val="en-US" w:eastAsia="zh-CN"/>
              </w:rPr>
              <w:t>元</w:t>
            </w:r>
            <w:r>
              <w:rPr>
                <w:rFonts w:hint="eastAsia" w:ascii="宋体" w:hAnsi="宋体" w:cs="宋体"/>
                <w:b/>
                <w:bCs/>
                <w:sz w:val="24"/>
                <w:szCs w:val="24"/>
                <w:highlight w:val="none"/>
                <w:lang w:val="en-US" w:eastAsia="zh-CN"/>
              </w:rPr>
              <w:t>）</w:t>
            </w:r>
            <w:r>
              <w:rPr>
                <w:rFonts w:hint="eastAsia" w:ascii="宋体" w:hAnsi="宋体" w:eastAsia="宋体" w:cs="宋体"/>
                <w:b/>
                <w:bCs/>
                <w:sz w:val="24"/>
                <w:szCs w:val="24"/>
                <w:highlight w:val="none"/>
                <w:lang w:val="en-US" w:eastAsia="zh-CN"/>
              </w:rPr>
              <w:t>：</w:t>
            </w:r>
            <w:r>
              <w:rPr>
                <w:rFonts w:hint="eastAsia" w:ascii="宋体" w:hAnsi="宋体" w:cs="宋体"/>
                <w:b/>
                <w:bCs/>
                <w:sz w:val="24"/>
                <w:szCs w:val="24"/>
                <w:highlight w:val="none"/>
                <w:lang w:val="en-US" w:eastAsia="zh-CN"/>
              </w:rPr>
              <w:t>7</w:t>
            </w:r>
            <w:r>
              <w:rPr>
                <w:rFonts w:hint="eastAsia" w:ascii="宋体" w:hAnsi="宋体" w:eastAsia="宋体" w:cs="宋体"/>
                <w:b/>
                <w:bCs/>
                <w:sz w:val="24"/>
                <w:szCs w:val="24"/>
                <w:highlight w:val="none"/>
                <w:lang w:val="en-US" w:eastAsia="zh-CN"/>
              </w:rPr>
              <w:t>00</w:t>
            </w:r>
            <w:r>
              <w:rPr>
                <w:rFonts w:hint="eastAsia" w:ascii="宋体" w:hAnsi="宋体" w:cs="宋体"/>
                <w:b/>
                <w:bCs/>
                <w:sz w:val="24"/>
                <w:szCs w:val="24"/>
                <w:highlight w:val="none"/>
                <w:lang w:val="en-US" w:eastAsia="zh-CN"/>
              </w:rPr>
              <w:t>0</w:t>
            </w:r>
            <w:r>
              <w:rPr>
                <w:rFonts w:hint="eastAsia" w:ascii="宋体" w:hAnsi="宋体" w:eastAsia="宋体" w:cs="宋体"/>
                <w:b/>
                <w:bCs/>
                <w:sz w:val="24"/>
                <w:szCs w:val="24"/>
                <w:highlight w:val="none"/>
                <w:lang w:val="en-US" w:eastAsia="zh-CN"/>
              </w:rPr>
              <w:t>元</w:t>
            </w:r>
            <w:r>
              <w:rPr>
                <w:rFonts w:hint="eastAsia" w:ascii="宋体" w:hAnsi="宋体" w:cs="宋体"/>
                <w:b/>
                <w:bCs/>
                <w:sz w:val="24"/>
                <w:szCs w:val="24"/>
                <w:highlight w:val="none"/>
                <w:lang w:val="en-US" w:eastAsia="zh-CN"/>
              </w:rPr>
              <w:t>（柒仟元整）</w:t>
            </w:r>
          </w:p>
          <w:p w14:paraId="1AB982AF">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eastAsia="zh-CN"/>
              </w:rPr>
              <w:t>保函承保期限：</w:t>
            </w:r>
            <w:r>
              <w:rPr>
                <w:rFonts w:hint="eastAsia" w:ascii="宋体" w:hAnsi="宋体" w:cs="宋体"/>
                <w:b/>
                <w:bCs/>
                <w:sz w:val="24"/>
                <w:szCs w:val="24"/>
                <w:highlight w:val="none"/>
                <w:lang w:val="en-US" w:eastAsia="zh-CN"/>
              </w:rPr>
              <w:t>2024年9</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12</w:t>
            </w:r>
            <w:r>
              <w:rPr>
                <w:rFonts w:hint="eastAsia" w:ascii="宋体" w:hAnsi="宋体" w:eastAsia="宋体" w:cs="宋体"/>
                <w:b/>
                <w:bCs/>
                <w:sz w:val="24"/>
                <w:szCs w:val="24"/>
                <w:highlight w:val="none"/>
                <w:lang w:val="en-US" w:eastAsia="zh-CN"/>
              </w:rPr>
              <w:t>日----</w:t>
            </w:r>
            <w:r>
              <w:rPr>
                <w:rFonts w:hint="eastAsia" w:ascii="宋体" w:hAnsi="宋体" w:cs="宋体"/>
                <w:b/>
                <w:bCs/>
                <w:sz w:val="24"/>
                <w:szCs w:val="24"/>
                <w:highlight w:val="none"/>
                <w:lang w:val="en-US" w:eastAsia="zh-CN"/>
              </w:rPr>
              <w:t>2024年</w:t>
            </w:r>
            <w:r>
              <w:rPr>
                <w:rFonts w:hint="eastAsia" w:ascii="宋体" w:hAnsi="宋体" w:eastAsia="宋体" w:cs="宋体"/>
                <w:b/>
                <w:bCs/>
                <w:sz w:val="24"/>
                <w:szCs w:val="24"/>
                <w:highlight w:val="none"/>
                <w:lang w:val="en-US" w:eastAsia="zh-CN"/>
              </w:rPr>
              <w:t>1</w:t>
            </w:r>
            <w:r>
              <w:rPr>
                <w:rFonts w:hint="eastAsia" w:ascii="宋体" w:hAnsi="宋体" w:cs="宋体"/>
                <w:b/>
                <w:bCs/>
                <w:sz w:val="24"/>
                <w:szCs w:val="24"/>
                <w:highlight w:val="none"/>
                <w:lang w:val="en-US" w:eastAsia="zh-CN"/>
              </w:rPr>
              <w:t>2</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11</w:t>
            </w:r>
            <w:r>
              <w:rPr>
                <w:rFonts w:hint="eastAsia" w:ascii="宋体" w:hAnsi="宋体" w:eastAsia="宋体" w:cs="宋体"/>
                <w:b/>
                <w:bCs/>
                <w:sz w:val="24"/>
                <w:szCs w:val="24"/>
                <w:highlight w:val="none"/>
                <w:lang w:val="en-US" w:eastAsia="zh-CN"/>
              </w:rPr>
              <w:t>日（90日历天）</w:t>
            </w:r>
          </w:p>
        </w:tc>
      </w:tr>
      <w:tr w14:paraId="284C41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43" w:hRule="atLeast"/>
          <w:jc w:val="center"/>
        </w:trPr>
        <w:tc>
          <w:tcPr>
            <w:tcW w:w="493" w:type="dxa"/>
            <w:noWrap w:val="0"/>
            <w:vAlign w:val="center"/>
          </w:tcPr>
          <w:p w14:paraId="4CA06D52">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w:t>
            </w:r>
          </w:p>
        </w:tc>
        <w:tc>
          <w:tcPr>
            <w:tcW w:w="1550" w:type="dxa"/>
            <w:tcBorders>
              <w:right w:val="single" w:color="auto" w:sz="4" w:space="0"/>
            </w:tcBorders>
            <w:noWrap w:val="0"/>
            <w:vAlign w:val="center"/>
          </w:tcPr>
          <w:p w14:paraId="51BA0FC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签字盖章</w:t>
            </w:r>
          </w:p>
        </w:tc>
        <w:tc>
          <w:tcPr>
            <w:tcW w:w="7512" w:type="dxa"/>
            <w:tcBorders>
              <w:left w:val="single" w:color="auto" w:sz="4" w:space="0"/>
            </w:tcBorders>
            <w:noWrap w:val="0"/>
            <w:vAlign w:val="center"/>
          </w:tcPr>
          <w:p w14:paraId="498ADE0C">
            <w:pPr>
              <w:keepNext w:val="0"/>
              <w:keepLines w:val="0"/>
              <w:pageBreakBefore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投标人必须按照招标文件的规定和要求签字、盖章</w:t>
            </w:r>
          </w:p>
        </w:tc>
      </w:tr>
      <w:tr w14:paraId="618C84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311AFF9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p>
        </w:tc>
        <w:tc>
          <w:tcPr>
            <w:tcW w:w="1550" w:type="dxa"/>
            <w:tcBorders>
              <w:right w:val="single" w:color="auto" w:sz="4" w:space="0"/>
            </w:tcBorders>
            <w:noWrap w:val="0"/>
            <w:vAlign w:val="center"/>
          </w:tcPr>
          <w:p w14:paraId="0FA476D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递交投标文件的地点及方式</w:t>
            </w:r>
          </w:p>
        </w:tc>
        <w:tc>
          <w:tcPr>
            <w:tcW w:w="7512" w:type="dxa"/>
            <w:tcBorders>
              <w:left w:val="single" w:color="auto" w:sz="4" w:space="0"/>
            </w:tcBorders>
            <w:noWrap w:val="0"/>
            <w:vAlign w:val="center"/>
          </w:tcPr>
          <w:p w14:paraId="6575A5E5">
            <w:pPr>
              <w:shd w:val="clear" w:color="auto" w:fill="auto"/>
              <w:spacing w:line="340" w:lineRule="exact"/>
              <w:ind w:left="714" w:leftChars="1" w:hanging="712" w:hangingChars="297"/>
              <w:rPr>
                <w:rFonts w:hint="eastAsia" w:ascii="宋体" w:hAnsi="宋体" w:eastAsia="宋体" w:cs="宋体"/>
                <w:bCs/>
                <w:color w:val="auto"/>
                <w:sz w:val="24"/>
                <w:szCs w:val="24"/>
                <w:highlight w:val="none"/>
                <w:lang w:eastAsia="zh-CN"/>
              </w:rPr>
            </w:pPr>
            <w:r>
              <w:rPr>
                <w:rFonts w:hint="eastAsia" w:ascii="宋体" w:hAnsi="宋体" w:eastAsia="宋体" w:cs="宋体"/>
                <w:color w:val="auto"/>
                <w:sz w:val="24"/>
                <w:szCs w:val="24"/>
                <w:highlight w:val="none"/>
              </w:rPr>
              <w:t>开标地点：</w:t>
            </w:r>
            <w:r>
              <w:rPr>
                <w:rFonts w:hint="eastAsia" w:ascii="宋体" w:hAnsi="宋体" w:eastAsia="宋体" w:cs="宋体"/>
                <w:color w:val="auto"/>
                <w:sz w:val="24"/>
                <w:szCs w:val="24"/>
                <w:highlight w:val="none"/>
                <w:lang w:eastAsia="zh-CN"/>
              </w:rPr>
              <w:t>政采云平台不见面开标</w:t>
            </w:r>
          </w:p>
          <w:p w14:paraId="54849FFC">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递交投标文件的地点及方式：</w:t>
            </w:r>
            <w:r>
              <w:rPr>
                <w:rFonts w:hint="eastAsia" w:ascii="宋体" w:hAnsi="宋体" w:eastAsia="宋体" w:cs="宋体"/>
                <w:bCs/>
                <w:color w:val="auto"/>
                <w:sz w:val="24"/>
                <w:szCs w:val="24"/>
                <w:highlight w:val="none"/>
              </w:rPr>
              <w:t>投标人应</w:t>
            </w:r>
            <w:r>
              <w:rPr>
                <w:rFonts w:hint="eastAsia" w:ascii="宋体" w:hAnsi="宋体" w:cs="宋体"/>
                <w:bCs/>
                <w:color w:val="auto"/>
                <w:sz w:val="24"/>
                <w:szCs w:val="24"/>
                <w:highlight w:val="none"/>
                <w:lang w:eastAsia="zh-CN"/>
              </w:rPr>
              <w:t>2024年</w:t>
            </w:r>
            <w:r>
              <w:rPr>
                <w:rFonts w:hint="eastAsia" w:ascii="宋体" w:hAnsi="宋体" w:cs="宋体"/>
                <w:bCs/>
                <w:color w:val="auto"/>
                <w:sz w:val="24"/>
                <w:szCs w:val="24"/>
                <w:highlight w:val="none"/>
                <w:lang w:val="en-US" w:eastAsia="zh-CN"/>
              </w:rPr>
              <w:t>9</w:t>
            </w:r>
            <w:r>
              <w:rPr>
                <w:rFonts w:hint="eastAsia" w:ascii="宋体" w:hAnsi="宋体" w:cs="宋体"/>
                <w:bCs/>
                <w:color w:val="auto"/>
                <w:sz w:val="24"/>
                <w:szCs w:val="24"/>
                <w:highlight w:val="none"/>
                <w:lang w:eastAsia="zh-CN"/>
              </w:rPr>
              <w:t>月</w:t>
            </w:r>
            <w:r>
              <w:rPr>
                <w:rFonts w:hint="eastAsia" w:ascii="宋体" w:hAnsi="宋体" w:cs="宋体"/>
                <w:bCs/>
                <w:color w:val="auto"/>
                <w:sz w:val="24"/>
                <w:szCs w:val="24"/>
                <w:highlight w:val="none"/>
                <w:lang w:val="en-US" w:eastAsia="zh-CN"/>
              </w:rPr>
              <w:t>12</w:t>
            </w:r>
            <w:r>
              <w:rPr>
                <w:rFonts w:hint="eastAsia" w:ascii="宋体" w:hAnsi="宋体" w:cs="宋体"/>
                <w:bCs/>
                <w:color w:val="auto"/>
                <w:sz w:val="24"/>
                <w:szCs w:val="24"/>
                <w:highlight w:val="none"/>
                <w:lang w:eastAsia="zh-CN"/>
              </w:rPr>
              <w:t>日1</w:t>
            </w:r>
            <w:r>
              <w:rPr>
                <w:rFonts w:hint="eastAsia" w:ascii="宋体" w:hAnsi="宋体" w:cs="宋体"/>
                <w:bCs/>
                <w:color w:val="auto"/>
                <w:sz w:val="24"/>
                <w:szCs w:val="24"/>
                <w:highlight w:val="none"/>
                <w:lang w:val="en-US" w:eastAsia="zh-CN"/>
              </w:rPr>
              <w:t>1</w:t>
            </w:r>
            <w:r>
              <w:rPr>
                <w:rFonts w:hint="eastAsia" w:ascii="宋体" w:hAnsi="宋体" w:cs="宋体"/>
                <w:bCs/>
                <w:color w:val="auto"/>
                <w:sz w:val="24"/>
                <w:szCs w:val="24"/>
                <w:highlight w:val="none"/>
                <w:lang w:eastAsia="zh-CN"/>
              </w:rPr>
              <w:t>点</w:t>
            </w:r>
            <w:r>
              <w:rPr>
                <w:rFonts w:hint="eastAsia" w:ascii="宋体" w:hAnsi="宋体" w:cs="宋体"/>
                <w:bCs/>
                <w:color w:val="auto"/>
                <w:sz w:val="24"/>
                <w:szCs w:val="24"/>
                <w:highlight w:val="none"/>
                <w:lang w:val="en-US" w:eastAsia="zh-CN"/>
              </w:rPr>
              <w:t>0</w:t>
            </w:r>
            <w:r>
              <w:rPr>
                <w:rFonts w:hint="eastAsia" w:ascii="宋体" w:hAnsi="宋体" w:cs="宋体"/>
                <w:bCs/>
                <w:color w:val="auto"/>
                <w:sz w:val="24"/>
                <w:szCs w:val="24"/>
                <w:highlight w:val="none"/>
                <w:lang w:eastAsia="zh-CN"/>
              </w:rPr>
              <w:t>0</w:t>
            </w:r>
            <w:r>
              <w:rPr>
                <w:rFonts w:hint="eastAsia" w:ascii="宋体" w:hAnsi="宋体" w:eastAsia="宋体" w:cs="宋体"/>
                <w:bCs/>
                <w:color w:val="auto"/>
                <w:sz w:val="24"/>
                <w:szCs w:val="24"/>
                <w:highlight w:val="none"/>
                <w:lang w:eastAsia="zh-CN"/>
              </w:rPr>
              <w:t>分</w:t>
            </w:r>
            <w:r>
              <w:rPr>
                <w:rFonts w:hint="eastAsia" w:ascii="宋体" w:hAnsi="宋体" w:eastAsia="宋体" w:cs="宋体"/>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r>
              <w:rPr>
                <w:rFonts w:hint="eastAsia" w:ascii="宋体" w:hAnsi="宋体" w:eastAsia="宋体" w:cs="宋体"/>
                <w:bCs/>
                <w:color w:val="auto"/>
                <w:sz w:val="24"/>
                <w:szCs w:val="24"/>
                <w:highlight w:val="none"/>
                <w:lang w:val="en-US" w:eastAsia="zh-CN"/>
              </w:rPr>
              <w:t>或95763</w:t>
            </w:r>
            <w:r>
              <w:rPr>
                <w:rFonts w:hint="eastAsia" w:ascii="宋体" w:hAnsi="宋体" w:eastAsia="宋体" w:cs="宋体"/>
                <w:bCs/>
                <w:color w:val="auto"/>
                <w:sz w:val="24"/>
                <w:szCs w:val="24"/>
                <w:highlight w:val="none"/>
              </w:rPr>
              <w:t>。</w:t>
            </w:r>
          </w:p>
        </w:tc>
      </w:tr>
      <w:tr w14:paraId="062BAC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noWrap w:val="0"/>
            <w:vAlign w:val="center"/>
          </w:tcPr>
          <w:p w14:paraId="2701131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w:t>
            </w:r>
          </w:p>
        </w:tc>
        <w:tc>
          <w:tcPr>
            <w:tcW w:w="1550" w:type="dxa"/>
            <w:tcBorders>
              <w:right w:val="single" w:color="auto" w:sz="4" w:space="0"/>
            </w:tcBorders>
            <w:noWrap w:val="0"/>
            <w:vAlign w:val="center"/>
          </w:tcPr>
          <w:p w14:paraId="08D55CC7">
            <w:pPr>
              <w:keepNext w:val="0"/>
              <w:keepLines w:val="0"/>
              <w:pageBreakBefore w:val="0"/>
              <w:kinsoku/>
              <w:wordWrap/>
              <w:overflowPunct/>
              <w:topLinePunct w:val="0"/>
              <w:autoSpaceDE/>
              <w:autoSpaceDN/>
              <w:bidi w:val="0"/>
              <w:adjustRightInd/>
              <w:snapToGrid/>
              <w:spacing w:line="300" w:lineRule="exact"/>
              <w:ind w:left="120" w:leftChars="0" w:right="62" w:rightChars="0" w:hanging="120" w:hangingChars="5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sz w:val="24"/>
                <w:szCs w:val="24"/>
                <w:highlight w:val="none"/>
              </w:rPr>
              <w:t>标前准备</w:t>
            </w:r>
          </w:p>
        </w:tc>
        <w:tc>
          <w:tcPr>
            <w:tcW w:w="7512" w:type="dxa"/>
            <w:tcBorders>
              <w:left w:val="single" w:color="auto" w:sz="4" w:space="0"/>
            </w:tcBorders>
            <w:noWrap w:val="0"/>
            <w:vAlign w:val="center"/>
          </w:tcPr>
          <w:p w14:paraId="264D0565">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1、本项目实行网上投标，采用电子投标文件。供应商应按照相关格式要求上传投标文件即可，无需到现场开标。若供应商参与投标，自行承担投标一切费用。</w:t>
            </w:r>
          </w:p>
          <w:p w14:paraId="70371ACE">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2098DB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3、本项目为电子招投标，投标人需要使用CA加密设备，有意向参与新疆区域电子开评标的供应商，请访问新疆数字证书认证中心官方网站（https://www.xjca.com.cn/）或下载</w:t>
            </w:r>
            <w:r>
              <w:rPr>
                <w:rFonts w:hint="eastAsia" w:ascii="宋体" w:hAnsi="宋体" w:cs="宋体"/>
                <w:bCs/>
                <w:color w:val="auto"/>
                <w:sz w:val="24"/>
                <w:szCs w:val="24"/>
                <w:highlight w:val="none"/>
                <w:lang w:val="en-US" w:eastAsia="zh-CN"/>
              </w:rPr>
              <w:t>；</w:t>
            </w:r>
            <w:r>
              <w:rPr>
                <w:rFonts w:hint="eastAsia" w:ascii="宋体" w:hAnsi="宋体" w:eastAsia="宋体" w:cs="宋体"/>
                <w:bCs/>
                <w:color w:val="auto"/>
                <w:sz w:val="24"/>
                <w:szCs w:val="24"/>
                <w:highlight w:val="none"/>
                <w:lang w:val="en-US" w:eastAsia="zh-CN"/>
              </w:rPr>
              <w:t>“新疆政务通”APP自行进行申领。如需咨询，请联系新疆CA服务热线0991-2819290</w:t>
            </w:r>
          </w:p>
          <w:p w14:paraId="59A2C2CD">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Cs/>
                <w:color w:val="auto"/>
                <w:sz w:val="24"/>
                <w:szCs w:val="24"/>
                <w:highlight w:val="none"/>
                <w:lang w:val="en-US" w:eastAsia="zh-CN"/>
              </w:rPr>
              <w:t>4、供应商将新疆政府采购电子交易客户端下载、安装完成后，可通过账号密码或CA登录客户端进行投标文件制作。在使用新疆政府采购投标客户端时，建议使用WIN7及以上操作系统。客户端请至新疆政府采购网（http://www.ccgp-xinjiang.gov.cn/）下载专区查看，如有问题可拨打新疆政府采购客户服务热线95763进行咨询。</w:t>
            </w:r>
          </w:p>
        </w:tc>
      </w:tr>
      <w:tr w14:paraId="0BEF5C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noWrap w:val="0"/>
            <w:vAlign w:val="center"/>
          </w:tcPr>
          <w:p w14:paraId="274E345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p>
        </w:tc>
        <w:tc>
          <w:tcPr>
            <w:tcW w:w="1550" w:type="dxa"/>
            <w:tcBorders>
              <w:right w:val="single" w:color="auto" w:sz="4" w:space="0"/>
            </w:tcBorders>
            <w:noWrap w:val="0"/>
            <w:vAlign w:val="center"/>
          </w:tcPr>
          <w:p w14:paraId="6FD09C7A">
            <w:pPr>
              <w:spacing w:line="360" w:lineRule="exact"/>
              <w:ind w:left="120" w:leftChars="0" w:right="62" w:rightChars="0" w:hanging="120" w:hangingChars="5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shd w:val="clear" w:color="auto" w:fill="auto"/>
                <w:lang w:eastAsia="zh-CN"/>
              </w:rPr>
              <w:t>招标文件解密时间</w:t>
            </w:r>
          </w:p>
        </w:tc>
        <w:tc>
          <w:tcPr>
            <w:tcW w:w="7512" w:type="dxa"/>
            <w:tcBorders>
              <w:left w:val="single" w:color="auto" w:sz="4" w:space="0"/>
            </w:tcBorders>
            <w:noWrap w:val="0"/>
            <w:vAlign w:val="center"/>
          </w:tcPr>
          <w:p w14:paraId="2B1A3542">
            <w:pPr>
              <w:keepNext w:val="0"/>
              <w:keepLines w:val="0"/>
              <w:pageBreakBefore w:val="0"/>
              <w:kinsoku/>
              <w:wordWrap/>
              <w:overflowPunct/>
              <w:topLinePunct w:val="0"/>
              <w:autoSpaceDE/>
              <w:autoSpaceDN/>
              <w:bidi w:val="0"/>
              <w:adjustRightInd/>
              <w:snapToGrid/>
              <w:spacing w:line="300" w:lineRule="exact"/>
              <w:ind w:left="120" w:leftChars="0" w:right="62" w:rightChars="0" w:hanging="120" w:hangingChars="50"/>
              <w:jc w:val="both"/>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2024年9月12日11：00</w:t>
            </w:r>
            <w:r>
              <w:rPr>
                <w:rFonts w:hint="eastAsia" w:ascii="宋体" w:hAnsi="宋体" w:eastAsia="宋体" w:cs="宋体"/>
                <w:b w:val="0"/>
                <w:bCs w:val="0"/>
                <w:color w:val="auto"/>
                <w:sz w:val="24"/>
                <w:szCs w:val="24"/>
                <w:highlight w:val="none"/>
              </w:rPr>
              <w:t>-1</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北京时间</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前供应商可以登录“</w:t>
            </w:r>
            <w:r>
              <w:rPr>
                <w:rFonts w:hint="eastAsia" w:ascii="宋体" w:hAnsi="宋体" w:eastAsia="宋体" w:cs="宋体"/>
                <w:b w:val="0"/>
                <w:bCs w:val="0"/>
                <w:color w:val="auto"/>
                <w:sz w:val="24"/>
                <w:szCs w:val="24"/>
                <w:highlight w:val="none"/>
                <w:lang w:val="en-US" w:eastAsia="zh-CN"/>
              </w:rPr>
              <w:t>政采云</w:t>
            </w:r>
            <w:r>
              <w:rPr>
                <w:rFonts w:hint="eastAsia" w:ascii="宋体" w:hAnsi="宋体" w:eastAsia="宋体" w:cs="宋体"/>
                <w:b w:val="0"/>
                <w:bCs w:val="0"/>
                <w:color w:val="auto"/>
                <w:sz w:val="24"/>
                <w:szCs w:val="24"/>
                <w:highlight w:val="none"/>
              </w:rPr>
              <w:t>”平台，用“项目采购</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开标评标”功能进行解密投标文件。若供应商在规定时间内（</w:t>
            </w:r>
            <w:r>
              <w:rPr>
                <w:rFonts w:hint="eastAsia" w:ascii="宋体" w:hAnsi="宋体" w:cs="宋体"/>
                <w:b w:val="0"/>
                <w:bCs w:val="0"/>
                <w:color w:val="auto"/>
                <w:sz w:val="24"/>
                <w:szCs w:val="24"/>
                <w:highlight w:val="none"/>
                <w:lang w:val="en-US" w:eastAsia="zh-CN"/>
              </w:rPr>
              <w:t>2024年9月12日</w:t>
            </w:r>
            <w:r>
              <w:rPr>
                <w:rFonts w:hint="eastAsia" w:ascii="宋体" w:hAnsi="宋体" w:eastAsia="宋体" w:cs="宋体"/>
                <w:b w:val="0"/>
                <w:bCs w:val="0"/>
                <w:color w:val="auto"/>
                <w:sz w:val="24"/>
                <w:szCs w:val="24"/>
                <w:highlight w:val="none"/>
                <w:lang w:val="en-US" w:eastAsia="zh-CN"/>
              </w:rPr>
              <w:t>上午</w:t>
            </w:r>
            <w:r>
              <w:rPr>
                <w:rFonts w:hint="eastAsia" w:ascii="宋体" w:hAnsi="宋体" w:cs="宋体"/>
                <w:b w:val="0"/>
                <w:bCs w:val="0"/>
                <w:color w:val="auto"/>
                <w:sz w:val="24"/>
                <w:szCs w:val="24"/>
                <w:highlight w:val="none"/>
                <w:lang w:val="en-US" w:eastAsia="zh-CN"/>
              </w:rPr>
              <w:t>11</w:t>
            </w:r>
            <w:r>
              <w:rPr>
                <w:rFonts w:hint="eastAsia"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0</w:t>
            </w:r>
            <w:r>
              <w:rPr>
                <w:rFonts w:hint="eastAsia" w:ascii="宋体" w:hAnsi="宋体" w:eastAsia="宋体" w:cs="宋体"/>
                <w:b w:val="0"/>
                <w:bCs w:val="0"/>
                <w:color w:val="auto"/>
                <w:sz w:val="24"/>
                <w:szCs w:val="24"/>
                <w:highlight w:val="none"/>
              </w:rPr>
              <w:t>0前）未按时解密的，视为投标文件撤回。</w:t>
            </w:r>
          </w:p>
        </w:tc>
      </w:tr>
      <w:tr w14:paraId="51EAAC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7" w:hRule="atLeast"/>
          <w:jc w:val="center"/>
        </w:trPr>
        <w:tc>
          <w:tcPr>
            <w:tcW w:w="493" w:type="dxa"/>
            <w:noWrap w:val="0"/>
            <w:vAlign w:val="center"/>
          </w:tcPr>
          <w:p w14:paraId="6A2A00C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p>
        </w:tc>
        <w:tc>
          <w:tcPr>
            <w:tcW w:w="1550" w:type="dxa"/>
            <w:tcBorders>
              <w:right w:val="single" w:color="auto" w:sz="4" w:space="0"/>
            </w:tcBorders>
            <w:noWrap w:val="0"/>
            <w:vAlign w:val="center"/>
          </w:tcPr>
          <w:p w14:paraId="762264CB">
            <w:pPr>
              <w:spacing w:line="360" w:lineRule="exact"/>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auto"/>
              </w:rPr>
              <w:t>招标代理服务费</w:t>
            </w:r>
          </w:p>
        </w:tc>
        <w:tc>
          <w:tcPr>
            <w:tcW w:w="7512" w:type="dxa"/>
            <w:tcBorders>
              <w:left w:val="single" w:color="auto" w:sz="4" w:space="0"/>
            </w:tcBorders>
            <w:noWrap w:val="0"/>
            <w:vAlign w:val="center"/>
          </w:tcPr>
          <w:p w14:paraId="4424F21C">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代理费用收取方式及标准，采用以下方式：</w:t>
            </w:r>
          </w:p>
          <w:p w14:paraId="53534F6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标准：参照国家发改委[2011]534号文、[2015]299号文作为协商价格的基础收取，</w:t>
            </w:r>
          </w:p>
          <w:p w14:paraId="46639AE1">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rPr>
            </w:pPr>
            <w:r>
              <w:rPr>
                <w:rFonts w:hint="eastAsia" w:ascii="宋体" w:hAnsi="宋体" w:eastAsia="宋体" w:cs="宋体"/>
                <w:b/>
                <w:bCs w:val="0"/>
                <w:color w:val="auto"/>
                <w:sz w:val="24"/>
                <w:szCs w:val="24"/>
                <w:highlight w:val="none"/>
                <w:lang w:val="en-US" w:eastAsia="zh-CN"/>
              </w:rPr>
              <w:t>本项目招标代理服务费：由中标供应商支付。</w:t>
            </w:r>
          </w:p>
        </w:tc>
      </w:tr>
      <w:tr w14:paraId="1F073C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4" w:hRule="atLeast"/>
          <w:jc w:val="center"/>
        </w:trPr>
        <w:tc>
          <w:tcPr>
            <w:tcW w:w="493" w:type="dxa"/>
            <w:noWrap w:val="0"/>
            <w:vAlign w:val="center"/>
          </w:tcPr>
          <w:p w14:paraId="6BC2D9A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p>
        </w:tc>
        <w:tc>
          <w:tcPr>
            <w:tcW w:w="1550" w:type="dxa"/>
            <w:tcBorders>
              <w:right w:val="single" w:color="auto" w:sz="4" w:space="0"/>
            </w:tcBorders>
            <w:noWrap w:val="0"/>
            <w:vAlign w:val="center"/>
          </w:tcPr>
          <w:p w14:paraId="28647E8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代理服务费付款方式</w:t>
            </w:r>
          </w:p>
        </w:tc>
        <w:tc>
          <w:tcPr>
            <w:tcW w:w="7512" w:type="dxa"/>
            <w:tcBorders>
              <w:left w:val="single" w:color="auto" w:sz="4" w:space="0"/>
            </w:tcBorders>
            <w:noWrap w:val="0"/>
            <w:vAlign w:val="center"/>
          </w:tcPr>
          <w:p w14:paraId="5B0D855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公对公转账或电汇</w:t>
            </w:r>
          </w:p>
        </w:tc>
      </w:tr>
      <w:tr w14:paraId="4C4114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493" w:type="dxa"/>
            <w:noWrap w:val="0"/>
            <w:vAlign w:val="center"/>
          </w:tcPr>
          <w:p w14:paraId="579DC09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w:t>
            </w:r>
          </w:p>
        </w:tc>
        <w:tc>
          <w:tcPr>
            <w:tcW w:w="1550" w:type="dxa"/>
            <w:tcBorders>
              <w:right w:val="single" w:color="auto" w:sz="4" w:space="0"/>
            </w:tcBorders>
            <w:noWrap w:val="0"/>
            <w:vAlign w:val="center"/>
          </w:tcPr>
          <w:p w14:paraId="119FC5B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评标委员的组建</w:t>
            </w:r>
          </w:p>
        </w:tc>
        <w:tc>
          <w:tcPr>
            <w:tcW w:w="7512" w:type="dxa"/>
            <w:tcBorders>
              <w:left w:val="single" w:color="auto" w:sz="4" w:space="0"/>
            </w:tcBorders>
            <w:noWrap w:val="0"/>
            <w:vAlign w:val="center"/>
          </w:tcPr>
          <w:p w14:paraId="6D70530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评标委员会构成：</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人；</w:t>
            </w:r>
          </w:p>
          <w:p w14:paraId="6116682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评标专家确定方式：由招标代理在开标前</w:t>
            </w:r>
            <w:r>
              <w:rPr>
                <w:rFonts w:hint="eastAsia" w:ascii="宋体" w:hAnsi="宋体" w:eastAsia="宋体" w:cs="宋体"/>
                <w:color w:val="auto"/>
                <w:sz w:val="24"/>
                <w:szCs w:val="24"/>
                <w:highlight w:val="none"/>
                <w:lang w:val="en-US" w:eastAsia="zh-CN"/>
              </w:rPr>
              <w:t>48</w:t>
            </w:r>
            <w:r>
              <w:rPr>
                <w:rFonts w:hint="eastAsia" w:ascii="宋体" w:hAnsi="宋体" w:eastAsia="宋体" w:cs="宋体"/>
                <w:color w:val="auto"/>
                <w:sz w:val="24"/>
                <w:szCs w:val="24"/>
                <w:highlight w:val="none"/>
              </w:rPr>
              <w:t>小时在新疆政府采购专家库中随机抽取此次评标专家</w:t>
            </w:r>
            <w:r>
              <w:rPr>
                <w:rFonts w:hint="eastAsia" w:ascii="宋体" w:hAnsi="宋体" w:eastAsia="宋体" w:cs="宋体"/>
                <w:color w:val="auto"/>
                <w:sz w:val="24"/>
                <w:szCs w:val="24"/>
                <w:highlight w:val="none"/>
                <w:lang w:eastAsia="zh-CN"/>
              </w:rPr>
              <w:t>。</w:t>
            </w:r>
          </w:p>
        </w:tc>
      </w:tr>
      <w:tr w14:paraId="6D31A4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9" w:hRule="atLeast"/>
          <w:jc w:val="center"/>
        </w:trPr>
        <w:tc>
          <w:tcPr>
            <w:tcW w:w="493" w:type="dxa"/>
            <w:tcBorders>
              <w:top w:val="single" w:color="auto" w:sz="4" w:space="0"/>
            </w:tcBorders>
            <w:noWrap w:val="0"/>
            <w:vAlign w:val="center"/>
          </w:tcPr>
          <w:p w14:paraId="7808677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w:t>
            </w:r>
          </w:p>
        </w:tc>
        <w:tc>
          <w:tcPr>
            <w:tcW w:w="1550" w:type="dxa"/>
            <w:tcBorders>
              <w:top w:val="single" w:color="auto" w:sz="4" w:space="0"/>
              <w:right w:val="single" w:color="auto" w:sz="4" w:space="0"/>
            </w:tcBorders>
            <w:noWrap w:val="0"/>
            <w:vAlign w:val="center"/>
          </w:tcPr>
          <w:p w14:paraId="3FA4594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7512" w:type="dxa"/>
            <w:tcBorders>
              <w:top w:val="single" w:color="auto" w:sz="4" w:space="0"/>
              <w:left w:val="single" w:color="auto" w:sz="4" w:space="0"/>
            </w:tcBorders>
            <w:noWrap w:val="0"/>
            <w:vAlign w:val="center"/>
          </w:tcPr>
          <w:p w14:paraId="60FD2E4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合同总价的10%，根据《中华人民共和国政府采购法实施条例》第四十八条履约保证金的数额不得超过政府采购合同金额的10%。中标人与招标人签订合同前提交履约保证金，如中标人未按招标文件规定的工期服务、实施过程中的设计变更、施工配合、验收配合等服务完毕，则扣除履约保证金。</w:t>
            </w:r>
          </w:p>
          <w:p w14:paraId="3C102284">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Cs/>
                <w:color w:val="auto"/>
                <w:sz w:val="24"/>
                <w:szCs w:val="24"/>
                <w:highlight w:val="none"/>
                <w:lang w:val="en-US"/>
              </w:rPr>
            </w:pPr>
            <w:r>
              <w:rPr>
                <w:rFonts w:hint="eastAsia" w:ascii="宋体" w:hAnsi="宋体" w:eastAsia="宋体" w:cs="宋体"/>
                <w:sz w:val="24"/>
                <w:szCs w:val="24"/>
                <w:highlight w:val="none"/>
                <w:lang w:val="en-US" w:eastAsia="zh-CN"/>
              </w:rPr>
              <w:t>履约保证金形式：支票、汇票、本票</w:t>
            </w:r>
            <w:r>
              <w:rPr>
                <w:rFonts w:hint="eastAsia" w:ascii="宋体" w:hAnsi="宋体" w:cs="宋体"/>
                <w:sz w:val="24"/>
                <w:szCs w:val="24"/>
                <w:highlight w:val="none"/>
                <w:lang w:val="en-US" w:eastAsia="zh-CN"/>
              </w:rPr>
              <w:t>，或者</w:t>
            </w:r>
            <w:r>
              <w:rPr>
                <w:rFonts w:hint="eastAsia" w:ascii="宋体" w:hAnsi="宋体" w:eastAsia="宋体" w:cs="宋体"/>
                <w:sz w:val="24"/>
                <w:szCs w:val="24"/>
                <w:highlight w:val="none"/>
                <w:lang w:val="en-US" w:eastAsia="zh-CN"/>
              </w:rPr>
              <w:t>金融机构、担保机构出具的保函</w:t>
            </w:r>
            <w:r>
              <w:rPr>
                <w:rFonts w:hint="eastAsia" w:ascii="宋体" w:hAnsi="宋体" w:cs="宋体"/>
                <w:sz w:val="24"/>
                <w:szCs w:val="24"/>
                <w:highlight w:val="none"/>
                <w:lang w:val="en-US" w:eastAsia="zh-CN"/>
              </w:rPr>
              <w:t>等</w:t>
            </w:r>
            <w:r>
              <w:rPr>
                <w:rFonts w:hint="eastAsia" w:ascii="宋体" w:hAnsi="宋体" w:eastAsia="宋体" w:cs="宋体"/>
                <w:sz w:val="24"/>
                <w:szCs w:val="24"/>
                <w:highlight w:val="none"/>
                <w:lang w:val="en-US" w:eastAsia="zh-CN"/>
              </w:rPr>
              <w:t>非现金形式提交（履约赔付地点为项目所在地）</w:t>
            </w:r>
          </w:p>
        </w:tc>
      </w:tr>
      <w:tr w14:paraId="3C4532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5" w:hRule="atLeast"/>
          <w:jc w:val="center"/>
        </w:trPr>
        <w:tc>
          <w:tcPr>
            <w:tcW w:w="493" w:type="dxa"/>
            <w:tcBorders>
              <w:top w:val="single" w:color="auto" w:sz="4" w:space="0"/>
            </w:tcBorders>
            <w:noWrap w:val="0"/>
            <w:vAlign w:val="center"/>
          </w:tcPr>
          <w:p w14:paraId="542C85F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p>
        </w:tc>
        <w:tc>
          <w:tcPr>
            <w:tcW w:w="1550" w:type="dxa"/>
            <w:tcBorders>
              <w:top w:val="single" w:color="auto" w:sz="4" w:space="0"/>
              <w:right w:val="single" w:color="auto" w:sz="4" w:space="0"/>
            </w:tcBorders>
            <w:noWrap w:val="0"/>
            <w:vAlign w:val="center"/>
          </w:tcPr>
          <w:p w14:paraId="46394EC5">
            <w:pPr>
              <w:keepNext w:val="0"/>
              <w:keepLines w:val="0"/>
              <w:pageBreakBefore w:val="0"/>
              <w:kinsoku/>
              <w:wordWrap/>
              <w:overflowPunct/>
              <w:topLinePunct w:val="0"/>
              <w:autoSpaceDE/>
              <w:autoSpaceDN/>
              <w:bidi w:val="0"/>
              <w:adjustRightInd/>
              <w:snapToGrid/>
              <w:spacing w:line="300" w:lineRule="exact"/>
              <w:ind w:right="0"/>
              <w:jc w:val="center"/>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color w:val="auto"/>
                <w:sz w:val="24"/>
                <w:szCs w:val="24"/>
                <w:highlight w:val="none"/>
                <w:lang w:val="en-US" w:eastAsia="zh-CN"/>
              </w:rPr>
              <w:t>政府采购政策支持</w:t>
            </w:r>
          </w:p>
        </w:tc>
        <w:tc>
          <w:tcPr>
            <w:tcW w:w="7512" w:type="dxa"/>
            <w:tcBorders>
              <w:top w:val="single" w:color="auto" w:sz="4" w:space="0"/>
              <w:left w:val="single" w:color="auto" w:sz="4" w:space="0"/>
            </w:tcBorders>
            <w:noWrap w:val="0"/>
            <w:vAlign w:val="top"/>
          </w:tcPr>
          <w:p w14:paraId="63A39229">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根据《中华人民共和国政府采购法》、财政部、工信部《政府采购促进中小企业发展管理办法》（财库〔2020〕46号）、《关于进一步加大政府采购支持中小企业力度的通知财库〔2022〕19号》等有关法律法规执行；</w:t>
            </w:r>
          </w:p>
          <w:p w14:paraId="1ADA8E0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价格扣除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w:t>
            </w:r>
          </w:p>
          <w:p w14:paraId="7EFD5934">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14:paraId="4E729DF3">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本项目所属行业（</w:t>
            </w:r>
            <w:r>
              <w:rPr>
                <w:rFonts w:hint="eastAsia" w:ascii="宋体" w:hAnsi="宋体" w:cs="宋体"/>
                <w:sz w:val="24"/>
                <w:szCs w:val="24"/>
                <w:highlight w:val="none"/>
                <w:lang w:val="en-US" w:eastAsia="zh-CN"/>
              </w:rPr>
              <w:t>货物</w:t>
            </w:r>
            <w:r>
              <w:rPr>
                <w:rFonts w:hint="eastAsia" w:ascii="宋体" w:hAnsi="宋体" w:eastAsia="宋体" w:cs="宋体"/>
                <w:sz w:val="24"/>
                <w:szCs w:val="24"/>
                <w:highlight w:val="none"/>
                <w:lang w:val="en-US" w:eastAsia="zh-CN"/>
              </w:rPr>
              <w:t>）：</w:t>
            </w:r>
            <w:r>
              <w:rPr>
                <w:rFonts w:hint="eastAsia" w:ascii="宋体" w:hAnsi="宋体" w:cs="宋体"/>
                <w:sz w:val="24"/>
                <w:szCs w:val="24"/>
                <w:highlight w:val="none"/>
                <w:lang w:val="en-US" w:eastAsia="zh-CN"/>
              </w:rPr>
              <w:t>批发业</w:t>
            </w:r>
          </w:p>
        </w:tc>
      </w:tr>
      <w:tr w14:paraId="775CF4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91" w:hRule="atLeast"/>
          <w:jc w:val="center"/>
        </w:trPr>
        <w:tc>
          <w:tcPr>
            <w:tcW w:w="493" w:type="dxa"/>
            <w:tcBorders>
              <w:top w:val="single" w:color="auto" w:sz="4" w:space="0"/>
            </w:tcBorders>
            <w:noWrap w:val="0"/>
            <w:vAlign w:val="center"/>
          </w:tcPr>
          <w:p w14:paraId="4078084C">
            <w:pPr>
              <w:bidi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w:t>
            </w:r>
          </w:p>
        </w:tc>
        <w:tc>
          <w:tcPr>
            <w:tcW w:w="1550" w:type="dxa"/>
            <w:tcBorders>
              <w:top w:val="single" w:color="auto" w:sz="4" w:space="0"/>
              <w:right w:val="single" w:color="auto" w:sz="4" w:space="0"/>
            </w:tcBorders>
            <w:noWrap w:val="0"/>
            <w:vAlign w:val="center"/>
          </w:tcPr>
          <w:p w14:paraId="4818D494">
            <w:pPr>
              <w:keepNext w:val="0"/>
              <w:keepLines w:val="0"/>
              <w:pageBreakBefore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关于小微企业报价扣除比例说明</w:t>
            </w:r>
          </w:p>
        </w:tc>
        <w:tc>
          <w:tcPr>
            <w:tcW w:w="7512" w:type="dxa"/>
            <w:tcBorders>
              <w:top w:val="single" w:color="auto" w:sz="4" w:space="0"/>
              <w:left w:val="single" w:color="auto" w:sz="4" w:space="0"/>
            </w:tcBorders>
            <w:noWrap w:val="0"/>
            <w:vAlign w:val="top"/>
          </w:tcPr>
          <w:p w14:paraId="140C7FC7">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1.投标人为非联合体投标的，对其投标货物的制造商为小微型企业的给予10%的扣除，以扣除后的报价参与评审。</w:t>
            </w:r>
          </w:p>
          <w:p w14:paraId="2D82D2ED">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0%以上的，采购人、采购代理机构应当对联合体或者大中型企业的报价给予4%（4%</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6%由采购人在幅度范围内确定）的扣除，用扣除后的价格参加评审。</w:t>
            </w:r>
          </w:p>
          <w:p w14:paraId="44B6D383">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3.监狱企业、残疾人福利性单位视同小型、微型企业。</w:t>
            </w:r>
          </w:p>
          <w:p w14:paraId="0D1BBBE5">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4.如专门面向中小企业的采购项目，不再享受价格扣除。</w:t>
            </w:r>
          </w:p>
        </w:tc>
      </w:tr>
      <w:tr w14:paraId="5AC416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72F8D0C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w:t>
            </w:r>
          </w:p>
        </w:tc>
        <w:tc>
          <w:tcPr>
            <w:tcW w:w="1550" w:type="dxa"/>
            <w:tcBorders>
              <w:right w:val="single" w:color="auto" w:sz="4" w:space="0"/>
            </w:tcBorders>
            <w:noWrap w:val="0"/>
            <w:vAlign w:val="center"/>
          </w:tcPr>
          <w:p w14:paraId="37F5531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其他说明</w:t>
            </w:r>
            <w:r>
              <w:rPr>
                <w:rFonts w:hint="eastAsia" w:ascii="宋体" w:hAnsi="宋体" w:eastAsia="宋体" w:cs="宋体"/>
                <w:color w:val="auto"/>
                <w:sz w:val="24"/>
                <w:szCs w:val="24"/>
                <w:highlight w:val="none"/>
                <w:lang w:val="en-US" w:eastAsia="zh-CN"/>
              </w:rPr>
              <w:t>1</w:t>
            </w:r>
          </w:p>
        </w:tc>
        <w:tc>
          <w:tcPr>
            <w:tcW w:w="7512" w:type="dxa"/>
            <w:tcBorders>
              <w:left w:val="single" w:color="auto" w:sz="4" w:space="0"/>
            </w:tcBorders>
            <w:noWrap w:val="0"/>
            <w:vAlign w:val="center"/>
          </w:tcPr>
          <w:p w14:paraId="610454A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特别提醒：</w:t>
            </w:r>
          </w:p>
          <w:p w14:paraId="6E9C237D">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1、所有投标人的报价高于本项目（标项）最高限价额度的视为无效报价（即作否决投标处理）。</w:t>
            </w:r>
          </w:p>
          <w:p w14:paraId="1654BD8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相同品牌产品且通过资格审查、符合性审查的不同投标人参加同一合同项下投标的，按一家投标人计算，评审后报价最低的同品牌投标人获得中标人推荐资格；评审得分相同的，按照随机抽取方式确定一个投标人获得中标人推荐资格，其他同品牌投标人不作为中标候选人。</w:t>
            </w:r>
          </w:p>
          <w:p w14:paraId="4E451D3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3、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效标处理。</w:t>
            </w:r>
          </w:p>
          <w:p w14:paraId="7B22909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4、更正补充公告请自行登录新疆政府采购网查看下载。</w:t>
            </w:r>
          </w:p>
          <w:p w14:paraId="17A6826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5、采购代理机构将拒绝接受未在政采云平台获取招标文件的投标人的投标文件。</w:t>
            </w:r>
          </w:p>
          <w:p w14:paraId="77476323">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6、所有投标单位对招标文件中所有条款如有疑问或异议请在开标以书面形式提出，否则不予受理。</w:t>
            </w:r>
          </w:p>
          <w:p w14:paraId="2772B852">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7、为确保投标保证金的及时退还，结果公示后投标企业需提供保证金汇款凭证、开户许可证复印件、收据并注明开户行行号、联系方式（加盖公司公章）交至</w:t>
            </w:r>
            <w:r>
              <w:rPr>
                <w:rFonts w:hint="eastAsia" w:ascii="宋体" w:hAnsi="宋体" w:cs="宋体"/>
                <w:b w:val="0"/>
                <w:bCs w:val="0"/>
                <w:color w:val="000000"/>
                <w:sz w:val="24"/>
                <w:szCs w:val="24"/>
                <w:highlight w:val="none"/>
                <w:lang w:val="en-US" w:eastAsia="zh-CN"/>
              </w:rPr>
              <w:t>新疆晓君招标有限公司</w:t>
            </w:r>
            <w:r>
              <w:rPr>
                <w:rFonts w:hint="eastAsia" w:ascii="宋体" w:hAnsi="宋体" w:eastAsia="宋体" w:cs="宋体"/>
                <w:b w:val="0"/>
                <w:bCs w:val="0"/>
                <w:color w:val="000000"/>
                <w:sz w:val="24"/>
                <w:szCs w:val="24"/>
                <w:highlight w:val="none"/>
                <w:lang w:val="en-US" w:eastAsia="zh-CN"/>
              </w:rPr>
              <w:t>财务室办理。（注：废标项目投标保证金在后续项目再次招标时银行系统不做统计，投标企业及时办理退款）。</w:t>
            </w:r>
          </w:p>
          <w:p w14:paraId="367C7EB0">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8、本项目资格审查模块由招标代理组织进行。</w:t>
            </w:r>
          </w:p>
        </w:tc>
      </w:tr>
      <w:tr w14:paraId="0AA8A8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3F4B353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w:t>
            </w:r>
          </w:p>
        </w:tc>
        <w:tc>
          <w:tcPr>
            <w:tcW w:w="1550" w:type="dxa"/>
            <w:tcBorders>
              <w:right w:val="single" w:color="auto" w:sz="4" w:space="0"/>
            </w:tcBorders>
            <w:noWrap w:val="0"/>
            <w:vAlign w:val="center"/>
          </w:tcPr>
          <w:p w14:paraId="64ACB57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其他说明</w:t>
            </w:r>
            <w:r>
              <w:rPr>
                <w:rFonts w:hint="eastAsia" w:ascii="宋体" w:hAnsi="宋体" w:eastAsia="宋体" w:cs="宋体"/>
                <w:color w:val="auto"/>
                <w:sz w:val="24"/>
                <w:szCs w:val="24"/>
                <w:highlight w:val="none"/>
                <w:lang w:val="en-US" w:eastAsia="zh-CN"/>
              </w:rPr>
              <w:t>2</w:t>
            </w:r>
          </w:p>
        </w:tc>
        <w:tc>
          <w:tcPr>
            <w:tcW w:w="7512" w:type="dxa"/>
            <w:tcBorders>
              <w:left w:val="single" w:color="auto" w:sz="4" w:space="0"/>
            </w:tcBorders>
            <w:noWrap w:val="0"/>
            <w:vAlign w:val="center"/>
          </w:tcPr>
          <w:p w14:paraId="5ADBB0D1">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0B83D7C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w:t>
            </w:r>
          </w:p>
          <w:p w14:paraId="0E91C93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zh-CN" w:eastAsia="zh-CN"/>
              </w:rPr>
            </w:pPr>
            <w:r>
              <w:rPr>
                <w:rFonts w:hint="eastAsia" w:ascii="宋体" w:hAnsi="宋体" w:eastAsia="宋体" w:cs="宋体"/>
                <w:b w:val="0"/>
                <w:bCs w:val="0"/>
                <w:color w:val="000000"/>
                <w:sz w:val="24"/>
                <w:szCs w:val="24"/>
                <w:highlight w:val="none"/>
                <w:lang w:val="en-US" w:eastAsia="zh-CN"/>
              </w:rPr>
              <w:t>3、</w:t>
            </w:r>
            <w:r>
              <w:rPr>
                <w:rFonts w:hint="eastAsia" w:ascii="宋体" w:hAnsi="宋体" w:eastAsia="宋体" w:cs="宋体"/>
                <w:b w:val="0"/>
                <w:bCs w:val="0"/>
                <w:color w:val="000000"/>
                <w:sz w:val="24"/>
                <w:szCs w:val="24"/>
                <w:highlight w:val="none"/>
                <w:lang w:val="zh-CN" w:eastAsia="zh-CN"/>
              </w:rPr>
              <w:t>本项目的招标投标活动以及相关当事人须接受财政监督部门依法实施的监督。</w:t>
            </w:r>
          </w:p>
          <w:p w14:paraId="37750FA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3C114380">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41BECED1">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3F3B27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6E441A54">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w:t>
            </w:r>
          </w:p>
        </w:tc>
        <w:tc>
          <w:tcPr>
            <w:tcW w:w="1550" w:type="dxa"/>
            <w:tcBorders>
              <w:right w:val="single" w:color="auto" w:sz="4" w:space="0"/>
            </w:tcBorders>
            <w:noWrap w:val="0"/>
            <w:vAlign w:val="center"/>
          </w:tcPr>
          <w:p w14:paraId="46A12D46">
            <w:pPr>
              <w:shd w:val="clear" w:color="auto" w:fill="auto"/>
              <w:spacing w:line="360" w:lineRule="exact"/>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重要提示</w:t>
            </w:r>
          </w:p>
        </w:tc>
        <w:tc>
          <w:tcPr>
            <w:tcW w:w="7512" w:type="dxa"/>
            <w:tcBorders>
              <w:left w:val="single" w:color="auto" w:sz="4" w:space="0"/>
            </w:tcBorders>
            <w:noWrap w:val="0"/>
            <w:vAlign w:val="center"/>
          </w:tcPr>
          <w:p w14:paraId="49A039A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（1）中标供应商应在规定期限内领取《中标通知书》，若中标供应商未在规定期限内领取《中标通知书》，采购人有权取消中标供应商中标资格，并将相关违约行为报送监管部门，实施信用惩戒；</w:t>
            </w:r>
          </w:p>
          <w:p w14:paraId="206450FE">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中标供应商应在规定期限内提交履约担保并与采购人签订合同，若中标供应商未能在规定期限内提交履约担保或签订合同，采购人有权取消中标供应商中标资格，并将相关违约行为报送监管部门，实施信用惩戒；</w:t>
            </w:r>
          </w:p>
          <w:p w14:paraId="70E1604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3）合同签订后，中标供应商存在规定时间内不组织人员进场开工，不履行供货、安装或服务义务等情况，采购人有权解除合同，并追究违约责任，同时将相关违约行为报送监管部门，记不良行为记录，实施信用惩戒；</w:t>
            </w:r>
          </w:p>
          <w:p w14:paraId="4B995D3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（4）中标供应商中标后被监管部门查实存在违法行为，不满足中标条件的，由采购人取消中标资格，并做好项目后续工作；</w:t>
            </w:r>
          </w:p>
          <w:p w14:paraId="060BBD6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val="0"/>
                <w:bCs w:val="0"/>
                <w:color w:val="000000"/>
                <w:sz w:val="24"/>
                <w:szCs w:val="24"/>
                <w:highlight w:val="none"/>
                <w:lang w:val="en-US" w:eastAsia="zh-CN"/>
              </w:rPr>
              <w:t>（5）中标供应商在中标项目发生投诉、信访举报案件、履约存在争议时，拒绝协助配合执法部门调查案件的，采购人可以取消其中标资格或解除合同，并追究其违约责任。</w:t>
            </w:r>
          </w:p>
        </w:tc>
      </w:tr>
      <w:tr w14:paraId="1343A6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078BDA6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p>
        </w:tc>
        <w:tc>
          <w:tcPr>
            <w:tcW w:w="1550" w:type="dxa"/>
            <w:tcBorders>
              <w:right w:val="single" w:color="auto" w:sz="4" w:space="0"/>
            </w:tcBorders>
            <w:noWrap w:val="0"/>
            <w:vAlign w:val="center"/>
          </w:tcPr>
          <w:p w14:paraId="568D6FBE">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其他方式采购</w:t>
            </w:r>
          </w:p>
        </w:tc>
        <w:tc>
          <w:tcPr>
            <w:tcW w:w="7512" w:type="dxa"/>
            <w:tcBorders>
              <w:left w:val="single" w:color="auto" w:sz="4" w:space="0"/>
            </w:tcBorders>
            <w:noWrap w:val="0"/>
            <w:vAlign w:val="center"/>
          </w:tcPr>
          <w:p w14:paraId="181DBA7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公开采购数额标准以上的采购项目，投标截止后供应商不足3家或者通过资格审查或符合性审查的供应商不足3家的，除采购任务取消情形外，根据《政府采购货物和服务采购投标管理办法》（中华人民共和国财政部令第87号）第四十三条规定，按照以下方式处理：</w:t>
            </w:r>
          </w:p>
          <w:p w14:paraId="4D50B03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（1）招标文件存在不合理条款或者采购程序不符合规定的，采购人、采购代理机构改正后依法重新采购；</w:t>
            </w:r>
          </w:p>
          <w:p w14:paraId="320B6FFB">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000000"/>
                <w:sz w:val="24"/>
                <w:szCs w:val="24"/>
                <w:highlight w:val="none"/>
                <w:lang w:val="en-US" w:eastAsia="zh-CN"/>
              </w:rPr>
              <w:t>（2）招标文件没有不合理条款、采购程序符合规定，需要采用其他采购方式采购的，采购人应当依法报财政部门批准。</w:t>
            </w:r>
          </w:p>
        </w:tc>
      </w:tr>
      <w:tr w14:paraId="34F8B5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7DEEC17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w:t>
            </w:r>
          </w:p>
        </w:tc>
        <w:tc>
          <w:tcPr>
            <w:tcW w:w="1550" w:type="dxa"/>
            <w:tcBorders>
              <w:right w:val="single" w:color="auto" w:sz="4" w:space="0"/>
            </w:tcBorders>
            <w:noWrap w:val="0"/>
            <w:vAlign w:val="center"/>
          </w:tcPr>
          <w:p w14:paraId="3AF108E3">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w:t>
            </w:r>
          </w:p>
        </w:tc>
        <w:tc>
          <w:tcPr>
            <w:tcW w:w="7512" w:type="dxa"/>
            <w:tcBorders>
              <w:left w:val="single" w:color="auto" w:sz="4" w:space="0"/>
            </w:tcBorders>
            <w:noWrap w:val="0"/>
            <w:vAlign w:val="center"/>
          </w:tcPr>
          <w:p w14:paraId="7EBBD12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w:t>
            </w:r>
            <w:r>
              <w:rPr>
                <w:rFonts w:hint="eastAsia" w:ascii="宋体" w:hAnsi="宋体" w:cs="宋体"/>
                <w:b w:val="0"/>
                <w:bCs w:val="0"/>
                <w:color w:val="000000"/>
                <w:sz w:val="24"/>
                <w:szCs w:val="24"/>
                <w:highlight w:val="none"/>
                <w:lang w:val="en-US" w:eastAsia="zh-CN"/>
              </w:rPr>
              <w:t>作</w:t>
            </w:r>
            <w:r>
              <w:rPr>
                <w:rFonts w:hint="eastAsia" w:ascii="宋体" w:hAnsi="宋体" w:eastAsia="宋体" w:cs="宋体"/>
                <w:b w:val="0"/>
                <w:bCs w:val="0"/>
                <w:color w:val="000000"/>
                <w:sz w:val="24"/>
                <w:szCs w:val="24"/>
                <w:highlight w:val="none"/>
                <w:lang w:val="en-US" w:eastAsia="zh-CN"/>
              </w:rPr>
              <w:t>出答复的，可以在答复期满后五个工作日内向有关监管部门投诉。</w:t>
            </w:r>
          </w:p>
          <w:p w14:paraId="400F37AF">
            <w:pPr>
              <w:keepNext w:val="0"/>
              <w:keepLines w:val="0"/>
              <w:pageBreakBefore w:val="0"/>
              <w:kinsoku/>
              <w:wordWrap/>
              <w:overflowPunct/>
              <w:topLinePunct w:val="0"/>
              <w:autoSpaceDE/>
              <w:autoSpaceDN/>
              <w:bidi w:val="0"/>
              <w:adjustRightInd/>
              <w:snapToGrid/>
              <w:spacing w:line="300" w:lineRule="exact"/>
              <w:ind w:left="0" w:right="0" w:firstLine="482" w:firstLineChars="200"/>
              <w:jc w:val="both"/>
              <w:textAlignment w:val="auto"/>
              <w:rPr>
                <w:rFonts w:hint="eastAsia" w:ascii="宋体" w:hAnsi="宋体" w:eastAsia="宋体" w:cs="宋体"/>
                <w:sz w:val="24"/>
                <w:szCs w:val="24"/>
                <w:highlight w:val="none"/>
              </w:rPr>
            </w:pPr>
            <w:r>
              <w:rPr>
                <w:rFonts w:hint="eastAsia" w:ascii="宋体" w:hAnsi="宋体" w:eastAsia="宋体" w:cs="宋体"/>
                <w:b/>
                <w:bCs/>
                <w:color w:val="000000"/>
                <w:sz w:val="24"/>
                <w:szCs w:val="24"/>
                <w:highlight w:val="none"/>
                <w:lang w:val="en-US" w:eastAsia="zh-CN"/>
              </w:rPr>
              <w:t>注：根据《中华人民共和国政府采购法》的规定，供应商质疑不得超出公开招标文件、公开招标过程及公开招标结果的范围及时效限制。</w:t>
            </w:r>
          </w:p>
        </w:tc>
      </w:tr>
      <w:tr w14:paraId="1F3D2E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066" w:hRule="atLeast"/>
          <w:jc w:val="center"/>
        </w:trPr>
        <w:tc>
          <w:tcPr>
            <w:tcW w:w="493" w:type="dxa"/>
            <w:noWrap w:val="0"/>
            <w:vAlign w:val="center"/>
          </w:tcPr>
          <w:p w14:paraId="3A094FA3">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38</w:t>
            </w:r>
          </w:p>
        </w:tc>
        <w:tc>
          <w:tcPr>
            <w:tcW w:w="1550" w:type="dxa"/>
            <w:tcBorders>
              <w:right w:val="single" w:color="auto" w:sz="4" w:space="0"/>
            </w:tcBorders>
            <w:noWrap w:val="0"/>
            <w:vAlign w:val="center"/>
          </w:tcPr>
          <w:p w14:paraId="59AC9EEB">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w:t>
            </w:r>
          </w:p>
        </w:tc>
        <w:tc>
          <w:tcPr>
            <w:tcW w:w="7512" w:type="dxa"/>
            <w:tcBorders>
              <w:left w:val="single" w:color="auto" w:sz="4" w:space="0"/>
            </w:tcBorders>
            <w:noWrap w:val="0"/>
            <w:vAlign w:val="center"/>
          </w:tcPr>
          <w:p w14:paraId="6FFFF7E2">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14:paraId="121A648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质疑、投诉应当采用书面或邮件形式，质疑书、投诉书均应明确阐述招标文件、采购过程或中标结果中使自己合法权益受到损害的实质性内容，提供相关事实、依据和证据及其来源或线索，便于有关单位调查、答复和处理。</w:t>
            </w:r>
          </w:p>
          <w:p w14:paraId="6BD32930">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注：根据《中华人民共和国政府采购法实施条例》的规定，供应商投诉事项不得超出已质疑事项的范围。</w:t>
            </w:r>
          </w:p>
          <w:p w14:paraId="762E80EC">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政府采购监督管理部门：</w:t>
            </w:r>
          </w:p>
          <w:p w14:paraId="06609177">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名称：</w:t>
            </w:r>
            <w:r>
              <w:rPr>
                <w:rFonts w:hint="eastAsia" w:ascii="宋体" w:hAnsi="宋体" w:cs="宋体"/>
                <w:sz w:val="24"/>
                <w:szCs w:val="24"/>
                <w:highlight w:val="none"/>
                <w:lang w:val="en-US" w:eastAsia="zh-CN"/>
              </w:rPr>
              <w:t>洛浦</w:t>
            </w:r>
            <w:r>
              <w:rPr>
                <w:rFonts w:hint="eastAsia" w:ascii="宋体" w:hAnsi="宋体" w:eastAsia="宋体" w:cs="宋体"/>
                <w:sz w:val="24"/>
                <w:szCs w:val="24"/>
                <w:highlight w:val="none"/>
                <w:lang w:val="en-US" w:eastAsia="zh-CN"/>
              </w:rPr>
              <w:t>县政府采购办公室</w:t>
            </w:r>
          </w:p>
          <w:p w14:paraId="1560DFA4">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ascii="宋体" w:hAnsi="宋体" w:cs="宋体"/>
                <w:sz w:val="24"/>
                <w:szCs w:val="24"/>
                <w:highlight w:val="none"/>
                <w:lang w:val="en-US" w:eastAsia="zh-CN"/>
              </w:rPr>
              <w:t>唐</w:t>
            </w:r>
            <w:r>
              <w:rPr>
                <w:rFonts w:hint="eastAsia" w:ascii="宋体" w:hAnsi="宋体" w:eastAsia="宋体" w:cs="宋体"/>
                <w:sz w:val="24"/>
                <w:szCs w:val="24"/>
                <w:highlight w:val="none"/>
                <w:lang w:val="en-US" w:eastAsia="zh-CN"/>
              </w:rPr>
              <w:t>先生</w:t>
            </w:r>
          </w:p>
          <w:p w14:paraId="347F7299">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联系电话：</w:t>
            </w:r>
            <w:r>
              <w:rPr>
                <w:rFonts w:hint="eastAsia" w:ascii="宋体" w:hAnsi="宋体" w:cs="宋体"/>
                <w:sz w:val="24"/>
                <w:szCs w:val="24"/>
                <w:highlight w:val="none"/>
                <w:lang w:val="en-US" w:eastAsia="zh-CN"/>
              </w:rPr>
              <w:t>0903-6622186</w:t>
            </w:r>
          </w:p>
        </w:tc>
      </w:tr>
      <w:tr w14:paraId="59469C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5" w:type="dxa"/>
            <w:gridSpan w:val="3"/>
            <w:noWrap w:val="0"/>
            <w:vAlign w:val="center"/>
          </w:tcPr>
          <w:p w14:paraId="0AEF7D5B">
            <w:pPr>
              <w:spacing w:line="240" w:lineRule="auto"/>
              <w:ind w:left="0" w:right="0" w:firstLine="480" w:firstLine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投标人必须认真阅读招标文件中所有的事项、格式、条款和采购需求等。投标人没有按照招标文件要求提交全部资料，或者投标文件没有对招标文件在各方面都做出实质性响应的可能导致其投标无效或被拒绝。</w:t>
            </w:r>
          </w:p>
          <w:p w14:paraId="395F3295">
            <w:pPr>
              <w:spacing w:line="240" w:lineRule="auto"/>
              <w:ind w:left="0" w:right="0" w:firstLine="480" w:firstLine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请注意：供应商</w:t>
            </w:r>
            <w:r>
              <w:rPr>
                <w:rFonts w:hint="eastAsia" w:ascii="宋体" w:hAnsi="宋体" w:cs="宋体"/>
                <w:b/>
                <w:bCs/>
                <w:color w:val="auto"/>
                <w:kern w:val="2"/>
                <w:sz w:val="24"/>
                <w:szCs w:val="24"/>
                <w:highlight w:val="none"/>
                <w:lang w:val="en-US" w:eastAsia="zh-CN" w:bidi="ar-SA"/>
              </w:rPr>
              <w:t>须</w:t>
            </w:r>
            <w:r>
              <w:rPr>
                <w:rFonts w:hint="eastAsia" w:ascii="宋体" w:hAnsi="宋体" w:eastAsia="宋体" w:cs="宋体"/>
                <w:b/>
                <w:bCs/>
                <w:color w:val="auto"/>
                <w:kern w:val="2"/>
                <w:sz w:val="24"/>
                <w:szCs w:val="24"/>
                <w:highlight w:val="none"/>
                <w:lang w:val="en-US" w:eastAsia="zh-CN" w:bidi="ar-SA"/>
              </w:rPr>
              <w:t>在投标文件截止时间前，将加密投标文件上传至云平台项目采购系统，逾期上传或错误方式投递送达将导致投标无效。</w:t>
            </w:r>
          </w:p>
          <w:p w14:paraId="409EE688">
            <w:pPr>
              <w:pStyle w:val="90"/>
              <w:ind w:firstLine="482"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0E6E006D">
      <w:pPr>
        <w:shd w:val="clear" w:color="auto" w:fill="auto"/>
        <w:spacing w:line="36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备注：</w:t>
      </w:r>
      <w:r>
        <w:rPr>
          <w:rFonts w:hint="eastAsia" w:ascii="宋体" w:hAnsi="宋体" w:eastAsia="宋体" w:cs="宋体"/>
          <w:color w:val="auto"/>
          <w:sz w:val="24"/>
          <w:szCs w:val="24"/>
          <w:highlight w:val="none"/>
        </w:rPr>
        <w:t>本须知前附表内容与招标文件的内容相对应，如有矛盾，应以投标须知前附表为准。</w:t>
      </w:r>
    </w:p>
    <w:p w14:paraId="680DA3EB">
      <w:pPr>
        <w:rPr>
          <w:rFonts w:hint="eastAsia" w:ascii="宋体" w:hAnsi="宋体" w:eastAsia="宋体" w:cs="宋体"/>
          <w:b/>
          <w:sz w:val="28"/>
          <w:szCs w:val="28"/>
          <w:highlight w:val="none"/>
        </w:rPr>
      </w:pPr>
      <w:r>
        <w:rPr>
          <w:rFonts w:hint="eastAsia" w:ascii="宋体" w:hAnsi="宋体" w:eastAsia="宋体" w:cs="宋体"/>
          <w:b/>
          <w:sz w:val="24"/>
          <w:szCs w:val="24"/>
          <w:highlight w:val="none"/>
        </w:rPr>
        <w:br w:type="page"/>
      </w:r>
    </w:p>
    <w:p w14:paraId="3F1348ED">
      <w:pPr>
        <w:spacing w:line="500" w:lineRule="exact"/>
        <w:ind w:left="120" w:hanging="120"/>
        <w:jc w:val="center"/>
        <w:rPr>
          <w:rFonts w:hint="eastAsia" w:ascii="宋体" w:hAnsi="宋体" w:eastAsia="宋体" w:cs="宋体"/>
          <w:b/>
          <w:sz w:val="24"/>
          <w:highlight w:val="none"/>
        </w:rPr>
      </w:pPr>
      <w:r>
        <w:rPr>
          <w:rFonts w:hint="eastAsia" w:ascii="宋体" w:hAnsi="宋体" w:eastAsia="宋体" w:cs="宋体"/>
          <w:b/>
          <w:sz w:val="28"/>
          <w:szCs w:val="28"/>
          <w:highlight w:val="none"/>
        </w:rPr>
        <w:t>投标人须知正文部分</w:t>
      </w:r>
    </w:p>
    <w:p w14:paraId="287804A8">
      <w:pPr>
        <w:spacing w:line="500" w:lineRule="exact"/>
        <w:ind w:left="120" w:hanging="120"/>
        <w:jc w:val="center"/>
        <w:rPr>
          <w:rFonts w:hint="eastAsia" w:ascii="宋体" w:hAnsi="宋体" w:eastAsia="宋体" w:cs="宋体"/>
          <w:b/>
          <w:sz w:val="28"/>
          <w:szCs w:val="28"/>
          <w:highlight w:val="none"/>
          <w:lang w:val="en-US" w:eastAsia="zh-CN"/>
        </w:rPr>
      </w:pPr>
      <w:bookmarkStart w:id="32" w:name="_Toc17382"/>
      <w:r>
        <w:rPr>
          <w:rFonts w:hint="eastAsia" w:ascii="宋体" w:hAnsi="宋体" w:eastAsia="宋体" w:cs="宋体"/>
          <w:b/>
          <w:sz w:val="28"/>
          <w:szCs w:val="28"/>
          <w:highlight w:val="none"/>
          <w:lang w:val="en-US" w:eastAsia="zh-CN"/>
        </w:rPr>
        <w:t>（一）总则</w:t>
      </w:r>
      <w:bookmarkEnd w:id="32"/>
    </w:p>
    <w:p w14:paraId="56307B7B">
      <w:pPr>
        <w:pageBreakBefore w:val="0"/>
        <w:kinsoku/>
        <w:wordWrap/>
        <w:overflowPunct/>
        <w:topLinePunct w:val="0"/>
        <w:autoSpaceDE/>
        <w:autoSpaceDN/>
        <w:bidi w:val="0"/>
        <w:adjustRightInd/>
        <w:spacing w:line="300" w:lineRule="auto"/>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（一）适用范围</w:t>
      </w:r>
    </w:p>
    <w:p w14:paraId="67C60CFE">
      <w:pPr>
        <w:pageBreakBefore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本招标文件适用于</w:t>
      </w:r>
      <w:r>
        <w:rPr>
          <w:rFonts w:hint="eastAsia" w:ascii="宋体" w:hAnsi="宋体" w:cs="宋体"/>
          <w:sz w:val="24"/>
          <w:szCs w:val="24"/>
          <w:highlight w:val="none"/>
          <w:lang w:val="en-US" w:eastAsia="zh-CN"/>
        </w:rPr>
        <w:t>和田地区洛浦县维吾尔医医院饮片类、辅料及药包材采购项目</w:t>
      </w:r>
      <w:r>
        <w:rPr>
          <w:rFonts w:hint="eastAsia" w:ascii="宋体" w:hAnsi="宋体" w:eastAsia="宋体" w:cs="宋体"/>
          <w:sz w:val="24"/>
          <w:szCs w:val="24"/>
          <w:highlight w:val="none"/>
          <w:lang w:val="en-US" w:eastAsia="zh-CN"/>
        </w:rPr>
        <w:t>的招标、投标、评标、定标、验收、合同履约、付款等行为（法律、法规另有规定的，从其规定）。</w:t>
      </w:r>
    </w:p>
    <w:p w14:paraId="61D81857">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33" w:name="_Toc13192"/>
      <w:bookmarkStart w:id="34" w:name="_Toc21374"/>
      <w:r>
        <w:rPr>
          <w:rFonts w:hint="eastAsia" w:ascii="宋体" w:hAnsi="宋体" w:eastAsia="宋体" w:cs="宋体"/>
          <w:b/>
          <w:bCs/>
          <w:sz w:val="24"/>
          <w:szCs w:val="24"/>
          <w:highlight w:val="none"/>
          <w:lang w:val="en-US" w:eastAsia="zh-CN"/>
        </w:rPr>
        <w:t>（二）定义</w:t>
      </w:r>
      <w:bookmarkEnd w:id="33"/>
      <w:bookmarkEnd w:id="34"/>
    </w:p>
    <w:p w14:paraId="1D5F77D3">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1.招标采购单位系指组织本次招标的代理机构（“招标人”）和采购单位。</w:t>
      </w:r>
    </w:p>
    <w:p w14:paraId="4F57D593">
      <w:pPr>
        <w:pageBreakBefore w:val="0"/>
        <w:kinsoku/>
        <w:wordWrap/>
        <w:overflowPunct/>
        <w:topLinePunct w:val="0"/>
        <w:autoSpaceDE/>
        <w:autoSpaceDN/>
        <w:bidi w:val="0"/>
        <w:adjustRightInd/>
        <w:spacing w:line="300" w:lineRule="auto"/>
        <w:ind w:left="210" w:leftChars="100" w:firstLine="480" w:firstLineChars="200"/>
        <w:textAlignment w:val="auto"/>
        <w:outlineLvl w:val="2"/>
        <w:rPr>
          <w:rFonts w:hint="eastAsia" w:ascii="宋体" w:hAnsi="宋体" w:eastAsia="宋体" w:cs="宋体"/>
          <w:sz w:val="24"/>
          <w:szCs w:val="24"/>
          <w:highlight w:val="none"/>
          <w:lang w:val="en-US" w:eastAsia="zh-CN"/>
        </w:rPr>
      </w:pPr>
      <w:bookmarkStart w:id="35" w:name="_Toc16199"/>
      <w:r>
        <w:rPr>
          <w:rFonts w:hint="eastAsia" w:ascii="宋体" w:hAnsi="宋体" w:eastAsia="宋体" w:cs="宋体"/>
          <w:sz w:val="24"/>
          <w:szCs w:val="24"/>
          <w:highlight w:val="none"/>
          <w:lang w:val="en-US" w:eastAsia="zh-CN"/>
        </w:rPr>
        <w:t>2.“投标人”系指向招标方提交投标文件的单位或个人。</w:t>
      </w:r>
      <w:bookmarkEnd w:id="35"/>
    </w:p>
    <w:p w14:paraId="7F3C1EDF">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3.“产品”系指供方按招标文件规定，须向招标人提供的一切服务</w:t>
      </w:r>
      <w:r>
        <w:rPr>
          <w:rFonts w:hint="eastAsia" w:ascii="宋体" w:hAnsi="宋体" w:cs="宋体"/>
          <w:sz w:val="24"/>
          <w:szCs w:val="24"/>
          <w:highlight w:val="none"/>
          <w:lang w:val="en-US" w:eastAsia="zh-CN"/>
        </w:rPr>
        <w:t>及其他有关</w:t>
      </w:r>
      <w:r>
        <w:rPr>
          <w:rFonts w:hint="eastAsia" w:ascii="宋体" w:hAnsi="宋体" w:eastAsia="宋体" w:cs="宋体"/>
          <w:sz w:val="24"/>
          <w:szCs w:val="24"/>
          <w:highlight w:val="none"/>
          <w:lang w:val="en-US" w:eastAsia="zh-CN"/>
        </w:rPr>
        <w:t>技术资料和材料。</w:t>
      </w:r>
    </w:p>
    <w:p w14:paraId="0FF4E7AC">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4.“服务”系指招标文件规定投标人须承担的技术协助、校准、培训、技术指导以及其他类似的义务。</w:t>
      </w:r>
    </w:p>
    <w:p w14:paraId="433A4A60">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5.“项目”系指投标人按招标文件规定向招标人提供的产品和服务。</w:t>
      </w:r>
    </w:p>
    <w:p w14:paraId="7106DB77">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bookmarkStart w:id="36" w:name="_Toc20586"/>
      <w:r>
        <w:rPr>
          <w:rFonts w:hint="eastAsia" w:ascii="宋体" w:hAnsi="宋体" w:eastAsia="宋体" w:cs="宋体"/>
          <w:sz w:val="24"/>
          <w:szCs w:val="24"/>
          <w:highlight w:val="none"/>
          <w:lang w:val="en-US" w:eastAsia="zh-CN"/>
        </w:rPr>
        <w:t>6.“书面形式”包括信函、传真、电报等。</w:t>
      </w:r>
      <w:bookmarkEnd w:id="36"/>
    </w:p>
    <w:p w14:paraId="42BA65DC">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37" w:name="_Toc14030"/>
      <w:bookmarkStart w:id="38" w:name="_Toc15840"/>
      <w:r>
        <w:rPr>
          <w:rFonts w:hint="eastAsia" w:ascii="宋体" w:hAnsi="宋体" w:eastAsia="宋体" w:cs="宋体"/>
          <w:b/>
          <w:bCs/>
          <w:sz w:val="24"/>
          <w:szCs w:val="24"/>
          <w:highlight w:val="none"/>
          <w:lang w:val="en-US" w:eastAsia="zh-CN"/>
        </w:rPr>
        <w:t>（三）招标方式</w:t>
      </w:r>
      <w:bookmarkEnd w:id="37"/>
      <w:bookmarkEnd w:id="38"/>
    </w:p>
    <w:p w14:paraId="2B54BE6D">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本次招标采用公开招标方式进行。</w:t>
      </w:r>
    </w:p>
    <w:p w14:paraId="191A392C">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39" w:name="_Toc18596"/>
      <w:bookmarkStart w:id="40" w:name="_Toc20843"/>
      <w:r>
        <w:rPr>
          <w:rFonts w:hint="eastAsia" w:ascii="宋体" w:hAnsi="宋体" w:eastAsia="宋体" w:cs="宋体"/>
          <w:b/>
          <w:bCs/>
          <w:sz w:val="24"/>
          <w:szCs w:val="24"/>
          <w:highlight w:val="none"/>
          <w:lang w:val="en-US" w:eastAsia="zh-CN"/>
        </w:rPr>
        <w:t>（四）采购文件获取</w:t>
      </w:r>
      <w:bookmarkEnd w:id="39"/>
      <w:bookmarkEnd w:id="40"/>
    </w:p>
    <w:p w14:paraId="1D509EEF">
      <w:pPr>
        <w:pStyle w:val="67"/>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leftChars="0" w:right="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kern w:val="2"/>
          <w:sz w:val="24"/>
          <w:szCs w:val="24"/>
          <w:highlight w:val="none"/>
          <w:lang w:val="en-US" w:eastAsia="zh-CN" w:bidi="ar-SA"/>
        </w:rPr>
        <w:t>供应商登录政采云平台https://www.zcygov.cn/在线申请获取采购文件（进入“项目采购”应用，在获取采购文件菜单中选择项目，申请获取采购文件）</w:t>
      </w:r>
    </w:p>
    <w:p w14:paraId="5C9FE811">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1" w:name="_Toc17293"/>
      <w:bookmarkStart w:id="42" w:name="_Toc1704"/>
      <w:r>
        <w:rPr>
          <w:rFonts w:hint="eastAsia" w:ascii="宋体" w:hAnsi="宋体" w:eastAsia="宋体" w:cs="宋体"/>
          <w:b/>
          <w:bCs/>
          <w:sz w:val="24"/>
          <w:szCs w:val="24"/>
          <w:highlight w:val="none"/>
          <w:lang w:val="en-US" w:eastAsia="zh-CN"/>
        </w:rPr>
        <w:t>（五）投标费用</w:t>
      </w:r>
      <w:bookmarkEnd w:id="41"/>
      <w:bookmarkEnd w:id="42"/>
    </w:p>
    <w:p w14:paraId="7C7C7938">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不论投标结果如何，投标人均应自行承担所有与投标有关的全部费用。</w:t>
      </w:r>
    </w:p>
    <w:p w14:paraId="466909B3">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3" w:name="_Toc19554"/>
      <w:bookmarkStart w:id="44" w:name="_Toc22117"/>
      <w:r>
        <w:rPr>
          <w:rFonts w:hint="eastAsia" w:ascii="宋体" w:hAnsi="宋体" w:eastAsia="宋体" w:cs="宋体"/>
          <w:b/>
          <w:bCs/>
          <w:sz w:val="24"/>
          <w:szCs w:val="24"/>
          <w:highlight w:val="none"/>
          <w:lang w:val="en-US" w:eastAsia="zh-CN"/>
        </w:rPr>
        <w:t>（六）联合体投标</w:t>
      </w:r>
      <w:bookmarkEnd w:id="43"/>
      <w:bookmarkEnd w:id="44"/>
    </w:p>
    <w:p w14:paraId="16E5D0DD">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1联合体各方均应当满足《中华人民共和国政府采购法》第二十二条规定的条件，并在投标文件中提供联合体各方的相关证明材料。</w:t>
      </w:r>
    </w:p>
    <w:p w14:paraId="28A97BD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14:paraId="567E9752">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联合体应以联合协议中确定的牵头方名义登录云平台项目采购系统进行项目投标，录入联合体所有成员单位的全称并使用成员单位的电子印章进行联投确认，联合体名称需与共同投标协议书签署方一致。对于需交投标保证金的，以牵头方名义缴纳。</w:t>
      </w:r>
    </w:p>
    <w:p w14:paraId="4BFF41C7">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4联合体成员存在不良信用记录的，视同联合体存在不良信用记录。</w:t>
      </w:r>
    </w:p>
    <w:p w14:paraId="52A58B8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5D74CDA7">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6联合体各方应当共同与采购人签订采购合同，就合同约定的事项对采购人承担连带责任。</w:t>
      </w:r>
    </w:p>
    <w:p w14:paraId="121D672A">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5" w:name="_Toc11478"/>
      <w:bookmarkStart w:id="46" w:name="_Toc21389"/>
      <w:r>
        <w:rPr>
          <w:rFonts w:hint="eastAsia" w:ascii="宋体" w:hAnsi="宋体" w:eastAsia="宋体" w:cs="宋体"/>
          <w:b/>
          <w:bCs/>
          <w:sz w:val="24"/>
          <w:szCs w:val="24"/>
          <w:highlight w:val="none"/>
          <w:lang w:val="en-US" w:eastAsia="zh-CN"/>
        </w:rPr>
        <w:t>（七）转包与分包</w:t>
      </w:r>
      <w:bookmarkEnd w:id="45"/>
      <w:bookmarkEnd w:id="46"/>
    </w:p>
    <w:p w14:paraId="74E16FBA">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1.本项目不允许转包。</w:t>
      </w:r>
    </w:p>
    <w:p w14:paraId="6F0801A1">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2.本项目不允许分包。</w:t>
      </w:r>
    </w:p>
    <w:p w14:paraId="0BE577B9">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3.投标人应仔细阅读招标文件的所有内容，按照招标文件的要求提交投标文件，并对所提供的全部资料的真实性承担法律责任。</w:t>
      </w:r>
    </w:p>
    <w:p w14:paraId="1EE92E77">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4.投标人在投标活动中提供任何虚假材料</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其投标无效，并报监管部门查处；中标后发现的</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中标人须依照《中华人民共和国消费者权益保护法》第49条之规定双倍赔偿招标人，且民事赔偿并不免除违法投标人的行政与刑事责任。</w:t>
      </w:r>
    </w:p>
    <w:p w14:paraId="36A36A35">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7" w:name="_Toc4294"/>
      <w:bookmarkStart w:id="48" w:name="_Toc14774"/>
      <w:r>
        <w:rPr>
          <w:rFonts w:hint="eastAsia" w:ascii="宋体" w:hAnsi="宋体" w:eastAsia="宋体" w:cs="宋体"/>
          <w:b/>
          <w:bCs/>
          <w:sz w:val="24"/>
          <w:szCs w:val="24"/>
          <w:highlight w:val="none"/>
          <w:lang w:val="en-US" w:eastAsia="zh-CN"/>
        </w:rPr>
        <w:t>（八）质疑和投诉</w:t>
      </w:r>
      <w:bookmarkEnd w:id="47"/>
      <w:bookmarkEnd w:id="48"/>
    </w:p>
    <w:p w14:paraId="019CA59E">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人认为招标文件、招标过程或中标结果使自己的合法权益受到损害的，应当在知道或者应知其权益受到损害之日起七个工作日内，以书面形式向招标人、招标代理机构提出质疑。投标人对招标采购单位的质疑答复不满意或者招标采购单位未在规定时间内作出答复的，可以在答复期满后十五个工作日内向招标人投诉。</w:t>
      </w:r>
    </w:p>
    <w:p w14:paraId="5E066444">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662FDB38">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（九）纪律与保密事项</w:t>
      </w:r>
    </w:p>
    <w:p w14:paraId="031295E9">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1投标人不得相互串通投标报价，不得妨碍其他投标人的公平竞争，不得损害采购人或其他投标人的合法权益，投标人不得以向采购人、评标委员会成员行贿或者采取其他不正当手段谋取中标。</w:t>
      </w:r>
    </w:p>
    <w:p w14:paraId="1F4E03BA">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2在确定中标供应商之前，投标人不得与采购人就投标价格、投标方案等实质性内容进行谈判，也不得私下接触评标委员会成员。</w:t>
      </w:r>
    </w:p>
    <w:p w14:paraId="353B6070">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3在确定中标供应商之前，投标人试图在投标文件审查、澄清、比较和评价时对评标委员会、采购人和采购代理机构施加任何影响都可能导致其投标无效。</w:t>
      </w:r>
    </w:p>
    <w:p w14:paraId="787FAE3D">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4获得本招标文件者，须履行本项目下保密义务，不得将因本次项目获得的信息向第三人外传，不得将招标文件用作本次投标以外的任何用途。</w:t>
      </w:r>
    </w:p>
    <w:p w14:paraId="179234FC">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由采购人向投标人提供的图纸、详细资料、样品、模型、模件和所有其它资料，均为保密资料，仅被用于它所规定的用途。除非得到采购人的同意，不能向任何第三方透露。开标结束后，应采购人要求，投标人应归还所有从采购人处获得的保密资料。</w:t>
      </w:r>
    </w:p>
    <w:p w14:paraId="310419EA">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6采购人或采购代理机构有权将供应商提供的所有资料向有关政府部门或评审小组披露。</w:t>
      </w:r>
    </w:p>
    <w:p w14:paraId="0F84A23D">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7F06FB9B">
      <w:pPr>
        <w:keepNext w:val="0"/>
        <w:keepLines w:val="0"/>
        <w:pageBreakBefore w:val="0"/>
        <w:kinsoku/>
        <w:wordWrap/>
        <w:overflowPunct/>
        <w:topLinePunct w:val="0"/>
        <w:autoSpaceDE/>
        <w:autoSpaceDN/>
        <w:bidi w:val="0"/>
        <w:adjustRightInd/>
        <w:snapToGrid/>
        <w:spacing w:line="300" w:lineRule="exact"/>
        <w:ind w:left="0" w:right="0" w:firstLine="562" w:firstLineChars="200"/>
        <w:jc w:val="both"/>
        <w:textAlignment w:val="auto"/>
        <w:rPr>
          <w:rFonts w:hint="eastAsia" w:ascii="宋体" w:hAnsi="宋体" w:eastAsia="宋体" w:cs="宋体"/>
          <w:b/>
          <w:bCs/>
          <w:color w:val="000000"/>
          <w:sz w:val="28"/>
          <w:szCs w:val="28"/>
          <w:highlight w:val="none"/>
          <w:lang w:val="en-US" w:eastAsia="zh-CN"/>
        </w:rPr>
      </w:pPr>
      <w:bookmarkStart w:id="49" w:name="_Toc32144"/>
      <w:bookmarkStart w:id="50" w:name="_Toc521014777"/>
      <w:bookmarkStart w:id="51" w:name="_Toc28270"/>
      <w:bookmarkStart w:id="52" w:name="_Toc30350"/>
      <w:bookmarkStart w:id="53" w:name="_Toc503212209"/>
    </w:p>
    <w:p w14:paraId="314FA4AB">
      <w:pPr>
        <w:keepNext w:val="0"/>
        <w:keepLines w:val="0"/>
        <w:pageBreakBefore w:val="0"/>
        <w:numPr>
          <w:ilvl w:val="0"/>
          <w:numId w:val="4"/>
        </w:numPr>
        <w:kinsoku/>
        <w:wordWrap/>
        <w:overflowPunct/>
        <w:topLinePunct w:val="0"/>
        <w:autoSpaceDE/>
        <w:autoSpaceDN/>
        <w:bidi w:val="0"/>
        <w:adjustRightInd/>
        <w:snapToGrid/>
        <w:spacing w:line="300" w:lineRule="exact"/>
        <w:ind w:left="0" w:right="0" w:firstLine="562" w:firstLineChars="200"/>
        <w:jc w:val="center"/>
        <w:textAlignment w:val="auto"/>
        <w:rPr>
          <w:rFonts w:hint="eastAsia" w:ascii="宋体" w:hAnsi="宋体" w:eastAsia="宋体" w:cs="宋体"/>
          <w:b/>
          <w:bCs/>
          <w:color w:val="000000"/>
          <w:sz w:val="28"/>
          <w:szCs w:val="28"/>
          <w:highlight w:val="none"/>
          <w:lang w:val="en-US" w:eastAsia="zh-CN"/>
        </w:rPr>
      </w:pPr>
      <w:r>
        <w:rPr>
          <w:rFonts w:hint="eastAsia" w:ascii="宋体" w:hAnsi="宋体" w:eastAsia="宋体" w:cs="宋体"/>
          <w:b/>
          <w:bCs/>
          <w:color w:val="000000"/>
          <w:sz w:val="28"/>
          <w:szCs w:val="28"/>
          <w:highlight w:val="none"/>
          <w:lang w:val="en-US" w:eastAsia="zh-CN"/>
        </w:rPr>
        <w:t>招标文件</w:t>
      </w:r>
      <w:bookmarkEnd w:id="49"/>
      <w:bookmarkEnd w:id="50"/>
      <w:bookmarkEnd w:id="51"/>
      <w:bookmarkEnd w:id="52"/>
      <w:bookmarkEnd w:id="53"/>
    </w:p>
    <w:p w14:paraId="3D4BD4AA">
      <w:pPr>
        <w:keepNext w:val="0"/>
        <w:keepLines w:val="0"/>
        <w:pageBreakBefore w:val="0"/>
        <w:numPr>
          <w:ilvl w:val="0"/>
          <w:numId w:val="0"/>
        </w:numPr>
        <w:kinsoku/>
        <w:wordWrap/>
        <w:overflowPunct/>
        <w:topLinePunct w:val="0"/>
        <w:autoSpaceDE/>
        <w:autoSpaceDN/>
        <w:bidi w:val="0"/>
        <w:adjustRightInd/>
        <w:snapToGrid/>
        <w:spacing w:line="300" w:lineRule="exact"/>
        <w:ind w:right="0" w:rightChars="0" w:firstLine="482" w:firstLineChars="20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（一）招标文件的构成。本招标文件由以下</w:t>
      </w:r>
      <w:r>
        <w:rPr>
          <w:rFonts w:hint="eastAsia" w:ascii="宋体" w:hAnsi="宋体" w:cs="宋体"/>
          <w:b/>
          <w:bCs/>
          <w:sz w:val="24"/>
          <w:szCs w:val="24"/>
          <w:highlight w:val="none"/>
          <w:lang w:val="en-US" w:eastAsia="zh-CN"/>
        </w:rPr>
        <w:t>部分</w:t>
      </w:r>
      <w:r>
        <w:rPr>
          <w:rFonts w:hint="eastAsia" w:ascii="宋体" w:hAnsi="宋体" w:eastAsia="宋体" w:cs="宋体"/>
          <w:b/>
          <w:bCs/>
          <w:sz w:val="24"/>
          <w:szCs w:val="24"/>
          <w:highlight w:val="none"/>
          <w:lang w:val="en-US" w:eastAsia="zh-CN"/>
        </w:rPr>
        <w:t>组成：</w:t>
      </w:r>
    </w:p>
    <w:p w14:paraId="682F9F5D">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第一章招标公告</w:t>
      </w:r>
    </w:p>
    <w:p w14:paraId="0D1C8ADA">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第二章投标人须知</w:t>
      </w:r>
    </w:p>
    <w:p w14:paraId="35D95D33">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第三章评标办法及标准</w:t>
      </w:r>
    </w:p>
    <w:p w14:paraId="76D6AC38">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第四章招标需求</w:t>
      </w:r>
    </w:p>
    <w:p w14:paraId="6238442A">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第五章合同主要条款</w:t>
      </w:r>
    </w:p>
    <w:p w14:paraId="53363401">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第六章投标文件格式</w:t>
      </w:r>
    </w:p>
    <w:p w14:paraId="47D33576">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54" w:name="_Toc18044"/>
      <w:bookmarkStart w:id="55" w:name="_Toc12877"/>
      <w:r>
        <w:rPr>
          <w:rFonts w:hint="eastAsia" w:ascii="宋体" w:hAnsi="宋体" w:eastAsia="宋体" w:cs="宋体"/>
          <w:b/>
          <w:bCs/>
          <w:sz w:val="24"/>
          <w:szCs w:val="24"/>
          <w:highlight w:val="none"/>
          <w:lang w:val="en-US" w:eastAsia="zh-CN"/>
        </w:rPr>
        <w:t>（二）投标人的风险</w:t>
      </w:r>
      <w:bookmarkEnd w:id="54"/>
      <w:bookmarkEnd w:id="55"/>
    </w:p>
    <w:p w14:paraId="608DCAAF">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投标人没有按照招标文件要求提供全部资料，或者投标人没有对招标文件在各方面作出实质性响应是投标人的风险，并可能导致其投标为无效标。</w:t>
      </w:r>
    </w:p>
    <w:p w14:paraId="561181C2">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56" w:name="_Toc15241"/>
      <w:bookmarkStart w:id="57" w:name="_Toc27766"/>
      <w:r>
        <w:rPr>
          <w:rFonts w:hint="eastAsia" w:ascii="宋体" w:hAnsi="宋体" w:eastAsia="宋体" w:cs="宋体"/>
          <w:b/>
          <w:bCs/>
          <w:sz w:val="24"/>
          <w:szCs w:val="24"/>
          <w:highlight w:val="none"/>
          <w:lang w:val="en-US" w:eastAsia="zh-CN"/>
        </w:rPr>
        <w:t>（三）招标文件的澄清与修改</w:t>
      </w:r>
      <w:bookmarkEnd w:id="56"/>
      <w:bookmarkEnd w:id="57"/>
    </w:p>
    <w:p w14:paraId="4087E7B8">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1.招标代理机构必须以书面形式答复投标人要求澄清的问题，并将不包含问题来源的答复书面通知所有购买招标文件的投标人；除书面答复以外的其他澄清方式及澄清内容均无效。</w:t>
      </w:r>
    </w:p>
    <w:p w14:paraId="4C682DCB">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2.招标文件澄清、答复、修改、补充的内容为招标文件的组成部分。当招标文件与招标文件的答复、澄清、修改、补充通知就同一内容的表述不一致时，以最后发出的书面文件为准。</w:t>
      </w:r>
    </w:p>
    <w:p w14:paraId="2A2331AE">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3.招标文件的澄清、答复、修改或补充都应该通过本代理机构以法定形式发布，招标人非通过本机构，不得擅自澄清、答复、修改或补充招标文件。</w:t>
      </w:r>
    </w:p>
    <w:p w14:paraId="646AB093">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bookmarkStart w:id="58" w:name="_Toc12173"/>
      <w:bookmarkStart w:id="59" w:name="_Toc503212210"/>
      <w:bookmarkStart w:id="60" w:name="_Toc521014778"/>
      <w:bookmarkStart w:id="61" w:name="_Toc765"/>
      <w:bookmarkStart w:id="62" w:name="_Toc10814"/>
      <w:bookmarkStart w:id="63" w:name="_Toc27918"/>
      <w:bookmarkStart w:id="64" w:name="_Toc8746"/>
      <w:r>
        <w:rPr>
          <w:rFonts w:hint="eastAsia" w:ascii="宋体" w:hAnsi="宋体" w:eastAsia="宋体" w:cs="宋体"/>
          <w:b/>
          <w:bCs/>
          <w:color w:val="000000"/>
          <w:kern w:val="2"/>
          <w:sz w:val="28"/>
          <w:szCs w:val="28"/>
          <w:highlight w:val="none"/>
          <w:lang w:val="en-US" w:eastAsia="zh-CN" w:bidi="ar-SA"/>
        </w:rPr>
        <w:t>（三）投标文件的编制</w:t>
      </w:r>
      <w:bookmarkEnd w:id="58"/>
      <w:bookmarkEnd w:id="59"/>
      <w:bookmarkEnd w:id="60"/>
      <w:bookmarkEnd w:id="61"/>
      <w:bookmarkEnd w:id="62"/>
      <w:bookmarkEnd w:id="63"/>
      <w:bookmarkEnd w:id="64"/>
    </w:p>
    <w:p w14:paraId="31626255">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65" w:name="_Toc503212211"/>
      <w:bookmarkStart w:id="66" w:name="_Toc521014779"/>
      <w:bookmarkStart w:id="67" w:name="_Toc29977"/>
      <w:bookmarkStart w:id="68" w:name="_Toc23068"/>
      <w:r>
        <w:rPr>
          <w:rFonts w:hint="eastAsia" w:ascii="宋体" w:hAnsi="宋体" w:eastAsia="宋体" w:cs="宋体"/>
          <w:b/>
          <w:bCs/>
          <w:sz w:val="24"/>
          <w:szCs w:val="24"/>
          <w:highlight w:val="none"/>
        </w:rPr>
        <w:t>投标文件的组成</w:t>
      </w:r>
      <w:bookmarkEnd w:id="65"/>
      <w:bookmarkEnd w:id="66"/>
      <w:bookmarkEnd w:id="67"/>
      <w:bookmarkEnd w:id="68"/>
    </w:p>
    <w:p w14:paraId="2BB3649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outlineLvl w:val="2"/>
        <w:rPr>
          <w:rFonts w:hint="eastAsia" w:ascii="宋体" w:hAnsi="宋体" w:eastAsia="宋体" w:cs="宋体"/>
          <w:sz w:val="24"/>
          <w:szCs w:val="24"/>
          <w:highlight w:val="none"/>
        </w:rPr>
      </w:pPr>
      <w:bookmarkStart w:id="69" w:name="_Toc21340"/>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投标文件由报价部分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商务</w:t>
      </w:r>
      <w:r>
        <w:rPr>
          <w:rFonts w:hint="eastAsia" w:ascii="宋体" w:hAnsi="宋体" w:eastAsia="宋体" w:cs="宋体"/>
          <w:sz w:val="24"/>
          <w:szCs w:val="24"/>
          <w:highlight w:val="none"/>
          <w:lang w:val="en-US" w:eastAsia="zh-CN"/>
        </w:rPr>
        <w:t>部分、</w:t>
      </w:r>
      <w:r>
        <w:rPr>
          <w:rFonts w:hint="eastAsia" w:ascii="宋体" w:hAnsi="宋体" w:eastAsia="宋体" w:cs="宋体"/>
          <w:sz w:val="24"/>
          <w:szCs w:val="24"/>
          <w:highlight w:val="none"/>
        </w:rPr>
        <w:t>技术部分组成。</w:t>
      </w:r>
      <w:bookmarkEnd w:id="69"/>
    </w:p>
    <w:p w14:paraId="627D83D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、投标单位应按招标文件的要求提供招标文件，并保证所有材料的真实性，以确保其投标对招标文件做出实质性的响应。</w:t>
      </w:r>
    </w:p>
    <w:p w14:paraId="6868829B">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、招标文件使用的计量单位，应采用国家法定的计量单位。</w:t>
      </w:r>
    </w:p>
    <w:p w14:paraId="5DD4FB3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、投标人所递交的投标文件应包含以下文件：</w:t>
      </w:r>
    </w:p>
    <w:p w14:paraId="373F1E67">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报价部分：</w:t>
      </w:r>
    </w:p>
    <w:p w14:paraId="1096579B">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1、投标函；</w:t>
      </w:r>
    </w:p>
    <w:p w14:paraId="734AE7DA">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2、开标一览表；</w:t>
      </w:r>
    </w:p>
    <w:p w14:paraId="74EF12A3">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3、投标报价明细表</w:t>
      </w:r>
    </w:p>
    <w:p w14:paraId="788512D4">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商务部分：</w:t>
      </w:r>
    </w:p>
    <w:p w14:paraId="58A0487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投标单位简介，并附投标人资质证件等；</w:t>
      </w:r>
    </w:p>
    <w:p w14:paraId="7960CA6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出具法人营业执照函（格式见附件）；</w:t>
      </w:r>
    </w:p>
    <w:p w14:paraId="1035CACC">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6、联合体协议书（如是）</w:t>
      </w:r>
    </w:p>
    <w:p w14:paraId="4E9DF114">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法定代表人证明书及身份证</w:t>
      </w:r>
      <w:r>
        <w:rPr>
          <w:rFonts w:hint="eastAsia" w:ascii="宋体" w:hAnsi="宋体" w:eastAsia="宋体" w:cs="宋体"/>
          <w:sz w:val="24"/>
          <w:szCs w:val="24"/>
          <w:highlight w:val="none"/>
          <w:lang w:val="en-US" w:eastAsia="zh-CN"/>
        </w:rPr>
        <w:t>复印</w:t>
      </w:r>
      <w:r>
        <w:rPr>
          <w:rFonts w:hint="eastAsia" w:ascii="宋体" w:hAnsi="宋体" w:eastAsia="宋体" w:cs="宋体"/>
          <w:sz w:val="24"/>
          <w:szCs w:val="24"/>
          <w:highlight w:val="none"/>
        </w:rPr>
        <w:t>件；</w:t>
      </w:r>
    </w:p>
    <w:p w14:paraId="7962177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法人代表授权委托书及身份证</w:t>
      </w:r>
      <w:r>
        <w:rPr>
          <w:rFonts w:hint="eastAsia" w:ascii="宋体" w:hAnsi="宋体" w:eastAsia="宋体" w:cs="宋体"/>
          <w:sz w:val="24"/>
          <w:szCs w:val="24"/>
          <w:highlight w:val="none"/>
          <w:lang w:val="en-US" w:eastAsia="zh-CN"/>
        </w:rPr>
        <w:t>复印件</w:t>
      </w:r>
      <w:r>
        <w:rPr>
          <w:rFonts w:hint="eastAsia" w:ascii="宋体" w:hAnsi="宋体" w:eastAsia="宋体" w:cs="宋体"/>
          <w:sz w:val="24"/>
          <w:szCs w:val="24"/>
          <w:highlight w:val="none"/>
        </w:rPr>
        <w:t>；</w:t>
      </w:r>
    </w:p>
    <w:p w14:paraId="22058FA0">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9、拟派驻的技术/服务人员的近3个月的社保证明扫描件（社保缴纳个人明细）；</w:t>
      </w:r>
    </w:p>
    <w:p w14:paraId="0DBF691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10、凡拟参加本次招标项目的投标人在“信用中国（www.creditchina.gov.cn）”被列入失信被执行人、企业经营异常名录、重大税收违法案件当事人名单、政府采购严重违法失信名单（尚在处罚期内的）；</w:t>
      </w:r>
    </w:p>
    <w:p w14:paraId="601A42D7">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11、投标单位的依法缴纳税收和社会保障资金的良好记录；具有良好的商业信誉和健全的财务会计制度（需提供202</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年度财务审计报告；</w:t>
      </w:r>
      <w:r>
        <w:rPr>
          <w:rFonts w:hint="eastAsia" w:ascii="宋体" w:hAnsi="宋体" w:cs="宋体"/>
          <w:sz w:val="24"/>
          <w:szCs w:val="24"/>
          <w:highlight w:val="none"/>
          <w:lang w:val="en-US" w:eastAsia="zh-CN"/>
        </w:rPr>
        <w:t>2024年</w:t>
      </w:r>
      <w:r>
        <w:rPr>
          <w:rFonts w:hint="eastAsia" w:ascii="宋体" w:hAnsi="宋体" w:eastAsia="宋体" w:cs="宋体"/>
          <w:sz w:val="24"/>
          <w:szCs w:val="24"/>
          <w:highlight w:val="none"/>
          <w:lang w:val="en-US" w:eastAsia="zh-CN"/>
        </w:rPr>
        <w:t>成立的公司不提供；）；</w:t>
      </w:r>
    </w:p>
    <w:p w14:paraId="3EF8BC9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12、投标保证金打款凭证或保函文件；</w:t>
      </w:r>
    </w:p>
    <w:p w14:paraId="0328CD57">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rPr>
        <w:t>商务偏离表（格式见附件）；</w:t>
      </w:r>
    </w:p>
    <w:p w14:paraId="34D554A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反商业贿赂承诺书（格式见附件）；</w:t>
      </w:r>
    </w:p>
    <w:p w14:paraId="6E0BA08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15、无围标、串标等违法违规行为承诺书</w:t>
      </w:r>
      <w:r>
        <w:rPr>
          <w:rFonts w:hint="eastAsia" w:ascii="宋体" w:hAnsi="宋体" w:eastAsia="宋体" w:cs="宋体"/>
          <w:sz w:val="24"/>
          <w:szCs w:val="24"/>
          <w:highlight w:val="none"/>
        </w:rPr>
        <w:t>（格式见附件）；</w:t>
      </w:r>
    </w:p>
    <w:p w14:paraId="2AE5E257">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16、中小企业声明函</w:t>
      </w:r>
      <w:r>
        <w:rPr>
          <w:rFonts w:hint="eastAsia" w:ascii="宋体" w:hAnsi="宋体" w:eastAsia="宋体" w:cs="宋体"/>
          <w:sz w:val="24"/>
          <w:szCs w:val="24"/>
          <w:highlight w:val="none"/>
        </w:rPr>
        <w:t>；</w:t>
      </w:r>
    </w:p>
    <w:p w14:paraId="6355AF94">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17、</w:t>
      </w:r>
      <w:r>
        <w:rPr>
          <w:rFonts w:hint="eastAsia" w:ascii="宋体" w:hAnsi="宋体" w:eastAsia="宋体" w:cs="宋体"/>
          <w:sz w:val="24"/>
          <w:szCs w:val="24"/>
          <w:highlight w:val="none"/>
        </w:rPr>
        <w:t>投标人认为有必要提供的声明及文件资料。</w:t>
      </w:r>
    </w:p>
    <w:p w14:paraId="17738420">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技术部分：</w:t>
      </w:r>
    </w:p>
    <w:p w14:paraId="3DFE182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rPr>
        <w:t>对本次</w:t>
      </w:r>
      <w:r>
        <w:rPr>
          <w:rFonts w:hint="eastAsia" w:ascii="宋体" w:hAnsi="宋体" w:eastAsia="宋体" w:cs="宋体"/>
          <w:sz w:val="24"/>
          <w:szCs w:val="24"/>
          <w:highlight w:val="none"/>
          <w:lang w:val="en-US" w:eastAsia="zh-CN"/>
        </w:rPr>
        <w:t>投标项目的技术方案</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rPr>
        <w:t>投标人视需要自行编写</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t>
      </w:r>
    </w:p>
    <w:p w14:paraId="581A2D98">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19、服务承诺书</w:t>
      </w:r>
    </w:p>
    <w:p w14:paraId="39837A5C">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lang w:eastAsia="zh-CN"/>
        </w:rPr>
        <w:t>其他有利于投标人的资料（如有）</w:t>
      </w:r>
    </w:p>
    <w:p w14:paraId="57298FF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注：法定代表人授权委托书、投标声明书、投标函、投标报价一览表必须由法定代表人签名</w:t>
      </w:r>
      <w:r>
        <w:rPr>
          <w:rFonts w:hint="eastAsia" w:ascii="宋体" w:hAnsi="宋体" w:eastAsia="宋体" w:cs="宋体"/>
          <w:sz w:val="24"/>
          <w:szCs w:val="24"/>
          <w:highlight w:val="none"/>
          <w:lang w:val="en-US" w:eastAsia="zh-CN"/>
        </w:rPr>
        <w:t>或</w:t>
      </w:r>
      <w:r>
        <w:rPr>
          <w:rFonts w:hint="eastAsia" w:ascii="宋体" w:hAnsi="宋体" w:eastAsia="宋体" w:cs="宋体"/>
          <w:sz w:val="24"/>
          <w:szCs w:val="24"/>
          <w:highlight w:val="none"/>
        </w:rPr>
        <w:t>盖章并加盖单位公章。</w:t>
      </w:r>
    </w:p>
    <w:p w14:paraId="652A6B62">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outlineLvl w:val="1"/>
        <w:rPr>
          <w:rFonts w:hint="eastAsia" w:ascii="宋体" w:hAnsi="宋体" w:eastAsia="宋体" w:cs="宋体"/>
          <w:b/>
          <w:bCs/>
          <w:sz w:val="24"/>
          <w:szCs w:val="24"/>
          <w:highlight w:val="none"/>
        </w:rPr>
      </w:pPr>
      <w:bookmarkStart w:id="70" w:name="_Toc521014780"/>
      <w:bookmarkStart w:id="71" w:name="_Toc14838"/>
      <w:bookmarkStart w:id="72" w:name="_Toc28971"/>
      <w:bookmarkStart w:id="73" w:name="_Toc24112"/>
      <w:bookmarkStart w:id="74" w:name="_Toc503212212"/>
      <w:bookmarkStart w:id="75" w:name="_Toc18015"/>
      <w:r>
        <w:rPr>
          <w:rFonts w:hint="eastAsia" w:ascii="宋体" w:hAnsi="宋体" w:eastAsia="宋体" w:cs="宋体"/>
          <w:b/>
          <w:bCs/>
          <w:sz w:val="24"/>
          <w:szCs w:val="24"/>
          <w:highlight w:val="none"/>
        </w:rPr>
        <w:t>投标文件的语言及计量</w:t>
      </w:r>
      <w:bookmarkEnd w:id="70"/>
      <w:bookmarkEnd w:id="71"/>
      <w:bookmarkEnd w:id="72"/>
      <w:bookmarkEnd w:id="73"/>
      <w:bookmarkEnd w:id="74"/>
      <w:bookmarkEnd w:id="75"/>
    </w:p>
    <w:p w14:paraId="4399F07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1.投标文件以及投标方与招标方就有关投标事宜的所有来往函电，均应以中文汉语书写。除签名、盖章、专用名称等特殊情形外，以中文汉语以外的文字表述的投标文件视同未提供。</w:t>
      </w:r>
    </w:p>
    <w:p w14:paraId="3417FD00">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2.投标计量单位，招标文件已有明确规定的，使用招标文件规定的计量单位；招标文件没有规定的，应采用中华人民共和国法定计量单位（货币单位：人民币元），否则视同未响应。</w:t>
      </w:r>
    </w:p>
    <w:p w14:paraId="2850DA77">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76" w:name="_Toc6985"/>
      <w:bookmarkStart w:id="77" w:name="_Toc521014781"/>
      <w:bookmarkStart w:id="78" w:name="_Toc503212213"/>
      <w:bookmarkStart w:id="79" w:name="_Toc3970"/>
      <w:r>
        <w:rPr>
          <w:rFonts w:hint="eastAsia" w:ascii="宋体" w:hAnsi="宋体" w:eastAsia="宋体" w:cs="宋体"/>
          <w:b/>
          <w:bCs/>
          <w:sz w:val="24"/>
          <w:szCs w:val="24"/>
          <w:highlight w:val="none"/>
        </w:rPr>
        <w:t>投标报价</w:t>
      </w:r>
      <w:bookmarkEnd w:id="76"/>
      <w:bookmarkEnd w:id="77"/>
      <w:bookmarkEnd w:id="78"/>
      <w:bookmarkEnd w:id="79"/>
    </w:p>
    <w:p w14:paraId="7AEDD8C4">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1报价应在招标报价表上标明单价和总价。单价和总价要相符。价格不一致时，根据《中华人民共和国财政部令第87号</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政府采购货物和服务招标投标管理办法》第五十九条投标文件报价出现前后不一致的，除招标文件另有规定外，按照下列规定修正：</w:t>
      </w:r>
    </w:p>
    <w:p w14:paraId="30455EF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（一）投标文件中开标一览表（报价表）内容与投标文件中相应内容不一致的，以开标一览表（报价表）为准；</w:t>
      </w:r>
    </w:p>
    <w:p w14:paraId="104429F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（二）大写金额和小写金额不一致的，以大写金额为准；</w:t>
      </w:r>
    </w:p>
    <w:p w14:paraId="46B6283F">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（三）单价金额小数点或者百分比有明显错位的，以开标一览表的总价为准，并修改单价；</w:t>
      </w:r>
    </w:p>
    <w:p w14:paraId="39B6293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（四）总价金额与单价汇总金额不一致的，以单价金额计算结果为准。</w:t>
      </w:r>
    </w:p>
    <w:p w14:paraId="3037536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2供应商应在投标报价表中标明其提供的所有货物及其相关工作范围内所在费用的总价，不接受有任何选择性报价。</w:t>
      </w:r>
    </w:p>
    <w:p w14:paraId="386F364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3报价时应对下列几点特别注明：</w:t>
      </w:r>
    </w:p>
    <w:p w14:paraId="29E80073">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3.1招标文件中特别要求的备品备件、易损件和专用工具的费用；</w:t>
      </w:r>
    </w:p>
    <w:p w14:paraId="612704C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3.2招标文件中特别要求的货物、运输、装卸、验收、税费和相关售后服务等费用</w:t>
      </w:r>
      <w:r>
        <w:rPr>
          <w:rFonts w:hint="eastAsia" w:ascii="宋体" w:hAnsi="宋体" w:cs="宋体"/>
          <w:sz w:val="24"/>
          <w:szCs w:val="24"/>
          <w:highlight w:val="none"/>
          <w:lang w:eastAsia="zh-CN"/>
        </w:rPr>
        <w:t>及其他</w:t>
      </w:r>
      <w:r>
        <w:rPr>
          <w:rFonts w:hint="eastAsia" w:ascii="宋体" w:hAnsi="宋体" w:eastAsia="宋体" w:cs="宋体"/>
          <w:sz w:val="24"/>
          <w:szCs w:val="24"/>
          <w:highlight w:val="none"/>
        </w:rPr>
        <w:t>附带服务的全部费用；</w:t>
      </w:r>
    </w:p>
    <w:p w14:paraId="1BE4D12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3.3国内供货人提供在中华人民共和国制造的，或已在中华人民共和国境内的国外产地的已经进口的货物的国内投标，其货物的交货价，包括制造、组装该货物所使用的零部件及原材料已付的全部关税、销售税和其他税（其关税和其他税不分别填写，计入货价内即可）。</w:t>
      </w:r>
    </w:p>
    <w:p w14:paraId="37FEB13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4算术性修正。算术性修正是指对招标响应文件的报价明细进行校核，并对其算术上和运算上的差错给予修正。修正的原则如下：</w:t>
      </w:r>
    </w:p>
    <w:p w14:paraId="7513DDEE">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4.1当以数字表示的金额与文字表示的金额有差异时，以文字表示的金额为准；</w:t>
      </w:r>
    </w:p>
    <w:p w14:paraId="631B4043">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4.2当单价与数量相乘不等于合价时，以单价计算为准。如果单价有明显的小数点位置差错，应以标出的合价为准，同时对单价予以修正；</w:t>
      </w:r>
    </w:p>
    <w:p w14:paraId="70D2374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4.3当各明细部分的价格累计不等于合价时，应以各明细的累计计数为准，修正合价。</w:t>
      </w:r>
    </w:p>
    <w:p w14:paraId="16161D3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4.4按以上原则对算术性差错修正，应取得供应商的同意，并确认修正后最终招标报价。如果供应商拒绝确认，则其招标响应文件将不予以评审并按废标处理，没收其投标担保。</w:t>
      </w:r>
    </w:p>
    <w:p w14:paraId="2EA6B92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投标文件只允许有一个报价，有选择的或有条件的报价将不予接受。</w:t>
      </w:r>
    </w:p>
    <w:p w14:paraId="6D737FF8">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招标代理服务费由中标单位支付，投标单位在报价时请考虑。</w:t>
      </w:r>
    </w:p>
    <w:p w14:paraId="10AB998C">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80" w:name="_Toc21211"/>
      <w:bookmarkStart w:id="81" w:name="_Toc521014782"/>
      <w:bookmarkStart w:id="82" w:name="_Toc503212214"/>
      <w:bookmarkStart w:id="83" w:name="_Toc21800"/>
      <w:r>
        <w:rPr>
          <w:rFonts w:hint="eastAsia" w:ascii="宋体" w:hAnsi="宋体" w:eastAsia="宋体" w:cs="宋体"/>
          <w:b/>
          <w:bCs/>
          <w:sz w:val="24"/>
          <w:szCs w:val="24"/>
          <w:highlight w:val="none"/>
        </w:rPr>
        <w:t>投标文件的有效期</w:t>
      </w:r>
      <w:bookmarkEnd w:id="80"/>
      <w:bookmarkEnd w:id="81"/>
      <w:bookmarkEnd w:id="82"/>
      <w:bookmarkEnd w:id="83"/>
    </w:p>
    <w:p w14:paraId="170A2C0B">
      <w:pPr>
        <w:keepNext w:val="0"/>
        <w:keepLines w:val="0"/>
        <w:pageBreakBefore w:val="0"/>
        <w:widowControl w:val="0"/>
        <w:kinsoku/>
        <w:wordWrap/>
        <w:overflowPunct/>
        <w:topLinePunct w:val="0"/>
        <w:autoSpaceDE/>
        <w:autoSpaceDN/>
        <w:bidi w:val="0"/>
        <w:adjustRightInd/>
        <w:snapToGrid/>
        <w:spacing w:line="300" w:lineRule="auto"/>
        <w:ind w:left="0" w:leftChars="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1.自投标截止日起</w:t>
      </w:r>
      <w:r>
        <w:rPr>
          <w:rFonts w:hint="eastAsia" w:ascii="宋体" w:hAnsi="宋体" w:eastAsia="宋体" w:cs="宋体"/>
          <w:sz w:val="24"/>
          <w:szCs w:val="24"/>
          <w:highlight w:val="none"/>
          <w:u w:val="single"/>
        </w:rPr>
        <w:t>90</w:t>
      </w:r>
      <w:r>
        <w:rPr>
          <w:rFonts w:hint="eastAsia" w:ascii="宋体" w:hAnsi="宋体" w:eastAsia="宋体" w:cs="宋体"/>
          <w:sz w:val="24"/>
          <w:szCs w:val="24"/>
          <w:highlight w:val="none"/>
        </w:rPr>
        <w:t>天投标文件应保持有效。有效期不足的投标文件将被拒绝。</w:t>
      </w:r>
    </w:p>
    <w:p w14:paraId="315A257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2.在特殊情况下，招标人可与投标人协商延长投标书的有效期，这种要求和答复均以书面形式进行。</w:t>
      </w:r>
    </w:p>
    <w:p w14:paraId="10767350">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3.投标人可拒绝接受延期要求而不会导致投标保证金被没收。同意延长有效期的投标人需要相应延长投标保证金的有效期，但不能修改投标文件。</w:t>
      </w:r>
    </w:p>
    <w:p w14:paraId="31A0508F">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4.中标人的投标文件自开标之日起至合同履行完毕止均应保持有效。</w:t>
      </w:r>
    </w:p>
    <w:p w14:paraId="4E03E755">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84" w:name="_Toc503212215"/>
      <w:bookmarkStart w:id="85" w:name="_Toc22838"/>
      <w:bookmarkStart w:id="86" w:name="_Toc16117"/>
      <w:bookmarkStart w:id="87" w:name="_Toc521014783"/>
      <w:r>
        <w:rPr>
          <w:rFonts w:hint="eastAsia" w:ascii="宋体" w:hAnsi="宋体" w:eastAsia="宋体" w:cs="宋体"/>
          <w:b/>
          <w:bCs/>
          <w:sz w:val="24"/>
          <w:szCs w:val="24"/>
          <w:highlight w:val="none"/>
        </w:rPr>
        <w:t>投标保证金</w:t>
      </w:r>
      <w:bookmarkEnd w:id="84"/>
      <w:bookmarkEnd w:id="85"/>
      <w:bookmarkEnd w:id="86"/>
      <w:bookmarkEnd w:id="87"/>
    </w:p>
    <w:p w14:paraId="7BE2303B">
      <w:pPr>
        <w:keepNext w:val="0"/>
        <w:keepLines w:val="0"/>
        <w:pageBreakBefore w:val="0"/>
        <w:widowControl w:val="0"/>
        <w:kinsoku/>
        <w:wordWrap/>
        <w:overflowPunct/>
        <w:topLinePunct w:val="0"/>
        <w:autoSpaceDE/>
        <w:autoSpaceDN/>
        <w:bidi w:val="0"/>
        <w:adjustRightInd/>
        <w:snapToGrid/>
        <w:spacing w:line="300" w:lineRule="auto"/>
        <w:ind w:left="0" w:leftChars="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1.投标人须按规定提交投标保证金</w:t>
      </w:r>
      <w:r>
        <w:rPr>
          <w:rFonts w:hint="eastAsia" w:ascii="宋体" w:hAnsi="宋体" w:eastAsia="宋体" w:cs="宋体"/>
          <w:sz w:val="24"/>
          <w:szCs w:val="24"/>
          <w:highlight w:val="none"/>
          <w:lang w:val="en-US" w:eastAsia="zh-CN"/>
        </w:rPr>
        <w:t>或电子保函</w:t>
      </w:r>
      <w:r>
        <w:rPr>
          <w:rFonts w:hint="eastAsia" w:ascii="宋体" w:hAnsi="宋体" w:eastAsia="宋体" w:cs="宋体"/>
          <w:sz w:val="24"/>
          <w:szCs w:val="24"/>
          <w:highlight w:val="none"/>
        </w:rPr>
        <w:t>。否则，其投标将被拒绝。</w:t>
      </w:r>
    </w:p>
    <w:p w14:paraId="2A020DE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2.保证金形式：</w:t>
      </w:r>
      <w:r>
        <w:rPr>
          <w:rFonts w:hint="eastAsia" w:ascii="宋体" w:hAnsi="宋体" w:eastAsia="宋体" w:cs="宋体"/>
          <w:sz w:val="24"/>
          <w:szCs w:val="24"/>
          <w:highlight w:val="none"/>
          <w:lang w:val="en-US" w:eastAsia="zh-CN"/>
        </w:rPr>
        <w:t>转账、汇款</w:t>
      </w:r>
      <w:r>
        <w:rPr>
          <w:rFonts w:hint="eastAsia" w:ascii="宋体" w:hAnsi="宋体" w:eastAsia="宋体" w:cs="宋体"/>
          <w:sz w:val="24"/>
          <w:szCs w:val="24"/>
          <w:highlight w:val="none"/>
        </w:rPr>
        <w:t>（必须从基本账户转出）</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电子保函</w:t>
      </w:r>
      <w:r>
        <w:rPr>
          <w:rFonts w:hint="eastAsia" w:ascii="宋体" w:hAnsi="宋体" w:eastAsia="宋体" w:cs="宋体"/>
          <w:sz w:val="24"/>
          <w:szCs w:val="24"/>
          <w:highlight w:val="none"/>
        </w:rPr>
        <w:t>。</w:t>
      </w:r>
    </w:p>
    <w:p w14:paraId="07F36848">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3.未中标人的投标保证金在公示期截止后退还。</w:t>
      </w:r>
    </w:p>
    <w:p w14:paraId="71451AEC">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4.中标人的投标保证金在中标通知书发出签订正式采购合同，</w:t>
      </w:r>
      <w:r>
        <w:rPr>
          <w:rFonts w:hint="eastAsia" w:ascii="宋体" w:hAnsi="宋体" w:eastAsia="宋体" w:cs="宋体"/>
          <w:sz w:val="24"/>
          <w:szCs w:val="24"/>
          <w:highlight w:val="none"/>
          <w:lang w:val="en-US" w:eastAsia="zh-CN"/>
        </w:rPr>
        <w:t>需提供一份合同原件及相关材料办理退还投标保证金事宜</w:t>
      </w:r>
      <w:r>
        <w:rPr>
          <w:rFonts w:hint="eastAsia" w:ascii="宋体" w:hAnsi="宋体" w:eastAsia="宋体" w:cs="宋体"/>
          <w:sz w:val="24"/>
          <w:szCs w:val="24"/>
          <w:highlight w:val="none"/>
        </w:rPr>
        <w:t>。</w:t>
      </w:r>
    </w:p>
    <w:p w14:paraId="56BD23FB">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5.保证金不计息。</w:t>
      </w:r>
    </w:p>
    <w:p w14:paraId="4635C53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6.投标人有下列情形之一的，投标保证金将不予退还：</w:t>
      </w:r>
    </w:p>
    <w:p w14:paraId="1ACFF9BD">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（1）投标人在投标有效期内撤回投标文件的；</w:t>
      </w:r>
    </w:p>
    <w:p w14:paraId="06BE3924">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（2）投标人在投标过程中弄虚作假，提供虚假材料的；</w:t>
      </w:r>
    </w:p>
    <w:p w14:paraId="36EB4E48">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（3）中标人无正当理由不与招标人签订合同的；</w:t>
      </w:r>
    </w:p>
    <w:p w14:paraId="7412EA8F">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（4）其他严重扰乱招投标程序的。</w:t>
      </w:r>
    </w:p>
    <w:p w14:paraId="525C1524">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88" w:name="_Toc4584"/>
      <w:bookmarkStart w:id="89" w:name="_Toc25982"/>
      <w:bookmarkStart w:id="90" w:name="_Toc503212216"/>
      <w:bookmarkStart w:id="91" w:name="_Toc521014784"/>
      <w:r>
        <w:rPr>
          <w:rFonts w:hint="eastAsia" w:ascii="宋体" w:hAnsi="宋体" w:eastAsia="宋体" w:cs="宋体"/>
          <w:b/>
          <w:bCs/>
          <w:sz w:val="24"/>
          <w:szCs w:val="24"/>
          <w:highlight w:val="none"/>
        </w:rPr>
        <w:t>投标文件的签署和</w:t>
      </w:r>
      <w:bookmarkEnd w:id="88"/>
      <w:bookmarkEnd w:id="89"/>
      <w:bookmarkEnd w:id="90"/>
      <w:bookmarkEnd w:id="91"/>
      <w:r>
        <w:rPr>
          <w:rFonts w:hint="eastAsia" w:ascii="宋体" w:hAnsi="宋体" w:eastAsia="宋体" w:cs="宋体"/>
          <w:b/>
          <w:bCs/>
          <w:sz w:val="24"/>
          <w:szCs w:val="24"/>
          <w:highlight w:val="none"/>
          <w:lang w:eastAsia="zh-CN"/>
        </w:rPr>
        <w:t>递交</w:t>
      </w:r>
    </w:p>
    <w:p w14:paraId="2BD17FEB">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投标人应按本招标文件规定的格式和顺序编制、装订投标文件并标注页码，投标文件内容不完整、编排混乱</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上传不完整</w:t>
      </w:r>
      <w:r>
        <w:rPr>
          <w:rFonts w:hint="eastAsia" w:ascii="宋体" w:hAnsi="宋体" w:eastAsia="宋体" w:cs="宋体"/>
          <w:sz w:val="24"/>
          <w:szCs w:val="24"/>
          <w:highlight w:val="none"/>
        </w:rPr>
        <w:t>导致投标文件被误读、漏读或者查找不到相关内容的，是投标人的责任。</w:t>
      </w:r>
    </w:p>
    <w:p w14:paraId="08E65F86">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投标人应于</w:t>
      </w:r>
      <w:r>
        <w:rPr>
          <w:rFonts w:hint="eastAsia" w:ascii="宋体" w:hAnsi="宋体" w:cs="宋体"/>
          <w:color w:val="auto"/>
          <w:sz w:val="24"/>
          <w:szCs w:val="24"/>
          <w:highlight w:val="none"/>
          <w:lang w:val="en-US" w:eastAsia="zh-CN"/>
        </w:rPr>
        <w:t>2024年9月12日11：00</w:t>
      </w:r>
      <w:r>
        <w:rPr>
          <w:rFonts w:hint="eastAsia" w:ascii="宋体" w:hAnsi="宋体" w:eastAsia="宋体" w:cs="宋体"/>
          <w:color w:val="auto"/>
          <w:sz w:val="24"/>
          <w:szCs w:val="24"/>
          <w:highlight w:val="none"/>
          <w:lang w:val="en-US" w:eastAsia="zh-CN"/>
        </w:rPr>
        <w:t>（北京时间）</w:t>
      </w:r>
      <w:r>
        <w:rPr>
          <w:rFonts w:hint="eastAsia" w:ascii="宋体" w:hAnsi="宋体" w:eastAsia="宋体" w:cs="宋体"/>
          <w:sz w:val="24"/>
          <w:szCs w:val="24"/>
          <w:highlight w:val="none"/>
        </w:rPr>
        <w:t>前将电子投标文件上传到“</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”平台。应按照本项目招标文件和</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平台的要求编制、加密传输投标文件。供应商在使用系统进行投标的过程中遇到涉及平台使用的任何问题，可致电</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平台技术支持热线咨询，联系方式：</w:t>
      </w:r>
      <w:r>
        <w:rPr>
          <w:rFonts w:hint="eastAsia" w:ascii="宋体" w:hAnsi="宋体" w:eastAsia="宋体" w:cs="宋体"/>
          <w:sz w:val="24"/>
          <w:szCs w:val="24"/>
          <w:highlight w:val="none"/>
          <w:lang w:val="en-US" w:eastAsia="zh-CN"/>
        </w:rPr>
        <w:t>95763</w:t>
      </w:r>
      <w:r>
        <w:rPr>
          <w:rFonts w:hint="eastAsia" w:ascii="宋体" w:hAnsi="宋体" w:eastAsia="宋体" w:cs="宋体"/>
          <w:sz w:val="24"/>
          <w:szCs w:val="24"/>
          <w:highlight w:val="none"/>
        </w:rPr>
        <w:t>。</w:t>
      </w:r>
    </w:p>
    <w:p w14:paraId="4D5CE403">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.投标文件须由投标人在规定位置盖章并由法定代表人或法定代表人的授权委托人签署，投标人应写全称。</w:t>
      </w:r>
    </w:p>
    <w:p w14:paraId="1CD9C5D7">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.投标文件</w:t>
      </w:r>
      <w:r>
        <w:rPr>
          <w:rFonts w:hint="eastAsia" w:ascii="宋体" w:hAnsi="宋体" w:eastAsia="宋体" w:cs="宋体"/>
          <w:sz w:val="24"/>
          <w:szCs w:val="24"/>
          <w:highlight w:val="none"/>
          <w:lang w:val="en-US" w:eastAsia="zh-CN"/>
        </w:rPr>
        <w:t>应严格响应招标文件要求，有表述</w:t>
      </w:r>
      <w:r>
        <w:rPr>
          <w:rFonts w:hint="eastAsia" w:ascii="宋体" w:hAnsi="宋体" w:eastAsia="宋体" w:cs="宋体"/>
          <w:sz w:val="24"/>
          <w:szCs w:val="24"/>
          <w:highlight w:val="none"/>
        </w:rPr>
        <w:t>不清所引起的后果由投标人负责。</w:t>
      </w:r>
      <w:bookmarkStart w:id="92" w:name="_Toc9280"/>
      <w:bookmarkStart w:id="93" w:name="_Toc28926"/>
    </w:p>
    <w:p w14:paraId="53BF63A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5</w:t>
      </w:r>
      <w:r>
        <w:rPr>
          <w:rFonts w:hint="eastAsia" w:ascii="宋体" w:hAnsi="宋体" w:eastAsia="宋体" w:cs="宋体"/>
          <w:b/>
          <w:bCs/>
          <w:sz w:val="24"/>
          <w:szCs w:val="24"/>
          <w:highlight w:val="none"/>
        </w:rPr>
        <w:t>、本项目实行网上投标，采用电子投标文件。若供应商参与投标，自行承担投标一切费用。</w:t>
      </w:r>
    </w:p>
    <w:p w14:paraId="63325D4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、各供应商应在开标前应确保成为正式注册入库供应商，并完成CA数字证书申领。因未注册入库、未办理CA数字证书等原因造成无法投标或投标失败等后果由供应商自行承担。</w:t>
      </w:r>
    </w:p>
    <w:p w14:paraId="03BF0FB4">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7</w:t>
      </w:r>
      <w:r>
        <w:rPr>
          <w:rFonts w:hint="eastAsia" w:ascii="宋体" w:hAnsi="宋体" w:eastAsia="宋体" w:cs="宋体"/>
          <w:b/>
          <w:bCs/>
          <w:sz w:val="24"/>
          <w:szCs w:val="24"/>
          <w:highlight w:val="none"/>
        </w:rPr>
        <w:t>、本项目为电子招投标，投标人需要使用CA加密设备，有意向参与新疆区域电子开评标的供应商，请访问新疆数字证书认证中心官方网站（https://www.xjca.com.cn/）或下载</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“新疆政务通”APP自行进行申领。如需咨询，请联系新疆CA服务热线0991-2819290</w:t>
      </w:r>
    </w:p>
    <w:p w14:paraId="7D1959B4">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8</w:t>
      </w:r>
      <w:r>
        <w:rPr>
          <w:rFonts w:hint="eastAsia" w:ascii="宋体" w:hAnsi="宋体" w:eastAsia="宋体" w:cs="宋体"/>
          <w:b/>
          <w:bCs/>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b/>
          <w:bCs/>
          <w:sz w:val="24"/>
          <w:szCs w:val="24"/>
          <w:highlight w:val="none"/>
          <w:lang w:eastAsia="zh-CN"/>
        </w:rPr>
        <w:t>http://www.ccgp-xinjiang.gov.cn/</w:t>
      </w:r>
      <w:r>
        <w:rPr>
          <w:rFonts w:hint="eastAsia" w:ascii="宋体" w:hAnsi="宋体" w:eastAsia="宋体" w:cs="宋体"/>
          <w:b/>
          <w:bCs/>
          <w:sz w:val="24"/>
          <w:szCs w:val="24"/>
          <w:highlight w:val="none"/>
        </w:rPr>
        <w:t>/）下载专区查看，如有问题可拨打政采云客户服务热线400-881-7190进行咨询。</w:t>
      </w:r>
    </w:p>
    <w:p w14:paraId="523114C9">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9、</w:t>
      </w:r>
      <w:r>
        <w:rPr>
          <w:rFonts w:hint="eastAsia" w:ascii="宋体" w:hAnsi="宋体" w:eastAsia="宋体" w:cs="宋体"/>
          <w:b/>
          <w:bCs/>
          <w:sz w:val="24"/>
          <w:szCs w:val="24"/>
          <w:highlight w:val="none"/>
          <w:lang w:eastAsia="zh-CN"/>
        </w:rPr>
        <w:t>开标时间后</w:t>
      </w:r>
      <w:r>
        <w:rPr>
          <w:rFonts w:hint="eastAsia" w:ascii="宋体" w:hAnsi="宋体" w:cs="宋体"/>
          <w:b/>
          <w:bCs/>
          <w:sz w:val="24"/>
          <w:szCs w:val="24"/>
          <w:highlight w:val="none"/>
          <w:lang w:val="en-US" w:eastAsia="zh-CN"/>
        </w:rPr>
        <w:t>30</w:t>
      </w:r>
      <w:r>
        <w:rPr>
          <w:rFonts w:hint="eastAsia" w:ascii="宋体" w:hAnsi="宋体" w:eastAsia="宋体" w:cs="宋体"/>
          <w:b/>
          <w:bCs/>
          <w:sz w:val="24"/>
          <w:szCs w:val="24"/>
          <w:highlight w:val="none"/>
          <w:lang w:eastAsia="zh-CN"/>
        </w:rPr>
        <w:t>分钟内</w:t>
      </w:r>
      <w:r>
        <w:rPr>
          <w:rFonts w:hint="eastAsia" w:ascii="宋体" w:hAnsi="宋体" w:eastAsia="宋体" w:cs="宋体"/>
          <w:b/>
          <w:bCs/>
          <w:sz w:val="24"/>
          <w:szCs w:val="24"/>
          <w:highlight w:val="none"/>
        </w:rPr>
        <w:t>供应商可以登录“政采云”平台，用“项目采购</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开标评标”功能进行解密投标文件。若供应商在规定时间内未按时解密的，视为投标文件撤回。</w:t>
      </w:r>
    </w:p>
    <w:p w14:paraId="31033891">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10、</w:t>
      </w:r>
      <w:r>
        <w:rPr>
          <w:rFonts w:hint="eastAsia" w:ascii="宋体" w:hAnsi="宋体" w:eastAsia="宋体" w:cs="宋体"/>
          <w:b/>
          <w:bCs/>
          <w:sz w:val="24"/>
          <w:szCs w:val="24"/>
          <w:highlight w:val="none"/>
        </w:rPr>
        <w:t>因系统（非投标供应商行为）的原因，造成投标供应商未能在规定的解密时限内解密的，请及时与招标代理机构或与新疆政府采购网投标客户端进行联系。</w:t>
      </w:r>
    </w:p>
    <w:p w14:paraId="6CA03C56">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11、</w:t>
      </w:r>
      <w:r>
        <w:rPr>
          <w:rFonts w:hint="eastAsia" w:ascii="宋体" w:hAnsi="宋体" w:eastAsia="宋体" w:cs="宋体"/>
          <w:b/>
          <w:bCs/>
          <w:sz w:val="24"/>
          <w:szCs w:val="24"/>
          <w:highlight w:val="none"/>
        </w:rPr>
        <w:t>投标文件未按规定上传的，视为其自动放弃投标。</w:t>
      </w:r>
    </w:p>
    <w:bookmarkEnd w:id="92"/>
    <w:bookmarkEnd w:id="93"/>
    <w:p w14:paraId="1E20C7BD">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94" w:name="_Toc6355"/>
      <w:bookmarkStart w:id="95" w:name="_Toc521014786"/>
      <w:bookmarkStart w:id="96" w:name="_Toc503212218"/>
      <w:bookmarkStart w:id="97" w:name="_Toc4197"/>
      <w:r>
        <w:rPr>
          <w:rFonts w:hint="eastAsia" w:ascii="宋体" w:hAnsi="宋体" w:eastAsia="宋体" w:cs="宋体"/>
          <w:b/>
          <w:bCs/>
          <w:sz w:val="24"/>
          <w:szCs w:val="24"/>
          <w:highlight w:val="none"/>
        </w:rPr>
        <w:t>投标文件的修改、撤回与撤销</w:t>
      </w:r>
    </w:p>
    <w:p w14:paraId="117529C2">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1CBAAD3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2投标人在投标截止期后不得修改、撤回投标文件。投标人在投标截止期后修改投标文件的，其投标无效。</w:t>
      </w:r>
    </w:p>
    <w:p w14:paraId="779043A4">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3若供应商在规定的时间内（“投标人须知前附表”</w:t>
      </w:r>
      <w:r>
        <w:rPr>
          <w:rFonts w:hint="eastAsia" w:ascii="宋体" w:hAnsi="宋体" w:cs="宋体"/>
          <w:b/>
          <w:bCs/>
          <w:sz w:val="24"/>
          <w:szCs w:val="24"/>
          <w:highlight w:val="none"/>
          <w:lang w:eastAsia="zh-CN"/>
        </w:rPr>
        <w:t>的规定</w:t>
      </w:r>
      <w:r>
        <w:rPr>
          <w:rFonts w:hint="eastAsia" w:ascii="宋体" w:hAnsi="宋体" w:eastAsia="宋体" w:cs="宋体"/>
          <w:b/>
          <w:bCs/>
          <w:sz w:val="24"/>
          <w:szCs w:val="24"/>
          <w:highlight w:val="none"/>
        </w:rPr>
        <w:t>）未能解密的，也将被视为供应商对其投标文件的撤回。</w:t>
      </w:r>
    </w:p>
    <w:p w14:paraId="1F23CB7F">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投标文件的解密</w:t>
      </w:r>
    </w:p>
    <w:p w14:paraId="6DAEF9C4">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到达开标时间后，投标人需携带并使用制作该投标文件的同一数字证书参加开标解密，投标人须在采购代理机构规定的时间内完成投标文件解密，投标人未携带数字证书或其他非系统原因导致的逾期未解密投标文件，将作无效投标处理。</w:t>
      </w:r>
    </w:p>
    <w:p w14:paraId="74BD5795">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投标有效期</w:t>
      </w:r>
    </w:p>
    <w:p w14:paraId="356D7EC0">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1投标有效期内投标人撤销投标文件的，采购人或者采购代理机构可以不退还投标保证金（如有）。采用投标保函方式替代保证金的，采购人或者采购代理机构可以向担保机构索赔保证金。</w:t>
      </w:r>
    </w:p>
    <w:p w14:paraId="039E14D4">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出现特殊情况需延长投标有效期的，采购人或采购代理机构可于投标有效期满之前要求投标人同意延长有效期，要求与答复均以书面形式通知所有投标人。投标人同意延长的，应相应延长其投标保证金（如有）的有效期，但不得要求或被允许修改或撤销其投标文件；投标人可以拒绝延长有效期，但其投标将会被视为无效，拒绝延长有效期的投标人有权收回其投标保证金（如有）。采用投标保函方式替代保证金的，投标有效期超出保函有效期的，采购人或者采购代理机构应提示投标人重新开函，未获得有效保函的投标人其投标将会被视为无效。</w:t>
      </w:r>
    </w:p>
    <w:p w14:paraId="513D6A80">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样品（演示）</w:t>
      </w:r>
    </w:p>
    <w:p w14:paraId="4F2D403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1招标文件规定投标人提交样品的，样品属于投标文件的组成部分。样品的生产、运输、安装、保全等一切费用由投标人自理。</w:t>
      </w:r>
    </w:p>
    <w:p w14:paraId="232985DB">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2投标截止时间前，投标人应将样品</w:t>
      </w:r>
      <w:r>
        <w:rPr>
          <w:rFonts w:hint="eastAsia" w:ascii="宋体" w:hAnsi="宋体" w:cs="宋体"/>
          <w:sz w:val="24"/>
          <w:szCs w:val="24"/>
          <w:highlight w:val="none"/>
          <w:lang w:eastAsia="zh-CN"/>
        </w:rPr>
        <w:t>送达</w:t>
      </w:r>
      <w:r>
        <w:rPr>
          <w:rFonts w:hint="eastAsia" w:ascii="宋体" w:hAnsi="宋体" w:eastAsia="宋体" w:cs="宋体"/>
          <w:sz w:val="24"/>
          <w:szCs w:val="24"/>
          <w:highlight w:val="none"/>
        </w:rPr>
        <w:t>指定地点。若需要现场演示的，投标人应提前做好演示准备（包括演示设备）。</w:t>
      </w:r>
    </w:p>
    <w:p w14:paraId="72B825FE">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06FF31C1">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投标无效的情形</w:t>
      </w:r>
      <w:bookmarkEnd w:id="94"/>
      <w:bookmarkEnd w:id="95"/>
      <w:bookmarkEnd w:id="96"/>
      <w:bookmarkEnd w:id="97"/>
    </w:p>
    <w:p w14:paraId="45E534C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实质上没有响应招标文件要求的投标将被视为无效投标。投标人不得通过修正或</w:t>
      </w:r>
      <w:r>
        <w:rPr>
          <w:rFonts w:hint="eastAsia" w:ascii="宋体" w:hAnsi="宋体" w:cs="宋体"/>
          <w:sz w:val="24"/>
          <w:szCs w:val="24"/>
          <w:highlight w:val="none"/>
          <w:lang w:eastAsia="zh-CN"/>
        </w:rPr>
        <w:t>撤销</w:t>
      </w:r>
      <w:r>
        <w:rPr>
          <w:rFonts w:hint="eastAsia" w:ascii="宋体" w:hAnsi="宋体" w:eastAsia="宋体" w:cs="宋体"/>
          <w:sz w:val="24"/>
          <w:szCs w:val="24"/>
          <w:highlight w:val="none"/>
        </w:rPr>
        <w:t>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bookmarkStart w:id="98" w:name="_Toc4280"/>
      <w:bookmarkStart w:id="99" w:name="_Toc13224"/>
    </w:p>
    <w:p w14:paraId="698E9B4B">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1投标文件未按照招标文件要求签署、盖章；</w:t>
      </w:r>
    </w:p>
    <w:p w14:paraId="53FD867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2不符合招标文件中规定的资格要求；</w:t>
      </w:r>
    </w:p>
    <w:p w14:paraId="724CECA3">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3投标报价超过招标文件中规定的预算金额或最高限价；</w:t>
      </w:r>
    </w:p>
    <w:p w14:paraId="171D440A">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4投标文件含有采购人不能接受的附加条件；</w:t>
      </w:r>
    </w:p>
    <w:p w14:paraId="43932690">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5有关法律、法规和规章及招标文件规定的其他无效情形。</w:t>
      </w:r>
    </w:p>
    <w:p w14:paraId="5B20610B">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bookmarkStart w:id="100" w:name="_Toc521014787"/>
      <w:bookmarkStart w:id="101" w:name="_Toc503212219"/>
      <w:bookmarkStart w:id="102" w:name="_Toc3022"/>
      <w:bookmarkStart w:id="103" w:name="_Toc11270"/>
      <w:bookmarkStart w:id="104" w:name="_Toc31877"/>
      <w:r>
        <w:rPr>
          <w:rFonts w:hint="eastAsia" w:ascii="宋体" w:hAnsi="宋体" w:eastAsia="宋体" w:cs="宋体"/>
          <w:b/>
          <w:bCs/>
          <w:color w:val="000000"/>
          <w:kern w:val="2"/>
          <w:sz w:val="28"/>
          <w:szCs w:val="28"/>
          <w:highlight w:val="none"/>
          <w:lang w:val="en-US" w:eastAsia="zh-CN" w:bidi="ar-SA"/>
        </w:rPr>
        <w:t>（四）开标</w:t>
      </w:r>
      <w:bookmarkEnd w:id="98"/>
      <w:bookmarkEnd w:id="99"/>
      <w:bookmarkEnd w:id="100"/>
      <w:bookmarkEnd w:id="101"/>
      <w:bookmarkEnd w:id="102"/>
      <w:bookmarkEnd w:id="103"/>
      <w:bookmarkEnd w:id="104"/>
    </w:p>
    <w:p w14:paraId="22710848">
      <w:pPr>
        <w:pStyle w:val="44"/>
        <w:pageBreakBefore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（一）开标准备</w:t>
      </w:r>
    </w:p>
    <w:p w14:paraId="59347E7E">
      <w:pPr>
        <w:pStyle w:val="44"/>
        <w:keepNext w:val="0"/>
        <w:keepLines w:val="0"/>
        <w:pageBreakBefore w:val="0"/>
        <w:widowControl w:val="0"/>
        <w:kinsoku/>
        <w:wordWrap/>
        <w:overflowPunct/>
        <w:topLinePunct w:val="0"/>
        <w:autoSpaceDE/>
        <w:autoSpaceDN/>
        <w:bidi w:val="0"/>
        <w:adjustRightInd/>
        <w:snapToGrid w:val="0"/>
        <w:spacing w:line="360" w:lineRule="auto"/>
        <w:ind w:left="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招标代理机构将在规定的时间和地点进行开标，投标供应商无需到场，但应按照招标文件要求按时参与网上投标文件解密。（本项目实行网上投标，采用电子投标文件。若供应商参与投标，自行承担投标一切费用；各供应商应在开标前应确保成为新疆政府采购网正式注册入库供应商，并完成CA数字证书申领。因未注册入库、未办理CA数字证书等原因造成无法投标或投标失败等后果由供应商自行承担；供应商将新疆政府采购电子交易客户端下载、安装完成后，可通过账号密码或CA登录客户端进行投标文件制作。在使用新疆政府采购投标客户端时，建议使用WIN7及以上操作系统。客户端请至新疆政府采购网（</w:t>
      </w:r>
      <w:r>
        <w:rPr>
          <w:rFonts w:hint="eastAsia" w:ascii="宋体" w:hAnsi="宋体" w:eastAsia="宋体" w:cs="宋体"/>
          <w:kern w:val="2"/>
          <w:sz w:val="24"/>
          <w:szCs w:val="24"/>
          <w:highlight w:val="none"/>
          <w:lang w:val="en-US" w:eastAsia="zh-CN" w:bidi="ar-SA"/>
        </w:rPr>
        <w:fldChar w:fldCharType="begin"/>
      </w:r>
      <w:r>
        <w:rPr>
          <w:rFonts w:hint="eastAsia" w:ascii="宋体" w:hAnsi="宋体" w:eastAsia="宋体" w:cs="宋体"/>
          <w:kern w:val="2"/>
          <w:sz w:val="24"/>
          <w:szCs w:val="24"/>
          <w:highlight w:val="none"/>
          <w:lang w:val="en-US" w:eastAsia="zh-CN" w:bidi="ar-SA"/>
        </w:rPr>
        <w:instrText xml:space="preserve"> HYPERLINK "http://www.ccgp-xinjiang.gov.cn/" </w:instrText>
      </w:r>
      <w:r>
        <w:rPr>
          <w:rFonts w:hint="eastAsia" w:ascii="宋体" w:hAnsi="宋体" w:eastAsia="宋体" w:cs="宋体"/>
          <w:kern w:val="2"/>
          <w:sz w:val="24"/>
          <w:szCs w:val="24"/>
          <w:highlight w:val="none"/>
          <w:lang w:val="en-US" w:eastAsia="zh-CN" w:bidi="ar-SA"/>
        </w:rPr>
        <w:fldChar w:fldCharType="separate"/>
      </w:r>
      <w:r>
        <w:rPr>
          <w:rFonts w:hint="eastAsia" w:ascii="宋体" w:hAnsi="宋体" w:eastAsia="宋体" w:cs="宋体"/>
          <w:kern w:val="2"/>
          <w:sz w:val="24"/>
          <w:szCs w:val="24"/>
          <w:highlight w:val="none"/>
          <w:lang w:val="en-US" w:eastAsia="zh-CN" w:bidi="ar-SA"/>
        </w:rPr>
        <w:t>http://www.ccgp-xinjiang.gov.cn/</w:t>
      </w:r>
      <w:r>
        <w:rPr>
          <w:rFonts w:hint="eastAsia" w:ascii="宋体" w:hAnsi="宋体" w:eastAsia="宋体" w:cs="宋体"/>
          <w:kern w:val="2"/>
          <w:sz w:val="24"/>
          <w:szCs w:val="24"/>
          <w:highlight w:val="none"/>
          <w:lang w:val="en-US" w:eastAsia="zh-CN" w:bidi="ar-SA"/>
        </w:rPr>
        <w:fldChar w:fldCharType="end"/>
      </w:r>
      <w:r>
        <w:rPr>
          <w:rFonts w:hint="eastAsia" w:ascii="宋体" w:hAnsi="宋体" w:eastAsia="宋体" w:cs="宋体"/>
          <w:kern w:val="2"/>
          <w:sz w:val="24"/>
          <w:szCs w:val="24"/>
          <w:highlight w:val="none"/>
          <w:lang w:val="en-US" w:eastAsia="zh-CN" w:bidi="ar-SA"/>
        </w:rPr>
        <w:t>）下载专区查看，如有问题可拨打新疆政府采购客户服务热线95763进行咨询。）</w:t>
      </w:r>
    </w:p>
    <w:p w14:paraId="347C3F61">
      <w:pPr>
        <w:pStyle w:val="44"/>
        <w:keepNext w:val="0"/>
        <w:keepLines w:val="0"/>
        <w:pageBreakBefore w:val="0"/>
        <w:widowControl w:val="0"/>
        <w:kinsoku/>
        <w:wordWrap/>
        <w:overflowPunct/>
        <w:topLinePunct w:val="0"/>
        <w:autoSpaceDE/>
        <w:autoSpaceDN/>
        <w:bidi w:val="0"/>
        <w:adjustRightInd/>
        <w:snapToGrid w:val="0"/>
        <w:spacing w:line="360" w:lineRule="auto"/>
        <w:ind w:left="0" w:right="0"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05" w:name="_Toc1875"/>
      <w:bookmarkStart w:id="106" w:name="_Toc24853"/>
      <w:r>
        <w:rPr>
          <w:rFonts w:hint="eastAsia" w:ascii="宋体" w:hAnsi="宋体" w:eastAsia="宋体" w:cs="宋体"/>
          <w:b/>
          <w:bCs/>
          <w:kern w:val="2"/>
          <w:sz w:val="24"/>
          <w:szCs w:val="24"/>
          <w:highlight w:val="none"/>
          <w:lang w:val="en-US" w:eastAsia="zh-CN" w:bidi="ar-SA"/>
        </w:rPr>
        <w:t>（二）开标程序：</w:t>
      </w:r>
      <w:bookmarkEnd w:id="105"/>
      <w:bookmarkEnd w:id="106"/>
    </w:p>
    <w:p w14:paraId="4C0DDF6A">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bookmarkStart w:id="107" w:name="_Toc503212220"/>
      <w:bookmarkStart w:id="108" w:name="_Toc12263"/>
      <w:bookmarkStart w:id="109" w:name="_Toc521014788"/>
      <w:bookmarkStart w:id="110" w:name="_Toc20288"/>
      <w:bookmarkStart w:id="111" w:name="_Toc3024"/>
      <w:bookmarkStart w:id="112" w:name="_Toc24288"/>
      <w:bookmarkStart w:id="113" w:name="_Toc20065"/>
      <w:r>
        <w:rPr>
          <w:rFonts w:hint="eastAsia" w:ascii="宋体" w:hAnsi="宋体" w:eastAsia="宋体" w:cs="宋体"/>
          <w:sz w:val="24"/>
          <w:szCs w:val="24"/>
          <w:highlight w:val="none"/>
        </w:rPr>
        <w:t>1.1开标程序</w:t>
      </w:r>
    </w:p>
    <w:p w14:paraId="4BCFDAE7">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招标工作人员按招标公告规定的时间进行开标，由采购人或者采购代理机构工作人员宣布投标人名称、解密情况，投标价格和招标文件规定的需要宣布的其他内容（以开标一览表要求为准）。开标分为现场电子开标和远程电子开标两种。</w:t>
      </w:r>
    </w:p>
    <w:p w14:paraId="142B1A39">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用现场电子开标的：投标人的法定代表人或其委托代理人应当按照本招标公告载明的时间和地点前往参加开标，并携带编制本项目（采购包）电子投标文件时加密所用的数字证书、存储有备用电子投标文件的U盘前往开标现场。</w:t>
      </w:r>
    </w:p>
    <w:p w14:paraId="18A40680">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用远程电子开标的：投标人的法定代表人或其授权代表应当按照本招标公告载明的时间和模式等要求参加开标。在投标截止时间前30分钟，应当登录云平台开标大厅进行签到，并且填写授权代表的姓名与手机号码。若因签到时填写的授权代表信息有误而导致的不良后果，由供应商自行承担。</w:t>
      </w:r>
    </w:p>
    <w:p w14:paraId="284F5EB5">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w:t>
      </w:r>
      <w:r>
        <w:rPr>
          <w:rFonts w:hint="eastAsia" w:ascii="宋体" w:hAnsi="宋体" w:cs="宋体"/>
          <w:sz w:val="24"/>
          <w:szCs w:val="24"/>
          <w:highlight w:val="none"/>
          <w:lang w:eastAsia="zh-CN"/>
        </w:rPr>
        <w:t>需</w:t>
      </w:r>
      <w:r>
        <w:rPr>
          <w:rFonts w:hint="eastAsia" w:ascii="宋体" w:hAnsi="宋体" w:eastAsia="宋体" w:cs="宋体"/>
          <w:sz w:val="24"/>
          <w:szCs w:val="24"/>
          <w:highlight w:val="none"/>
        </w:rPr>
        <w:t>自行对使用电脑的网络环境、驱动安装、客户端安装以及数字证书的有效性等进行检测，确保可以正常使用）。</w:t>
      </w:r>
    </w:p>
    <w:p w14:paraId="2ECB17CA">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1.2开标异议</w:t>
      </w:r>
    </w:p>
    <w:p w14:paraId="0727A188">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投标人代表对开标过程和开标记录有疑义，以及认为采购人、采购代理机构相关工作人员有需要回避的情形的，应当场提出询问或者回避申请。投标人未参加开标的，视同认可开标结果。</w:t>
      </w:r>
    </w:p>
    <w:p w14:paraId="5525B916">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1.3投标截止时间后，投标人不足须知前附表中约定的有效供应商家数的，不得开标。同时，本次采购活动结束。</w:t>
      </w:r>
    </w:p>
    <w:p w14:paraId="2F10D33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1.4开标时出现下列情况的，视为投标无效处理：</w:t>
      </w:r>
    </w:p>
    <w:p w14:paraId="09A45017">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（1）经检查数字证书无效的；</w:t>
      </w:r>
    </w:p>
    <w:p w14:paraId="6930C8CB">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（2）因投标人自身原因，未在规定时间内完成电子投标文件解密的；</w:t>
      </w:r>
    </w:p>
    <w:p w14:paraId="24175556">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（3）如需使用备用电子投标文件解密时，在规定的解密时间内无法提供备用电子投标文件或提供的备用电子投标文件与加密的电子投标文件版本不一致（即两份文件不是通过投标客户端同时加密生成的）。</w:t>
      </w:r>
    </w:p>
    <w:p w14:paraId="4AD43367">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r>
        <w:rPr>
          <w:rFonts w:hint="eastAsia" w:ascii="宋体" w:hAnsi="宋体" w:eastAsia="宋体" w:cs="宋体"/>
          <w:b/>
          <w:bCs/>
          <w:color w:val="000000"/>
          <w:kern w:val="2"/>
          <w:sz w:val="28"/>
          <w:szCs w:val="28"/>
          <w:highlight w:val="none"/>
          <w:lang w:val="en-US" w:eastAsia="zh-CN" w:bidi="ar-SA"/>
        </w:rPr>
        <w:t>（五）评标</w:t>
      </w:r>
      <w:bookmarkEnd w:id="107"/>
      <w:bookmarkEnd w:id="108"/>
      <w:bookmarkEnd w:id="109"/>
      <w:bookmarkEnd w:id="110"/>
      <w:bookmarkEnd w:id="111"/>
      <w:bookmarkEnd w:id="112"/>
      <w:bookmarkEnd w:id="113"/>
    </w:p>
    <w:p w14:paraId="1FE8508B">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（一）组建评标委员会</w:t>
      </w:r>
    </w:p>
    <w:p w14:paraId="0BF40BF0">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评标委员会或评标小组（以下简称评标委员会）的评标工作由招标单位负责组织，具体评标事务由评标委员会负责，并独立履行其法规规定的职责。</w:t>
      </w:r>
    </w:p>
    <w:p w14:paraId="760B105A">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本项目评标委员会由评审专家</w:t>
      </w:r>
      <w:r>
        <w:rPr>
          <w:rFonts w:hint="eastAsia" w:hAnsi="宋体" w:cs="宋体"/>
          <w:kern w:val="2"/>
          <w:sz w:val="24"/>
          <w:szCs w:val="24"/>
          <w:highlight w:val="none"/>
          <w:lang w:val="en-US" w:eastAsia="zh-CN" w:bidi="ar-SA"/>
        </w:rPr>
        <w:t>7</w:t>
      </w:r>
      <w:r>
        <w:rPr>
          <w:rFonts w:hint="eastAsia" w:ascii="宋体" w:hAnsi="宋体" w:eastAsia="宋体" w:cs="宋体"/>
          <w:kern w:val="2"/>
          <w:sz w:val="24"/>
          <w:szCs w:val="24"/>
          <w:highlight w:val="none"/>
          <w:lang w:val="en-US" w:eastAsia="zh-CN" w:bidi="ar-SA"/>
        </w:rPr>
        <w:t>人组成；专家由招标代理机构在开标前48小时在新疆政府采购专家中随机抽取。其中熟悉相关技术方面的专家不得少于成员总数的</w:t>
      </w:r>
      <w:r>
        <w:rPr>
          <w:rFonts w:hint="eastAsia" w:hAnsi="宋体" w:cs="宋体"/>
          <w:kern w:val="2"/>
          <w:sz w:val="24"/>
          <w:szCs w:val="24"/>
          <w:highlight w:val="none"/>
          <w:lang w:val="en-US" w:eastAsia="zh-CN" w:bidi="ar-SA"/>
        </w:rPr>
        <w:t>三分之二</w:t>
      </w:r>
      <w:r>
        <w:rPr>
          <w:rFonts w:hint="eastAsia" w:ascii="宋体" w:hAnsi="宋体" w:eastAsia="宋体" w:cs="宋体"/>
          <w:kern w:val="2"/>
          <w:sz w:val="24"/>
          <w:szCs w:val="24"/>
          <w:highlight w:val="none"/>
          <w:lang w:val="en-US" w:eastAsia="zh-CN" w:bidi="ar-SA"/>
        </w:rPr>
        <w:t>。并对投标文件进行审查、评估和比较，并做出授予合同的建议。</w:t>
      </w:r>
    </w:p>
    <w:p w14:paraId="0B7A49AC">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14" w:name="_Toc27271"/>
      <w:bookmarkStart w:id="115" w:name="_Toc26886"/>
      <w:r>
        <w:rPr>
          <w:rFonts w:hint="eastAsia" w:ascii="宋体" w:hAnsi="宋体" w:eastAsia="宋体" w:cs="宋体"/>
          <w:b/>
          <w:bCs/>
          <w:kern w:val="2"/>
          <w:sz w:val="24"/>
          <w:szCs w:val="24"/>
          <w:highlight w:val="none"/>
          <w:lang w:val="en-US" w:eastAsia="zh-CN" w:bidi="ar-SA"/>
        </w:rPr>
        <w:t>（二）评标的方式</w:t>
      </w:r>
      <w:bookmarkEnd w:id="114"/>
      <w:bookmarkEnd w:id="115"/>
    </w:p>
    <w:p w14:paraId="44596D19">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本项目采用不公开方式评标，评标的依据为《中华人民共和国招标投标法》《中华人民共和国政府采购法</w:t>
      </w:r>
      <w:r>
        <w:rPr>
          <w:rFonts w:hint="eastAsia"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中华人民共和国财政部令第87号</w:t>
      </w:r>
      <w:r>
        <w:rPr>
          <w:rFonts w:hint="eastAsia"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政府采购货物和服务招标投标管理办法》及招标文件。</w:t>
      </w:r>
    </w:p>
    <w:p w14:paraId="342FEC80">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（三）评标原则</w:t>
      </w:r>
    </w:p>
    <w:p w14:paraId="48E5E252">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2.1评标活动遵循公平、公正、科学和择优的原则，以招标文件和投标文件为评标的基本依据，并按照招标文件规定的评标方法和评标标准进行评标。</w:t>
      </w:r>
    </w:p>
    <w:p w14:paraId="26C6D226">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2.2评标委员会必须公平、公正、客观，不带任何倾向性和启发性；不得向外界透露任何与评标有关的内容；任何单位和个人不得干扰、影响评标的正常进行；评标委员会及有关工作人员不得私下与投标人接触。</w:t>
      </w:r>
    </w:p>
    <w:p w14:paraId="446165E3">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2.2具体评标事项由评标委员会负责，并按招标文件的规定办法进行评审。</w:t>
      </w:r>
    </w:p>
    <w:p w14:paraId="1CFCA039">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2.3合格投标人不足须知前附表中约定的有效供应商家数的，不得评标。</w:t>
      </w:r>
    </w:p>
    <w:p w14:paraId="66E443A6">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（四）评标应遵守下列评标纪律：</w:t>
      </w:r>
    </w:p>
    <w:p w14:paraId="77233FC9">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（1）评标情况不得私自外泄，有关信息由</w:t>
      </w:r>
      <w:r>
        <w:rPr>
          <w:rFonts w:hint="eastAsia" w:hAnsi="宋体" w:cs="宋体"/>
          <w:kern w:val="2"/>
          <w:sz w:val="24"/>
          <w:szCs w:val="24"/>
          <w:highlight w:val="none"/>
          <w:lang w:val="en-US" w:eastAsia="zh-CN" w:bidi="ar-SA"/>
        </w:rPr>
        <w:t>新疆晓君招标有限公司</w:t>
      </w:r>
      <w:r>
        <w:rPr>
          <w:rFonts w:hint="eastAsia" w:ascii="宋体" w:hAnsi="宋体" w:eastAsia="宋体" w:cs="宋体"/>
          <w:kern w:val="2"/>
          <w:sz w:val="24"/>
          <w:szCs w:val="24"/>
          <w:highlight w:val="none"/>
          <w:lang w:val="en-US" w:eastAsia="zh-CN" w:bidi="ar-SA"/>
        </w:rPr>
        <w:t>统一对外发布。</w:t>
      </w:r>
    </w:p>
    <w:p w14:paraId="63D5D1C4">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（2）对</w:t>
      </w:r>
      <w:r>
        <w:rPr>
          <w:rFonts w:hint="eastAsia" w:hAnsi="宋体" w:cs="宋体"/>
          <w:kern w:val="2"/>
          <w:sz w:val="24"/>
          <w:szCs w:val="24"/>
          <w:highlight w:val="none"/>
          <w:lang w:val="en-US" w:eastAsia="zh-CN" w:bidi="ar-SA"/>
        </w:rPr>
        <w:t>新疆晓君招标有限公司</w:t>
      </w:r>
      <w:r>
        <w:rPr>
          <w:rFonts w:hint="eastAsia" w:ascii="宋体" w:hAnsi="宋体" w:eastAsia="宋体" w:cs="宋体"/>
          <w:kern w:val="2"/>
          <w:sz w:val="24"/>
          <w:szCs w:val="24"/>
          <w:highlight w:val="none"/>
          <w:lang w:val="en-US" w:eastAsia="zh-CN" w:bidi="ar-SA"/>
        </w:rPr>
        <w:t>或投标人提供的要求保密的资料，不得摘记翻印和外传。</w:t>
      </w:r>
    </w:p>
    <w:p w14:paraId="39C4EEF3">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（3）不得收受投标供应商或有关人员的任何礼物，不得串联鼓动其他人袒护某投标人。若与投标人存在利害关系，则应主动声明并回避。</w:t>
      </w:r>
    </w:p>
    <w:p w14:paraId="7BFA131E">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（4）全体评委应按照招标文件规定进行评标，一切认定事项应查有实据且不得弄虚作假。</w:t>
      </w:r>
    </w:p>
    <w:p w14:paraId="64086E2A">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（5）评标委员会各成员应当独立对每个投标人的投标文件进行评价，并对评价意见承担个人责任。评审过程中，不得发表倾向性言论。</w:t>
      </w:r>
    </w:p>
    <w:p w14:paraId="732522D1">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※对违反评标纪律的评委，将取消其评委资格，对评标工作造成严重损失者将予以通报批评乃至追究法律责任。</w:t>
      </w:r>
    </w:p>
    <w:p w14:paraId="2ECF3157">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16" w:name="_Toc4747"/>
      <w:bookmarkStart w:id="117" w:name="_Toc13223"/>
      <w:r>
        <w:rPr>
          <w:rFonts w:hint="eastAsia" w:ascii="宋体" w:hAnsi="宋体" w:eastAsia="宋体" w:cs="宋体"/>
          <w:b/>
          <w:bCs/>
          <w:kern w:val="2"/>
          <w:sz w:val="24"/>
          <w:szCs w:val="24"/>
          <w:highlight w:val="none"/>
          <w:lang w:val="en-US" w:eastAsia="zh-CN" w:bidi="ar-SA"/>
        </w:rPr>
        <w:t>（五）评标程序</w:t>
      </w:r>
      <w:bookmarkEnd w:id="116"/>
      <w:bookmarkEnd w:id="117"/>
    </w:p>
    <w:p w14:paraId="2E41E1D0">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1.本项目采用</w:t>
      </w:r>
      <w:r>
        <w:rPr>
          <w:rFonts w:hint="eastAsia" w:ascii="宋体" w:hAnsi="宋体" w:eastAsia="宋体" w:cs="宋体"/>
          <w:sz w:val="24"/>
          <w:szCs w:val="24"/>
          <w:highlight w:val="none"/>
        </w:rPr>
        <w:t>综合评分法</w:t>
      </w:r>
      <w:r>
        <w:rPr>
          <w:rFonts w:hint="eastAsia" w:hAnsi="宋体" w:cs="宋体"/>
          <w:sz w:val="24"/>
          <w:szCs w:val="24"/>
          <w:highlight w:val="none"/>
          <w:lang w:eastAsia="zh-CN"/>
        </w:rPr>
        <w:t>，</w:t>
      </w:r>
      <w:r>
        <w:rPr>
          <w:rFonts w:hint="eastAsia" w:ascii="宋体" w:hAnsi="宋体" w:eastAsia="宋体" w:cs="宋体"/>
          <w:sz w:val="24"/>
          <w:szCs w:val="24"/>
          <w:highlight w:val="none"/>
        </w:rPr>
        <w:t>是指投标文件满足招标文件全部实质性要求，且按照评审因素的量化指标评审得分最高的投标人为中标候选人的评标方法。（最低报价不是中标的唯一依据。）</w:t>
      </w:r>
    </w:p>
    <w:p w14:paraId="67B5F81E">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18" w:name="_Toc17462"/>
      <w:r>
        <w:rPr>
          <w:rFonts w:hint="eastAsia" w:ascii="宋体" w:hAnsi="宋体" w:eastAsia="宋体" w:cs="宋体"/>
          <w:kern w:val="2"/>
          <w:sz w:val="24"/>
          <w:szCs w:val="24"/>
          <w:highlight w:val="none"/>
          <w:lang w:val="en-US" w:eastAsia="zh-CN" w:bidi="ar-SA"/>
        </w:rPr>
        <w:t>2.评标的依据为招标文件和投标文件。</w:t>
      </w:r>
      <w:bookmarkEnd w:id="118"/>
    </w:p>
    <w:p w14:paraId="5135272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3.评标过程的保密性。开标后，直到授予投标人合同为止，凡是属于审查、澄清、评价和比较的有关资料以及授标建议等均不得向投标人或其他无关的人员透露。</w:t>
      </w:r>
    </w:p>
    <w:p w14:paraId="14EABE1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4.投标人在评标过程中所进行的试图影响评标结果、有悖于招标规则的活动，可能导致取消其中标资格。</w:t>
      </w:r>
    </w:p>
    <w:p w14:paraId="283F3195">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5.与招标文件有重大偏离的投标文件将被拒绝。且此重大偏离在开标后不许修改。</w:t>
      </w:r>
    </w:p>
    <w:p w14:paraId="13BDAEB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6.根据国家计委等七部委颁发的《评标委员会和评标方法暂行规定》以下为重大偏离：</w:t>
      </w:r>
    </w:p>
    <w:p w14:paraId="3E871412">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（一）投标保证金的缴纳主体与投标人不一致的，没有按照招标文件要求提供投标担保，或者所提供的投标担保有瑕疵的；</w:t>
      </w:r>
    </w:p>
    <w:p w14:paraId="512E44C1">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（二）投标文件没有投标人法定代表人或其授权代表签字（章）和加盖投标单位公章的；</w:t>
      </w:r>
    </w:p>
    <w:p w14:paraId="6EA9DD7C">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（三）投标文件记载的招标项目完成期限超过招标文件规定的完成期限；</w:t>
      </w:r>
    </w:p>
    <w:p w14:paraId="360B012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（四）明显不符合技术规格和技术标准（技术规格、合同条款有偏离情况的）；</w:t>
      </w:r>
    </w:p>
    <w:p w14:paraId="1702F4F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（五）商务条款有偏离情况的；</w:t>
      </w:r>
    </w:p>
    <w:p w14:paraId="61010BFC">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（六）投标附有招标人不能接受的条件；</w:t>
      </w:r>
    </w:p>
    <w:p w14:paraId="3F16E6A7">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（七）不符合招标文件中规定的其他实质性要求。</w:t>
      </w:r>
    </w:p>
    <w:p w14:paraId="504E18FB">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（八</w:t>
      </w:r>
      <w:r>
        <w:rPr>
          <w:rFonts w:hint="eastAsia"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投标报价不符合招标文件规定的要求。</w:t>
      </w:r>
    </w:p>
    <w:p w14:paraId="6284FBCD">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投标文件有上述情形之一的，视为非实质性响应招标，并按规定作废标处理。招标文件对重大偏差另有规定的，从其规定。</w:t>
      </w:r>
    </w:p>
    <w:p w14:paraId="685534F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评标委员会应当审查每一投标文件是否对招标文件提出的所有实质性要求和条件作出响应。未能在实质上响应招标的投标，将作废标处理。</w:t>
      </w:r>
    </w:p>
    <w:p w14:paraId="7E940A3C">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19" w:name="_Toc3963"/>
      <w:r>
        <w:rPr>
          <w:rFonts w:hint="eastAsia" w:ascii="宋体" w:hAnsi="宋体" w:eastAsia="宋体" w:cs="宋体"/>
          <w:kern w:val="2"/>
          <w:sz w:val="24"/>
          <w:szCs w:val="24"/>
          <w:highlight w:val="none"/>
          <w:lang w:val="en-US" w:eastAsia="zh-CN" w:bidi="ar-SA"/>
        </w:rPr>
        <w:t>7.对投标文件的初步审查和响应性确定</w:t>
      </w:r>
      <w:bookmarkEnd w:id="119"/>
    </w:p>
    <w:p w14:paraId="0FA079EF">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8.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35E060A8">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9.在对投标文件进行详细评估之前，评标委员会将审查每一份投标文件是否对招标文件的要求作出了实质性的响应。实质性响应的投标文件应该是与招标文件的全部条款、条件和技术规格相符，而没有重大偏离。</w:t>
      </w:r>
    </w:p>
    <w:p w14:paraId="6502D297">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10.招标人判断投标文件的响应性是基于投标文件本身而不靠外部证据。</w:t>
      </w:r>
    </w:p>
    <w:p w14:paraId="6590BD8C">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11.招标人将拒绝被定为非响应性的投标，投标人不能通过修正或</w:t>
      </w:r>
      <w:r>
        <w:rPr>
          <w:rFonts w:hint="eastAsia" w:hAnsi="宋体" w:cs="宋体"/>
          <w:kern w:val="2"/>
          <w:sz w:val="24"/>
          <w:szCs w:val="24"/>
          <w:highlight w:val="none"/>
          <w:lang w:val="en-US" w:eastAsia="zh-CN" w:bidi="ar-SA"/>
        </w:rPr>
        <w:t>撤销</w:t>
      </w:r>
      <w:r>
        <w:rPr>
          <w:rFonts w:hint="eastAsia" w:ascii="宋体" w:hAnsi="宋体" w:eastAsia="宋体" w:cs="宋体"/>
          <w:kern w:val="2"/>
          <w:sz w:val="24"/>
          <w:szCs w:val="24"/>
          <w:highlight w:val="none"/>
          <w:lang w:val="en-US" w:eastAsia="zh-CN" w:bidi="ar-SA"/>
        </w:rPr>
        <w:t>不符之处而使其投标成为响应性投标。</w:t>
      </w:r>
    </w:p>
    <w:p w14:paraId="11B22E80">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20" w:name="_Toc32133"/>
      <w:bookmarkStart w:id="121" w:name="_Toc13450"/>
      <w:r>
        <w:rPr>
          <w:rFonts w:hint="eastAsia" w:ascii="宋体" w:hAnsi="宋体" w:eastAsia="宋体" w:cs="宋体"/>
          <w:b/>
          <w:bCs/>
          <w:kern w:val="2"/>
          <w:sz w:val="24"/>
          <w:szCs w:val="24"/>
          <w:highlight w:val="none"/>
          <w:lang w:val="en-US" w:eastAsia="zh-CN" w:bidi="ar-SA"/>
        </w:rPr>
        <w:t>（六）澄清问题的形式</w:t>
      </w:r>
      <w:bookmarkEnd w:id="120"/>
      <w:bookmarkEnd w:id="121"/>
    </w:p>
    <w:p w14:paraId="29462FC1">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129DC212">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22" w:name="_Toc30297"/>
      <w:bookmarkStart w:id="123" w:name="_Toc31156"/>
      <w:r>
        <w:rPr>
          <w:rFonts w:hint="eastAsia" w:ascii="宋体" w:hAnsi="宋体" w:eastAsia="宋体" w:cs="宋体"/>
          <w:b/>
          <w:bCs/>
          <w:kern w:val="2"/>
          <w:sz w:val="24"/>
          <w:szCs w:val="24"/>
          <w:highlight w:val="none"/>
          <w:lang w:val="en-US" w:eastAsia="zh-CN" w:bidi="ar-SA"/>
        </w:rPr>
        <w:t>（七）错误修正</w:t>
      </w:r>
      <w:bookmarkEnd w:id="122"/>
      <w:bookmarkEnd w:id="123"/>
    </w:p>
    <w:p w14:paraId="32F52D6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投标文件如果出现计算或表达上的错误，修正错误的原则如下：</w:t>
      </w:r>
    </w:p>
    <w:p w14:paraId="69A9EC4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1.投标报价一览表总价与投标报价明细表汇总数不一致的，以投标报价一览表为准；</w:t>
      </w:r>
    </w:p>
    <w:p w14:paraId="46A2EB8D">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24" w:name="_Toc29280"/>
      <w:r>
        <w:rPr>
          <w:rFonts w:hint="eastAsia" w:ascii="宋体" w:hAnsi="宋体" w:eastAsia="宋体" w:cs="宋体"/>
          <w:kern w:val="2"/>
          <w:sz w:val="24"/>
          <w:szCs w:val="24"/>
          <w:highlight w:val="none"/>
          <w:lang w:val="en-US" w:eastAsia="zh-CN" w:bidi="ar-SA"/>
        </w:rPr>
        <w:t>2.投标文件的大写金额和小写金额不一致的，以大写金额为准；</w:t>
      </w:r>
      <w:bookmarkEnd w:id="124"/>
    </w:p>
    <w:p w14:paraId="0E1DD279">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3.总价金额与按单价汇总金额不一致的，以单价金额计算结果为准；</w:t>
      </w:r>
    </w:p>
    <w:p w14:paraId="4BB5BFB6">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25" w:name="_Toc16465"/>
      <w:r>
        <w:rPr>
          <w:rFonts w:hint="eastAsia" w:ascii="宋体" w:hAnsi="宋体" w:eastAsia="宋体" w:cs="宋体"/>
          <w:kern w:val="2"/>
          <w:sz w:val="24"/>
          <w:szCs w:val="24"/>
          <w:highlight w:val="none"/>
          <w:lang w:val="en-US" w:eastAsia="zh-CN" w:bidi="ar-SA"/>
        </w:rPr>
        <w:t>4.对不同文字文本投标文件的解释发生异议的，以中文文本为准。</w:t>
      </w:r>
      <w:bookmarkEnd w:id="125"/>
    </w:p>
    <w:p w14:paraId="7A2FA93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按上述修正错误的原则及方法调整或修正投标文件的投标报价，投标人同意并签字确认后，调整后的投标报价对投标人具有约束作用。如果投标人不接受修正后的报价，则其投标将作为无效投标处理。</w:t>
      </w:r>
    </w:p>
    <w:p w14:paraId="3465BDCB">
      <w:pPr>
        <w:pStyle w:val="44"/>
        <w:pageBreakBefore w:val="0"/>
        <w:kinsoku/>
        <w:wordWrap/>
        <w:overflowPunct/>
        <w:topLinePunct w:val="0"/>
        <w:autoSpaceDE/>
        <w:autoSpaceDN/>
        <w:bidi w:val="0"/>
        <w:adjustRightInd/>
        <w:snapToGrid w:val="0"/>
        <w:spacing w:line="360" w:lineRule="auto"/>
        <w:ind w:left="0" w:leftChars="0"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26" w:name="_Toc19846"/>
      <w:bookmarkStart w:id="127" w:name="_Toc15699"/>
      <w:r>
        <w:rPr>
          <w:rFonts w:hint="eastAsia" w:ascii="宋体" w:hAnsi="宋体" w:eastAsia="宋体" w:cs="宋体"/>
          <w:b/>
          <w:bCs/>
          <w:kern w:val="2"/>
          <w:sz w:val="24"/>
          <w:szCs w:val="24"/>
          <w:highlight w:val="none"/>
          <w:lang w:val="en-US" w:eastAsia="zh-CN" w:bidi="ar-SA"/>
        </w:rPr>
        <w:t>（八）</w:t>
      </w:r>
      <w:bookmarkEnd w:id="126"/>
      <w:bookmarkEnd w:id="127"/>
      <w:r>
        <w:rPr>
          <w:rFonts w:hint="eastAsia" w:ascii="宋体" w:hAnsi="宋体" w:eastAsia="宋体" w:cs="宋体"/>
          <w:b/>
          <w:bCs/>
          <w:kern w:val="2"/>
          <w:sz w:val="24"/>
          <w:szCs w:val="24"/>
          <w:highlight w:val="none"/>
          <w:lang w:val="en-US" w:eastAsia="zh-CN" w:bidi="ar-SA"/>
        </w:rPr>
        <w:t>有下列情形之一的，视为投标人串通投标，其投标无效</w:t>
      </w:r>
    </w:p>
    <w:p w14:paraId="3C742C3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bookmarkStart w:id="128" w:name="_Toc9664"/>
      <w:bookmarkStart w:id="129" w:name="_Toc29743"/>
      <w:r>
        <w:rPr>
          <w:rFonts w:hint="eastAsia" w:ascii="宋体" w:hAnsi="宋体" w:eastAsia="宋体" w:cs="宋体"/>
          <w:kern w:val="2"/>
          <w:sz w:val="24"/>
          <w:szCs w:val="24"/>
          <w:highlight w:val="none"/>
          <w:lang w:val="en-US" w:eastAsia="zh-CN" w:bidi="ar-SA"/>
        </w:rPr>
        <w:t>1不同投标人的投标文件由同一单位或者个人编制；</w:t>
      </w:r>
    </w:p>
    <w:p w14:paraId="75383CD8">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2不同投标人委托同一单位或者个人办理投标事宜；</w:t>
      </w:r>
    </w:p>
    <w:p w14:paraId="130913D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3不同投标人的投标文件载明的项目管理成员或者联系人员为同一人；</w:t>
      </w:r>
    </w:p>
    <w:p w14:paraId="5BDCD27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4不同投标人的投标文件异常一致或者投标报价呈规律性差异；</w:t>
      </w:r>
    </w:p>
    <w:p w14:paraId="6EFE172B">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5不同投标人的投标文件相互混装；</w:t>
      </w:r>
    </w:p>
    <w:p w14:paraId="6DC766B5">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6不同投标人的投标保证金或购买电子保函支付款为从同一单位或个人的账户转出；</w:t>
      </w:r>
    </w:p>
    <w:p w14:paraId="08D17C47">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7投标人上传的电子投标文件使用该项目其他投标人的数字证书加密的或加盖该项目的其他投标人的电子印章的。</w:t>
      </w:r>
    </w:p>
    <w:p w14:paraId="6DE69B13">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说明：在评标过程中发现投标人有上述情形的，评标委员会应当认定其投标无效。同时，项目评审时被认定为串通投标的投标人不得参加该合同项下的采购活动。</w:t>
      </w:r>
    </w:p>
    <w:p w14:paraId="1DC31AAE">
      <w:pPr>
        <w:pStyle w:val="44"/>
        <w:pageBreakBefore w:val="0"/>
        <w:kinsoku/>
        <w:wordWrap/>
        <w:overflowPunct/>
        <w:topLinePunct w:val="0"/>
        <w:autoSpaceDE/>
        <w:autoSpaceDN/>
        <w:bidi w:val="0"/>
        <w:adjustRightInd/>
        <w:snapToGrid w:val="0"/>
        <w:spacing w:line="360" w:lineRule="auto"/>
        <w:ind w:left="0" w:leftChars="0" w:firstLine="482" w:firstLineChars="200"/>
        <w:textAlignment w:val="auto"/>
        <w:outlineLvl w:val="1"/>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（九）评标过程的监控</w:t>
      </w:r>
      <w:bookmarkEnd w:id="128"/>
      <w:bookmarkEnd w:id="129"/>
    </w:p>
    <w:p w14:paraId="70312E6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本项目评标过程实行录像监控、照片记录，且由监标人员进行现场监督，评标过程中所发生的试图影响评标结果的不公正活动，可能导致其投标被拒绝。</w:t>
      </w:r>
    </w:p>
    <w:p w14:paraId="586D24F2">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bookmarkStart w:id="130" w:name="_Toc10823"/>
      <w:bookmarkStart w:id="131" w:name="_Toc503212221"/>
      <w:bookmarkStart w:id="132" w:name="_Toc521014789"/>
      <w:bookmarkStart w:id="133" w:name="_Toc21069"/>
      <w:bookmarkStart w:id="134" w:name="_Toc2497"/>
      <w:bookmarkStart w:id="135" w:name="_Toc26644"/>
      <w:bookmarkStart w:id="136" w:name="_Toc28372"/>
      <w:r>
        <w:rPr>
          <w:rFonts w:hint="eastAsia" w:ascii="宋体" w:hAnsi="宋体" w:eastAsia="宋体" w:cs="宋体"/>
          <w:b/>
          <w:bCs/>
          <w:color w:val="000000"/>
          <w:kern w:val="2"/>
          <w:sz w:val="28"/>
          <w:szCs w:val="28"/>
          <w:highlight w:val="none"/>
          <w:lang w:val="en-US" w:eastAsia="zh-CN" w:bidi="ar-SA"/>
        </w:rPr>
        <w:t>（六）定标</w:t>
      </w:r>
      <w:bookmarkEnd w:id="130"/>
      <w:bookmarkEnd w:id="131"/>
      <w:bookmarkEnd w:id="132"/>
      <w:bookmarkEnd w:id="133"/>
      <w:bookmarkEnd w:id="134"/>
      <w:bookmarkEnd w:id="135"/>
      <w:bookmarkEnd w:id="136"/>
    </w:p>
    <w:p w14:paraId="332D9594">
      <w:pPr>
        <w:pageBreakBefore w:val="0"/>
        <w:kinsoku/>
        <w:wordWrap/>
        <w:overflowPunct/>
        <w:topLinePunct w:val="0"/>
        <w:autoSpaceDE/>
        <w:autoSpaceDN/>
        <w:bidi w:val="0"/>
        <w:adjustRightInd/>
        <w:snapToGrid w:val="0"/>
        <w:spacing w:line="360" w:lineRule="auto"/>
        <w:ind w:left="10" w:leftChars="0" w:firstLine="482"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确定中标人：</w:t>
      </w:r>
      <w:r>
        <w:rPr>
          <w:rFonts w:hint="eastAsia" w:ascii="宋体" w:hAnsi="宋体" w:eastAsia="宋体" w:cs="宋体"/>
          <w:kern w:val="2"/>
          <w:sz w:val="24"/>
          <w:szCs w:val="24"/>
          <w:highlight w:val="none"/>
          <w:lang w:val="en-US" w:eastAsia="zh-CN" w:bidi="ar-SA"/>
        </w:rPr>
        <w:t>本项目由招标人根据评标结果排名第一位的候选人为中标人。</w:t>
      </w:r>
    </w:p>
    <w:p w14:paraId="71B76276">
      <w:pPr>
        <w:pageBreakBefore w:val="0"/>
        <w:kinsoku/>
        <w:wordWrap/>
        <w:overflowPunct/>
        <w:topLinePunct w:val="0"/>
        <w:autoSpaceDE/>
        <w:autoSpaceDN/>
        <w:bidi w:val="0"/>
        <w:adjustRightInd/>
        <w:spacing w:line="360" w:lineRule="auto"/>
        <w:ind w:left="10" w:leftChars="0"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中标公告：</w:t>
      </w:r>
      <w:r>
        <w:rPr>
          <w:rFonts w:hint="eastAsia" w:ascii="宋体" w:hAnsi="宋体" w:eastAsia="宋体" w:cs="宋体"/>
          <w:sz w:val="24"/>
          <w:szCs w:val="24"/>
          <w:highlight w:val="none"/>
        </w:rPr>
        <w:t>中标供应商确定之日起2个工作日内，采购人或采购代理机构将在中国政府采购网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www.ccgp.gov.cn)、新疆政府采购网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http://www.ccgp-xinjiang.gov.cn/</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上以公告的形式发布中标结果，中标公告的公告期限为1个工作日。中标公告同时作为采购代理机构通知除中标供应商外的其他投标人没有中标的书面形式，采购代理机构不再</w:t>
      </w:r>
      <w:r>
        <w:rPr>
          <w:rFonts w:hint="eastAsia" w:ascii="宋体" w:hAnsi="宋体" w:cs="宋体"/>
          <w:sz w:val="24"/>
          <w:szCs w:val="24"/>
          <w:highlight w:val="none"/>
          <w:lang w:eastAsia="zh-CN"/>
        </w:rPr>
        <w:t>以其他方式</w:t>
      </w:r>
      <w:r>
        <w:rPr>
          <w:rFonts w:hint="eastAsia" w:ascii="宋体" w:hAnsi="宋体" w:eastAsia="宋体" w:cs="宋体"/>
          <w:sz w:val="24"/>
          <w:szCs w:val="24"/>
          <w:highlight w:val="none"/>
        </w:rPr>
        <w:t>另行通知。</w:t>
      </w:r>
    </w:p>
    <w:p w14:paraId="6B810B80">
      <w:pPr>
        <w:pageBreakBefore w:val="0"/>
        <w:kinsoku/>
        <w:wordWrap/>
        <w:overflowPunct/>
        <w:topLinePunct w:val="0"/>
        <w:autoSpaceDE/>
        <w:autoSpaceDN/>
        <w:bidi w:val="0"/>
        <w:adjustRightInd/>
        <w:spacing w:line="360" w:lineRule="auto"/>
        <w:ind w:left="10" w:leftChars="0"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中标通知书：</w:t>
      </w:r>
      <w:r>
        <w:rPr>
          <w:rFonts w:hint="eastAsia" w:ascii="宋体" w:hAnsi="宋体" w:eastAsia="宋体" w:cs="宋体"/>
          <w:sz w:val="24"/>
          <w:szCs w:val="24"/>
          <w:highlight w:val="none"/>
        </w:rPr>
        <w:t>中标通知书在发布中标公告时，同步</w:t>
      </w:r>
      <w:r>
        <w:rPr>
          <w:rFonts w:hint="eastAsia" w:ascii="宋体" w:hAnsi="宋体" w:cs="宋体"/>
          <w:sz w:val="24"/>
          <w:szCs w:val="24"/>
          <w:highlight w:val="none"/>
          <w:lang w:eastAsia="zh-CN"/>
        </w:rPr>
        <w:t>发出</w:t>
      </w:r>
      <w:r>
        <w:rPr>
          <w:rFonts w:hint="eastAsia" w:ascii="宋体" w:hAnsi="宋体" w:eastAsia="宋体" w:cs="宋体"/>
          <w:sz w:val="24"/>
          <w:szCs w:val="24"/>
          <w:highlight w:val="none"/>
        </w:rPr>
        <w:t>中标通知书至中标供应商。中标通知书发出后，采购人不得违法改变中标结果，中标供应商不得放弃中标。中标供应商放弃中标的，应当依法承担相应的法律责任。</w:t>
      </w:r>
    </w:p>
    <w:p w14:paraId="1627C1EF">
      <w:pPr>
        <w:pageBreakBefore w:val="0"/>
        <w:kinsoku/>
        <w:wordWrap/>
        <w:overflowPunct/>
        <w:topLinePunct w:val="0"/>
        <w:autoSpaceDE/>
        <w:autoSpaceDN/>
        <w:bidi w:val="0"/>
        <w:adjustRightInd/>
        <w:spacing w:line="360" w:lineRule="auto"/>
        <w:ind w:left="10" w:leftChars="0"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项目废标处理：</w:t>
      </w:r>
      <w:r>
        <w:rPr>
          <w:rFonts w:hint="eastAsia" w:ascii="宋体" w:hAnsi="宋体" w:eastAsia="宋体" w:cs="宋体"/>
          <w:sz w:val="24"/>
          <w:szCs w:val="24"/>
          <w:highlight w:val="none"/>
        </w:rPr>
        <w:t>根据《中华人民共和国政府采购法》第三十六条及招标文件的约定，本项目或分包下列情况出现将作废标处理：</w:t>
      </w:r>
    </w:p>
    <w:p w14:paraId="7346FFF9">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符合专业资格条件的投标人或者对招标文件作实质响应的有效投标人不足三家的（说明：使用综合评分法的采购项目，提供相同品牌产品且通过资格审查、符合性审查的不同投标人参加同一合同项下投标的，按一家投标人计算）。</w:t>
      </w:r>
    </w:p>
    <w:p w14:paraId="5C73FE36">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（2）出现影响采购公正的违法、违规行为的。</w:t>
      </w:r>
    </w:p>
    <w:p w14:paraId="1F693D07">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（3）投标人的报价均超过了采购预算，采购人不能支付的。</w:t>
      </w:r>
    </w:p>
    <w:p w14:paraId="06367052">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（4）因重大变故，采购任务取消的。</w:t>
      </w:r>
    </w:p>
    <w:p w14:paraId="56898647">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对废标的采购项目，评标委员会应出具采购文件是否存在不合理条款的论证意见。</w:t>
      </w:r>
    </w:p>
    <w:p w14:paraId="1AA9828D">
      <w:pPr>
        <w:pageBreakBefore w:val="0"/>
        <w:kinsoku/>
        <w:wordWrap/>
        <w:overflowPunct/>
        <w:topLinePunct w:val="0"/>
        <w:autoSpaceDE/>
        <w:autoSpaceDN/>
        <w:bidi w:val="0"/>
        <w:adjustRightInd/>
        <w:spacing w:line="360" w:lineRule="auto"/>
        <w:ind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终止公告：</w:t>
      </w:r>
      <w:r>
        <w:rPr>
          <w:rFonts w:hint="eastAsia" w:ascii="宋体" w:hAnsi="宋体" w:eastAsia="宋体" w:cs="宋体"/>
          <w:sz w:val="24"/>
          <w:szCs w:val="24"/>
          <w:highlight w:val="none"/>
        </w:rPr>
        <w:t>项目废标后，采购人或采购代理机构将在中国政府采购网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www.ccgp.gov.cn)、新疆政府采购网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http://www.ccgp-xinjiang.gov.cn/)、上发布终止公告，终止公告的公告期限为1个工作日。</w:t>
      </w:r>
    </w:p>
    <w:p w14:paraId="56912C95">
      <w:pPr>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000000"/>
          <w:sz w:val="24"/>
          <w:highlight w:val="none"/>
          <w:lang w:eastAsia="zh-CN"/>
        </w:rPr>
      </w:pPr>
      <w:bookmarkStart w:id="137" w:name="_Toc503212222"/>
      <w:bookmarkStart w:id="138" w:name="_Toc521014790"/>
      <w:bookmarkStart w:id="139" w:name="_Toc11259"/>
      <w:bookmarkStart w:id="140" w:name="_Toc20063"/>
      <w:bookmarkStart w:id="141" w:name="_Toc15327"/>
    </w:p>
    <w:p w14:paraId="2A7EF17F">
      <w:pPr>
        <w:pageBreakBefore w:val="0"/>
        <w:kinsoku/>
        <w:wordWrap/>
        <w:overflowPunct/>
        <w:topLinePunct w:val="0"/>
        <w:autoSpaceDE/>
        <w:autoSpaceDN/>
        <w:bidi w:val="0"/>
        <w:adjustRightInd/>
        <w:snapToGrid w:val="0"/>
        <w:spacing w:line="360" w:lineRule="auto"/>
        <w:ind w:firstLine="562" w:firstLineChars="200"/>
        <w:jc w:val="center"/>
        <w:textAlignment w:val="auto"/>
        <w:outlineLvl w:val="1"/>
        <w:rPr>
          <w:rFonts w:hint="eastAsia" w:ascii="宋体" w:hAnsi="宋体" w:eastAsia="宋体" w:cs="宋体"/>
          <w:color w:val="000000"/>
          <w:highlight w:val="none"/>
        </w:rPr>
      </w:pPr>
      <w:bookmarkStart w:id="142" w:name="_Toc20345"/>
      <w:bookmarkStart w:id="143" w:name="_Toc20117"/>
      <w:r>
        <w:rPr>
          <w:rFonts w:hint="eastAsia" w:ascii="宋体" w:hAnsi="宋体" w:eastAsia="宋体" w:cs="宋体"/>
          <w:b/>
          <w:bCs/>
          <w:color w:val="000000"/>
          <w:kern w:val="2"/>
          <w:sz w:val="28"/>
          <w:szCs w:val="28"/>
          <w:highlight w:val="none"/>
          <w:lang w:val="en-US" w:eastAsia="zh-CN" w:bidi="ar-SA"/>
        </w:rPr>
        <w:t>（七）合同授予</w:t>
      </w:r>
      <w:bookmarkEnd w:id="137"/>
      <w:bookmarkEnd w:id="138"/>
      <w:bookmarkEnd w:id="139"/>
      <w:bookmarkEnd w:id="140"/>
      <w:bookmarkEnd w:id="141"/>
      <w:bookmarkEnd w:id="142"/>
      <w:bookmarkEnd w:id="143"/>
    </w:p>
    <w:p w14:paraId="12C2DB10">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1.合同签订</w:t>
      </w:r>
    </w:p>
    <w:p w14:paraId="572F9085">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1.1采购人应当自《中标通知书》发出之日起</w:t>
      </w:r>
      <w:r>
        <w:rPr>
          <w:rFonts w:hint="eastAsia" w:ascii="宋体" w:hAnsi="宋体" w:eastAsia="宋体" w:cs="宋体"/>
          <w:sz w:val="24"/>
          <w:szCs w:val="24"/>
          <w:highlight w:val="none"/>
          <w:lang w:val="en-US" w:eastAsia="zh-CN"/>
        </w:rPr>
        <w:t>三</w:t>
      </w:r>
      <w:r>
        <w:rPr>
          <w:rFonts w:hint="eastAsia" w:ascii="宋体" w:hAnsi="宋体" w:eastAsia="宋体" w:cs="宋体"/>
          <w:sz w:val="24"/>
          <w:szCs w:val="24"/>
          <w:highlight w:val="none"/>
        </w:rPr>
        <w:t>十日内，按照招标文件和中标供应商投标文件的约定，与中标供应商签订合同。所签订的合同不得对招标文件和中标供应商投标文件作实质性修改。超过</w:t>
      </w:r>
      <w:r>
        <w:rPr>
          <w:rFonts w:hint="eastAsia" w:ascii="宋体" w:hAnsi="宋体" w:cs="宋体"/>
          <w:sz w:val="24"/>
          <w:szCs w:val="24"/>
          <w:highlight w:val="none"/>
          <w:lang w:eastAsia="zh-CN"/>
        </w:rPr>
        <w:t>1年</w:t>
      </w:r>
      <w:r>
        <w:rPr>
          <w:rFonts w:hint="eastAsia" w:ascii="宋体" w:hAnsi="宋体" w:eastAsia="宋体" w:cs="宋体"/>
          <w:sz w:val="24"/>
          <w:szCs w:val="24"/>
          <w:highlight w:val="none"/>
        </w:rPr>
        <w:t>尚未完成政府采购合同签订的政府采购项目，采购人应当登录新疆政府采购网，填报未能依法签订政府采购合同的具体原因、整改措施和预计签订合同时间等信息。</w:t>
      </w:r>
    </w:p>
    <w:p w14:paraId="04836570">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1.2采购人不得提出试用合格等任何不合理的要求作为签订合同的条件，且不得与中标供应商私下订立背离合同实质性内容的协议。</w:t>
      </w:r>
    </w:p>
    <w:p w14:paraId="7813B7E3">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1.3采购人应当自政府采购合同签订之日起2个工作日内，将政府采购合同在省级以上人民政府财政部门指定的媒体上公告，但政府采购合同中涉及国家秘密、商业秘密的内容除外。</w:t>
      </w:r>
    </w:p>
    <w:p w14:paraId="649AFED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采购人应当自政府采购合同签订之日起2个工作日内，登录新疆政府采购网上传政府采购合同扫描版，如实填报政府采购合同的签订时间。依法签订的补充合同，也应在补充合同签订之日起2个工作日内公开并备案采购合同。</w:t>
      </w:r>
    </w:p>
    <w:p w14:paraId="1BFE7811">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2.合同的履行</w:t>
      </w:r>
    </w:p>
    <w:p w14:paraId="5BCA2BFC">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2.1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14:paraId="5C543933">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2.2政府采购合同履行中，采购人需追加与合同标的相同的货物、工程或者服务的，在不改变合同其他条款的前提下，可以与中标供应商签订补充合同，但所补充合同的采购金额不得超过原采购金额的10%。依法签订的补充合同，也应在补充合同签订之日起2个工作日内登录新疆政府采购网上传备案。</w:t>
      </w:r>
    </w:p>
    <w:p w14:paraId="0927F129">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2.3有融资要求的中标供应商可根据自身情况，在新疆政府采购网上自行选择金融机构及其融资产品，凭政府采购中标通知书或政府采购合同向金融机构提出融资申请。</w:t>
      </w:r>
    </w:p>
    <w:p w14:paraId="596180CB">
      <w:pPr>
        <w:snapToGrid w:val="0"/>
        <w:spacing w:line="360" w:lineRule="auto"/>
        <w:ind w:firstLine="562" w:firstLineChars="200"/>
        <w:jc w:val="center"/>
        <w:outlineLvl w:val="1"/>
        <w:rPr>
          <w:rFonts w:hint="eastAsia" w:ascii="宋体" w:hAnsi="宋体" w:eastAsia="宋体" w:cs="宋体"/>
          <w:b/>
          <w:bCs/>
          <w:color w:val="000000"/>
          <w:kern w:val="2"/>
          <w:sz w:val="28"/>
          <w:szCs w:val="28"/>
          <w:highlight w:val="none"/>
          <w:lang w:val="en-US" w:eastAsia="zh-CN" w:bidi="ar-SA"/>
        </w:rPr>
      </w:pPr>
      <w:bookmarkStart w:id="144" w:name="_Toc17664"/>
      <w:bookmarkStart w:id="145" w:name="_Toc115436070"/>
      <w:bookmarkStart w:id="146" w:name="_Toc28496"/>
      <w:bookmarkStart w:id="147" w:name="_Toc18703"/>
      <w:r>
        <w:rPr>
          <w:rFonts w:hint="eastAsia" w:ascii="宋体" w:hAnsi="宋体" w:eastAsia="宋体" w:cs="宋体"/>
          <w:b/>
          <w:bCs/>
          <w:color w:val="000000"/>
          <w:kern w:val="2"/>
          <w:sz w:val="28"/>
          <w:szCs w:val="28"/>
          <w:highlight w:val="none"/>
          <w:lang w:val="en-US" w:eastAsia="zh-CN" w:bidi="ar-SA"/>
        </w:rPr>
        <w:t>（八）法律责任</w:t>
      </w:r>
      <w:bookmarkEnd w:id="144"/>
      <w:bookmarkEnd w:id="145"/>
    </w:p>
    <w:p w14:paraId="710D4CD4">
      <w:pPr>
        <w:keepNext w:val="0"/>
        <w:keepLines w:val="0"/>
        <w:pageBreakBefore w:val="0"/>
        <w:widowControl w:val="0"/>
        <w:shd w:val="clear" w:color="auto" w:fill="auto"/>
        <w:kinsoku/>
        <w:wordWrap/>
        <w:overflowPunct/>
        <w:topLinePunct w:val="0"/>
        <w:autoSpaceDE/>
        <w:autoSpaceDN/>
        <w:bidi w:val="0"/>
        <w:adjustRightInd/>
        <w:spacing w:line="360" w:lineRule="auto"/>
        <w:ind w:right="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法律责任</w:t>
      </w:r>
    </w:p>
    <w:p w14:paraId="21CE6E83">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3B4D0C96">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（一）提供虚假材料谋取中标的；</w:t>
      </w:r>
    </w:p>
    <w:p w14:paraId="56662F7D">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（二）采取不正当手段诋毁、排挤其他投标人的；</w:t>
      </w:r>
    </w:p>
    <w:p w14:paraId="37CD43BE">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（三）与招标人、采购人、其他投标人恶意串通的；</w:t>
      </w:r>
    </w:p>
    <w:p w14:paraId="409E78DE">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（四）向招标人、采购人行贿或者提供其他不正当利益的；</w:t>
      </w:r>
    </w:p>
    <w:p w14:paraId="5C69B598">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（五）在招标过程中与招标人、采购人进行协商谈判、不按照招标文件、投标文件订立合同，或者与采购人另行订立背离合同实质性内容的协议的；</w:t>
      </w:r>
    </w:p>
    <w:p w14:paraId="5E9F6A34">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（六）拒绝有关部门监督检查或者提供虚假情况的。</w:t>
      </w:r>
    </w:p>
    <w:p w14:paraId="58FCC413">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投标人有前款第（一）至（五）项情形之一的，中标无效。</w:t>
      </w:r>
    </w:p>
    <w:p w14:paraId="101BC723">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2.中标人有下列情形之一的，招标人不予退还其</w:t>
      </w:r>
      <w:r>
        <w:rPr>
          <w:rFonts w:hint="eastAsia" w:hAnsi="宋体" w:cs="宋体"/>
          <w:kern w:val="2"/>
          <w:sz w:val="24"/>
          <w:szCs w:val="24"/>
          <w:highlight w:val="none"/>
          <w:lang w:val="en-US" w:eastAsia="zh-CN" w:bidi="ar-SA"/>
        </w:rPr>
        <w:t>缴纳</w:t>
      </w:r>
      <w:r>
        <w:rPr>
          <w:rFonts w:hint="eastAsia" w:ascii="宋体" w:hAnsi="宋体" w:eastAsia="宋体" w:cs="宋体"/>
          <w:kern w:val="2"/>
          <w:sz w:val="24"/>
          <w:szCs w:val="24"/>
          <w:highlight w:val="none"/>
          <w:lang w:val="en-US" w:eastAsia="zh-CN" w:bidi="ar-SA"/>
        </w:rPr>
        <w:t>的投标保证金；情节严重的，由财政部门将其列入不良行为记录名单，在一至三年内禁止参加政府采购活动，并予以通报：</w:t>
      </w:r>
    </w:p>
    <w:p w14:paraId="126918B4">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（一）中标后无正当理由不与采购人签订合同的；</w:t>
      </w:r>
    </w:p>
    <w:p w14:paraId="35F44394">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（二）将中标项目转让给他人，或者在投标文件中未说明，且未经招标人同意，将中标项目分包给他人的；</w:t>
      </w:r>
    </w:p>
    <w:p w14:paraId="7422AE43">
      <w:pPr>
        <w:pStyle w:val="44"/>
        <w:keepNext w:val="0"/>
        <w:keepLines w:val="0"/>
        <w:pageBreakBefore w:val="0"/>
        <w:widowControl w:val="0"/>
        <w:kinsoku/>
        <w:wordWrap/>
        <w:overflowPunct/>
        <w:topLinePunct w:val="0"/>
        <w:autoSpaceDE/>
        <w:autoSpaceDN/>
        <w:bidi w:val="0"/>
        <w:adjustRightInd/>
        <w:snapToGrid w:val="0"/>
        <w:spacing w:line="360" w:lineRule="auto"/>
        <w:ind w:left="210" w:leftChars="10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（三）拒绝履行合同义务的。</w:t>
      </w:r>
    </w:p>
    <w:p w14:paraId="284E8C36">
      <w:pPr>
        <w:numPr>
          <w:ilvl w:val="0"/>
          <w:numId w:val="0"/>
        </w:numPr>
        <w:shd w:val="clear" w:color="auto" w:fill="auto"/>
        <w:spacing w:line="460" w:lineRule="exact"/>
        <w:ind w:leftChars="-50" w:right="62" w:rightChars="0"/>
        <w:jc w:val="center"/>
        <w:outlineLvl w:val="1"/>
        <w:rPr>
          <w:rFonts w:hint="eastAsia" w:ascii="宋体" w:hAnsi="宋体" w:eastAsia="宋体" w:cs="宋体"/>
          <w:b/>
          <w:color w:val="auto"/>
          <w:sz w:val="28"/>
          <w:szCs w:val="28"/>
          <w:highlight w:val="none"/>
        </w:rPr>
      </w:pPr>
      <w:bookmarkStart w:id="148" w:name="_Toc115436071"/>
      <w:bookmarkStart w:id="149" w:name="_Toc5688"/>
      <w:r>
        <w:rPr>
          <w:rFonts w:hint="eastAsia" w:ascii="宋体" w:hAnsi="宋体" w:eastAsia="宋体" w:cs="宋体"/>
          <w:b/>
          <w:bCs/>
          <w:color w:val="000000"/>
          <w:kern w:val="2"/>
          <w:sz w:val="28"/>
          <w:szCs w:val="28"/>
          <w:highlight w:val="none"/>
          <w:lang w:val="en-US" w:eastAsia="zh-CN" w:bidi="ar-SA"/>
        </w:rPr>
        <w:t>（九）</w:t>
      </w:r>
      <w:r>
        <w:rPr>
          <w:rFonts w:hint="eastAsia" w:ascii="宋体" w:hAnsi="宋体" w:eastAsia="宋体" w:cs="宋体"/>
          <w:b/>
          <w:color w:val="auto"/>
          <w:sz w:val="28"/>
          <w:szCs w:val="28"/>
          <w:highlight w:val="none"/>
        </w:rPr>
        <w:t>特别提示</w:t>
      </w:r>
      <w:bookmarkEnd w:id="146"/>
      <w:bookmarkEnd w:id="147"/>
      <w:bookmarkEnd w:id="148"/>
      <w:bookmarkEnd w:id="149"/>
    </w:p>
    <w:p w14:paraId="13323B8C">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1、投标人应认真研读招标文件，充分考虑招标文件中的技术要求和合同条款后编制投标文件。</w:t>
      </w:r>
    </w:p>
    <w:p w14:paraId="2CDBA3AE">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2、如招标文件中未提供的各类表格样式，投标人可另行设计表格样式，但力求内容完整，表达清晰、准确。</w:t>
      </w:r>
    </w:p>
    <w:p w14:paraId="26779D3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3、本项目实行网上投标，采用电子投标文件。若供应商参与投标，自行承担投标一切费用。</w:t>
      </w:r>
    </w:p>
    <w:p w14:paraId="7FC1F57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4、各供应商应在开标前应确保成为正式注册入库供应商，并完成CA数字证书申领。因未注册入库、未办理CA数字证书等原因造成无法投标或投标失败等后果由供应商自行承担。</w:t>
      </w:r>
    </w:p>
    <w:p w14:paraId="4792F66E">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5、本项目为电子招投标，投标人需要使用CA加密设备，有意向参与新疆区域电子开评标的供应商，请访问新疆数字证书认证中心官方网站（https://www.xjca.com.cn/）或下载</w:t>
      </w:r>
      <w:r>
        <w:rPr>
          <w:rFonts w:hint="eastAsia" w:ascii="宋体"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“新疆政务通”APP自行进行申领。如需咨询，请联系新疆CA服务热线0991-2819290</w:t>
      </w:r>
    </w:p>
    <w:p w14:paraId="32BE951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2A94FC1B">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7、本招标文件是根据《中华人民共和国招标投标法》规定编制的，解释权属</w:t>
      </w:r>
      <w:r>
        <w:rPr>
          <w:rFonts w:hint="eastAsia" w:ascii="宋体" w:hAnsi="宋体" w:cs="宋体"/>
          <w:kern w:val="2"/>
          <w:sz w:val="24"/>
          <w:szCs w:val="24"/>
          <w:highlight w:val="none"/>
          <w:lang w:val="en-US" w:eastAsia="zh-CN" w:bidi="ar-SA"/>
        </w:rPr>
        <w:t>新疆晓君招标有限公司</w:t>
      </w:r>
      <w:r>
        <w:rPr>
          <w:rFonts w:hint="eastAsia" w:ascii="宋体" w:hAnsi="宋体" w:eastAsia="宋体" w:cs="宋体"/>
          <w:kern w:val="2"/>
          <w:sz w:val="24"/>
          <w:szCs w:val="24"/>
          <w:highlight w:val="none"/>
          <w:lang w:val="en-US" w:eastAsia="zh-CN" w:bidi="ar-SA"/>
        </w:rPr>
        <w:t>。</w:t>
      </w:r>
    </w:p>
    <w:p w14:paraId="50DA2909">
      <w:pPr>
        <w:numPr>
          <w:ilvl w:val="0"/>
          <w:numId w:val="0"/>
        </w:numPr>
        <w:shd w:val="clear" w:color="auto" w:fill="auto"/>
        <w:spacing w:line="460" w:lineRule="exact"/>
        <w:ind w:leftChars="-50" w:right="62" w:rightChars="0"/>
        <w:jc w:val="center"/>
        <w:outlineLvl w:val="1"/>
        <w:rPr>
          <w:rFonts w:hint="eastAsia" w:ascii="宋体" w:hAnsi="宋体" w:eastAsia="宋体" w:cs="宋体"/>
          <w:b/>
          <w:color w:val="auto"/>
          <w:sz w:val="28"/>
          <w:szCs w:val="28"/>
          <w:highlight w:val="none"/>
        </w:rPr>
      </w:pPr>
      <w:bookmarkStart w:id="150" w:name="_Toc4516"/>
      <w:bookmarkStart w:id="151" w:name="_Toc115436072"/>
      <w:r>
        <w:rPr>
          <w:rFonts w:hint="eastAsia" w:ascii="宋体" w:hAnsi="宋体" w:eastAsia="宋体" w:cs="宋体"/>
          <w:b/>
          <w:bCs/>
          <w:color w:val="000000"/>
          <w:kern w:val="2"/>
          <w:sz w:val="28"/>
          <w:szCs w:val="28"/>
          <w:highlight w:val="none"/>
          <w:lang w:val="en-US" w:eastAsia="zh-CN" w:bidi="ar-SA"/>
        </w:rPr>
        <w:t>（十）</w:t>
      </w:r>
      <w:r>
        <w:rPr>
          <w:rFonts w:hint="eastAsia" w:ascii="宋体" w:hAnsi="宋体" w:eastAsia="宋体" w:cs="宋体"/>
          <w:b/>
          <w:color w:val="auto"/>
          <w:sz w:val="28"/>
          <w:szCs w:val="28"/>
          <w:highlight w:val="none"/>
        </w:rPr>
        <w:t>重新招标和其他方式采购</w:t>
      </w:r>
      <w:bookmarkEnd w:id="150"/>
      <w:bookmarkEnd w:id="151"/>
    </w:p>
    <w:p w14:paraId="0374BF5D">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1.重新招标</w:t>
      </w:r>
    </w:p>
    <w:p w14:paraId="78584342">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1.1在招标采购中，出现下列情形之一的，应当在废标后重新招标：</w:t>
      </w:r>
    </w:p>
    <w:p w14:paraId="20C4169C">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（1）符合专业条件的供应商或者对招标文件作实质响应的供应商不足三家的；</w:t>
      </w:r>
    </w:p>
    <w:p w14:paraId="7B55D5C7">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（2）出现影响采购公正的违法、违规行为的；</w:t>
      </w:r>
    </w:p>
    <w:p w14:paraId="587325C9">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（3）投标人的报价均超过了采购预算，采购人不能支付的；</w:t>
      </w:r>
    </w:p>
    <w:p w14:paraId="4878DE17">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（4）因重大变故，采购任务取消的。</w:t>
      </w:r>
    </w:p>
    <w:p w14:paraId="02C0A0CF">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1.2如果排名第一、二的中标候选人，直至排名第三的中标候选人因不可抗力或自身原因放弃中标结果，本次招标宣布失败。招标人应依法按规定重新组织招标。</w:t>
      </w:r>
    </w:p>
    <w:p w14:paraId="606955F5">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2其他方式采购</w:t>
      </w:r>
    </w:p>
    <w:p w14:paraId="24CE0A98">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2.1需要采取其他方式采购的，应当在采购活动开始前获得设区的市、自治州以上人民政府采购监督管理部门或者政府有关部门批准。</w:t>
      </w:r>
    </w:p>
    <w:p w14:paraId="5E54E501">
      <w:pPr>
        <w:shd w:val="clear" w:color="auto" w:fill="auto"/>
        <w:spacing w:line="460" w:lineRule="exact"/>
        <w:jc w:val="center"/>
        <w:outlineLvl w:val="1"/>
        <w:rPr>
          <w:rFonts w:hint="eastAsia" w:ascii="宋体" w:hAnsi="宋体" w:eastAsia="宋体" w:cs="宋体"/>
          <w:color w:val="auto"/>
          <w:sz w:val="24"/>
          <w:highlight w:val="none"/>
          <w:lang w:val="en-US" w:eastAsia="zh-CN"/>
        </w:rPr>
      </w:pPr>
      <w:bookmarkStart w:id="152" w:name="_Toc2805"/>
      <w:bookmarkStart w:id="153" w:name="_Toc115436073"/>
      <w:bookmarkStart w:id="154" w:name="_Toc26775"/>
      <w:bookmarkStart w:id="155" w:name="_Toc13351"/>
      <w:r>
        <w:rPr>
          <w:rFonts w:hint="eastAsia" w:ascii="宋体" w:hAnsi="宋体" w:eastAsia="宋体" w:cs="宋体"/>
          <w:b/>
          <w:bCs/>
          <w:color w:val="000000"/>
          <w:kern w:val="2"/>
          <w:sz w:val="28"/>
          <w:szCs w:val="28"/>
          <w:highlight w:val="none"/>
          <w:lang w:val="en-US" w:eastAsia="zh-CN" w:bidi="ar-SA"/>
        </w:rPr>
        <w:t>（十</w:t>
      </w:r>
      <w:r>
        <w:rPr>
          <w:rFonts w:hint="eastAsia" w:ascii="宋体" w:hAnsi="宋体" w:eastAsia="宋体" w:cs="宋体"/>
          <w:b/>
          <w:color w:val="auto"/>
          <w:sz w:val="28"/>
          <w:szCs w:val="28"/>
          <w:highlight w:val="none"/>
        </w:rPr>
        <w:t>一</w:t>
      </w:r>
      <w:r>
        <w:rPr>
          <w:rFonts w:hint="eastAsia" w:ascii="宋体" w:hAnsi="宋体" w:eastAsia="宋体" w:cs="宋体"/>
          <w:b/>
          <w:bCs/>
          <w:color w:val="000000"/>
          <w:kern w:val="2"/>
          <w:sz w:val="28"/>
          <w:szCs w:val="28"/>
          <w:highlight w:val="none"/>
          <w:lang w:val="en-US" w:eastAsia="zh-CN" w:bidi="ar-SA"/>
        </w:rPr>
        <w:t>）</w:t>
      </w:r>
      <w:r>
        <w:rPr>
          <w:rFonts w:hint="eastAsia" w:ascii="宋体" w:hAnsi="宋体" w:eastAsia="宋体" w:cs="宋体"/>
          <w:b/>
          <w:color w:val="auto"/>
          <w:sz w:val="28"/>
          <w:highlight w:val="none"/>
        </w:rPr>
        <w:t>质疑及答复</w:t>
      </w:r>
      <w:bookmarkEnd w:id="152"/>
      <w:bookmarkEnd w:id="153"/>
      <w:bookmarkEnd w:id="154"/>
      <w:bookmarkEnd w:id="155"/>
      <w:r>
        <w:rPr>
          <w:rFonts w:hint="eastAsia" w:ascii="宋体" w:hAnsi="宋体" w:eastAsia="宋体" w:cs="宋体"/>
          <w:b/>
          <w:color w:val="auto"/>
          <w:sz w:val="28"/>
          <w:highlight w:val="none"/>
          <w:lang w:eastAsia="zh-CN"/>
        </w:rPr>
        <w:t>、</w:t>
      </w:r>
      <w:r>
        <w:rPr>
          <w:rFonts w:hint="eastAsia" w:ascii="宋体" w:hAnsi="宋体" w:eastAsia="宋体" w:cs="宋体"/>
          <w:b/>
          <w:color w:val="auto"/>
          <w:sz w:val="28"/>
          <w:highlight w:val="none"/>
          <w:lang w:val="en-US" w:eastAsia="zh-CN"/>
        </w:rPr>
        <w:t>投诉</w:t>
      </w:r>
    </w:p>
    <w:p w14:paraId="5FA85137">
      <w:pPr>
        <w:shd w:val="clear" w:color="auto" w:fill="auto"/>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rPr>
        <w:t>、质疑的提出</w:t>
      </w:r>
      <w:r>
        <w:rPr>
          <w:rFonts w:hint="eastAsia" w:ascii="宋体" w:hAnsi="宋体" w:eastAsia="宋体" w:cs="宋体"/>
          <w:color w:val="auto"/>
          <w:sz w:val="24"/>
          <w:highlight w:val="none"/>
        </w:rPr>
        <w:tab/>
      </w:r>
    </w:p>
    <w:p w14:paraId="4D08623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1本采购文件中所称质疑及答复，是指参加本次采购活动的供应商对政府采购活动中的采购文件、采购过程和中标结果向采购方</w:t>
      </w:r>
      <w:r>
        <w:rPr>
          <w:rFonts w:hint="eastAsia" w:ascii="宋体" w:hAnsi="宋体" w:eastAsia="宋体" w:cs="宋体"/>
          <w:color w:val="auto"/>
          <w:sz w:val="24"/>
          <w:highlight w:val="none"/>
          <w:lang w:eastAsia="zh-CN"/>
        </w:rPr>
        <w:t>一次性</w:t>
      </w:r>
      <w:r>
        <w:rPr>
          <w:rFonts w:hint="eastAsia" w:ascii="宋体" w:hAnsi="宋体" w:eastAsia="宋体" w:cs="宋体"/>
          <w:color w:val="auto"/>
          <w:sz w:val="24"/>
          <w:highlight w:val="none"/>
        </w:rPr>
        <w:t>提出质疑，采购方答复质疑的行为。</w:t>
      </w:r>
    </w:p>
    <w:p w14:paraId="11FBA2B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.2供应商认为采购文件、采购过程和中标结果使自己的权益受到损害的，可以在知道或者应知其权益受到损害之日起7个工作日内，以书面形式</w:t>
      </w:r>
      <w:r>
        <w:rPr>
          <w:rFonts w:hint="eastAsia" w:ascii="宋体" w:hAnsi="宋体" w:eastAsia="宋体" w:cs="宋体"/>
          <w:color w:val="auto"/>
          <w:sz w:val="24"/>
          <w:highlight w:val="none"/>
          <w:lang w:eastAsia="zh-CN"/>
        </w:rPr>
        <w:t>一次性</w:t>
      </w:r>
      <w:r>
        <w:rPr>
          <w:rFonts w:hint="eastAsia" w:ascii="宋体" w:hAnsi="宋体" w:eastAsia="宋体" w:cs="宋体"/>
          <w:color w:val="auto"/>
          <w:sz w:val="24"/>
          <w:highlight w:val="none"/>
        </w:rPr>
        <w:t>向采购方提出质疑。</w:t>
      </w:r>
    </w:p>
    <w:p w14:paraId="1C766AB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供应商应知其权益受到损害之日，是指：</w:t>
      </w:r>
    </w:p>
    <w:p w14:paraId="0E82EB7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（一）对可以质疑的采购文件提出质疑的，为收到采购文件之日或者采购文件公告期限届满之日；</w:t>
      </w:r>
    </w:p>
    <w:p w14:paraId="38574C5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（二）对采购过程提出质疑的，为各采购程序环节结束之日；</w:t>
      </w:r>
    </w:p>
    <w:p w14:paraId="1135C92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（三）对中标结果提出质疑的，为中标结果公告期限届满之日。</w:t>
      </w:r>
    </w:p>
    <w:p w14:paraId="2B86209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1.4</w:t>
      </w:r>
      <w:r>
        <w:rPr>
          <w:rFonts w:hint="eastAsia" w:ascii="宋体" w:hAnsi="宋体" w:eastAsia="宋体" w:cs="宋体"/>
          <w:color w:val="auto"/>
          <w:sz w:val="24"/>
          <w:highlight w:val="none"/>
        </w:rPr>
        <w:t>对可以质疑的采购文件提出质疑的，质疑人为参与本项目的报价方或潜在报价方。可质疑的文件为采购公告以及采购文件（包括属于其组成部分的澄清、修改、补充文件和评审标准、合同文本等）。</w:t>
      </w:r>
    </w:p>
    <w:p w14:paraId="6537D05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rPr>
        <w:t>对采购过程和中标结果提出质疑的，质疑人为直接参与本项目的报价方。采购过程</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即从采购项目信息公告发布起到中标结果公告止，包括采购文件的发出、提交投标文件、投标文件开启、评审等各个采购程序环节。</w:t>
      </w:r>
    </w:p>
    <w:p w14:paraId="1E0C82DD">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1.6</w:t>
      </w:r>
      <w:r>
        <w:rPr>
          <w:rFonts w:hint="eastAsia" w:ascii="宋体" w:hAnsi="宋体" w:eastAsia="宋体" w:cs="宋体"/>
          <w:color w:val="auto"/>
          <w:sz w:val="24"/>
          <w:highlight w:val="none"/>
        </w:rPr>
        <w:t>提出质疑应当符合下列条件：</w:t>
      </w:r>
    </w:p>
    <w:p w14:paraId="28F1335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（一）质疑主体应当符合有关规定；</w:t>
      </w:r>
    </w:p>
    <w:p w14:paraId="0B4F4AD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（二）在质疑法定期限内提出；</w:t>
      </w:r>
    </w:p>
    <w:p w14:paraId="3CE83CC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（三）属于可以提出质疑的政府采购事项受理范围和本项目采购人的管辖权范围；</w:t>
      </w:r>
    </w:p>
    <w:p w14:paraId="6E3C87C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（四）政府采购法律、法规、规章规定的其他条件。</w:t>
      </w:r>
    </w:p>
    <w:p w14:paraId="2F2FED5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1.7</w:t>
      </w:r>
      <w:r>
        <w:rPr>
          <w:rFonts w:hint="eastAsia" w:ascii="宋体" w:hAnsi="宋体" w:eastAsia="宋体" w:cs="宋体"/>
          <w:color w:val="auto"/>
          <w:sz w:val="24"/>
          <w:highlight w:val="none"/>
        </w:rPr>
        <w:t>提出质疑应当具有明确的请求和提供必要的证明材料。明确</w:t>
      </w:r>
      <w:r>
        <w:rPr>
          <w:rFonts w:hint="eastAsia" w:ascii="宋体" w:hAnsi="宋体" w:cs="宋体"/>
          <w:color w:val="auto"/>
          <w:sz w:val="24"/>
          <w:highlight w:val="none"/>
          <w:lang w:eastAsia="zh-CN"/>
        </w:rPr>
        <w:t>地</w:t>
      </w:r>
      <w:r>
        <w:rPr>
          <w:rFonts w:hint="eastAsia" w:ascii="宋体" w:hAnsi="宋体" w:eastAsia="宋体" w:cs="宋体"/>
          <w:color w:val="auto"/>
          <w:sz w:val="24"/>
          <w:highlight w:val="none"/>
        </w:rPr>
        <w:t>请求</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即质疑人在质疑函中提出的，要求采购方对其予以支持的主张。必要的证明材料</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即能够证明质疑人的质疑请求成立的必要材料，包括相关证据、依据和其他有关材料。</w:t>
      </w:r>
    </w:p>
    <w:p w14:paraId="766F77F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1.8</w:t>
      </w:r>
      <w:r>
        <w:rPr>
          <w:rFonts w:hint="eastAsia" w:ascii="宋体" w:hAnsi="宋体" w:eastAsia="宋体" w:cs="宋体"/>
          <w:color w:val="auto"/>
          <w:sz w:val="24"/>
          <w:highlight w:val="none"/>
        </w:rPr>
        <w:t>质疑人所提供的证明材料应当具有真实性、合法性以及与质疑事项的关联性和证明力，否则不能作为认定该质疑事项成立的依据。</w:t>
      </w:r>
    </w:p>
    <w:p w14:paraId="647E4E9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1.9</w:t>
      </w:r>
      <w:r>
        <w:rPr>
          <w:rFonts w:hint="eastAsia" w:ascii="宋体" w:hAnsi="宋体" w:eastAsia="宋体" w:cs="宋体"/>
          <w:color w:val="auto"/>
          <w:sz w:val="24"/>
          <w:highlight w:val="none"/>
        </w:rPr>
        <w:t>质疑人提出质疑时应当提交质疑函。质疑函包括下列内容：</w:t>
      </w:r>
    </w:p>
    <w:p w14:paraId="7F524413">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（一）提出质疑的质疑人的名称、地址、邮编、联系人及联系电话等；</w:t>
      </w:r>
    </w:p>
    <w:p w14:paraId="48824CFD">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（二）质疑项目的名称、编号；</w:t>
      </w:r>
    </w:p>
    <w:p w14:paraId="72CD11D3">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（三）质疑事项；</w:t>
      </w:r>
    </w:p>
    <w:p w14:paraId="3759AF74">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（四）事实依据和证明材料；</w:t>
      </w:r>
    </w:p>
    <w:p w14:paraId="3CE666A9">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（五）法律依据；</w:t>
      </w:r>
    </w:p>
    <w:p w14:paraId="4502E1C5">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（六）提出质疑的日期。</w:t>
      </w:r>
    </w:p>
    <w:p w14:paraId="4A17B2E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1.10</w:t>
      </w:r>
      <w:r>
        <w:rPr>
          <w:rFonts w:hint="eastAsia" w:ascii="宋体" w:hAnsi="宋体" w:eastAsia="宋体" w:cs="宋体"/>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522ADF0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w:t>
      </w:r>
      <w:r>
        <w:rPr>
          <w:rFonts w:hint="eastAsia" w:ascii="宋体" w:hAnsi="宋体" w:eastAsia="宋体" w:cs="宋体"/>
          <w:color w:val="auto"/>
          <w:sz w:val="24"/>
          <w:highlight w:val="none"/>
        </w:rPr>
        <w:t>质疑人可以委托代理人进行质疑。代理人应当提交授权委托书。授权委托书应当载明委托代理的具体权限、期限和相关事项。</w:t>
      </w:r>
    </w:p>
    <w:p w14:paraId="563231ED">
      <w:pPr>
        <w:shd w:val="clear" w:color="auto" w:fill="auto"/>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、质疑的审查和受理</w:t>
      </w:r>
    </w:p>
    <w:p w14:paraId="19341B1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.1采购方在收到质疑函后应当及时审查是否符合质疑受理条件，对符合质疑受理条件的，及时予以受理。</w:t>
      </w:r>
    </w:p>
    <w:p w14:paraId="7A256EE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.2对不符合质疑受理条件的，分别按照下列不同情形予以处理：</w:t>
      </w:r>
    </w:p>
    <w:p w14:paraId="4F24670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（一）质疑函内容不符合规定的，告知质疑人进行修改并重新提出质疑。修改后质疑事项仍不具体、不明确或者最终递交质疑函的时间超过质疑法定期限的，不予受理；</w:t>
      </w:r>
    </w:p>
    <w:p w14:paraId="2281ACD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（二）质疑主体不符合有关规定的，告知质疑人不予受理；</w:t>
      </w:r>
    </w:p>
    <w:p w14:paraId="37DF19A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（三）超过质疑法定期限提出质疑的，告知质疑人不予受理；</w:t>
      </w:r>
    </w:p>
    <w:p w14:paraId="25C18FB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（四）对不属于可以提出质疑的政府采购事项提出质疑的，告知质疑人不予受理；</w:t>
      </w:r>
    </w:p>
    <w:p w14:paraId="32CB531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（五）质疑不属于本项目采购方管辖的，告知质疑人向有管辖权的采购人提出质疑；</w:t>
      </w:r>
    </w:p>
    <w:p w14:paraId="3E66844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（六）质疑不符合其他条件的，告知质疑人不予受理。</w:t>
      </w:r>
    </w:p>
    <w:p w14:paraId="388C6E54">
      <w:pPr>
        <w:shd w:val="clear" w:color="auto" w:fill="auto"/>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、质疑的处理和答复</w:t>
      </w:r>
    </w:p>
    <w:p w14:paraId="061EB04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.1按照《政府采购质疑和投诉办法（财政部94号令）》处理及答复质疑。</w:t>
      </w:r>
    </w:p>
    <w:p w14:paraId="65DD0DE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.2采购方受理质疑后，将及时把质疑函发送给被质疑人，并要求其在一定限期人提交书面答复，同时提供有关证据、依据和相关材料。</w:t>
      </w:r>
    </w:p>
    <w:p w14:paraId="3E7F908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.3对于质疑事项中涉及的问题较多、情况比较复杂的，为了全面查清事实、取得充分的证据，采购方认为有必要时，可以进行调查取证或者组织质证。</w:t>
      </w:r>
    </w:p>
    <w:p w14:paraId="6AA8C59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.4对评审过程、中标结果提出质疑的，采购方可以组织原评审委员会协助答复质疑。</w:t>
      </w:r>
    </w:p>
    <w:p w14:paraId="6ECBC32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.5质疑处理过程中，质疑人书面申请撤回质疑的，将终止质疑处理程序。</w:t>
      </w:r>
    </w:p>
    <w:p w14:paraId="4FDF993D">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.6质疑人拒绝配合采购方依法对质疑进行调查处理的，采购方将按质疑人自动撤回质疑处理；被质疑人拒绝配合采购方依法对质疑进行调查处理的，采购方将视同其认可质疑事项。</w:t>
      </w:r>
    </w:p>
    <w:p w14:paraId="120475F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.7采购方将在正式受理质疑后7个工作日内作出答复，但处理质疑需要进行调查取证、组织专家评审、质疑人及被质疑人提交或补正材料等所需时间，不计算在质疑处理期限内。</w:t>
      </w:r>
    </w:p>
    <w:p w14:paraId="515443B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.8采购方经调查、论证、核实，认定质疑不能成立的，继续开展采购活动；认定质疑成立的，按照以下情况处理：</w:t>
      </w:r>
    </w:p>
    <w:p w14:paraId="52640B4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586733A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对采购过程、中标结果提出的质疑未对中标结果构成影响的，继续开展采购活动；对中标结果构成影响但合格报价方仍不少于3家时，依法从合格的中标候选人中另行确定中标报价方，否则将重新开展采购活动。</w:t>
      </w:r>
    </w:p>
    <w:p w14:paraId="365763D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.9采购方将书面答复质疑，质疑答复包括下列内容：</w:t>
      </w:r>
    </w:p>
    <w:p w14:paraId="1896545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（一）质疑人名称；</w:t>
      </w:r>
    </w:p>
    <w:p w14:paraId="59BF48A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（二）收到质疑函的日期、质疑项目名称及编号</w:t>
      </w:r>
      <w:r>
        <w:rPr>
          <w:rFonts w:hint="eastAsia" w:ascii="宋体" w:hAnsi="宋体" w:cs="宋体"/>
          <w:color w:val="auto"/>
          <w:sz w:val="24"/>
          <w:highlight w:val="none"/>
          <w:lang w:eastAsia="zh-CN"/>
        </w:rPr>
        <w:t>；</w:t>
      </w:r>
    </w:p>
    <w:p w14:paraId="410D218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（三）质疑事项、质疑答复的具体内容、事实依据和法律依据；</w:t>
      </w:r>
    </w:p>
    <w:p w14:paraId="345726C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（四）告知质疑人依法投诉的权利；</w:t>
      </w:r>
    </w:p>
    <w:p w14:paraId="73AF5DD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（五）质疑答复日期。</w:t>
      </w:r>
    </w:p>
    <w:p w14:paraId="6FB7488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.10质疑人有下列行为之一的，属于虚假、恶意质疑，将由采购方建议财政部门将其列入不良行为记录名单，禁止其1至3年内参加政府采购活动：</w:t>
      </w:r>
    </w:p>
    <w:p w14:paraId="6CBDE1C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（一）受理后发现投诉不符合法定受理条件；</w:t>
      </w:r>
    </w:p>
    <w:p w14:paraId="3F052E5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（二）投诉事项缺乏事实依据，投诉事项不成立；</w:t>
      </w:r>
    </w:p>
    <w:p w14:paraId="5B5C4A3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（三）投诉人捏造事实或者提供虚假材料；</w:t>
      </w:r>
    </w:p>
    <w:p w14:paraId="68F820B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（四）投诉人以非法手段取得证明材料。证据来源的合法性存在明显疑问，投诉人无法证明其取得方式合法的，视为以非法手段取得证明材料。</w:t>
      </w:r>
    </w:p>
    <w:p w14:paraId="662613D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（五）法律法规规定的其他违法情形。</w:t>
      </w:r>
    </w:p>
    <w:p w14:paraId="29EBE5EA">
      <w:pPr>
        <w:pStyle w:val="124"/>
        <w:shd w:val="clear" w:color="auto" w:fill="auto"/>
        <w:spacing w:line="450" w:lineRule="exact"/>
        <w:jc w:val="center"/>
        <w:rPr>
          <w:rFonts w:hint="eastAsia" w:ascii="宋体" w:hAnsi="宋体" w:eastAsia="宋体" w:cs="宋体"/>
          <w:color w:val="auto"/>
          <w:sz w:val="28"/>
          <w:szCs w:val="28"/>
          <w:highlight w:val="none"/>
        </w:rPr>
      </w:pPr>
      <w:bookmarkStart w:id="156" w:name="_Toc25665"/>
      <w:bookmarkStart w:id="157" w:name="_Toc13588"/>
      <w:bookmarkStart w:id="158" w:name="_Toc19742"/>
      <w:bookmarkStart w:id="159" w:name="_Toc16936"/>
      <w:bookmarkStart w:id="160" w:name="_Toc31734"/>
      <w:bookmarkStart w:id="161" w:name="_Toc4251"/>
      <w:bookmarkStart w:id="162" w:name="_Toc25094"/>
    </w:p>
    <w:p w14:paraId="7EB421CB">
      <w:pPr>
        <w:shd w:val="clear" w:color="auto" w:fill="auto"/>
        <w:spacing w:before="101" w:line="224" w:lineRule="auto"/>
        <w:outlineLvl w:val="2"/>
        <w:rPr>
          <w:rFonts w:hint="eastAsia" w:ascii="宋体" w:hAnsi="宋体" w:eastAsia="宋体" w:cs="宋体"/>
          <w:color w:val="auto"/>
          <w:sz w:val="24"/>
          <w:highlight w:val="none"/>
        </w:rPr>
      </w:pPr>
      <w:r>
        <w:rPr>
          <w:rFonts w:hint="eastAsia" w:ascii="宋体" w:hAnsi="宋体" w:eastAsia="宋体" w:cs="宋体"/>
          <w:color w:val="auto"/>
          <w:sz w:val="28"/>
          <w:szCs w:val="28"/>
          <w:highlight w:val="none"/>
        </w:rPr>
        <w:br w:type="page"/>
      </w:r>
      <w:bookmarkEnd w:id="156"/>
      <w:bookmarkEnd w:id="157"/>
      <w:bookmarkEnd w:id="158"/>
      <w:bookmarkEnd w:id="159"/>
      <w:bookmarkEnd w:id="160"/>
      <w:bookmarkEnd w:id="161"/>
      <w:bookmarkEnd w:id="162"/>
      <w:bookmarkStart w:id="163" w:name="_Toc110010424"/>
      <w:bookmarkStart w:id="164" w:name="_Toc1224"/>
      <w:bookmarkStart w:id="165" w:name="_Toc21178"/>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件：质疑函范本</w:t>
      </w:r>
      <w:bookmarkEnd w:id="163"/>
      <w:bookmarkEnd w:id="164"/>
      <w:bookmarkEnd w:id="165"/>
    </w:p>
    <w:p w14:paraId="0479EAA7">
      <w:pPr>
        <w:shd w:val="clear" w:color="auto" w:fill="auto"/>
        <w:spacing w:line="250" w:lineRule="auto"/>
        <w:rPr>
          <w:rFonts w:hint="eastAsia" w:ascii="宋体" w:hAnsi="宋体" w:eastAsia="宋体" w:cs="宋体"/>
          <w:color w:val="auto"/>
          <w:sz w:val="24"/>
          <w:highlight w:val="none"/>
        </w:rPr>
      </w:pPr>
    </w:p>
    <w:p w14:paraId="0783CF5E">
      <w:pPr>
        <w:shd w:val="clear" w:color="auto" w:fill="auto"/>
        <w:spacing w:before="101" w:line="225" w:lineRule="auto"/>
        <w:ind w:left="3656"/>
        <w:rPr>
          <w:rFonts w:hint="eastAsia" w:ascii="宋体" w:hAnsi="宋体" w:eastAsia="宋体" w:cs="宋体"/>
          <w:color w:val="auto"/>
          <w:sz w:val="24"/>
          <w:highlight w:val="none"/>
        </w:rPr>
      </w:pPr>
      <w:r>
        <w:rPr>
          <w:rFonts w:hint="eastAsia" w:ascii="宋体" w:hAnsi="宋体" w:eastAsia="宋体" w:cs="宋体"/>
          <w:color w:val="auto"/>
          <w:spacing w:val="25"/>
          <w:sz w:val="24"/>
          <w:highlight w:val="none"/>
        </w:rPr>
        <w:t>质</w:t>
      </w:r>
      <w:r>
        <w:rPr>
          <w:rFonts w:hint="eastAsia" w:ascii="宋体" w:hAnsi="宋体" w:eastAsia="宋体" w:cs="宋体"/>
          <w:color w:val="auto"/>
          <w:spacing w:val="24"/>
          <w:sz w:val="24"/>
          <w:highlight w:val="none"/>
        </w:rPr>
        <w:t>疑函</w:t>
      </w:r>
    </w:p>
    <w:p w14:paraId="7ADA252F">
      <w:pPr>
        <w:shd w:val="clear" w:color="auto" w:fill="auto"/>
        <w:spacing w:before="237" w:line="468" w:lineRule="exact"/>
        <w:ind w:left="27"/>
        <w:outlineLvl w:val="2"/>
        <w:rPr>
          <w:rFonts w:hint="eastAsia" w:ascii="宋体" w:hAnsi="宋体" w:eastAsia="宋体" w:cs="宋体"/>
          <w:color w:val="auto"/>
          <w:sz w:val="24"/>
          <w:highlight w:val="none"/>
        </w:rPr>
      </w:pPr>
      <w:bookmarkStart w:id="166" w:name="_Toc1299"/>
      <w:bookmarkStart w:id="167" w:name="_Toc5896"/>
      <w:bookmarkStart w:id="168" w:name="_Toc110010425"/>
      <w:bookmarkStart w:id="169" w:name="_Toc25739"/>
      <w:r>
        <w:rPr>
          <w:rFonts w:hint="eastAsia" w:ascii="宋体" w:hAnsi="宋体" w:eastAsia="宋体" w:cs="宋体"/>
          <w:color w:val="auto"/>
          <w:spacing w:val="-2"/>
          <w:position w:val="2"/>
          <w:sz w:val="24"/>
          <w:highlight w:val="none"/>
        </w:rPr>
        <w:t>一、质</w:t>
      </w:r>
      <w:r>
        <w:rPr>
          <w:rFonts w:hint="eastAsia" w:ascii="宋体" w:hAnsi="宋体" w:eastAsia="宋体" w:cs="宋体"/>
          <w:color w:val="auto"/>
          <w:spacing w:val="-1"/>
          <w:position w:val="2"/>
          <w:sz w:val="24"/>
          <w:highlight w:val="none"/>
        </w:rPr>
        <w:t>疑供应商基本信息</w:t>
      </w:r>
      <w:bookmarkEnd w:id="166"/>
      <w:bookmarkEnd w:id="167"/>
      <w:bookmarkEnd w:id="168"/>
      <w:bookmarkEnd w:id="169"/>
    </w:p>
    <w:p w14:paraId="3F5E711A">
      <w:pPr>
        <w:shd w:val="clear" w:color="auto" w:fill="auto"/>
        <w:spacing w:before="77"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疑供应商：</w:t>
      </w:r>
    </w:p>
    <w:p w14:paraId="459E6CAE">
      <w:pPr>
        <w:shd w:val="clear" w:color="auto" w:fill="auto"/>
        <w:spacing w:before="21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81CD5B9">
      <w:pPr>
        <w:shd w:val="clear" w:color="auto" w:fill="auto"/>
        <w:spacing w:before="211"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联系人：</w:t>
      </w:r>
      <w:r>
        <w:rPr>
          <w:rFonts w:hint="eastAsia" w:ascii="宋体" w:hAnsi="宋体" w:eastAsia="宋体" w:cs="宋体"/>
          <w:color w:val="auto"/>
          <w:spacing w:val="-4"/>
          <w:sz w:val="24"/>
          <w:highlight w:val="none"/>
        </w:rPr>
        <w:t>联系电话：</w:t>
      </w:r>
    </w:p>
    <w:p w14:paraId="2928315C">
      <w:pPr>
        <w:shd w:val="clear" w:color="auto" w:fill="auto"/>
        <w:spacing w:before="205"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授</w:t>
      </w:r>
      <w:r>
        <w:rPr>
          <w:rFonts w:hint="eastAsia" w:ascii="宋体" w:hAnsi="宋体" w:eastAsia="宋体" w:cs="宋体"/>
          <w:color w:val="auto"/>
          <w:spacing w:val="-2"/>
          <w:sz w:val="24"/>
          <w:highlight w:val="none"/>
        </w:rPr>
        <w:t>权代表：</w:t>
      </w:r>
    </w:p>
    <w:p w14:paraId="665014A4">
      <w:pPr>
        <w:shd w:val="clear" w:color="auto" w:fill="auto"/>
        <w:spacing w:before="21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4D2C1802">
      <w:pPr>
        <w:shd w:val="clear" w:color="auto" w:fill="auto"/>
        <w:spacing w:before="208"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1AF1EE96">
      <w:pPr>
        <w:shd w:val="clear" w:color="auto" w:fill="auto"/>
        <w:spacing w:before="209" w:line="371" w:lineRule="exact"/>
        <w:ind w:left="27"/>
        <w:outlineLvl w:val="2"/>
        <w:rPr>
          <w:rFonts w:hint="eastAsia" w:ascii="宋体" w:hAnsi="宋体" w:eastAsia="宋体" w:cs="宋体"/>
          <w:color w:val="auto"/>
          <w:sz w:val="24"/>
          <w:highlight w:val="none"/>
        </w:rPr>
      </w:pPr>
      <w:bookmarkStart w:id="170" w:name="_Toc3585"/>
      <w:bookmarkStart w:id="171" w:name="_Toc110010426"/>
      <w:bookmarkStart w:id="172" w:name="_Toc1061"/>
      <w:bookmarkStart w:id="173" w:name="_Toc15098"/>
      <w:r>
        <w:rPr>
          <w:rFonts w:hint="eastAsia" w:ascii="宋体" w:hAnsi="宋体" w:eastAsia="宋体" w:cs="宋体"/>
          <w:color w:val="auto"/>
          <w:spacing w:val="-2"/>
          <w:position w:val="1"/>
          <w:sz w:val="24"/>
          <w:highlight w:val="none"/>
        </w:rPr>
        <w:t>二、质疑项</w:t>
      </w:r>
      <w:r>
        <w:rPr>
          <w:rFonts w:hint="eastAsia" w:ascii="宋体" w:hAnsi="宋体" w:eastAsia="宋体" w:cs="宋体"/>
          <w:color w:val="auto"/>
          <w:spacing w:val="-1"/>
          <w:position w:val="1"/>
          <w:sz w:val="24"/>
          <w:highlight w:val="none"/>
        </w:rPr>
        <w:t>目基本情况</w:t>
      </w:r>
      <w:bookmarkEnd w:id="170"/>
      <w:bookmarkEnd w:id="171"/>
      <w:bookmarkEnd w:id="172"/>
      <w:bookmarkEnd w:id="173"/>
    </w:p>
    <w:p w14:paraId="373345C2">
      <w:pPr>
        <w:shd w:val="clear" w:color="auto" w:fill="auto"/>
        <w:spacing w:before="173"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质疑项目</w:t>
      </w:r>
      <w:r>
        <w:rPr>
          <w:rFonts w:hint="eastAsia" w:ascii="宋体" w:hAnsi="宋体" w:eastAsia="宋体" w:cs="宋体"/>
          <w:color w:val="auto"/>
          <w:spacing w:val="-1"/>
          <w:sz w:val="24"/>
          <w:highlight w:val="none"/>
        </w:rPr>
        <w:t>的名称：</w:t>
      </w:r>
    </w:p>
    <w:p w14:paraId="08C9051F">
      <w:pPr>
        <w:shd w:val="clear" w:color="auto" w:fill="auto"/>
        <w:spacing w:before="210"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0"/>
          <w:sz w:val="24"/>
          <w:highlight w:val="none"/>
        </w:rPr>
        <w:t>质疑项</w:t>
      </w:r>
      <w:r>
        <w:rPr>
          <w:rFonts w:hint="eastAsia" w:ascii="宋体" w:hAnsi="宋体" w:eastAsia="宋体" w:cs="宋体"/>
          <w:color w:val="auto"/>
          <w:spacing w:val="-9"/>
          <w:sz w:val="24"/>
          <w:highlight w:val="none"/>
        </w:rPr>
        <w:t>目</w:t>
      </w:r>
      <w:r>
        <w:rPr>
          <w:rFonts w:hint="eastAsia" w:ascii="宋体" w:hAnsi="宋体" w:eastAsia="宋体" w:cs="宋体"/>
          <w:color w:val="auto"/>
          <w:spacing w:val="-5"/>
          <w:sz w:val="24"/>
          <w:highlight w:val="none"/>
        </w:rPr>
        <w:t>的编号：包号：</w:t>
      </w:r>
    </w:p>
    <w:p w14:paraId="65449B5E">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3FA6DD45">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w:t>
      </w:r>
      <w:r>
        <w:rPr>
          <w:rFonts w:hint="eastAsia" w:ascii="宋体" w:hAnsi="宋体" w:eastAsia="宋体" w:cs="宋体"/>
          <w:color w:val="auto"/>
          <w:spacing w:val="-1"/>
          <w:sz w:val="24"/>
          <w:highlight w:val="none"/>
        </w:rPr>
        <w:t>文件获取日期：</w:t>
      </w:r>
    </w:p>
    <w:p w14:paraId="720CFA20">
      <w:pPr>
        <w:shd w:val="clear" w:color="auto" w:fill="auto"/>
        <w:spacing w:before="213" w:line="237" w:lineRule="auto"/>
        <w:ind w:left="22"/>
        <w:outlineLvl w:val="2"/>
        <w:rPr>
          <w:rFonts w:hint="eastAsia" w:ascii="宋体" w:hAnsi="宋体" w:eastAsia="宋体" w:cs="宋体"/>
          <w:color w:val="auto"/>
          <w:sz w:val="24"/>
          <w:highlight w:val="none"/>
        </w:rPr>
      </w:pPr>
      <w:bookmarkStart w:id="174" w:name="_Toc110010427"/>
      <w:bookmarkStart w:id="175" w:name="_Toc14686"/>
      <w:bookmarkStart w:id="176" w:name="_Toc32569"/>
      <w:bookmarkStart w:id="177" w:name="_Toc22496"/>
      <w:r>
        <w:rPr>
          <w:rFonts w:hint="eastAsia" w:ascii="宋体" w:hAnsi="宋体" w:eastAsia="宋体" w:cs="宋体"/>
          <w:color w:val="auto"/>
          <w:spacing w:val="-2"/>
          <w:sz w:val="24"/>
          <w:highlight w:val="none"/>
        </w:rPr>
        <w:t>三</w:t>
      </w:r>
      <w:r>
        <w:rPr>
          <w:rFonts w:hint="eastAsia" w:ascii="宋体" w:hAnsi="宋体" w:eastAsia="宋体" w:cs="宋体"/>
          <w:color w:val="auto"/>
          <w:spacing w:val="-1"/>
          <w:sz w:val="24"/>
          <w:highlight w:val="none"/>
        </w:rPr>
        <w:t>、质疑事项具体内容</w:t>
      </w:r>
      <w:bookmarkEnd w:id="174"/>
      <w:bookmarkEnd w:id="175"/>
      <w:bookmarkEnd w:id="176"/>
      <w:bookmarkEnd w:id="177"/>
    </w:p>
    <w:p w14:paraId="1ED139F1">
      <w:pPr>
        <w:shd w:val="clear" w:color="auto" w:fill="auto"/>
        <w:spacing w:before="184"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质</w:t>
      </w:r>
      <w:r>
        <w:rPr>
          <w:rFonts w:hint="eastAsia" w:ascii="宋体" w:hAnsi="宋体" w:eastAsia="宋体" w:cs="宋体"/>
          <w:color w:val="auto"/>
          <w:spacing w:val="-11"/>
          <w:sz w:val="24"/>
          <w:highlight w:val="none"/>
        </w:rPr>
        <w:t>疑事项1：</w:t>
      </w:r>
    </w:p>
    <w:p w14:paraId="6D2E457E">
      <w:pPr>
        <w:shd w:val="clear" w:color="auto" w:fill="auto"/>
        <w:spacing w:before="211"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55F3BDF5">
      <w:pPr>
        <w:shd w:val="clear" w:color="auto" w:fill="auto"/>
        <w:tabs>
          <w:tab w:val="left" w:pos="8322"/>
        </w:tabs>
        <w:spacing w:before="286"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4B7F336C">
      <w:pPr>
        <w:shd w:val="clear" w:color="auto" w:fill="auto"/>
        <w:spacing w:before="230"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3FEA1E8A">
      <w:pPr>
        <w:shd w:val="clear" w:color="auto" w:fill="auto"/>
        <w:tabs>
          <w:tab w:val="left" w:pos="8322"/>
        </w:tabs>
        <w:spacing w:before="289"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026040B9">
      <w:pPr>
        <w:shd w:val="clear" w:color="auto" w:fill="auto"/>
        <w:spacing w:before="227" w:line="545" w:lineRule="exact"/>
        <w:ind w:left="506"/>
        <w:rPr>
          <w:rFonts w:hint="eastAsia" w:ascii="宋体" w:hAnsi="宋体" w:eastAsia="宋体" w:cs="宋体"/>
          <w:color w:val="auto"/>
          <w:sz w:val="24"/>
          <w:highlight w:val="none"/>
        </w:rPr>
      </w:pPr>
      <w:r>
        <w:rPr>
          <w:rFonts w:hint="eastAsia" w:ascii="宋体" w:hAnsi="宋体" w:eastAsia="宋体" w:cs="宋体"/>
          <w:color w:val="auto"/>
          <w:spacing w:val="-15"/>
          <w:position w:val="19"/>
          <w:sz w:val="24"/>
          <w:highlight w:val="none"/>
        </w:rPr>
        <w:t>质</w:t>
      </w:r>
      <w:r>
        <w:rPr>
          <w:rFonts w:hint="eastAsia" w:ascii="宋体" w:hAnsi="宋体" w:eastAsia="宋体" w:cs="宋体"/>
          <w:color w:val="auto"/>
          <w:spacing w:val="-11"/>
          <w:position w:val="19"/>
          <w:sz w:val="24"/>
          <w:highlight w:val="none"/>
        </w:rPr>
        <w:t>疑事项2</w:t>
      </w:r>
    </w:p>
    <w:p w14:paraId="58B8768D">
      <w:pPr>
        <w:shd w:val="clear" w:color="auto" w:fill="auto"/>
        <w:spacing w:line="442"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4F1CF606">
      <w:pPr>
        <w:shd w:val="clear" w:color="auto" w:fill="auto"/>
        <w:jc w:val="center"/>
        <w:rPr>
          <w:rFonts w:hint="eastAsia" w:ascii="宋体" w:hAnsi="宋体" w:eastAsia="宋体" w:cs="宋体"/>
          <w:color w:val="auto"/>
          <w:sz w:val="24"/>
          <w:highlight w:val="none"/>
        </w:rPr>
      </w:pPr>
    </w:p>
    <w:p w14:paraId="5CB04EAE">
      <w:pPr>
        <w:shd w:val="clear" w:color="auto" w:fill="auto"/>
        <w:spacing w:line="442" w:lineRule="exact"/>
        <w:ind w:left="522"/>
        <w:rPr>
          <w:rFonts w:hint="eastAsia" w:ascii="宋体" w:hAnsi="宋体" w:eastAsia="宋体" w:cs="宋体"/>
          <w:color w:val="auto"/>
          <w:position w:val="3"/>
          <w:sz w:val="24"/>
          <w:highlight w:val="none"/>
        </w:rPr>
      </w:pPr>
      <w:r>
        <w:rPr>
          <w:rFonts w:hint="eastAsia" w:ascii="宋体" w:hAnsi="宋体" w:eastAsia="宋体" w:cs="宋体"/>
          <w:color w:val="auto"/>
          <w:position w:val="3"/>
          <w:sz w:val="24"/>
          <w:highlight w:val="none"/>
        </w:rPr>
        <w:t>签字</w:t>
      </w:r>
      <w:r>
        <w:rPr>
          <w:rFonts w:hint="eastAsia" w:ascii="宋体" w:hAnsi="宋体" w:cs="宋体"/>
          <w:color w:val="auto"/>
          <w:position w:val="3"/>
          <w:sz w:val="24"/>
          <w:highlight w:val="none"/>
          <w:lang w:eastAsia="zh-CN"/>
        </w:rPr>
        <w:t>（</w:t>
      </w:r>
      <w:r>
        <w:rPr>
          <w:rFonts w:hint="eastAsia" w:ascii="宋体" w:hAnsi="宋体" w:eastAsia="宋体" w:cs="宋体"/>
          <w:color w:val="auto"/>
          <w:position w:val="3"/>
          <w:sz w:val="24"/>
          <w:highlight w:val="none"/>
        </w:rPr>
        <w:t>签章</w:t>
      </w:r>
      <w:r>
        <w:rPr>
          <w:rFonts w:hint="eastAsia" w:ascii="宋体" w:hAnsi="宋体" w:cs="宋体"/>
          <w:color w:val="auto"/>
          <w:position w:val="3"/>
          <w:sz w:val="24"/>
          <w:highlight w:val="none"/>
          <w:lang w:eastAsia="zh-CN"/>
        </w:rPr>
        <w:t>）</w:t>
      </w:r>
      <w:r>
        <w:rPr>
          <w:rFonts w:hint="eastAsia" w:ascii="宋体" w:hAnsi="宋体" w:eastAsia="宋体" w:cs="宋体"/>
          <w:color w:val="auto"/>
          <w:position w:val="3"/>
          <w:sz w:val="24"/>
          <w:highlight w:val="none"/>
        </w:rPr>
        <w:t>：日期：</w:t>
      </w:r>
    </w:p>
    <w:p w14:paraId="5BF87BA5">
      <w:pPr>
        <w:shd w:val="clear" w:color="auto" w:fill="auto"/>
        <w:spacing w:before="56" w:line="185" w:lineRule="auto"/>
        <w:rPr>
          <w:rFonts w:hint="eastAsia" w:ascii="宋体" w:hAnsi="宋体" w:eastAsia="宋体" w:cs="宋体"/>
          <w:color w:val="auto"/>
          <w:sz w:val="24"/>
          <w:highlight w:val="none"/>
        </w:rPr>
      </w:pPr>
    </w:p>
    <w:p w14:paraId="1846B3F5">
      <w:pPr>
        <w:shd w:val="clear" w:color="auto" w:fill="auto"/>
        <w:spacing w:line="14" w:lineRule="auto"/>
        <w:rPr>
          <w:rFonts w:hint="eastAsia" w:ascii="宋体" w:hAnsi="宋体" w:eastAsia="宋体" w:cs="宋体"/>
          <w:color w:val="auto"/>
          <w:sz w:val="24"/>
          <w:highlight w:val="none"/>
        </w:rPr>
        <w:sectPr>
          <w:headerReference r:id="rId7" w:type="default"/>
          <w:footerReference r:id="rId8" w:type="default"/>
          <w:type w:val="continuous"/>
          <w:pgSz w:w="11905" w:h="16838"/>
          <w:pgMar w:top="1304" w:right="964" w:bottom="1020" w:left="1191" w:header="567" w:footer="454" w:gutter="0"/>
          <w:pgNumType w:fmt="decimal"/>
          <w:cols w:space="720" w:num="1"/>
          <w:rtlGutter w:val="0"/>
          <w:docGrid w:type="lines" w:linePitch="317" w:charSpace="0"/>
        </w:sectPr>
      </w:pPr>
    </w:p>
    <w:p w14:paraId="56377C32">
      <w:pPr>
        <w:shd w:val="clear" w:color="auto" w:fill="auto"/>
        <w:rPr>
          <w:rFonts w:hint="eastAsia" w:ascii="宋体" w:hAnsi="宋体" w:eastAsia="宋体" w:cs="宋体"/>
          <w:color w:val="auto"/>
          <w:sz w:val="24"/>
          <w:highlight w:val="none"/>
        </w:rPr>
        <w:sectPr>
          <w:footerReference r:id="rId9" w:type="default"/>
          <w:type w:val="continuous"/>
          <w:pgSz w:w="11905" w:h="16838"/>
          <w:pgMar w:top="1304" w:right="964" w:bottom="1020" w:left="1191" w:header="567" w:footer="454" w:gutter="0"/>
          <w:pgNumType w:fmt="decimal"/>
          <w:cols w:space="720" w:num="1"/>
          <w:rtlGutter w:val="0"/>
          <w:docGrid w:type="lines" w:linePitch="317" w:charSpace="0"/>
        </w:sectPr>
      </w:pPr>
    </w:p>
    <w:p w14:paraId="7EA26385">
      <w:pPr>
        <w:shd w:val="clear" w:color="auto" w:fill="auto"/>
        <w:spacing w:line="478" w:lineRule="auto"/>
        <w:rPr>
          <w:rFonts w:hint="eastAsia" w:ascii="宋体" w:hAnsi="宋体" w:eastAsia="宋体" w:cs="宋体"/>
          <w:color w:val="auto"/>
          <w:sz w:val="24"/>
          <w:highlight w:val="none"/>
        </w:rPr>
      </w:pPr>
    </w:p>
    <w:p w14:paraId="5AFF6F6E">
      <w:pPr>
        <w:shd w:val="clear" w:color="auto" w:fill="auto"/>
        <w:spacing w:before="91" w:line="220" w:lineRule="auto"/>
        <w:ind w:left="506"/>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质疑函制</w:t>
      </w:r>
      <w:r>
        <w:rPr>
          <w:rFonts w:hint="eastAsia" w:ascii="宋体" w:hAnsi="宋体" w:eastAsia="宋体" w:cs="宋体"/>
          <w:color w:val="auto"/>
          <w:spacing w:val="-1"/>
          <w:sz w:val="24"/>
          <w:highlight w:val="none"/>
        </w:rPr>
        <w:t>作说明：</w:t>
      </w:r>
    </w:p>
    <w:p w14:paraId="440C742F">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1.供应商提出质疑时，应提交质疑函和必要的证明材料。</w:t>
      </w:r>
    </w:p>
    <w:p w14:paraId="651BF8C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6D3D449A">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3.质疑供应商若对项目的某一分包进行质疑，质疑函中应列明具体分包号。</w:t>
      </w:r>
    </w:p>
    <w:p w14:paraId="3E22330A">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4.质疑函的质疑事项应具体、明确，并有必要的事实依据和法律依据。</w:t>
      </w:r>
    </w:p>
    <w:p w14:paraId="6378DE5B">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5.质疑函的质疑请求应与质疑事项相关。</w:t>
      </w:r>
    </w:p>
    <w:p w14:paraId="1AD8CC91">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6.质疑供应商为自然人的，质疑函应由本人签字；质疑供应商为法人或者其他组织的，质疑函应由法定代表人、主要负责人，或者其授权代表签字或者盖章，并加盖公章。</w:t>
      </w:r>
    </w:p>
    <w:p w14:paraId="1CACACDC">
      <w:pPr>
        <w:shd w:val="clear" w:color="auto" w:fill="auto"/>
        <w:spacing w:line="360" w:lineRule="auto"/>
        <w:jc w:val="center"/>
        <w:rPr>
          <w:rFonts w:hint="eastAsia" w:ascii="宋体" w:hAnsi="宋体" w:eastAsia="宋体" w:cs="宋体"/>
          <w:color w:val="auto"/>
          <w:kern w:val="0"/>
          <w:sz w:val="24"/>
          <w:highlight w:val="none"/>
        </w:rPr>
      </w:pPr>
    </w:p>
    <w:p w14:paraId="722C147B">
      <w:pPr>
        <w:shd w:val="clear" w:color="auto" w:fill="auto"/>
        <w:spacing w:before="101" w:line="224" w:lineRule="auto"/>
        <w:ind w:left="49"/>
        <w:outlineLvl w:val="2"/>
        <w:rPr>
          <w:rFonts w:hint="eastAsia" w:ascii="宋体" w:hAnsi="宋体" w:eastAsia="宋体" w:cs="宋体"/>
          <w:color w:val="auto"/>
          <w:sz w:val="24"/>
          <w:highlight w:val="none"/>
        </w:rPr>
      </w:pPr>
      <w:r>
        <w:rPr>
          <w:rFonts w:hint="eastAsia" w:ascii="宋体" w:hAnsi="宋体" w:eastAsia="宋体" w:cs="宋体"/>
          <w:b/>
          <w:bCs/>
          <w:color w:val="auto"/>
          <w:kern w:val="0"/>
          <w:sz w:val="24"/>
          <w:highlight w:val="none"/>
        </w:rPr>
        <w:br w:type="page"/>
      </w:r>
      <w:bookmarkStart w:id="178" w:name="_Toc31259"/>
      <w:bookmarkStart w:id="179" w:name="_Toc23110"/>
      <w:bookmarkStart w:id="180" w:name="_Toc22150"/>
      <w:bookmarkStart w:id="181" w:name="_Toc110010428"/>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件：投诉书范本</w:t>
      </w:r>
      <w:bookmarkEnd w:id="178"/>
      <w:bookmarkEnd w:id="179"/>
      <w:bookmarkEnd w:id="180"/>
      <w:bookmarkEnd w:id="181"/>
    </w:p>
    <w:p w14:paraId="66497BF7">
      <w:pPr>
        <w:shd w:val="clear" w:color="auto" w:fill="auto"/>
        <w:spacing w:line="393" w:lineRule="auto"/>
        <w:rPr>
          <w:rFonts w:hint="eastAsia" w:ascii="宋体" w:hAnsi="宋体" w:eastAsia="宋体" w:cs="宋体"/>
          <w:color w:val="auto"/>
          <w:sz w:val="24"/>
          <w:highlight w:val="none"/>
        </w:rPr>
      </w:pPr>
    </w:p>
    <w:p w14:paraId="7487BB8C">
      <w:pPr>
        <w:shd w:val="clear" w:color="auto" w:fill="auto"/>
        <w:spacing w:before="115" w:line="224" w:lineRule="auto"/>
        <w:jc w:val="center"/>
        <w:rPr>
          <w:rFonts w:hint="eastAsia" w:ascii="宋体" w:hAnsi="宋体" w:eastAsia="宋体" w:cs="宋体"/>
          <w:color w:val="auto"/>
          <w:sz w:val="24"/>
          <w:highlight w:val="none"/>
        </w:rPr>
      </w:pPr>
      <w:r>
        <w:rPr>
          <w:rFonts w:hint="eastAsia" w:ascii="宋体" w:hAnsi="宋体" w:eastAsia="宋体" w:cs="宋体"/>
          <w:color w:val="auto"/>
          <w:spacing w:val="24"/>
          <w:sz w:val="24"/>
          <w:highlight w:val="none"/>
        </w:rPr>
        <w:t>投诉</w:t>
      </w:r>
      <w:r>
        <w:rPr>
          <w:rFonts w:hint="eastAsia" w:ascii="宋体" w:hAnsi="宋体" w:eastAsia="宋体" w:cs="宋体"/>
          <w:color w:val="auto"/>
          <w:spacing w:val="23"/>
          <w:sz w:val="24"/>
          <w:highlight w:val="none"/>
        </w:rPr>
        <w:t>书</w:t>
      </w:r>
    </w:p>
    <w:p w14:paraId="1ED3B447">
      <w:pPr>
        <w:shd w:val="clear" w:color="auto" w:fill="auto"/>
        <w:spacing w:before="265" w:line="434" w:lineRule="exact"/>
        <w:ind w:left="27"/>
        <w:outlineLvl w:val="2"/>
        <w:rPr>
          <w:rFonts w:hint="eastAsia" w:ascii="宋体" w:hAnsi="宋体" w:eastAsia="宋体" w:cs="宋体"/>
          <w:color w:val="auto"/>
          <w:sz w:val="24"/>
          <w:highlight w:val="none"/>
        </w:rPr>
      </w:pPr>
      <w:bookmarkStart w:id="182" w:name="_Toc26371"/>
      <w:bookmarkStart w:id="183" w:name="_Toc21592"/>
      <w:bookmarkStart w:id="184" w:name="_Toc110010429"/>
      <w:bookmarkStart w:id="185" w:name="_Toc5746"/>
      <w:r>
        <w:rPr>
          <w:rFonts w:hint="eastAsia" w:ascii="宋体" w:hAnsi="宋体" w:eastAsia="宋体" w:cs="宋体"/>
          <w:color w:val="auto"/>
          <w:spacing w:val="-2"/>
          <w:position w:val="1"/>
          <w:sz w:val="24"/>
          <w:highlight w:val="none"/>
        </w:rPr>
        <w:t>一、投诉</w:t>
      </w:r>
      <w:r>
        <w:rPr>
          <w:rFonts w:hint="eastAsia" w:ascii="宋体" w:hAnsi="宋体" w:eastAsia="宋体" w:cs="宋体"/>
          <w:color w:val="auto"/>
          <w:spacing w:val="-1"/>
          <w:position w:val="1"/>
          <w:sz w:val="24"/>
          <w:highlight w:val="none"/>
        </w:rPr>
        <w:t>相关主体基本情况</w:t>
      </w:r>
      <w:bookmarkEnd w:id="182"/>
      <w:bookmarkEnd w:id="183"/>
      <w:bookmarkEnd w:id="184"/>
      <w:bookmarkEnd w:id="185"/>
    </w:p>
    <w:p w14:paraId="1A4B50C8">
      <w:pPr>
        <w:shd w:val="clear" w:color="auto" w:fill="auto"/>
        <w:spacing w:before="1" w:line="220"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6"/>
          <w:sz w:val="24"/>
          <w:highlight w:val="none"/>
        </w:rPr>
        <w:t>投</w:t>
      </w:r>
      <w:r>
        <w:rPr>
          <w:rFonts w:hint="eastAsia" w:ascii="宋体" w:hAnsi="宋体" w:eastAsia="宋体" w:cs="宋体"/>
          <w:color w:val="auto"/>
          <w:spacing w:val="-3"/>
          <w:sz w:val="24"/>
          <w:highlight w:val="none"/>
        </w:rPr>
        <w:t>诉人：</w:t>
      </w:r>
    </w:p>
    <w:p w14:paraId="17F4B45B">
      <w:pPr>
        <w:shd w:val="clear" w:color="auto" w:fill="auto"/>
        <w:spacing w:before="10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010A649">
      <w:pPr>
        <w:shd w:val="clear" w:color="auto" w:fill="auto"/>
        <w:spacing w:before="10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法定代</w:t>
      </w:r>
      <w:r>
        <w:rPr>
          <w:rFonts w:hint="eastAsia" w:ascii="宋体" w:hAnsi="宋体" w:eastAsia="宋体" w:cs="宋体"/>
          <w:color w:val="auto"/>
          <w:spacing w:val="-1"/>
          <w:sz w:val="24"/>
          <w:highlight w:val="none"/>
        </w:rPr>
        <w:t>表人/主要负责人：</w:t>
      </w:r>
    </w:p>
    <w:p w14:paraId="267E039D">
      <w:pPr>
        <w:shd w:val="clear" w:color="auto" w:fill="auto"/>
        <w:spacing w:before="10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1FD4BE96">
      <w:pPr>
        <w:shd w:val="clear" w:color="auto" w:fill="auto"/>
        <w:spacing w:before="99"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授权代表：</w:t>
      </w:r>
      <w:r>
        <w:rPr>
          <w:rFonts w:hint="eastAsia" w:ascii="宋体" w:hAnsi="宋体" w:eastAsia="宋体" w:cs="宋体"/>
          <w:color w:val="auto"/>
          <w:spacing w:val="-4"/>
          <w:sz w:val="24"/>
          <w:highlight w:val="none"/>
        </w:rPr>
        <w:t>联系电话：</w:t>
      </w:r>
    </w:p>
    <w:p w14:paraId="17211F24">
      <w:pPr>
        <w:shd w:val="clear" w:color="auto" w:fill="auto"/>
        <w:spacing w:before="101"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9609308">
      <w:pPr>
        <w:shd w:val="clear" w:color="auto" w:fill="auto"/>
        <w:spacing w:before="103" w:line="220" w:lineRule="auto"/>
        <w:ind w:left="505"/>
        <w:rPr>
          <w:rFonts w:hint="eastAsia" w:ascii="宋体" w:hAnsi="宋体" w:eastAsia="宋体" w:cs="宋体"/>
          <w:color w:val="auto"/>
          <w:sz w:val="24"/>
          <w:highlight w:val="none"/>
        </w:rPr>
      </w:pPr>
      <w:r>
        <w:rPr>
          <w:rFonts w:hint="eastAsia" w:ascii="宋体" w:hAnsi="宋体" w:eastAsia="宋体" w:cs="宋体"/>
          <w:color w:val="auto"/>
          <w:spacing w:val="-17"/>
          <w:sz w:val="24"/>
          <w:highlight w:val="none"/>
        </w:rPr>
        <w:t>被</w:t>
      </w:r>
      <w:r>
        <w:rPr>
          <w:rFonts w:hint="eastAsia" w:ascii="宋体" w:hAnsi="宋体" w:eastAsia="宋体" w:cs="宋体"/>
          <w:color w:val="auto"/>
          <w:spacing w:val="-11"/>
          <w:sz w:val="24"/>
          <w:highlight w:val="none"/>
        </w:rPr>
        <w:t>投诉人1：</w:t>
      </w:r>
    </w:p>
    <w:p w14:paraId="71A7914B">
      <w:pPr>
        <w:shd w:val="clear" w:color="auto" w:fill="auto"/>
        <w:spacing w:before="101" w:line="185"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711079EE">
      <w:pPr>
        <w:shd w:val="clear" w:color="auto" w:fill="auto"/>
        <w:rPr>
          <w:rFonts w:hint="eastAsia" w:ascii="宋体" w:hAnsi="宋体" w:eastAsia="宋体" w:cs="宋体"/>
          <w:color w:val="auto"/>
          <w:sz w:val="24"/>
          <w:highlight w:val="none"/>
        </w:rPr>
      </w:pPr>
    </w:p>
    <w:p w14:paraId="37B31D72">
      <w:pPr>
        <w:shd w:val="clear" w:color="auto" w:fill="auto"/>
        <w:spacing w:before="103" w:line="220" w:lineRule="auto"/>
        <w:ind w:left="505"/>
        <w:rPr>
          <w:rFonts w:hint="eastAsia" w:ascii="宋体" w:hAnsi="宋体" w:eastAsia="宋体" w:cs="宋体"/>
          <w:color w:val="auto"/>
          <w:spacing w:val="-17"/>
          <w:sz w:val="24"/>
          <w:highlight w:val="none"/>
          <w:lang w:eastAsia="zh-CN"/>
        </w:rPr>
      </w:pPr>
      <w:r>
        <w:rPr>
          <w:rFonts w:hint="eastAsia" w:ascii="宋体" w:hAnsi="宋体" w:eastAsia="宋体" w:cs="宋体"/>
          <w:color w:val="auto"/>
          <w:spacing w:val="-17"/>
          <w:sz w:val="24"/>
          <w:highlight w:val="none"/>
        </w:rPr>
        <w:t>联系人：联系电话：</w:t>
      </w:r>
    </w:p>
    <w:p w14:paraId="286B6B9E">
      <w:pPr>
        <w:shd w:val="clear" w:color="auto" w:fill="auto"/>
        <w:spacing w:before="103"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联系人：联系电话：</w:t>
      </w:r>
    </w:p>
    <w:p w14:paraId="32C7A725">
      <w:pPr>
        <w:shd w:val="clear" w:color="auto" w:fill="auto"/>
        <w:spacing w:before="100" w:line="371" w:lineRule="exact"/>
        <w:ind w:left="27"/>
        <w:outlineLvl w:val="2"/>
        <w:rPr>
          <w:rFonts w:hint="eastAsia" w:ascii="宋体" w:hAnsi="宋体" w:eastAsia="宋体" w:cs="宋体"/>
          <w:color w:val="auto"/>
          <w:sz w:val="24"/>
          <w:highlight w:val="none"/>
        </w:rPr>
      </w:pPr>
      <w:bookmarkStart w:id="186" w:name="_Toc25199"/>
      <w:bookmarkStart w:id="187" w:name="_Toc377"/>
      <w:bookmarkStart w:id="188" w:name="_Toc110010430"/>
      <w:bookmarkStart w:id="189" w:name="_Toc27620"/>
      <w:r>
        <w:rPr>
          <w:rFonts w:hint="eastAsia" w:ascii="宋体" w:hAnsi="宋体" w:eastAsia="宋体" w:cs="宋体"/>
          <w:color w:val="auto"/>
          <w:spacing w:val="-2"/>
          <w:position w:val="1"/>
          <w:sz w:val="24"/>
          <w:highlight w:val="none"/>
        </w:rPr>
        <w:t>二、投诉项目</w:t>
      </w:r>
      <w:r>
        <w:rPr>
          <w:rFonts w:hint="eastAsia" w:ascii="宋体" w:hAnsi="宋体" w:eastAsia="宋体" w:cs="宋体"/>
          <w:color w:val="auto"/>
          <w:spacing w:val="-1"/>
          <w:position w:val="1"/>
          <w:sz w:val="24"/>
          <w:highlight w:val="none"/>
        </w:rPr>
        <w:t>基本情况</w:t>
      </w:r>
      <w:bookmarkEnd w:id="186"/>
      <w:bookmarkEnd w:id="187"/>
      <w:bookmarkEnd w:id="188"/>
      <w:bookmarkEnd w:id="189"/>
    </w:p>
    <w:p w14:paraId="74204867">
      <w:pPr>
        <w:shd w:val="clear" w:color="auto" w:fill="auto"/>
        <w:spacing w:before="6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采购项</w:t>
      </w:r>
      <w:r>
        <w:rPr>
          <w:rFonts w:hint="eastAsia" w:ascii="宋体" w:hAnsi="宋体" w:eastAsia="宋体" w:cs="宋体"/>
          <w:color w:val="auto"/>
          <w:spacing w:val="-1"/>
          <w:sz w:val="24"/>
          <w:highlight w:val="none"/>
        </w:rPr>
        <w:t>目名称：</w:t>
      </w:r>
    </w:p>
    <w:p w14:paraId="1C0BE105">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采购项目</w:t>
      </w:r>
      <w:r>
        <w:rPr>
          <w:rFonts w:hint="eastAsia" w:ascii="宋体" w:hAnsi="宋体" w:eastAsia="宋体" w:cs="宋体"/>
          <w:color w:val="auto"/>
          <w:spacing w:val="-4"/>
          <w:sz w:val="24"/>
          <w:highlight w:val="none"/>
        </w:rPr>
        <w:t>编号：包号：</w:t>
      </w:r>
    </w:p>
    <w:p w14:paraId="57B1BAA5">
      <w:pPr>
        <w:shd w:val="clear" w:color="auto" w:fill="auto"/>
        <w:spacing w:before="10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6CDDA464">
      <w:pPr>
        <w:shd w:val="clear" w:color="auto" w:fill="auto"/>
        <w:spacing w:before="105"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代理机构名</w:t>
      </w:r>
      <w:r>
        <w:rPr>
          <w:rFonts w:hint="eastAsia" w:ascii="宋体" w:hAnsi="宋体" w:eastAsia="宋体" w:cs="宋体"/>
          <w:color w:val="auto"/>
          <w:spacing w:val="-1"/>
          <w:sz w:val="24"/>
          <w:highlight w:val="none"/>
        </w:rPr>
        <w:t>称：</w:t>
      </w:r>
    </w:p>
    <w:p w14:paraId="4C395831">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7"/>
          <w:sz w:val="24"/>
          <w:highlight w:val="none"/>
        </w:rPr>
        <w:t>采购文件公告</w:t>
      </w:r>
      <w:r>
        <w:rPr>
          <w:rFonts w:hint="eastAsia" w:ascii="宋体" w:hAnsi="宋体" w:cs="宋体"/>
          <w:color w:val="auto"/>
          <w:spacing w:val="7"/>
          <w:sz w:val="24"/>
          <w:highlight w:val="none"/>
          <w:lang w:eastAsia="zh-CN"/>
        </w:rPr>
        <w:t>：</w:t>
      </w:r>
      <w:r>
        <w:rPr>
          <w:rFonts w:hint="eastAsia" w:ascii="宋体" w:hAnsi="宋体" w:eastAsia="宋体" w:cs="宋体"/>
          <w:color w:val="auto"/>
          <w:spacing w:val="7"/>
          <w:sz w:val="24"/>
          <w:highlight w:val="none"/>
          <w:u w:val="single"/>
        </w:rPr>
        <w:t>是/否</w:t>
      </w:r>
      <w:r>
        <w:rPr>
          <w:rFonts w:hint="eastAsia" w:ascii="宋体" w:hAnsi="宋体" w:eastAsia="宋体" w:cs="宋体"/>
          <w:color w:val="auto"/>
          <w:spacing w:val="7"/>
          <w:sz w:val="24"/>
          <w:highlight w:val="none"/>
        </w:rPr>
        <w:t>公告期限</w:t>
      </w:r>
      <w:r>
        <w:rPr>
          <w:rFonts w:hint="eastAsia" w:ascii="宋体" w:hAnsi="宋体" w:eastAsia="宋体" w:cs="宋体"/>
          <w:color w:val="auto"/>
          <w:spacing w:val="3"/>
          <w:sz w:val="24"/>
          <w:highlight w:val="none"/>
        </w:rPr>
        <w:t>：</w:t>
      </w:r>
    </w:p>
    <w:p w14:paraId="69F065E6">
      <w:pPr>
        <w:shd w:val="clear" w:color="auto" w:fill="auto"/>
        <w:spacing w:before="103" w:line="287" w:lineRule="auto"/>
        <w:ind w:left="22" w:right="12" w:firstLine="481"/>
        <w:rPr>
          <w:rFonts w:hint="eastAsia" w:ascii="宋体" w:hAnsi="宋体" w:eastAsia="宋体" w:cs="宋体"/>
          <w:color w:val="auto"/>
          <w:sz w:val="24"/>
          <w:highlight w:val="none"/>
          <w:lang w:eastAsia="zh-CN"/>
        </w:rPr>
      </w:pPr>
      <w:r>
        <w:rPr>
          <w:rFonts w:hint="eastAsia" w:ascii="宋体" w:hAnsi="宋体" w:eastAsia="宋体" w:cs="宋体"/>
          <w:color w:val="auto"/>
          <w:spacing w:val="-1"/>
          <w:sz w:val="24"/>
          <w:highlight w:val="none"/>
        </w:rPr>
        <w:t>采购结果公告：</w:t>
      </w:r>
      <w:r>
        <w:rPr>
          <w:rFonts w:hint="eastAsia" w:ascii="宋体" w:hAnsi="宋体" w:eastAsia="宋体" w:cs="宋体"/>
          <w:color w:val="auto"/>
          <w:spacing w:val="-1"/>
          <w:sz w:val="24"/>
          <w:highlight w:val="none"/>
          <w:u w:val="single"/>
        </w:rPr>
        <w:t>是/否</w:t>
      </w:r>
      <w:r>
        <w:rPr>
          <w:rFonts w:hint="eastAsia" w:ascii="宋体" w:hAnsi="宋体" w:eastAsia="宋体" w:cs="宋体"/>
          <w:color w:val="auto"/>
          <w:spacing w:val="-1"/>
          <w:sz w:val="24"/>
          <w:highlight w:val="none"/>
        </w:rPr>
        <w:t>公告期限：</w:t>
      </w:r>
    </w:p>
    <w:p w14:paraId="6B6049CA">
      <w:pPr>
        <w:shd w:val="clear" w:color="auto" w:fill="auto"/>
        <w:spacing w:before="100" w:line="371" w:lineRule="exact"/>
        <w:ind w:left="27" w:right="0" w:firstLine="0"/>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rPr>
        <w:t>三、质疑基本情况</w:t>
      </w:r>
    </w:p>
    <w:p w14:paraId="595A35DE">
      <w:pPr>
        <w:shd w:val="clear" w:color="auto" w:fill="auto"/>
        <w:spacing w:before="1" w:line="287" w:lineRule="auto"/>
        <w:ind w:left="23" w:right="11" w:firstLine="484"/>
        <w:rPr>
          <w:rFonts w:hint="eastAsia" w:ascii="宋体" w:hAnsi="宋体" w:eastAsia="宋体" w:cs="宋体"/>
          <w:color w:val="auto"/>
          <w:sz w:val="24"/>
          <w:highlight w:val="none"/>
        </w:rPr>
      </w:pPr>
      <w:r>
        <w:rPr>
          <w:rFonts w:hint="eastAsia" w:ascii="宋体" w:hAnsi="宋体" w:eastAsia="宋体" w:cs="宋体"/>
          <w:color w:val="auto"/>
          <w:spacing w:val="-12"/>
          <w:sz w:val="24"/>
          <w:highlight w:val="none"/>
        </w:rPr>
        <w:t>投</w:t>
      </w:r>
      <w:r>
        <w:rPr>
          <w:rFonts w:hint="eastAsia" w:ascii="宋体" w:hAnsi="宋体" w:eastAsia="宋体" w:cs="宋体"/>
          <w:color w:val="auto"/>
          <w:spacing w:val="-6"/>
          <w:sz w:val="24"/>
          <w:highlight w:val="none"/>
        </w:rPr>
        <w:t>诉人于年月日，向</w:t>
      </w:r>
      <w:r>
        <w:rPr>
          <w:rFonts w:hint="eastAsia" w:ascii="宋体" w:hAnsi="宋体" w:eastAsia="宋体" w:cs="宋体"/>
          <w:color w:val="auto"/>
          <w:spacing w:val="-4"/>
          <w:sz w:val="24"/>
          <w:highlight w:val="none"/>
        </w:rPr>
        <w:t>提</w:t>
      </w:r>
      <w:r>
        <w:rPr>
          <w:rFonts w:hint="eastAsia" w:ascii="宋体" w:hAnsi="宋体" w:eastAsia="宋体" w:cs="宋体"/>
          <w:color w:val="auto"/>
          <w:spacing w:val="-2"/>
          <w:sz w:val="24"/>
          <w:highlight w:val="none"/>
        </w:rPr>
        <w:t>出质疑，</w:t>
      </w:r>
    </w:p>
    <w:p w14:paraId="670B1A9B">
      <w:pPr>
        <w:shd w:val="clear" w:color="auto" w:fill="auto"/>
        <w:spacing w:before="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疑事项为：</w:t>
      </w:r>
    </w:p>
    <w:p w14:paraId="6CA145B0">
      <w:pPr>
        <w:shd w:val="clear" w:color="auto" w:fill="auto"/>
        <w:spacing w:before="103" w:line="287" w:lineRule="auto"/>
        <w:ind w:left="459" w:right="11" w:firstLine="109"/>
        <w:rPr>
          <w:rFonts w:hint="eastAsia" w:ascii="宋体" w:hAnsi="宋体" w:eastAsia="宋体" w:cs="宋体"/>
          <w:color w:val="auto"/>
          <w:sz w:val="24"/>
          <w:highlight w:val="none"/>
        </w:rPr>
      </w:pPr>
      <w:r>
        <w:rPr>
          <w:rFonts w:hint="eastAsia" w:ascii="宋体" w:hAnsi="宋体" w:eastAsia="宋体" w:cs="宋体"/>
          <w:color w:val="auto"/>
          <w:spacing w:val="-4"/>
          <w:sz w:val="24"/>
          <w:highlight w:val="none"/>
        </w:rPr>
        <w:t>采购人/</w:t>
      </w:r>
      <w:r>
        <w:rPr>
          <w:rFonts w:hint="eastAsia" w:ascii="宋体" w:hAnsi="宋体" w:eastAsia="宋体" w:cs="宋体"/>
          <w:color w:val="auto"/>
          <w:spacing w:val="-2"/>
          <w:sz w:val="24"/>
          <w:highlight w:val="none"/>
        </w:rPr>
        <w:t>采购代理机构于年月日，就质疑</w:t>
      </w:r>
      <w:r>
        <w:rPr>
          <w:rFonts w:hint="eastAsia" w:ascii="宋体" w:hAnsi="宋体" w:eastAsia="宋体" w:cs="宋体"/>
          <w:color w:val="auto"/>
          <w:spacing w:val="-1"/>
          <w:sz w:val="24"/>
          <w:highlight w:val="none"/>
        </w:rPr>
        <w:t>事项做出了答复/没有在</w:t>
      </w:r>
      <w:r>
        <w:rPr>
          <w:rFonts w:hint="eastAsia" w:ascii="宋体" w:hAnsi="宋体" w:eastAsia="宋体" w:cs="宋体"/>
          <w:color w:val="auto"/>
          <w:sz w:val="24"/>
          <w:highlight w:val="none"/>
        </w:rPr>
        <w:t>法定期限内</w:t>
      </w:r>
      <w:r>
        <w:rPr>
          <w:rFonts w:hint="eastAsia" w:ascii="宋体" w:hAnsi="宋体" w:cs="宋体"/>
          <w:color w:val="auto"/>
          <w:sz w:val="24"/>
          <w:highlight w:val="none"/>
          <w:lang w:eastAsia="zh-CN"/>
        </w:rPr>
        <w:t>作</w:t>
      </w:r>
      <w:r>
        <w:rPr>
          <w:rFonts w:hint="eastAsia" w:ascii="宋体" w:hAnsi="宋体" w:eastAsia="宋体" w:cs="宋体"/>
          <w:color w:val="auto"/>
          <w:sz w:val="24"/>
          <w:highlight w:val="none"/>
        </w:rPr>
        <w:t>出答复。</w:t>
      </w:r>
    </w:p>
    <w:p w14:paraId="4399EF8C">
      <w:pPr>
        <w:shd w:val="clear" w:color="auto" w:fill="auto"/>
        <w:spacing w:before="100" w:line="371" w:lineRule="exact"/>
        <w:ind w:left="27"/>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lang w:val="en-US" w:eastAsia="zh-CN"/>
        </w:rPr>
        <w:t>四</w:t>
      </w:r>
      <w:r>
        <w:rPr>
          <w:rFonts w:hint="eastAsia" w:ascii="宋体" w:hAnsi="宋体" w:eastAsia="宋体" w:cs="宋体"/>
          <w:color w:val="auto"/>
          <w:spacing w:val="-2"/>
          <w:position w:val="1"/>
          <w:sz w:val="24"/>
          <w:highlight w:val="none"/>
        </w:rPr>
        <w:t>、投诉事项具体内容</w:t>
      </w:r>
    </w:p>
    <w:p w14:paraId="5C272DE1">
      <w:pPr>
        <w:shd w:val="clear" w:color="auto" w:fill="auto"/>
        <w:spacing w:before="98" w:line="221"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16"/>
          <w:sz w:val="24"/>
          <w:highlight w:val="none"/>
        </w:rPr>
        <w:t>投</w:t>
      </w:r>
      <w:r>
        <w:rPr>
          <w:rFonts w:hint="eastAsia" w:ascii="宋体" w:hAnsi="宋体" w:eastAsia="宋体" w:cs="宋体"/>
          <w:color w:val="auto"/>
          <w:spacing w:val="-10"/>
          <w:sz w:val="24"/>
          <w:highlight w:val="none"/>
        </w:rPr>
        <w:t>诉事项1：</w:t>
      </w:r>
    </w:p>
    <w:p w14:paraId="61684670">
      <w:pPr>
        <w:shd w:val="clear" w:color="auto" w:fill="auto"/>
        <w:spacing w:before="100"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7DC258C4">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7D8C0AAB">
      <w:pPr>
        <w:shd w:val="clear" w:color="auto" w:fill="auto"/>
        <w:spacing w:before="118"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0ECFE089">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04D994A3">
      <w:pPr>
        <w:shd w:val="clear" w:color="auto" w:fill="auto"/>
        <w:spacing w:before="118" w:line="437" w:lineRule="exact"/>
        <w:ind w:left="508"/>
        <w:rPr>
          <w:rFonts w:hint="eastAsia" w:ascii="宋体" w:hAnsi="宋体" w:eastAsia="宋体" w:cs="宋体"/>
          <w:color w:val="auto"/>
          <w:sz w:val="24"/>
          <w:highlight w:val="none"/>
        </w:rPr>
      </w:pPr>
      <w:r>
        <w:rPr>
          <w:rFonts w:hint="eastAsia" w:ascii="宋体" w:hAnsi="宋体" w:eastAsia="宋体" w:cs="宋体"/>
          <w:color w:val="auto"/>
          <w:spacing w:val="-13"/>
          <w:position w:val="11"/>
          <w:sz w:val="24"/>
          <w:highlight w:val="none"/>
        </w:rPr>
        <w:t>投</w:t>
      </w:r>
      <w:r>
        <w:rPr>
          <w:rFonts w:hint="eastAsia" w:ascii="宋体" w:hAnsi="宋体" w:eastAsia="宋体" w:cs="宋体"/>
          <w:color w:val="auto"/>
          <w:spacing w:val="-12"/>
          <w:position w:val="11"/>
          <w:sz w:val="24"/>
          <w:highlight w:val="none"/>
        </w:rPr>
        <w:t>诉事项2</w:t>
      </w:r>
    </w:p>
    <w:p w14:paraId="20058790">
      <w:pPr>
        <w:shd w:val="clear" w:color="auto" w:fill="auto"/>
        <w:spacing w:line="437"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6AF8157E">
      <w:pPr>
        <w:shd w:val="clear" w:color="auto" w:fill="auto"/>
        <w:spacing w:line="239" w:lineRule="exact"/>
        <w:rPr>
          <w:rFonts w:hint="eastAsia" w:ascii="宋体" w:hAnsi="宋体" w:eastAsia="宋体" w:cs="宋体"/>
          <w:color w:val="auto"/>
          <w:sz w:val="24"/>
          <w:highlight w:val="none"/>
        </w:rPr>
      </w:pPr>
    </w:p>
    <w:p w14:paraId="1DEFC791">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
          <w:position w:val="11"/>
          <w:sz w:val="24"/>
          <w:highlight w:val="none"/>
        </w:rPr>
        <w:t>签字</w:t>
      </w:r>
      <w:r>
        <w:rPr>
          <w:rFonts w:hint="eastAsia" w:ascii="宋体" w:hAnsi="宋体" w:cs="宋体"/>
          <w:color w:val="auto"/>
          <w:spacing w:val="-2"/>
          <w:position w:val="11"/>
          <w:sz w:val="24"/>
          <w:highlight w:val="none"/>
          <w:lang w:eastAsia="zh-CN"/>
        </w:rPr>
        <w:t>（</w:t>
      </w:r>
      <w:r>
        <w:rPr>
          <w:rFonts w:hint="eastAsia" w:ascii="宋体" w:hAnsi="宋体" w:eastAsia="宋体" w:cs="宋体"/>
          <w:color w:val="auto"/>
          <w:spacing w:val="-2"/>
          <w:position w:val="11"/>
          <w:sz w:val="24"/>
          <w:highlight w:val="none"/>
        </w:rPr>
        <w:t>签</w:t>
      </w:r>
      <w:r>
        <w:rPr>
          <w:rFonts w:hint="eastAsia" w:ascii="宋体" w:hAnsi="宋体" w:eastAsia="宋体" w:cs="宋体"/>
          <w:color w:val="auto"/>
          <w:spacing w:val="-1"/>
          <w:position w:val="11"/>
          <w:sz w:val="24"/>
          <w:highlight w:val="none"/>
        </w:rPr>
        <w:t>章</w:t>
      </w:r>
      <w:r>
        <w:rPr>
          <w:rFonts w:hint="eastAsia" w:ascii="宋体" w:hAnsi="宋体" w:cs="宋体"/>
          <w:color w:val="auto"/>
          <w:spacing w:val="-1"/>
          <w:position w:val="11"/>
          <w:sz w:val="24"/>
          <w:highlight w:val="none"/>
          <w:lang w:eastAsia="zh-CN"/>
        </w:rPr>
        <w:t>）</w:t>
      </w:r>
      <w:r>
        <w:rPr>
          <w:rFonts w:hint="eastAsia" w:ascii="宋体" w:hAnsi="宋体" w:eastAsia="宋体" w:cs="宋体"/>
          <w:color w:val="auto"/>
          <w:spacing w:val="-1"/>
          <w:position w:val="11"/>
          <w:sz w:val="24"/>
          <w:highlight w:val="none"/>
        </w:rPr>
        <w:t>：</w:t>
      </w:r>
    </w:p>
    <w:p w14:paraId="3BD99647">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0"/>
          <w:sz w:val="24"/>
          <w:highlight w:val="none"/>
        </w:rPr>
        <w:t>日</w:t>
      </w:r>
      <w:r>
        <w:rPr>
          <w:rFonts w:hint="eastAsia" w:ascii="宋体" w:hAnsi="宋体" w:eastAsia="宋体" w:cs="宋体"/>
          <w:color w:val="auto"/>
          <w:spacing w:val="-19"/>
          <w:sz w:val="24"/>
          <w:highlight w:val="none"/>
        </w:rPr>
        <w:t>期：</w:t>
      </w:r>
    </w:p>
    <w:p w14:paraId="6E07BE02">
      <w:pPr>
        <w:shd w:val="clear" w:color="auto" w:fill="auto"/>
        <w:spacing w:line="392" w:lineRule="auto"/>
        <w:rPr>
          <w:rFonts w:hint="eastAsia" w:ascii="宋体" w:hAnsi="宋体" w:eastAsia="宋体" w:cs="宋体"/>
          <w:color w:val="auto"/>
          <w:sz w:val="24"/>
          <w:highlight w:val="none"/>
        </w:rPr>
      </w:pPr>
    </w:p>
    <w:p w14:paraId="0C97BDA6">
      <w:pPr>
        <w:shd w:val="clear" w:color="auto" w:fill="auto"/>
        <w:spacing w:before="91" w:line="219" w:lineRule="auto"/>
        <w:ind w:left="508"/>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投诉书制作说</w:t>
      </w:r>
      <w:r>
        <w:rPr>
          <w:rFonts w:hint="eastAsia" w:ascii="宋体" w:hAnsi="宋体" w:eastAsia="宋体" w:cs="宋体"/>
          <w:color w:val="auto"/>
          <w:spacing w:val="-1"/>
          <w:sz w:val="24"/>
          <w:highlight w:val="none"/>
        </w:rPr>
        <w:t>明：</w:t>
      </w:r>
    </w:p>
    <w:p w14:paraId="120CB590">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1.投诉人提起投诉时，应当提交投诉书和必要的证明材料，并按照被投诉人和与投诉事项有关的供应商数量提供投诉书副本。</w:t>
      </w:r>
    </w:p>
    <w:p w14:paraId="116F437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投诉人若委托代理人进行投诉的，投诉书应按要求列明“授权代表”的有关内容，并在附件中提交由投诉人签署的授权委托书。授权委托书应载明代理人的姓名或者名称、代理事项、具体权限、期限和相关事项。</w:t>
      </w:r>
    </w:p>
    <w:p w14:paraId="0F896E60">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3.投诉人若对项目的某一分包进行投诉，投诉书中应列明具体分包号。</w:t>
      </w:r>
    </w:p>
    <w:p w14:paraId="3251E99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4.投诉书应简要列明质疑事项，质疑函、质疑答复等作为附件材料提供。</w:t>
      </w:r>
    </w:p>
    <w:p w14:paraId="5AA44C48">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5.投诉书的投诉事项应具体、明确，并有必要的事实依据和法律依据。</w:t>
      </w:r>
    </w:p>
    <w:p w14:paraId="2CC34ED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6.投诉书的投诉请求应与投诉事项相关。</w:t>
      </w:r>
    </w:p>
    <w:p w14:paraId="37B1EF10">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7.投诉人为自然人的，投诉书应由本人签字；投诉人为法人或者其他组织的，投诉书应当由法定代表人、主要负责人，或者其授权代表签字或者盖章，并加盖公章。</w:t>
      </w:r>
    </w:p>
    <w:p w14:paraId="1A8F54BF">
      <w:pPr>
        <w:shd w:val="clear" w:color="auto" w:fill="auto"/>
        <w:spacing w:line="460" w:lineRule="exact"/>
        <w:ind w:firstLine="420" w:firstLineChars="200"/>
        <w:rPr>
          <w:rFonts w:hint="eastAsia" w:ascii="宋体" w:hAnsi="宋体" w:eastAsia="宋体" w:cs="宋体"/>
          <w:color w:val="000000"/>
          <w:kern w:val="0"/>
          <w:sz w:val="22"/>
          <w:szCs w:val="22"/>
          <w:highlight w:val="none"/>
          <w:shd w:val="clear" w:color="auto" w:fill="FFFFFF"/>
        </w:rPr>
      </w:pPr>
      <w:r>
        <w:rPr>
          <w:rFonts w:hint="eastAsia" w:ascii="宋体" w:hAnsi="宋体" w:eastAsia="宋体" w:cs="宋体"/>
          <w:kern w:val="2"/>
          <w:sz w:val="21"/>
          <w:szCs w:val="24"/>
          <w:highlight w:val="none"/>
          <w:lang w:val="en-US" w:eastAsia="zh-CN" w:bidi="ar-SA"/>
        </w:rPr>
        <w:br w:type="page"/>
      </w:r>
    </w:p>
    <w:p w14:paraId="5E7F5896">
      <w:pPr>
        <w:spacing w:line="360" w:lineRule="auto"/>
        <w:jc w:val="center"/>
        <w:outlineLvl w:val="0"/>
        <w:rPr>
          <w:rFonts w:hint="eastAsia" w:ascii="宋体" w:hAnsi="宋体" w:eastAsia="宋体" w:cs="宋体"/>
          <w:b/>
          <w:sz w:val="36"/>
          <w:szCs w:val="36"/>
          <w:highlight w:val="none"/>
        </w:rPr>
      </w:pPr>
      <w:bookmarkStart w:id="190" w:name="_Toc99301421"/>
      <w:bookmarkStart w:id="191" w:name="_Toc503212223"/>
      <w:bookmarkStart w:id="192" w:name="_Toc2362"/>
      <w:bookmarkStart w:id="193" w:name="_Toc20110"/>
      <w:bookmarkStart w:id="194" w:name="_Toc115436075"/>
      <w:bookmarkStart w:id="195" w:name="_Toc29710"/>
      <w:bookmarkStart w:id="196" w:name="_Toc23028"/>
      <w:bookmarkStart w:id="197" w:name="_Toc1354"/>
      <w:bookmarkStart w:id="198" w:name="_Toc115435536"/>
      <w:bookmarkStart w:id="199" w:name="_Toc4147"/>
      <w:bookmarkStart w:id="200" w:name="_Toc24395"/>
      <w:bookmarkStart w:id="201" w:name="_Toc6417"/>
      <w:bookmarkStart w:id="202" w:name="_Toc521014791"/>
      <w:bookmarkStart w:id="203" w:name="_Toc23291"/>
      <w:bookmarkStart w:id="204" w:name="_Toc17238"/>
      <w:r>
        <w:rPr>
          <w:rFonts w:hint="eastAsia" w:ascii="宋体" w:hAnsi="宋体" w:eastAsia="宋体" w:cs="宋体"/>
          <w:b/>
          <w:sz w:val="36"/>
          <w:szCs w:val="36"/>
          <w:highlight w:val="none"/>
        </w:rPr>
        <w:t>第三章资格审查</w:t>
      </w:r>
      <w:bookmarkEnd w:id="190"/>
      <w:bookmarkStart w:id="205" w:name="_Toc487900382"/>
    </w:p>
    <w:p w14:paraId="770683E7">
      <w:pPr>
        <w:tabs>
          <w:tab w:val="left" w:pos="360"/>
          <w:tab w:val="left" w:pos="900"/>
        </w:tabs>
        <w:snapToGrid w:val="0"/>
        <w:spacing w:line="360" w:lineRule="auto"/>
        <w:jc w:val="center"/>
        <w:outlineLvl w:val="1"/>
        <w:rPr>
          <w:rFonts w:hint="eastAsia" w:ascii="宋体" w:hAnsi="宋体" w:eastAsia="宋体" w:cs="宋体"/>
          <w:b/>
          <w:sz w:val="24"/>
          <w:highlight w:val="none"/>
        </w:rPr>
      </w:pPr>
      <w:bookmarkStart w:id="206" w:name="_Toc99301422"/>
      <w:r>
        <w:rPr>
          <w:rFonts w:hint="eastAsia" w:ascii="宋体" w:hAnsi="宋体" w:eastAsia="宋体" w:cs="宋体"/>
          <w:b/>
          <w:sz w:val="24"/>
          <w:highlight w:val="none"/>
        </w:rPr>
        <w:t>一、资格审查程序</w:t>
      </w:r>
      <w:bookmarkEnd w:id="206"/>
    </w:p>
    <w:p w14:paraId="07B9DF71">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开标结束后，采购人或采购代理机构将根据《资格审查要求》中的规定，对投标人进行资格审查，并形成资格审查结果。</w:t>
      </w:r>
    </w:p>
    <w:p w14:paraId="69642AF7">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《资格审查要求》中对格式有要求的，除招标文件另有规定外，均为“实质性格式”文件。</w:t>
      </w:r>
    </w:p>
    <w:p w14:paraId="0D1ADCF9">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投标人《资格证明文件》有任何一项不符合《资格审查要求》的，资格审查不合格，其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36C79A4D">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资格审查合格的投标人不足3家的，不进行评标。</w:t>
      </w:r>
    </w:p>
    <w:p w14:paraId="058E4C25">
      <w:pPr>
        <w:widowControl/>
        <w:jc w:val="left"/>
        <w:rPr>
          <w:rFonts w:hint="eastAsia" w:ascii="宋体" w:hAnsi="宋体" w:eastAsia="宋体" w:cs="宋体"/>
          <w:sz w:val="24"/>
          <w:highlight w:val="none"/>
        </w:rPr>
      </w:pPr>
    </w:p>
    <w:p w14:paraId="3677974B">
      <w:pPr>
        <w:tabs>
          <w:tab w:val="left" w:pos="360"/>
          <w:tab w:val="left" w:pos="900"/>
        </w:tabs>
        <w:snapToGrid w:val="0"/>
        <w:spacing w:line="360" w:lineRule="auto"/>
        <w:jc w:val="center"/>
        <w:outlineLvl w:val="1"/>
        <w:rPr>
          <w:rFonts w:hint="eastAsia" w:ascii="宋体" w:hAnsi="宋体" w:eastAsia="宋体" w:cs="宋体"/>
          <w:b/>
          <w:sz w:val="24"/>
          <w:highlight w:val="none"/>
        </w:rPr>
      </w:pPr>
      <w:r>
        <w:rPr>
          <w:rFonts w:hint="eastAsia" w:ascii="宋体" w:hAnsi="宋体" w:eastAsia="宋体" w:cs="宋体"/>
          <w:b/>
          <w:sz w:val="24"/>
          <w:highlight w:val="none"/>
        </w:rPr>
        <w:t>二、资格审查要求</w:t>
      </w:r>
    </w:p>
    <w:tbl>
      <w:tblPr>
        <w:tblStyle w:val="72"/>
        <w:tblW w:w="5067"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7067"/>
      </w:tblGrid>
      <w:tr w14:paraId="7D229C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448" w:type="pct"/>
            <w:noWrap w:val="0"/>
            <w:vAlign w:val="center"/>
          </w:tcPr>
          <w:p w14:paraId="638B2F25">
            <w:pPr>
              <w:tabs>
                <w:tab w:val="left" w:pos="1080"/>
              </w:tabs>
              <w:snapToGrid w:val="0"/>
              <w:jc w:val="center"/>
              <w:rPr>
                <w:rFonts w:hint="eastAsia" w:ascii="宋体" w:hAnsi="宋体" w:eastAsia="宋体" w:cs="宋体"/>
                <w:b/>
                <w:sz w:val="24"/>
                <w:highlight w:val="none"/>
              </w:rPr>
            </w:pPr>
            <w:bookmarkStart w:id="207" w:name="_Hlt487972895"/>
            <w:bookmarkEnd w:id="207"/>
            <w:r>
              <w:rPr>
                <w:rFonts w:hint="eastAsia" w:ascii="宋体" w:hAnsi="宋体" w:eastAsia="宋体" w:cs="宋体"/>
                <w:b/>
                <w:sz w:val="24"/>
                <w:highlight w:val="none"/>
              </w:rPr>
              <w:t>序号</w:t>
            </w:r>
          </w:p>
        </w:tc>
        <w:tc>
          <w:tcPr>
            <w:tcW w:w="1052" w:type="pct"/>
            <w:noWrap w:val="0"/>
            <w:vAlign w:val="center"/>
          </w:tcPr>
          <w:p w14:paraId="6C7FEE83">
            <w:pPr>
              <w:tabs>
                <w:tab w:val="left" w:pos="1080"/>
              </w:tabs>
              <w:snapToGrid w:val="0"/>
              <w:jc w:val="center"/>
              <w:rPr>
                <w:rFonts w:hint="eastAsia" w:ascii="宋体" w:hAnsi="宋体" w:eastAsia="宋体" w:cs="宋体"/>
                <w:b/>
                <w:sz w:val="24"/>
                <w:highlight w:val="none"/>
              </w:rPr>
            </w:pPr>
            <w:r>
              <w:rPr>
                <w:rFonts w:hint="eastAsia" w:ascii="宋体" w:hAnsi="宋体" w:eastAsia="宋体" w:cs="宋体"/>
                <w:b/>
                <w:sz w:val="24"/>
                <w:highlight w:val="none"/>
              </w:rPr>
              <w:t>审查因素</w:t>
            </w:r>
          </w:p>
        </w:tc>
        <w:tc>
          <w:tcPr>
            <w:tcW w:w="3498" w:type="pct"/>
            <w:noWrap w:val="0"/>
            <w:vAlign w:val="center"/>
          </w:tcPr>
          <w:p w14:paraId="6599222A">
            <w:pPr>
              <w:tabs>
                <w:tab w:val="left" w:pos="1080"/>
              </w:tabs>
              <w:snapToGrid w:val="0"/>
              <w:jc w:val="center"/>
              <w:rPr>
                <w:rFonts w:hint="eastAsia" w:ascii="宋体" w:hAnsi="宋体" w:eastAsia="宋体" w:cs="宋体"/>
                <w:b/>
                <w:sz w:val="24"/>
                <w:highlight w:val="none"/>
              </w:rPr>
            </w:pPr>
            <w:r>
              <w:rPr>
                <w:rFonts w:hint="eastAsia" w:ascii="宋体" w:hAnsi="宋体" w:eastAsia="宋体" w:cs="宋体"/>
                <w:b/>
                <w:sz w:val="24"/>
                <w:highlight w:val="none"/>
              </w:rPr>
              <w:t>审查内容</w:t>
            </w:r>
          </w:p>
        </w:tc>
      </w:tr>
      <w:tr w14:paraId="1E6F50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00B85C1C">
            <w:pPr>
              <w:tabs>
                <w:tab w:val="left" w:pos="1080"/>
              </w:tabs>
              <w:snapToGrid w:val="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w:t>
            </w:r>
          </w:p>
        </w:tc>
        <w:tc>
          <w:tcPr>
            <w:tcW w:w="1052" w:type="pct"/>
            <w:noWrap w:val="0"/>
            <w:vAlign w:val="center"/>
          </w:tcPr>
          <w:p w14:paraId="24A2512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营业执照</w:t>
            </w:r>
          </w:p>
        </w:tc>
        <w:tc>
          <w:tcPr>
            <w:tcW w:w="3498" w:type="pct"/>
            <w:noWrap w:val="0"/>
            <w:vAlign w:val="center"/>
          </w:tcPr>
          <w:p w14:paraId="38DFFA1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tc>
      </w:tr>
      <w:tr w14:paraId="702288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7E2271EE">
            <w:pPr>
              <w:tabs>
                <w:tab w:val="left" w:pos="1080"/>
              </w:tabs>
              <w:snapToGrid w:val="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w:t>
            </w:r>
          </w:p>
        </w:tc>
        <w:tc>
          <w:tcPr>
            <w:tcW w:w="1052" w:type="pct"/>
            <w:noWrap w:val="0"/>
            <w:vAlign w:val="center"/>
          </w:tcPr>
          <w:p w14:paraId="2A265F5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完税证明</w:t>
            </w:r>
          </w:p>
        </w:tc>
        <w:tc>
          <w:tcPr>
            <w:tcW w:w="3498" w:type="pct"/>
            <w:noWrap w:val="0"/>
            <w:vAlign w:val="center"/>
          </w:tcPr>
          <w:p w14:paraId="31614B7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提供近三个月（近三个月是指2024年</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月-2024年</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月）的缴纳税收的完税证明；如依法免税的，应提供相应文件证明（需含增值税、印花税等税种等；新成立不足3个月的公司按实际发生提供，如当月无需缴税需提供税务机关出具的无欠税证明）；</w:t>
            </w:r>
          </w:p>
        </w:tc>
      </w:tr>
      <w:tr w14:paraId="5C25FE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052452DD">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w:t>
            </w:r>
          </w:p>
        </w:tc>
        <w:tc>
          <w:tcPr>
            <w:tcW w:w="1052" w:type="pct"/>
            <w:noWrap w:val="0"/>
            <w:vAlign w:val="center"/>
          </w:tcPr>
          <w:p w14:paraId="326CE18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社保证明</w:t>
            </w:r>
          </w:p>
        </w:tc>
        <w:tc>
          <w:tcPr>
            <w:tcW w:w="3498" w:type="pct"/>
            <w:noWrap w:val="0"/>
            <w:vAlign w:val="center"/>
          </w:tcPr>
          <w:p w14:paraId="5CA3BF4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提供近三个月（近三个月是指2024年</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月-2024年</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月）投标供应商的社保缴纳证明（社保缴费凭证及明细，新成立不足3个月的公司以实际发生的为准）。如依法不需要缴纳社会保障资金的，应提供相应文件证明；</w:t>
            </w:r>
          </w:p>
        </w:tc>
      </w:tr>
      <w:tr w14:paraId="4B4012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45BF6932">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w:t>
            </w:r>
          </w:p>
        </w:tc>
        <w:tc>
          <w:tcPr>
            <w:tcW w:w="1052" w:type="pct"/>
            <w:noWrap w:val="0"/>
            <w:vAlign w:val="center"/>
          </w:tcPr>
          <w:p w14:paraId="071CE94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财务会计报告</w:t>
            </w:r>
          </w:p>
        </w:tc>
        <w:tc>
          <w:tcPr>
            <w:tcW w:w="3498" w:type="pct"/>
            <w:noWrap w:val="0"/>
            <w:vAlign w:val="center"/>
          </w:tcPr>
          <w:p w14:paraId="4CCE01A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 2023 年度由第三方财务审计机构出具的财务审计报告或新成立的企业提供银行出具的近三个月的资信证明；</w:t>
            </w:r>
          </w:p>
        </w:tc>
      </w:tr>
      <w:tr w14:paraId="2139E0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39D167DE">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5</w:t>
            </w:r>
          </w:p>
        </w:tc>
        <w:tc>
          <w:tcPr>
            <w:tcW w:w="1052" w:type="pct"/>
            <w:noWrap w:val="0"/>
            <w:vAlign w:val="center"/>
          </w:tcPr>
          <w:p w14:paraId="486A0F1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管理、控股</w:t>
            </w:r>
          </w:p>
        </w:tc>
        <w:tc>
          <w:tcPr>
            <w:tcW w:w="3498" w:type="pct"/>
            <w:noWrap w:val="0"/>
            <w:vAlign w:val="center"/>
          </w:tcPr>
          <w:p w14:paraId="33F4ED7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企业负责人为同一人或者存在直接控股、管理关系的不同投标人，不得参加同一合同项下的政府采购活动的声明函；否则，皆取消投标资格；</w:t>
            </w:r>
          </w:p>
        </w:tc>
      </w:tr>
      <w:tr w14:paraId="708C2C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724ABCAD">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1052" w:type="pct"/>
            <w:noWrap w:val="0"/>
            <w:vAlign w:val="center"/>
          </w:tcPr>
          <w:p w14:paraId="1AAA700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投标保证金</w:t>
            </w:r>
          </w:p>
        </w:tc>
        <w:tc>
          <w:tcPr>
            <w:tcW w:w="3498" w:type="pct"/>
            <w:noWrap w:val="0"/>
            <w:vAlign w:val="center"/>
          </w:tcPr>
          <w:p w14:paraId="4947D91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是否按照要求足额缴纳投标保证金；</w:t>
            </w:r>
          </w:p>
        </w:tc>
      </w:tr>
      <w:tr w14:paraId="28D287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1149B655">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7</w:t>
            </w:r>
          </w:p>
        </w:tc>
        <w:tc>
          <w:tcPr>
            <w:tcW w:w="1052" w:type="pct"/>
            <w:noWrap w:val="0"/>
            <w:vAlign w:val="center"/>
          </w:tcPr>
          <w:p w14:paraId="3CA5CEA9">
            <w:pPr>
              <w:tabs>
                <w:tab w:val="left" w:pos="1080"/>
              </w:tabs>
              <w:snapToGrid w:val="0"/>
              <w:spacing w:line="240" w:lineRule="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特定资质要求</w:t>
            </w:r>
          </w:p>
        </w:tc>
        <w:tc>
          <w:tcPr>
            <w:tcW w:w="3498" w:type="pct"/>
            <w:noWrap w:val="0"/>
            <w:vAlign w:val="center"/>
          </w:tcPr>
          <w:p w14:paraId="6E9FAF8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供应商为中药饮片生产厂家或经销商，若供应商为生产厂家，提供《药品生产许可证》；供应商为经销商，提供《药品经营许可证》。</w:t>
            </w:r>
          </w:p>
        </w:tc>
      </w:tr>
      <w:bookmarkEnd w:id="205"/>
    </w:tbl>
    <w:p w14:paraId="6E105CE5">
      <w:pPr>
        <w:spacing w:line="360" w:lineRule="auto"/>
        <w:jc w:val="center"/>
        <w:outlineLvl w:val="0"/>
        <w:rPr>
          <w:rFonts w:hint="eastAsia" w:ascii="宋体" w:hAnsi="宋体" w:eastAsia="宋体" w:cs="宋体"/>
          <w:b/>
          <w:sz w:val="36"/>
          <w:szCs w:val="36"/>
          <w:highlight w:val="none"/>
        </w:rPr>
      </w:pPr>
      <w:bookmarkStart w:id="208" w:name="_Toc99301423"/>
      <w:r>
        <w:rPr>
          <w:rFonts w:hint="eastAsia" w:ascii="宋体" w:hAnsi="宋体" w:eastAsia="宋体" w:cs="宋体"/>
          <w:b/>
          <w:sz w:val="36"/>
          <w:szCs w:val="36"/>
          <w:highlight w:val="none"/>
        </w:rPr>
        <w:br w:type="page"/>
      </w:r>
      <w:r>
        <w:rPr>
          <w:rFonts w:hint="eastAsia" w:ascii="宋体" w:hAnsi="宋体" w:eastAsia="宋体" w:cs="宋体"/>
          <w:b/>
          <w:sz w:val="36"/>
          <w:szCs w:val="36"/>
          <w:highlight w:val="none"/>
        </w:rPr>
        <w:t>第四章</w:t>
      </w:r>
      <w:bookmarkStart w:id="209" w:name="_Hlt164229061"/>
      <w:bookmarkEnd w:id="209"/>
      <w:r>
        <w:rPr>
          <w:rFonts w:hint="eastAsia" w:ascii="宋体" w:hAnsi="宋体" w:eastAsia="宋体" w:cs="宋体"/>
          <w:b/>
          <w:sz w:val="36"/>
          <w:szCs w:val="36"/>
          <w:highlight w:val="none"/>
        </w:rPr>
        <w:t>评标程序、评标方法和评标标准</w:t>
      </w:r>
      <w:bookmarkEnd w:id="208"/>
    </w:p>
    <w:p w14:paraId="43D4C7B7">
      <w:pPr>
        <w:tabs>
          <w:tab w:val="left" w:pos="360"/>
          <w:tab w:val="left" w:pos="900"/>
        </w:tabs>
        <w:snapToGrid w:val="0"/>
        <w:spacing w:line="360" w:lineRule="auto"/>
        <w:jc w:val="center"/>
        <w:outlineLvl w:val="1"/>
        <w:rPr>
          <w:rFonts w:hint="eastAsia" w:ascii="宋体" w:hAnsi="宋体" w:eastAsia="宋体" w:cs="宋体"/>
          <w:b/>
          <w:highlight w:val="none"/>
        </w:rPr>
      </w:pPr>
      <w:r>
        <w:rPr>
          <w:rFonts w:hint="eastAsia" w:ascii="宋体" w:hAnsi="宋体" w:eastAsia="宋体" w:cs="宋体"/>
          <w:b/>
          <w:sz w:val="24"/>
          <w:highlight w:val="none"/>
        </w:rPr>
        <w:t>一、评标方法</w:t>
      </w:r>
    </w:p>
    <w:p w14:paraId="53C28091">
      <w:pPr>
        <w:numPr>
          <w:ilvl w:val="0"/>
          <w:numId w:val="6"/>
        </w:numPr>
        <w:tabs>
          <w:tab w:val="left" w:pos="360"/>
        </w:tabs>
        <w:snapToGrid w:val="0"/>
        <w:spacing w:line="360" w:lineRule="auto"/>
        <w:ind w:left="900" w:leftChars="0" w:hanging="900" w:firstLineChars="0"/>
        <w:outlineLvl w:val="1"/>
        <w:rPr>
          <w:rFonts w:hint="eastAsia" w:ascii="宋体" w:hAnsi="宋体" w:eastAsia="宋体" w:cs="宋体"/>
          <w:sz w:val="24"/>
          <w:highlight w:val="none"/>
        </w:rPr>
      </w:pPr>
      <w:bookmarkStart w:id="210" w:name="_Toc150774746"/>
      <w:bookmarkStart w:id="211" w:name="_Toc151193639"/>
      <w:bookmarkStart w:id="212" w:name="_Toc195842906"/>
      <w:bookmarkStart w:id="213" w:name="_Toc305158809"/>
      <w:bookmarkStart w:id="214" w:name="_Toc151193783"/>
      <w:bookmarkStart w:id="215" w:name="_Toc150480779"/>
      <w:bookmarkStart w:id="216" w:name="_Toc164608655"/>
      <w:bookmarkStart w:id="217" w:name="_Toc226337237"/>
      <w:bookmarkStart w:id="218" w:name="_Toc151193929"/>
      <w:bookmarkStart w:id="219" w:name="_Toc142311043"/>
      <w:bookmarkStart w:id="220" w:name="_Toc264969231"/>
      <w:bookmarkStart w:id="221" w:name="_Toc226965814"/>
      <w:bookmarkStart w:id="222" w:name="_Toc127151541"/>
      <w:bookmarkStart w:id="223" w:name="_Toc164229382"/>
      <w:bookmarkStart w:id="224" w:name="_Toc226965731"/>
      <w:bookmarkStart w:id="225" w:name="_Toc265228379"/>
      <w:bookmarkStart w:id="226" w:name="_Toc150774641"/>
      <w:bookmarkStart w:id="227" w:name="_Toc127161455"/>
      <w:bookmarkStart w:id="228" w:name="_Toc151193855"/>
      <w:bookmarkStart w:id="229" w:name="_Toc164608810"/>
      <w:bookmarkStart w:id="230" w:name="_Toc226309785"/>
      <w:bookmarkStart w:id="231" w:name="_Toc127151742"/>
      <w:bookmarkStart w:id="232" w:name="_Toc305158883"/>
      <w:bookmarkStart w:id="233" w:name="_Toc149720834"/>
      <w:bookmarkStart w:id="234" w:name="_Toc150509292"/>
      <w:bookmarkStart w:id="235" w:name="_Toc164229236"/>
      <w:bookmarkStart w:id="236" w:name="_Toc151190168"/>
      <w:bookmarkStart w:id="237" w:name="_Toc151193711"/>
      <w:bookmarkStart w:id="238" w:name="_Toc164351635"/>
      <w:bookmarkStart w:id="239" w:name="_Toc353825551"/>
      <w:bookmarkStart w:id="240" w:name="_Toc353873941"/>
      <w:r>
        <w:rPr>
          <w:rFonts w:hint="eastAsia" w:ascii="宋体" w:hAnsi="宋体" w:eastAsia="宋体" w:cs="宋体"/>
          <w:sz w:val="24"/>
          <w:highlight w:val="none"/>
        </w:rPr>
        <w:t>投标文件的符合性审查</w:t>
      </w:r>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p>
    <w:p w14:paraId="5984F5F2">
      <w:pPr>
        <w:numPr>
          <w:ilvl w:val="1"/>
          <w:numId w:val="6"/>
        </w:numPr>
        <w:tabs>
          <w:tab w:val="left" w:pos="1080"/>
        </w:tabs>
        <w:snapToGrid w:val="0"/>
        <w:spacing w:line="360" w:lineRule="auto"/>
        <w:ind w:left="1468" w:leftChars="0" w:hanging="900" w:firstLineChars="0"/>
        <w:rPr>
          <w:rFonts w:hint="eastAsia" w:ascii="宋体" w:hAnsi="宋体" w:eastAsia="宋体" w:cs="宋体"/>
          <w:sz w:val="24"/>
          <w:highlight w:val="none"/>
        </w:rPr>
      </w:pPr>
      <w:r>
        <w:rPr>
          <w:rFonts w:hint="eastAsia" w:ascii="宋体" w:hAnsi="宋体" w:eastAsia="宋体" w:cs="宋体"/>
          <w:sz w:val="24"/>
          <w:highlight w:val="none"/>
        </w:rPr>
        <w:t>评标委员会对资格审查合格的投标人的投标文件进行符合性审查，以确定其是否满足招标文件的实质性要求。</w:t>
      </w:r>
      <w:bookmarkStart w:id="241" w:name="_Toc520356167"/>
    </w:p>
    <w:p w14:paraId="658E4E75">
      <w:pPr>
        <w:numPr>
          <w:ilvl w:val="1"/>
          <w:numId w:val="6"/>
        </w:numPr>
        <w:tabs>
          <w:tab w:val="left" w:pos="1080"/>
        </w:tabs>
        <w:snapToGrid w:val="0"/>
        <w:spacing w:line="360" w:lineRule="auto"/>
        <w:ind w:left="1468" w:leftChars="0" w:hanging="900" w:firstLineChars="0"/>
        <w:rPr>
          <w:rFonts w:hint="eastAsia" w:ascii="宋体" w:hAnsi="宋体" w:eastAsia="宋体" w:cs="宋体"/>
          <w:sz w:val="24"/>
          <w:highlight w:val="none"/>
        </w:rPr>
      </w:pPr>
      <w:r>
        <w:rPr>
          <w:rFonts w:hint="eastAsia" w:ascii="宋体" w:hAnsi="宋体" w:eastAsia="宋体" w:cs="宋体"/>
          <w:sz w:val="24"/>
          <w:highlight w:val="none"/>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241"/>
      <w:r>
        <w:rPr>
          <w:rFonts w:hint="eastAsia" w:ascii="宋体" w:hAnsi="宋体" w:eastAsia="宋体" w:cs="宋体"/>
          <w:sz w:val="24"/>
          <w:highlight w:val="none"/>
        </w:rPr>
        <w:t>要求的，</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113D7433">
      <w:pPr>
        <w:tabs>
          <w:tab w:val="left" w:pos="900"/>
          <w:tab w:val="left" w:pos="1080"/>
          <w:tab w:val="left" w:pos="1589"/>
        </w:tabs>
        <w:snapToGrid w:val="0"/>
        <w:spacing w:line="360" w:lineRule="auto"/>
        <w:ind w:leftChars="-170" w:hanging="357" w:hangingChars="148"/>
        <w:jc w:val="center"/>
        <w:rPr>
          <w:rFonts w:hint="eastAsia" w:ascii="宋体" w:hAnsi="宋体" w:eastAsia="宋体" w:cs="宋体"/>
          <w:b/>
          <w:color w:val="000000"/>
          <w:sz w:val="24"/>
          <w:highlight w:val="none"/>
          <w:lang w:eastAsia="zh-CN"/>
        </w:rPr>
      </w:pPr>
      <w:r>
        <w:rPr>
          <w:rFonts w:hint="eastAsia" w:ascii="宋体" w:hAnsi="宋体" w:eastAsia="宋体" w:cs="宋体"/>
          <w:b/>
          <w:sz w:val="24"/>
          <w:highlight w:val="none"/>
        </w:rPr>
        <w:t>符合性审查要求</w:t>
      </w:r>
    </w:p>
    <w:tbl>
      <w:tblPr>
        <w:tblStyle w:val="7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1944"/>
        <w:gridCol w:w="7218"/>
      </w:tblGrid>
      <w:tr w14:paraId="4E5D9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03" w:type="pct"/>
            <w:noWrap w:val="0"/>
            <w:vAlign w:val="center"/>
          </w:tcPr>
          <w:p w14:paraId="1D23C4B9">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序号</w:t>
            </w:r>
          </w:p>
        </w:tc>
        <w:tc>
          <w:tcPr>
            <w:tcW w:w="975" w:type="pct"/>
            <w:noWrap w:val="0"/>
            <w:vAlign w:val="center"/>
          </w:tcPr>
          <w:p w14:paraId="4DF123DE">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审查因素</w:t>
            </w:r>
          </w:p>
        </w:tc>
        <w:tc>
          <w:tcPr>
            <w:tcW w:w="3620" w:type="pct"/>
            <w:noWrap w:val="0"/>
            <w:vAlign w:val="center"/>
          </w:tcPr>
          <w:p w14:paraId="0BF0A00C">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审查内容</w:t>
            </w:r>
          </w:p>
        </w:tc>
      </w:tr>
      <w:tr w14:paraId="6ECC3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5844124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975" w:type="pct"/>
            <w:noWrap w:val="0"/>
            <w:vAlign w:val="center"/>
          </w:tcPr>
          <w:p w14:paraId="6BA0BD7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授权委托书</w:t>
            </w:r>
          </w:p>
        </w:tc>
        <w:tc>
          <w:tcPr>
            <w:tcW w:w="3620" w:type="pct"/>
            <w:noWrap w:val="0"/>
            <w:vAlign w:val="center"/>
          </w:tcPr>
          <w:p w14:paraId="7188B48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按招标文件要求提供授权委托书；</w:t>
            </w:r>
          </w:p>
        </w:tc>
      </w:tr>
      <w:tr w14:paraId="5ACB8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CE79E0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975" w:type="pct"/>
            <w:noWrap w:val="0"/>
            <w:vAlign w:val="center"/>
          </w:tcPr>
          <w:p w14:paraId="6C4895C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投标完整性</w:t>
            </w:r>
          </w:p>
        </w:tc>
        <w:tc>
          <w:tcPr>
            <w:tcW w:w="3620" w:type="pct"/>
            <w:noWrap w:val="0"/>
            <w:vAlign w:val="center"/>
          </w:tcPr>
          <w:p w14:paraId="039350D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未将一个采购包中的内容拆开投标；</w:t>
            </w:r>
          </w:p>
        </w:tc>
      </w:tr>
      <w:tr w14:paraId="33E42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42C7427">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975" w:type="pct"/>
            <w:noWrap w:val="0"/>
            <w:vAlign w:val="center"/>
          </w:tcPr>
          <w:p w14:paraId="44B795F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投标报价</w:t>
            </w:r>
          </w:p>
        </w:tc>
        <w:tc>
          <w:tcPr>
            <w:tcW w:w="3620" w:type="pct"/>
            <w:noWrap w:val="0"/>
            <w:vAlign w:val="center"/>
          </w:tcPr>
          <w:p w14:paraId="18CCC7A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投标报价未超过招标文件中规定的项目/采购包预算金额或者项目/采购包最高限价；</w:t>
            </w:r>
          </w:p>
        </w:tc>
      </w:tr>
      <w:tr w14:paraId="1EF06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4F3D57F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w:t>
            </w:r>
          </w:p>
        </w:tc>
        <w:tc>
          <w:tcPr>
            <w:tcW w:w="975" w:type="pct"/>
            <w:noWrap w:val="0"/>
            <w:vAlign w:val="center"/>
          </w:tcPr>
          <w:p w14:paraId="3489C70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报价唯一性</w:t>
            </w:r>
          </w:p>
        </w:tc>
        <w:tc>
          <w:tcPr>
            <w:tcW w:w="3620" w:type="pct"/>
            <w:noWrap w:val="0"/>
            <w:vAlign w:val="center"/>
          </w:tcPr>
          <w:p w14:paraId="7F11BB0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投标文件未出现可选择性或可调整的报价（招标文件另有规定的除外）；</w:t>
            </w:r>
          </w:p>
        </w:tc>
      </w:tr>
      <w:tr w14:paraId="550EE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A8617A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c>
          <w:tcPr>
            <w:tcW w:w="975" w:type="pct"/>
            <w:noWrap w:val="0"/>
            <w:vAlign w:val="center"/>
          </w:tcPr>
          <w:p w14:paraId="6E82CA7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投标有效期</w:t>
            </w:r>
          </w:p>
        </w:tc>
        <w:tc>
          <w:tcPr>
            <w:tcW w:w="3620" w:type="pct"/>
            <w:noWrap w:val="0"/>
            <w:vAlign w:val="center"/>
          </w:tcPr>
          <w:p w14:paraId="4C584B5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投标文件中承诺的投标有效期满足招标文件中载明的投标有效期的；</w:t>
            </w:r>
          </w:p>
        </w:tc>
      </w:tr>
      <w:tr w14:paraId="2BF65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6CE700E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6</w:t>
            </w:r>
          </w:p>
        </w:tc>
        <w:tc>
          <w:tcPr>
            <w:tcW w:w="975" w:type="pct"/>
            <w:noWrap w:val="0"/>
            <w:vAlign w:val="center"/>
          </w:tcPr>
          <w:p w14:paraId="3537ADA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签署、盖章</w:t>
            </w:r>
          </w:p>
        </w:tc>
        <w:tc>
          <w:tcPr>
            <w:tcW w:w="3620" w:type="pct"/>
            <w:noWrap w:val="0"/>
            <w:vAlign w:val="center"/>
          </w:tcPr>
          <w:p w14:paraId="537F360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按照招标文件要求签署、盖章的；</w:t>
            </w:r>
          </w:p>
        </w:tc>
      </w:tr>
      <w:tr w14:paraId="47FF1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0322FE7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7</w:t>
            </w:r>
          </w:p>
        </w:tc>
        <w:tc>
          <w:tcPr>
            <w:tcW w:w="975" w:type="pct"/>
            <w:noWrap w:val="0"/>
            <w:vAlign w:val="center"/>
          </w:tcPr>
          <w:p w14:paraId="1254EEE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实质性格式</w:t>
            </w:r>
          </w:p>
        </w:tc>
        <w:tc>
          <w:tcPr>
            <w:tcW w:w="3620" w:type="pct"/>
            <w:noWrap w:val="0"/>
            <w:vAlign w:val="center"/>
          </w:tcPr>
          <w:p w14:paraId="213A4C1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标记为“实质性格式”的文件均按招标文件要求提供；</w:t>
            </w:r>
          </w:p>
        </w:tc>
      </w:tr>
      <w:tr w14:paraId="50072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0667F5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8</w:t>
            </w:r>
          </w:p>
        </w:tc>
        <w:tc>
          <w:tcPr>
            <w:tcW w:w="975" w:type="pct"/>
            <w:noWrap w:val="0"/>
            <w:vAlign w:val="center"/>
          </w:tcPr>
          <w:p w14:paraId="58A6201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★号条款响应</w:t>
            </w:r>
          </w:p>
        </w:tc>
        <w:tc>
          <w:tcPr>
            <w:tcW w:w="3620" w:type="pct"/>
            <w:noWrap w:val="0"/>
            <w:vAlign w:val="center"/>
          </w:tcPr>
          <w:p w14:paraId="1E472AA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投标文件满足招标文件第五章《采购需求》中★号条款要求的；</w:t>
            </w:r>
          </w:p>
        </w:tc>
      </w:tr>
      <w:tr w14:paraId="28695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523009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9</w:t>
            </w:r>
          </w:p>
        </w:tc>
        <w:tc>
          <w:tcPr>
            <w:tcW w:w="975" w:type="pct"/>
            <w:noWrap w:val="0"/>
            <w:vAlign w:val="center"/>
          </w:tcPr>
          <w:p w14:paraId="2D268D4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分包承担主体资质（如有）</w:t>
            </w:r>
          </w:p>
        </w:tc>
        <w:tc>
          <w:tcPr>
            <w:tcW w:w="3620" w:type="pct"/>
            <w:noWrap w:val="0"/>
            <w:vAlign w:val="center"/>
          </w:tcPr>
          <w:p w14:paraId="1C547BF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分包承担主体具备《投标人须知资料表》载明的资质条件且提供了资质证书电子件（如有）；</w:t>
            </w:r>
          </w:p>
        </w:tc>
      </w:tr>
      <w:tr w14:paraId="55738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684F13C8">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10</w:t>
            </w:r>
          </w:p>
        </w:tc>
        <w:tc>
          <w:tcPr>
            <w:tcW w:w="975" w:type="pct"/>
            <w:noWrap w:val="0"/>
            <w:vAlign w:val="center"/>
          </w:tcPr>
          <w:p w14:paraId="4472444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分包意向协议</w:t>
            </w:r>
          </w:p>
          <w:p w14:paraId="0205B64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（如有）</w:t>
            </w:r>
          </w:p>
        </w:tc>
        <w:tc>
          <w:tcPr>
            <w:tcW w:w="3620" w:type="pct"/>
            <w:noWrap w:val="0"/>
            <w:vAlign w:val="center"/>
          </w:tcPr>
          <w:p w14:paraId="79982047">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按招标文件规定签订并提供分包意向协议原件的电子件的；（如有）</w:t>
            </w:r>
          </w:p>
        </w:tc>
      </w:tr>
      <w:tr w14:paraId="144BE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DC10D2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11</w:t>
            </w:r>
          </w:p>
        </w:tc>
        <w:tc>
          <w:tcPr>
            <w:tcW w:w="975" w:type="pct"/>
            <w:noWrap w:val="0"/>
            <w:vAlign w:val="center"/>
          </w:tcPr>
          <w:p w14:paraId="789C573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报价的修正（如有）</w:t>
            </w:r>
          </w:p>
        </w:tc>
        <w:tc>
          <w:tcPr>
            <w:tcW w:w="3620" w:type="pct"/>
            <w:noWrap w:val="0"/>
            <w:vAlign w:val="center"/>
          </w:tcPr>
          <w:p w14:paraId="561C09B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不涉及报价修正，或投标文件报价出现前后不一致时，投标人对修正后的报价予以确认；（如有）</w:t>
            </w:r>
          </w:p>
        </w:tc>
      </w:tr>
      <w:tr w14:paraId="7EDCE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D32BBF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12</w:t>
            </w:r>
          </w:p>
        </w:tc>
        <w:tc>
          <w:tcPr>
            <w:tcW w:w="975" w:type="pct"/>
            <w:noWrap w:val="0"/>
            <w:vAlign w:val="center"/>
          </w:tcPr>
          <w:p w14:paraId="460B729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报价合理性</w:t>
            </w:r>
          </w:p>
        </w:tc>
        <w:tc>
          <w:tcPr>
            <w:tcW w:w="3620" w:type="pct"/>
            <w:noWrap w:val="0"/>
            <w:vAlign w:val="center"/>
          </w:tcPr>
          <w:p w14:paraId="445FC7E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报价合理，或投标人的报价明显低于其他通过符合性审查投标人的报价，有可能影响产品质量或者不能诚信履约的，能够应评标委员会要求在规定时间内证明其报价合理性的；</w:t>
            </w:r>
          </w:p>
        </w:tc>
      </w:tr>
      <w:tr w14:paraId="4EFC7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31D4998">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13</w:t>
            </w:r>
          </w:p>
        </w:tc>
        <w:tc>
          <w:tcPr>
            <w:tcW w:w="975" w:type="pct"/>
            <w:noWrap w:val="0"/>
            <w:vAlign w:val="center"/>
          </w:tcPr>
          <w:p w14:paraId="2447244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进口产品（如有）</w:t>
            </w:r>
          </w:p>
        </w:tc>
        <w:tc>
          <w:tcPr>
            <w:tcW w:w="3620" w:type="pct"/>
            <w:noWrap w:val="0"/>
            <w:vAlign w:val="center"/>
          </w:tcPr>
          <w:p w14:paraId="5F7D6D1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招标文件不接受进口产品投标的内容时，投标人所投产品非进口产品的；</w:t>
            </w:r>
          </w:p>
        </w:tc>
      </w:tr>
      <w:tr w14:paraId="7137C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4776E0B7">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4</w:t>
            </w:r>
          </w:p>
        </w:tc>
        <w:tc>
          <w:tcPr>
            <w:tcW w:w="975" w:type="pct"/>
            <w:noWrap w:val="0"/>
            <w:vAlign w:val="center"/>
          </w:tcPr>
          <w:p w14:paraId="1E001E3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公平竞争</w:t>
            </w:r>
          </w:p>
        </w:tc>
        <w:tc>
          <w:tcPr>
            <w:tcW w:w="3620" w:type="pct"/>
            <w:noWrap w:val="0"/>
            <w:vAlign w:val="center"/>
          </w:tcPr>
          <w:p w14:paraId="2D40006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投标人遵循公平竞争的原则，不存在恶意串通，妨碍其他投标人的竞争行为，不存在损害采购人或者其他投标人的合法权益情形的；</w:t>
            </w:r>
          </w:p>
        </w:tc>
      </w:tr>
      <w:tr w14:paraId="2E88B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E51691E">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5</w:t>
            </w:r>
          </w:p>
        </w:tc>
        <w:tc>
          <w:tcPr>
            <w:tcW w:w="975" w:type="pct"/>
            <w:noWrap w:val="0"/>
            <w:vAlign w:val="center"/>
          </w:tcPr>
          <w:p w14:paraId="76A1371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串通投标</w:t>
            </w:r>
          </w:p>
        </w:tc>
        <w:tc>
          <w:tcPr>
            <w:tcW w:w="3620" w:type="pct"/>
            <w:noWrap w:val="0"/>
            <w:vAlign w:val="center"/>
          </w:tcPr>
          <w:p w14:paraId="54A769E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44E06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C44B9F8">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6</w:t>
            </w:r>
          </w:p>
        </w:tc>
        <w:tc>
          <w:tcPr>
            <w:tcW w:w="975" w:type="pct"/>
            <w:noWrap w:val="0"/>
            <w:vAlign w:val="center"/>
          </w:tcPr>
          <w:p w14:paraId="54967347">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附加条件</w:t>
            </w:r>
          </w:p>
        </w:tc>
        <w:tc>
          <w:tcPr>
            <w:tcW w:w="3620" w:type="pct"/>
            <w:noWrap w:val="0"/>
            <w:vAlign w:val="center"/>
          </w:tcPr>
          <w:p w14:paraId="3FB5F9F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投标文件未含有采购人不能接受的附加条件的；</w:t>
            </w:r>
          </w:p>
        </w:tc>
      </w:tr>
      <w:tr w14:paraId="13618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A0C2081">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7</w:t>
            </w:r>
          </w:p>
        </w:tc>
        <w:tc>
          <w:tcPr>
            <w:tcW w:w="975" w:type="pct"/>
            <w:noWrap w:val="0"/>
            <w:vAlign w:val="center"/>
          </w:tcPr>
          <w:p w14:paraId="72C40F2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其他无效情形</w:t>
            </w:r>
          </w:p>
        </w:tc>
        <w:tc>
          <w:tcPr>
            <w:tcW w:w="3620" w:type="pct"/>
            <w:noWrap w:val="0"/>
            <w:vAlign w:val="center"/>
          </w:tcPr>
          <w:p w14:paraId="06CBB61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投标人、投标文件不存在不符合</w:t>
            </w:r>
            <w:r>
              <w:rPr>
                <w:rFonts w:hint="eastAsia" w:ascii="宋体" w:hAnsi="宋体" w:cs="宋体"/>
                <w:sz w:val="21"/>
                <w:szCs w:val="21"/>
                <w:highlight w:val="none"/>
                <w:lang w:eastAsia="zh-CN"/>
              </w:rPr>
              <w:t>法律法规</w:t>
            </w:r>
            <w:r>
              <w:rPr>
                <w:rFonts w:hint="eastAsia" w:ascii="宋体" w:hAnsi="宋体" w:eastAsia="宋体" w:cs="宋体"/>
                <w:sz w:val="21"/>
                <w:szCs w:val="21"/>
                <w:highlight w:val="none"/>
              </w:rPr>
              <w:t>和招标文件规定的其他无效情形。</w:t>
            </w:r>
          </w:p>
        </w:tc>
      </w:tr>
    </w:tbl>
    <w:p w14:paraId="2418C68E">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投标文件有关事项的澄清或者说明</w:t>
      </w:r>
    </w:p>
    <w:p w14:paraId="09EE4E99">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过程中，评标委员会将以书面形式要求投标人对其投标文件中含义不明确、同类问题表述不一致或者有明显文字和计算错误的内容，作出必要的澄清、说明或者补正。投标人的澄清、说明或者补正应当采用书面形式，并加盖公章，或者由法定代表人或其授权的代表签字。投标人的澄清、说明或者补正不得超出投标文件的范围或者改变投标文件的实质性内容。澄清文件将作为投标文件内容的一部分。</w:t>
      </w:r>
    </w:p>
    <w:p w14:paraId="5510144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宋体" w:hAnsi="宋体" w:eastAsia="宋体" w:cs="宋体"/>
          <w:b/>
          <w:sz w:val="24"/>
          <w:highlight w:val="none"/>
        </w:rPr>
        <w:t>无效投标处理</w:t>
      </w:r>
      <w:r>
        <w:rPr>
          <w:rFonts w:hint="eastAsia" w:ascii="宋体" w:hAnsi="宋体" w:eastAsia="宋体" w:cs="宋体"/>
          <w:sz w:val="24"/>
          <w:highlight w:val="none"/>
        </w:rPr>
        <w:t>。</w:t>
      </w:r>
    </w:p>
    <w:p w14:paraId="18EC012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6748812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投标文件报价出现前后不一致的，按照下列规定修正：</w:t>
      </w:r>
    </w:p>
    <w:p w14:paraId="64A80EA7">
      <w:pPr>
        <w:keepNext w:val="0"/>
        <w:keepLines w:val="0"/>
        <w:pageBreakBefore w:val="0"/>
        <w:widowControl w:val="0"/>
        <w:numPr>
          <w:ilvl w:val="2"/>
          <w:numId w:val="6"/>
        </w:numPr>
        <w:tabs>
          <w:tab w:val="left" w:pos="1080"/>
          <w:tab w:val="left" w:pos="1589"/>
          <w:tab w:val="left" w:pos="2035"/>
          <w:tab w:val="left" w:pos="21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招标文件对于报价修正是否另有规定：</w:t>
      </w:r>
    </w:p>
    <w:p w14:paraId="4A56F6CE">
      <w:pPr>
        <w:keepNext w:val="0"/>
        <w:keepLines w:val="0"/>
        <w:pageBreakBefore w:val="0"/>
        <w:widowControl w:val="0"/>
        <w:tabs>
          <w:tab w:val="left" w:pos="1080"/>
          <w:tab w:val="left" w:pos="1589"/>
          <w:tab w:val="left" w:pos="2035"/>
          <w:tab w:val="left" w:pos="2114"/>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□有，具体规定为：______________</w:t>
      </w:r>
    </w:p>
    <w:p w14:paraId="2F85C0B8">
      <w:pPr>
        <w:keepNext w:val="0"/>
        <w:keepLines w:val="0"/>
        <w:pageBreakBefore w:val="0"/>
        <w:widowControl w:val="0"/>
        <w:tabs>
          <w:tab w:val="left" w:pos="1080"/>
          <w:tab w:val="left" w:pos="1589"/>
          <w:tab w:val="left" w:pos="2035"/>
          <w:tab w:val="left" w:pos="2114"/>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无，按下述2.4.2-2.4.7项规定修正。</w:t>
      </w:r>
    </w:p>
    <w:p w14:paraId="7000BBC7">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adjustRightInd/>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单独递交的开标一览表（报价表）与投标文件中开标一览表（报价表）内容不一致的，以单独递交的开标一览表（报价表）为准；</w:t>
      </w:r>
    </w:p>
    <w:p w14:paraId="7A5DAC37">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投标文件中开标一览表（报价表）内容与投标文件中相应内容不一致的，以开标一览表（报价表）为准；</w:t>
      </w:r>
    </w:p>
    <w:p w14:paraId="1106585C">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大写金额和小写金额不一致的，以大写金额为准；</w:t>
      </w:r>
    </w:p>
    <w:p w14:paraId="3BACFF05">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单价金额小数点或者百分比有明显错位的，以开标一览表的总价为准，并修改单价；</w:t>
      </w:r>
    </w:p>
    <w:p w14:paraId="7A56C55D">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总价金额与按单价汇总金额不一致的，以单价金额计算结果为准。</w:t>
      </w:r>
    </w:p>
    <w:p w14:paraId="6EF6F758">
      <w:pPr>
        <w:keepNext w:val="0"/>
        <w:keepLines w:val="0"/>
        <w:pageBreakBefore w:val="0"/>
        <w:widowControl w:val="0"/>
        <w:numPr>
          <w:ilvl w:val="2"/>
          <w:numId w:val="6"/>
        </w:numPr>
        <w:tabs>
          <w:tab w:val="left" w:pos="1080"/>
          <w:tab w:val="left" w:pos="1589"/>
          <w:tab w:val="left" w:pos="2035"/>
          <w:tab w:val="left" w:pos="21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同时出现两种以上不一致的，按照前款规定的顺序修正。修正后的报价经投标人书面确认后产生约束力，投标人不确认的，其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2D49CCB5">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落实政府采购政策的价格调整：只有符合第二章《投标人须知》规定情形的，可以享受中小企业扶持政策，用扣除后的价格参加评审；否则，评标时价格不予扣除。</w:t>
      </w:r>
    </w:p>
    <w:p w14:paraId="6F758778">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对于未预留份额专门面向中小企业采购的采购项目，以及预留份额项目中的非预留部分采购包，对小微企业报价</w:t>
      </w:r>
      <w:r>
        <w:rPr>
          <w:rFonts w:hint="eastAsia" w:ascii="宋体" w:hAnsi="宋体" w:cs="宋体"/>
          <w:sz w:val="24"/>
          <w:highlight w:val="none"/>
          <w:lang w:val="en-US" w:eastAsia="zh-CN"/>
        </w:rPr>
        <w:t>按</w:t>
      </w:r>
      <w:r>
        <w:rPr>
          <w:rFonts w:hint="eastAsia" w:ascii="宋体" w:hAnsi="宋体" w:eastAsia="宋体" w:cs="宋体"/>
          <w:sz w:val="24"/>
          <w:highlight w:val="none"/>
        </w:rPr>
        <w:t>投标人须知前附表给予扣除，用扣除后的价格参加评审。</w:t>
      </w:r>
    </w:p>
    <w:p w14:paraId="46C645B0">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0%以上的联合体或者大中型企业的报价给予</w:t>
      </w:r>
      <w:r>
        <w:rPr>
          <w:rFonts w:hint="eastAsia" w:ascii="宋体" w:hAnsi="宋体" w:cs="宋体"/>
          <w:sz w:val="24"/>
          <w:highlight w:val="none"/>
          <w:lang w:val="en-US" w:eastAsia="zh-CN"/>
        </w:rPr>
        <w:t>4</w:t>
      </w:r>
      <w:r>
        <w:rPr>
          <w:rFonts w:hint="eastAsia" w:ascii="宋体" w:hAnsi="宋体" w:eastAsia="宋体" w:cs="宋体"/>
          <w:sz w:val="24"/>
          <w:highlight w:val="none"/>
        </w:rPr>
        <w:t>%的扣除，用扣除后的价格参加评审。</w:t>
      </w:r>
    </w:p>
    <w:p w14:paraId="39A57B71">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组成联合体或者接受分包的小微企业与联合体内其他企业、分包企业之间存在直接控股、管理关系的，不享受价格扣除优惠政策。</w:t>
      </w:r>
    </w:p>
    <w:p w14:paraId="475A4B3A">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价格扣除比例对小型企业和微型企业同等对待，不作区分。</w:t>
      </w:r>
    </w:p>
    <w:p w14:paraId="70C40DB0">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color w:val="000000"/>
          <w:sz w:val="24"/>
          <w:highlight w:val="none"/>
        </w:rPr>
        <w:t>中小企业参加政府采购活动，应当按照招标文件给定的格式出具《中小企业声明函》，否则不得享受相关中小企业扶持政策。</w:t>
      </w:r>
    </w:p>
    <w:p w14:paraId="6BF73109">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监狱企业提供了由省级以上监狱管理局（北京市含教育矫治局）、戒毒管理局（含新疆生产建设兵团）出具的属于监狱企业的证明文件的，视同小微企业。</w:t>
      </w:r>
    </w:p>
    <w:p w14:paraId="39EB6F65">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残疾人福利性单位按招标文件要求提供了《残疾人福利性单位声明函》（见附件）的，视同小微企业。</w:t>
      </w:r>
    </w:p>
    <w:p w14:paraId="4A8CE18F">
      <w:pPr>
        <w:keepNext w:val="0"/>
        <w:keepLines w:val="0"/>
        <w:pageBreakBefore w:val="0"/>
        <w:widowControl w:val="0"/>
        <w:numPr>
          <w:ilvl w:val="2"/>
          <w:numId w:val="6"/>
        </w:numPr>
        <w:tabs>
          <w:tab w:val="left" w:pos="1080"/>
          <w:tab w:val="left" w:pos="1589"/>
          <w:tab w:val="left" w:pos="20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若投标人同时属于小型或微型企业、监狱企业、残疾人福利性单位中的两种及以上，将不重复享受小微企业价格扣减的优惠政策。</w:t>
      </w:r>
    </w:p>
    <w:p w14:paraId="084273E3">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投标文件的比较和评价</w:t>
      </w:r>
      <w:bookmarkEnd w:id="239"/>
      <w:bookmarkEnd w:id="240"/>
    </w:p>
    <w:p w14:paraId="5DBBABD0">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评标委员会将按照招标文件中规定的评标方法和标准，对符合性审查合格的投标文件进行商务和技术评估，综合比较与评价；未通过符合性审查的投标文件不得进入比较与评价。</w:t>
      </w:r>
    </w:p>
    <w:p w14:paraId="2EA6506D">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评标方法和评标标准</w:t>
      </w:r>
    </w:p>
    <w:p w14:paraId="0623F02C">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本项目采用的评标方法为：</w:t>
      </w:r>
    </w:p>
    <w:p w14:paraId="2C593040">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综合评分法，指投标文件满足招标文件全部实质性要求，且按照评审因素的量化指标评审得分最高的投标人为中标候选人的评标方法，见《评标标准》，招标文件中没有规定的评标标准不得作为评审的依据。</w:t>
      </w:r>
    </w:p>
    <w:p w14:paraId="3EFBD57D">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□最低评标价法，指投标文件满足招标文件全部实质性要求，且投标报价最低的投标人为中标候选人的评标方法。</w:t>
      </w:r>
    </w:p>
    <w:p w14:paraId="0AC741EC">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最低评标价法时，提供相同品牌产品（单一产品或核心产品品牌相同）的不同投标人参加同一合同项下投标的，以其中通过资格审查、符合性审查且报价最低的参加评标；报价相同的，由采购人或者采购人委托评标委员会按照下述方法确定一个参加评标的投标人，其他</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1C70566B">
      <w:pPr>
        <w:keepNext w:val="0"/>
        <w:keepLines w:val="0"/>
        <w:pageBreakBefore w:val="0"/>
        <w:widowControl w:val="0"/>
        <w:tabs>
          <w:tab w:val="left" w:pos="1080"/>
          <w:tab w:val="left" w:pos="1589"/>
          <w:tab w:val="left" w:pos="2035"/>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随机抽取</w:t>
      </w:r>
    </w:p>
    <w:p w14:paraId="13DD8E30">
      <w:pPr>
        <w:keepNext w:val="0"/>
        <w:keepLines w:val="0"/>
        <w:pageBreakBefore w:val="0"/>
        <w:widowControl w:val="0"/>
        <w:tabs>
          <w:tab w:val="left" w:pos="1080"/>
          <w:tab w:val="left" w:pos="1589"/>
          <w:tab w:val="left" w:pos="2035"/>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□其他方式，具体要求：_____</w:t>
      </w:r>
    </w:p>
    <w:p w14:paraId="6D95F9E3">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非政府强制采购的节能产品或环境标志产品，依据品目清单和认证证书实施政府优先采购。优先采购的具体规定（如涉及）_____。</w:t>
      </w:r>
    </w:p>
    <w:p w14:paraId="7150EBEA">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关于无线局域网认证产品政府采购清单中的产品，优先采购的具体规定（如涉及）_____。</w:t>
      </w:r>
    </w:p>
    <w:p w14:paraId="2E46471F">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确定</w:t>
      </w:r>
      <w:bookmarkStart w:id="242" w:name="_Toc264969236"/>
      <w:bookmarkStart w:id="243" w:name="_Toc127161460"/>
      <w:bookmarkStart w:id="244" w:name="_Toc164229387"/>
      <w:bookmarkStart w:id="245" w:name="_Toc151193934"/>
      <w:bookmarkStart w:id="246" w:name="_Toc149720839"/>
      <w:bookmarkStart w:id="247" w:name="_Toc151193788"/>
      <w:bookmarkStart w:id="248" w:name="_Toc305158888"/>
      <w:bookmarkStart w:id="249" w:name="_Toc226337242"/>
      <w:bookmarkStart w:id="250" w:name="_Toc164608815"/>
      <w:bookmarkStart w:id="251" w:name="_Ref467307010"/>
      <w:bookmarkStart w:id="252" w:name="_Toc164351640"/>
      <w:bookmarkStart w:id="253" w:name="_Toc127151546"/>
      <w:bookmarkStart w:id="254" w:name="_Toc164229241"/>
      <w:bookmarkStart w:id="255" w:name="_Toc305158814"/>
      <w:bookmarkStart w:id="256" w:name="_Toc150480784"/>
      <w:bookmarkStart w:id="257" w:name="_Toc142311048"/>
      <w:bookmarkStart w:id="258" w:name="_Toc195842911"/>
      <w:bookmarkStart w:id="259" w:name="_Toc150774751"/>
      <w:bookmarkStart w:id="260" w:name="_Toc164608660"/>
      <w:bookmarkStart w:id="261" w:name="_Toc226965736"/>
      <w:bookmarkStart w:id="262" w:name="_Toc265228384"/>
      <w:bookmarkStart w:id="263" w:name="_Toc150509297"/>
      <w:bookmarkStart w:id="264" w:name="_Toc226309790"/>
      <w:bookmarkStart w:id="265" w:name="_Toc226965819"/>
      <w:bookmarkStart w:id="266" w:name="_Toc127151747"/>
      <w:bookmarkStart w:id="267" w:name="_Toc151193644"/>
      <w:bookmarkStart w:id="268" w:name="_Toc150774646"/>
      <w:bookmarkStart w:id="269" w:name="_Toc151190173"/>
      <w:bookmarkStart w:id="270" w:name="_Toc520356170"/>
      <w:bookmarkStart w:id="271" w:name="_Toc151193716"/>
      <w:bookmarkStart w:id="272" w:name="_Toc151193860"/>
      <w:r>
        <w:rPr>
          <w:rFonts w:hint="eastAsia" w:ascii="宋体" w:hAnsi="宋体" w:eastAsia="宋体" w:cs="宋体"/>
          <w:sz w:val="24"/>
          <w:highlight w:val="none"/>
        </w:rPr>
        <w:t>中标候选人名单</w:t>
      </w:r>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p>
    <w:p w14:paraId="0D25C23F">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综合评分法时，提供相同品牌产品（单一产品或核心产品品牌相同）且通过资格审查、符合性审查的不同投标人参加同一合同项下投标的，按一家投标人计算，评审后得分最高的同品牌投标人获得中标人推荐资格；评审得分相同的，评标委员会按照下述规定确定一个投标人获得中标人推荐资格，其他同品牌投标人不作为中标候选人。</w:t>
      </w:r>
    </w:p>
    <w:p w14:paraId="3174062E">
      <w:pPr>
        <w:pStyle w:val="44"/>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right="0" w:firstLine="0" w:firstLineChars="0"/>
        <w:textAlignment w:val="auto"/>
        <w:rPr>
          <w:rFonts w:hint="eastAsia" w:ascii="宋体" w:hAnsi="宋体" w:eastAsia="宋体" w:cs="宋体"/>
          <w:sz w:val="24"/>
          <w:szCs w:val="24"/>
          <w:highlight w:val="none"/>
        </w:rPr>
      </w:pPr>
      <w:r>
        <w:rPr>
          <w:rFonts w:hint="eastAsia" w:hAnsi="宋体" w:cs="宋体"/>
          <w:sz w:val="24"/>
          <w:szCs w:val="24"/>
          <w:highlight w:val="none"/>
          <w:lang w:eastAsia="zh-CN"/>
        </w:rPr>
        <w:t>☑</w:t>
      </w:r>
      <w:r>
        <w:rPr>
          <w:rFonts w:hint="eastAsia" w:ascii="宋体" w:hAnsi="宋体" w:eastAsia="宋体" w:cs="宋体"/>
          <w:sz w:val="24"/>
          <w:szCs w:val="24"/>
          <w:highlight w:val="none"/>
        </w:rPr>
        <w:t>随机抽取</w:t>
      </w:r>
    </w:p>
    <w:p w14:paraId="10096D22">
      <w:pPr>
        <w:pStyle w:val="44"/>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right="0"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□其他方式，具体要求：_____</w:t>
      </w:r>
    </w:p>
    <w:p w14:paraId="5EDA52FB">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综合评分法时，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47B01197">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采用最低评标价法时，评标结果按本章2.4、2.5调整后的投标报价由低到高顺序排列。投标报价相同的并列。投标文件满足招标文件全部实质性要求且投标报价最低的投标人为排名第一的中标候选人。</w:t>
      </w:r>
    </w:p>
    <w:p w14:paraId="3AB58882">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评标委员会要对评分汇总情况进行复核，特别是对排名第一的、报价最低的、投标或响应文件被认定为无效的情形进行重点复核。</w:t>
      </w:r>
    </w:p>
    <w:p w14:paraId="16D6368D">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评标委员会将根据各投标人的评标排序，依次推荐本项目（各采购包）的中标候选人，起草并签署评标报告。本项目（各采购包）评标委员会共推荐</w:t>
      </w:r>
      <w:r>
        <w:rPr>
          <w:rFonts w:hint="eastAsia" w:ascii="宋体" w:hAnsi="宋体" w:cs="宋体"/>
          <w:sz w:val="24"/>
          <w:highlight w:val="none"/>
          <w:u w:val="single"/>
          <w:lang w:val="en-US" w:eastAsia="zh-CN"/>
        </w:rPr>
        <w:t>3</w:t>
      </w:r>
      <w:r>
        <w:rPr>
          <w:rFonts w:hint="eastAsia" w:ascii="宋体" w:hAnsi="宋体" w:eastAsia="宋体" w:cs="宋体"/>
          <w:sz w:val="24"/>
          <w:highlight w:val="none"/>
        </w:rPr>
        <w:t>名中标候选人。</w:t>
      </w:r>
    </w:p>
    <w:p w14:paraId="5DD7CC87">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报告违法行为</w:t>
      </w:r>
    </w:p>
    <w:p w14:paraId="348C5EAD">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sectPr>
          <w:headerReference r:id="rId10" w:type="default"/>
          <w:footerReference r:id="rId11" w:type="default"/>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sz w:val="24"/>
          <w:highlight w:val="none"/>
        </w:rPr>
        <w:t>评标委员会在评标过程中发现投标人有行贿、提供虚假材料或者串通等违法行为时，有向采购人、采购代理机构或者有关部门报告的职责。</w:t>
      </w:r>
    </w:p>
    <w:p w14:paraId="04108010">
      <w:pPr>
        <w:tabs>
          <w:tab w:val="left" w:pos="360"/>
          <w:tab w:val="left" w:pos="900"/>
          <w:tab w:val="left" w:pos="1080"/>
          <w:tab w:val="left" w:pos="2014"/>
        </w:tabs>
        <w:snapToGrid w:val="0"/>
        <w:spacing w:line="360" w:lineRule="auto"/>
        <w:rPr>
          <w:rFonts w:hint="default" w:ascii="宋体" w:hAnsi="宋体" w:eastAsia="宋体" w:cs="宋体"/>
          <w:sz w:val="24"/>
          <w:szCs w:val="24"/>
          <w:highlight w:val="none"/>
          <w:lang w:val="en-US" w:eastAsia="zh-CN"/>
        </w:rPr>
      </w:pPr>
      <w:bookmarkStart w:id="273" w:name="_Toc99301424"/>
      <w:r>
        <w:rPr>
          <w:rFonts w:hint="eastAsia" w:ascii="宋体" w:hAnsi="宋体" w:cs="宋体"/>
          <w:sz w:val="24"/>
          <w:szCs w:val="24"/>
          <w:highlight w:val="none"/>
          <w:lang w:val="en-US" w:eastAsia="zh-CN"/>
        </w:rPr>
        <w:t>和田地区洛浦县维吾尔医医院饮片类、辅料及药包材采购项目（包七）</w:t>
      </w:r>
    </w:p>
    <w:tbl>
      <w:tblPr>
        <w:tblStyle w:val="7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529"/>
        <w:gridCol w:w="3827"/>
        <w:gridCol w:w="8423"/>
      </w:tblGrid>
      <w:tr w14:paraId="389A577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529" w:type="dxa"/>
            <w:vAlign w:val="center"/>
          </w:tcPr>
          <w:p w14:paraId="281199F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评审因素</w:t>
            </w:r>
          </w:p>
        </w:tc>
        <w:tc>
          <w:tcPr>
            <w:tcW w:w="12250" w:type="dxa"/>
            <w:gridSpan w:val="2"/>
          </w:tcPr>
          <w:p w14:paraId="128D45D7">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评审标准</w:t>
            </w:r>
          </w:p>
        </w:tc>
      </w:tr>
      <w:tr w14:paraId="7B5EC37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529" w:type="dxa"/>
            <w:vAlign w:val="center"/>
          </w:tcPr>
          <w:p w14:paraId="4AEB9D83">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分值构成</w:t>
            </w:r>
          </w:p>
        </w:tc>
        <w:tc>
          <w:tcPr>
            <w:tcW w:w="12250" w:type="dxa"/>
            <w:gridSpan w:val="2"/>
          </w:tcPr>
          <w:p w14:paraId="3F61C60E">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技术部分</w:t>
            </w:r>
            <w:r>
              <w:rPr>
                <w:rFonts w:hint="eastAsia" w:ascii="宋体" w:hAnsi="宋体" w:cs="宋体"/>
                <w:sz w:val="24"/>
                <w:szCs w:val="24"/>
                <w:highlight w:val="none"/>
                <w:lang w:val="en-US" w:eastAsia="zh-CN"/>
              </w:rPr>
              <w:t>44</w:t>
            </w:r>
            <w:r>
              <w:rPr>
                <w:rFonts w:hint="eastAsia" w:ascii="宋体" w:hAnsi="宋体" w:eastAsia="宋体" w:cs="宋体"/>
                <w:sz w:val="24"/>
                <w:szCs w:val="24"/>
                <w:highlight w:val="none"/>
              </w:rPr>
              <w:t>.0分</w:t>
            </w:r>
          </w:p>
          <w:p w14:paraId="48E2DEC0">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商务部分</w:t>
            </w:r>
            <w:r>
              <w:rPr>
                <w:rFonts w:hint="eastAsia" w:ascii="宋体" w:hAnsi="宋体" w:cs="宋体"/>
                <w:sz w:val="24"/>
                <w:szCs w:val="24"/>
                <w:highlight w:val="none"/>
                <w:lang w:val="en-US" w:eastAsia="zh-CN"/>
              </w:rPr>
              <w:t>26</w:t>
            </w:r>
            <w:r>
              <w:rPr>
                <w:rFonts w:hint="eastAsia" w:ascii="宋体" w:hAnsi="宋体" w:eastAsia="宋体" w:cs="宋体"/>
                <w:sz w:val="24"/>
                <w:szCs w:val="24"/>
                <w:highlight w:val="none"/>
              </w:rPr>
              <w:t>.0分</w:t>
            </w:r>
          </w:p>
          <w:p w14:paraId="33D1B305">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报价得分30.0分</w:t>
            </w:r>
          </w:p>
        </w:tc>
      </w:tr>
      <w:tr w14:paraId="5CB9C9D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529" w:type="dxa"/>
            <w:vMerge w:val="restart"/>
            <w:vAlign w:val="center"/>
          </w:tcPr>
          <w:p w14:paraId="1280D4B4">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技术部分</w:t>
            </w:r>
          </w:p>
        </w:tc>
        <w:tc>
          <w:tcPr>
            <w:tcW w:w="3827" w:type="dxa"/>
            <w:vAlign w:val="center"/>
          </w:tcPr>
          <w:p w14:paraId="7ACE8757">
            <w:pPr>
              <w:pStyle w:val="195"/>
              <w:keepNext w:val="0"/>
              <w:keepLines w:val="0"/>
              <w:pageBreakBefore w:val="0"/>
              <w:kinsoku/>
              <w:wordWrap/>
              <w:overflowPunct/>
              <w:topLinePunct w:val="0"/>
              <w:autoSpaceDE/>
              <w:autoSpaceDN/>
              <w:bidi w:val="0"/>
              <w:adjustRightInd/>
              <w:snapToGrid/>
              <w:spacing w:before="1" w:line="360" w:lineRule="auto"/>
              <w:ind w:left="120" w:leftChars="0" w:right="62" w:rightChars="0" w:hanging="120" w:hangingChars="50"/>
              <w:jc w:val="left"/>
              <w:textAlignment w:val="auto"/>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技术响应程度（20.0）</w:t>
            </w:r>
          </w:p>
        </w:tc>
        <w:tc>
          <w:tcPr>
            <w:tcW w:w="8423" w:type="dxa"/>
            <w:vAlign w:val="top"/>
          </w:tcPr>
          <w:p w14:paraId="0D16EFD5">
            <w:pPr>
              <w:pStyle w:val="195"/>
              <w:keepNext w:val="0"/>
              <w:keepLines w:val="0"/>
              <w:pageBreakBefore w:val="0"/>
              <w:kinsoku/>
              <w:wordWrap/>
              <w:overflowPunct/>
              <w:topLinePunct w:val="0"/>
              <w:autoSpaceDE/>
              <w:autoSpaceDN/>
              <w:bidi w:val="0"/>
              <w:adjustRightInd/>
              <w:snapToGrid/>
              <w:spacing w:before="84" w:line="360" w:lineRule="auto"/>
              <w:ind w:left="102" w:right="206"/>
              <w:jc w:val="both"/>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根据投标人的产品技术规格、参数响应程度打分，所投产品所有技术参数全部满足的招标文件要求的得基本分 20分，每有一项重要指标低于招标文件要求的扣 2 分，每有一项指标低于要求的扣 1 分，此项最高 20 分，最低得 0分。</w:t>
            </w:r>
          </w:p>
        </w:tc>
      </w:tr>
      <w:tr w14:paraId="2E0838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529" w:type="dxa"/>
            <w:vMerge w:val="continue"/>
          </w:tcPr>
          <w:p w14:paraId="6E3B48C6">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highlight w:val="none"/>
              </w:rPr>
            </w:pPr>
          </w:p>
        </w:tc>
        <w:tc>
          <w:tcPr>
            <w:tcW w:w="3827" w:type="dxa"/>
            <w:vAlign w:val="center"/>
          </w:tcPr>
          <w:p w14:paraId="57C306FD">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投标人的技术人员保证措施</w:t>
            </w:r>
          </w:p>
          <w:p w14:paraId="7006A7E0">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5</w:t>
            </w:r>
            <w:r>
              <w:rPr>
                <w:rFonts w:hint="eastAsia" w:ascii="宋体" w:hAnsi="宋体" w:eastAsia="宋体" w:cs="宋体"/>
                <w:kern w:val="2"/>
                <w:sz w:val="24"/>
                <w:szCs w:val="24"/>
                <w:highlight w:val="none"/>
                <w:lang w:val="en-US" w:eastAsia="zh-CN" w:bidi="ar-SA"/>
              </w:rPr>
              <w:t>.0分)</w:t>
            </w:r>
          </w:p>
        </w:tc>
        <w:tc>
          <w:tcPr>
            <w:tcW w:w="8423" w:type="dxa"/>
            <w:vAlign w:val="top"/>
          </w:tcPr>
          <w:p w14:paraId="2DB4FF42">
            <w:pPr>
              <w:pStyle w:val="196"/>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投标人的组织架构、岗位设置、专业人员配置。投标人为本项目投入的项目团队，组织架构、岗位设置及人员构成合理且分工明确，人员配置充足，得 5 分；</w:t>
            </w:r>
          </w:p>
          <w:p w14:paraId="239872ED">
            <w:pPr>
              <w:pStyle w:val="196"/>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组织架构、岗位设置及人员构成欠合理或分工欠明确或人员配置不足的，得 3 分；</w:t>
            </w:r>
          </w:p>
          <w:p w14:paraId="10C8858B">
            <w:pPr>
              <w:pStyle w:val="196"/>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组织架构、岗位设置及人员构成不合理或无分工安排的，得 1 分。</w:t>
            </w:r>
          </w:p>
          <w:p w14:paraId="447FDA34">
            <w:pPr>
              <w:pStyle w:val="196"/>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未提供相关资料的，得 0 分。</w:t>
            </w:r>
          </w:p>
          <w:p w14:paraId="78EC4539">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（投标人需提供项目团队及人员的名单、人员构成及分工方案）。</w:t>
            </w:r>
          </w:p>
        </w:tc>
      </w:tr>
      <w:tr w14:paraId="3A335B8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529" w:type="dxa"/>
            <w:vMerge w:val="continue"/>
          </w:tcPr>
          <w:p w14:paraId="31B4390F">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highlight w:val="none"/>
              </w:rPr>
            </w:pPr>
          </w:p>
        </w:tc>
        <w:tc>
          <w:tcPr>
            <w:tcW w:w="3827" w:type="dxa"/>
            <w:vAlign w:val="center"/>
          </w:tcPr>
          <w:p w14:paraId="4A216C7D">
            <w:pPr>
              <w:pStyle w:val="195"/>
              <w:keepNext w:val="0"/>
              <w:keepLines w:val="0"/>
              <w:pageBreakBefore w:val="0"/>
              <w:kinsoku/>
              <w:wordWrap/>
              <w:overflowPunct/>
              <w:topLinePunct w:val="0"/>
              <w:autoSpaceDE/>
              <w:autoSpaceDN/>
              <w:bidi w:val="0"/>
              <w:adjustRightInd/>
              <w:snapToGrid/>
              <w:spacing w:before="275" w:line="360" w:lineRule="auto"/>
              <w:ind w:left="120" w:leftChars="0" w:right="62" w:rightChars="0" w:hanging="120" w:hangingChars="50"/>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产品质量管理措施(6.0分)</w:t>
            </w:r>
          </w:p>
        </w:tc>
        <w:tc>
          <w:tcPr>
            <w:tcW w:w="8423" w:type="dxa"/>
            <w:vAlign w:val="top"/>
          </w:tcPr>
          <w:p w14:paraId="27F4F82D">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综合比较各投标人针对本次项目拟提供的产品质量管理措施（包括货物的存储、运输、验收等环节）：</w:t>
            </w:r>
          </w:p>
          <w:p w14:paraId="615F6EB9">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产品来源清晰具体、验收方案全面，质量及安全保证各环节措施具体、完善，完全符合采购需求的得 6 分；</w:t>
            </w:r>
          </w:p>
          <w:p w14:paraId="782686C3">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产品来源清晰较具体、验收方案较全面，质量及安全保证措施各环节基本合理、完善，基本符合采购需求的得 3分；</w:t>
            </w:r>
          </w:p>
          <w:p w14:paraId="66B4B443">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有提供质量及安全保证措施，但来源不够清晰、验收方案不够全面，质量及安全保证各环节措施不够具体、完善的得 1 分；</w:t>
            </w:r>
          </w:p>
          <w:p w14:paraId="2467BB1C">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未提供质量及安全保证措施，或未提供投标产品来源地不得分。</w:t>
            </w:r>
          </w:p>
        </w:tc>
      </w:tr>
      <w:tr w14:paraId="3DF6B51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529" w:type="dxa"/>
            <w:vMerge w:val="continue"/>
          </w:tcPr>
          <w:p w14:paraId="364F1D4B">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highlight w:val="none"/>
              </w:rPr>
            </w:pPr>
          </w:p>
        </w:tc>
        <w:tc>
          <w:tcPr>
            <w:tcW w:w="3827" w:type="dxa"/>
            <w:vAlign w:val="center"/>
          </w:tcPr>
          <w:p w14:paraId="2479CDB9">
            <w:pPr>
              <w:pStyle w:val="195"/>
              <w:keepNext w:val="0"/>
              <w:keepLines w:val="0"/>
              <w:pageBreakBefore w:val="0"/>
              <w:kinsoku/>
              <w:wordWrap/>
              <w:overflowPunct/>
              <w:topLinePunct w:val="0"/>
              <w:autoSpaceDE/>
              <w:autoSpaceDN/>
              <w:bidi w:val="0"/>
              <w:adjustRightInd/>
              <w:snapToGrid/>
              <w:spacing w:before="275" w:line="360" w:lineRule="auto"/>
              <w:ind w:left="120" w:leftChars="0" w:right="62" w:rightChars="0" w:hanging="120" w:hangingChars="50"/>
              <w:jc w:val="left"/>
              <w:textAlignment w:val="auto"/>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应急货物配送服务（5.0）</w:t>
            </w:r>
          </w:p>
        </w:tc>
        <w:tc>
          <w:tcPr>
            <w:tcW w:w="8423" w:type="dxa"/>
            <w:vAlign w:val="top"/>
          </w:tcPr>
          <w:p w14:paraId="25234A55">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综合比较各投标人针对本项目需求拟提供的应急响应时间、配送服务范围、应急货物配送</w:t>
            </w:r>
            <w:r>
              <w:rPr>
                <w:rFonts w:hint="eastAsia" w:ascii="宋体" w:hAnsi="宋体" w:eastAsia="宋体" w:cs="宋体"/>
                <w:b w:val="0"/>
                <w:kern w:val="2"/>
                <w:sz w:val="24"/>
                <w:szCs w:val="24"/>
                <w:highlight w:val="none"/>
                <w:lang w:val="en-US" w:eastAsia="zh-CN"/>
              </w:rPr>
              <w:t>措施、</w:t>
            </w:r>
            <w:r>
              <w:rPr>
                <w:rFonts w:hint="eastAsia" w:ascii="宋体" w:hAnsi="宋体" w:eastAsia="宋体" w:cs="宋体"/>
                <w:b w:val="0"/>
                <w:kern w:val="2"/>
                <w:sz w:val="24"/>
                <w:szCs w:val="24"/>
                <w:highlight w:val="none"/>
              </w:rPr>
              <w:t>配送时间等：</w:t>
            </w:r>
          </w:p>
          <w:p w14:paraId="527CFF2C">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配送至采购人指定交货地点，满足急需产品采购需求并承诺能优于配送时间60分钟（含）送达的得5分；</w:t>
            </w:r>
          </w:p>
          <w:p w14:paraId="1EB015ED">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配送至采购人指定交货地点，满足急需产品采购需求并承诺能满足配送时间60—120分钟（含）内送达的得3分；</w:t>
            </w:r>
          </w:p>
          <w:p w14:paraId="16D19AF3">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配送至采购人指定交货地点，满足急需产品采购需求并承诺能满足配送时间120—240分钟（含）送达的得2分；</w:t>
            </w:r>
          </w:p>
          <w:p w14:paraId="1F17FC95">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配送至采购人指定交货地点，满足急需产品采购需求并承诺能满足配送时间240分钟以上送达的得0分；</w:t>
            </w:r>
          </w:p>
          <w:p w14:paraId="2AA15950">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承诺的应急响应服务范围和响应时间都有不满足采购需求的，不得分。</w:t>
            </w:r>
          </w:p>
          <w:p w14:paraId="55014E0D">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val="0"/>
                <w:kern w:val="2"/>
                <w:sz w:val="24"/>
                <w:szCs w:val="24"/>
                <w:highlight w:val="none"/>
                <w:lang w:val="en-US" w:eastAsia="zh-CN"/>
              </w:rPr>
              <w:t>注：所承诺</w:t>
            </w:r>
            <w:r>
              <w:rPr>
                <w:rFonts w:hint="eastAsia" w:ascii="宋体" w:hAnsi="宋体" w:eastAsia="宋体" w:cs="宋体"/>
                <w:b w:val="0"/>
                <w:kern w:val="2"/>
                <w:sz w:val="24"/>
                <w:szCs w:val="24"/>
                <w:highlight w:val="none"/>
              </w:rPr>
              <w:t>应急货物配送</w:t>
            </w:r>
            <w:r>
              <w:rPr>
                <w:rFonts w:hint="eastAsia" w:ascii="宋体" w:hAnsi="宋体" w:eastAsia="宋体" w:cs="宋体"/>
                <w:b w:val="0"/>
                <w:kern w:val="2"/>
                <w:sz w:val="24"/>
                <w:szCs w:val="24"/>
                <w:highlight w:val="none"/>
                <w:lang w:val="en-US" w:eastAsia="zh-CN"/>
              </w:rPr>
              <w:t>措施应可行、可实现（提供路线、时间佐证材料等），否则</w:t>
            </w:r>
            <w:r>
              <w:rPr>
                <w:rFonts w:hint="eastAsia" w:ascii="宋体" w:hAnsi="宋体" w:eastAsia="宋体" w:cs="宋体"/>
                <w:b w:val="0"/>
                <w:kern w:val="2"/>
                <w:sz w:val="24"/>
                <w:szCs w:val="24"/>
                <w:highlight w:val="none"/>
              </w:rPr>
              <w:t>应急货物配送服务</w:t>
            </w:r>
            <w:r>
              <w:rPr>
                <w:rFonts w:hint="eastAsia" w:ascii="宋体" w:hAnsi="宋体" w:eastAsia="宋体" w:cs="宋体"/>
                <w:b w:val="0"/>
                <w:kern w:val="2"/>
                <w:sz w:val="24"/>
                <w:szCs w:val="24"/>
                <w:highlight w:val="none"/>
                <w:lang w:val="en-US" w:eastAsia="zh-CN"/>
              </w:rPr>
              <w:t>整项不得分。</w:t>
            </w:r>
          </w:p>
        </w:tc>
      </w:tr>
      <w:tr w14:paraId="0A32D79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308" w:hRule="atLeast"/>
        </w:trPr>
        <w:tc>
          <w:tcPr>
            <w:tcW w:w="1529" w:type="dxa"/>
            <w:vMerge w:val="continue"/>
          </w:tcPr>
          <w:p w14:paraId="3F45BFC2">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highlight w:val="none"/>
              </w:rPr>
            </w:pPr>
          </w:p>
        </w:tc>
        <w:tc>
          <w:tcPr>
            <w:tcW w:w="3827" w:type="dxa"/>
            <w:vAlign w:val="center"/>
          </w:tcPr>
          <w:p w14:paraId="55F63EE0">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服务方案(8.0分)</w:t>
            </w:r>
          </w:p>
        </w:tc>
        <w:tc>
          <w:tcPr>
            <w:tcW w:w="8423" w:type="dxa"/>
            <w:vAlign w:val="top"/>
          </w:tcPr>
          <w:p w14:paraId="42143302">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综合比较各投标人针对本项目需求拟提供的服务方案（包含配送服务、专人服务跟踪、售后处理等）：</w:t>
            </w:r>
          </w:p>
          <w:p w14:paraId="17CDACE4">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服务方案优于采购需求，方案全面、科学且能够结合项目特点的， 得 8 分。</w:t>
            </w:r>
          </w:p>
          <w:p w14:paraId="79C24066">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服务方案满足采购需求，基本全面且具有一定的合理性的，得 5 分；</w:t>
            </w:r>
          </w:p>
          <w:p w14:paraId="20F92076">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服务方案基本满足采购需求，部分方案不清晰且可行性一般的，得 2 分；</w:t>
            </w:r>
          </w:p>
          <w:p w14:paraId="633FFB41">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部分不满足采购需求，部分方案不具有保障性且不可行的，不得分。</w:t>
            </w:r>
          </w:p>
        </w:tc>
      </w:tr>
      <w:tr w14:paraId="71AD20E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529" w:type="dxa"/>
            <w:vMerge w:val="restart"/>
            <w:vAlign w:val="center"/>
          </w:tcPr>
          <w:p w14:paraId="3F5B55F4">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商务部分</w:t>
            </w:r>
          </w:p>
        </w:tc>
        <w:tc>
          <w:tcPr>
            <w:tcW w:w="3827" w:type="dxa"/>
            <w:vAlign w:val="center"/>
          </w:tcPr>
          <w:p w14:paraId="204F1FFD">
            <w:pPr>
              <w:pStyle w:val="195"/>
              <w:keepNext w:val="0"/>
              <w:keepLines w:val="0"/>
              <w:pageBreakBefore w:val="0"/>
              <w:kinsoku/>
              <w:wordWrap/>
              <w:overflowPunct/>
              <w:topLinePunct w:val="0"/>
              <w:autoSpaceDE/>
              <w:autoSpaceDN/>
              <w:bidi w:val="0"/>
              <w:adjustRightInd/>
              <w:snapToGrid/>
              <w:spacing w:before="278" w:line="360" w:lineRule="auto"/>
              <w:ind w:left="120" w:leftChars="0" w:right="62" w:rightChars="0" w:hanging="120" w:hangingChars="50"/>
              <w:jc w:val="left"/>
              <w:textAlignment w:val="auto"/>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业绩(1</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en-US" w:eastAsia="zh-CN" w:bidi="ar-SA"/>
              </w:rPr>
              <w:t>.0分)）</w:t>
            </w:r>
          </w:p>
        </w:tc>
        <w:tc>
          <w:tcPr>
            <w:tcW w:w="8423" w:type="dxa"/>
            <w:vAlign w:val="top"/>
          </w:tcPr>
          <w:p w14:paraId="66033BA2">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xml:space="preserve">根据投标文件所提供的投标人投标截止日前三年内同类项目经营业绩进行比较：（有效业绩需附合同和中标通知书复印件，每一份有效业绩加 </w:t>
            </w:r>
            <w:r>
              <w:rPr>
                <w:rFonts w:hint="eastAsia"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 xml:space="preserve">分，直至满 </w:t>
            </w:r>
            <w:r>
              <w:rPr>
                <w:rFonts w:hint="eastAsia" w:cs="宋体"/>
                <w:kern w:val="2"/>
                <w:sz w:val="24"/>
                <w:szCs w:val="24"/>
                <w:highlight w:val="none"/>
                <w:lang w:val="en-US" w:eastAsia="zh-CN" w:bidi="ar-SA"/>
              </w:rPr>
              <w:t>10</w:t>
            </w:r>
            <w:r>
              <w:rPr>
                <w:rFonts w:hint="eastAsia" w:ascii="宋体" w:hAnsi="宋体" w:eastAsia="宋体" w:cs="宋体"/>
                <w:kern w:val="2"/>
                <w:sz w:val="24"/>
                <w:szCs w:val="24"/>
                <w:highlight w:val="none"/>
                <w:lang w:val="en-US" w:eastAsia="zh-CN" w:bidi="ar-SA"/>
              </w:rPr>
              <w:t xml:space="preserve"> 分。</w:t>
            </w:r>
          </w:p>
          <w:p w14:paraId="119989D7">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未提供相关证明的该项为 0 分。</w:t>
            </w:r>
          </w:p>
          <w:p w14:paraId="7E511154">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xml:space="preserve">与以上同类项目业绩对应的客户评价，客户评价须为良好或以上（含同等意义的评价，如 80 分或以上、满意或以上等），每项得 1 分，最高得 </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en-US" w:eastAsia="zh-CN" w:bidi="ar-SA"/>
              </w:rPr>
              <w:t xml:space="preserve"> 分。</w:t>
            </w:r>
          </w:p>
          <w:p w14:paraId="75268555">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注：提供加盖客户公章的评价证明材料复印件，不提供或专家无法认定的不得分。</w:t>
            </w:r>
          </w:p>
        </w:tc>
      </w:tr>
      <w:tr w14:paraId="0342929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529" w:type="dxa"/>
            <w:vMerge w:val="continue"/>
          </w:tcPr>
          <w:p w14:paraId="6FFF6E33">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4"/>
                <w:szCs w:val="24"/>
                <w:highlight w:val="none"/>
              </w:rPr>
            </w:pPr>
          </w:p>
        </w:tc>
        <w:tc>
          <w:tcPr>
            <w:tcW w:w="3827" w:type="dxa"/>
            <w:vAlign w:val="center"/>
          </w:tcPr>
          <w:p w14:paraId="2699A4D5">
            <w:pPr>
              <w:pStyle w:val="195"/>
              <w:keepNext w:val="0"/>
              <w:keepLines w:val="0"/>
              <w:pageBreakBefore w:val="0"/>
              <w:kinsoku/>
              <w:wordWrap/>
              <w:overflowPunct/>
              <w:topLinePunct w:val="0"/>
              <w:autoSpaceDE/>
              <w:autoSpaceDN/>
              <w:bidi w:val="0"/>
              <w:adjustRightInd/>
              <w:snapToGrid/>
              <w:spacing w:before="279" w:line="360" w:lineRule="auto"/>
              <w:ind w:left="120" w:leftChars="0" w:right="62" w:rightChars="0" w:hanging="120" w:hangingChars="50"/>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项目运输能力（6.0）</w:t>
            </w:r>
          </w:p>
        </w:tc>
        <w:tc>
          <w:tcPr>
            <w:tcW w:w="8423" w:type="dxa"/>
            <w:vAlign w:val="top"/>
          </w:tcPr>
          <w:p w14:paraId="05983243">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xml:space="preserve">1）投标人自有运输车辆比较：车辆≥2 辆，得 </w:t>
            </w:r>
            <w:r>
              <w:rPr>
                <w:rFonts w:hint="eastAsia"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 xml:space="preserve"> 分；1≤车辆＜2 辆，得 </w:t>
            </w:r>
            <w:r>
              <w:rPr>
                <w:rFonts w:hint="eastAsia" w:cs="宋体"/>
                <w:kern w:val="2"/>
                <w:sz w:val="24"/>
                <w:szCs w:val="24"/>
                <w:highlight w:val="none"/>
                <w:lang w:val="en-US" w:eastAsia="zh-CN" w:bidi="ar-SA"/>
              </w:rPr>
              <w:t>1</w:t>
            </w:r>
            <w:r>
              <w:rPr>
                <w:rFonts w:hint="eastAsia" w:ascii="宋体" w:hAnsi="宋体" w:eastAsia="宋体" w:cs="宋体"/>
                <w:kern w:val="2"/>
                <w:sz w:val="24"/>
                <w:szCs w:val="24"/>
                <w:highlight w:val="none"/>
                <w:lang w:val="en-US" w:eastAsia="zh-CN" w:bidi="ar-SA"/>
              </w:rPr>
              <w:t xml:space="preserve"> 分；无正规运输车辆，不得分（请提供相关车辆的行驶证</w:t>
            </w:r>
            <w:r>
              <w:rPr>
                <w:rFonts w:hint="eastAsia" w:cs="宋体"/>
                <w:kern w:val="2"/>
                <w:sz w:val="24"/>
                <w:szCs w:val="24"/>
                <w:highlight w:val="none"/>
                <w:lang w:val="en-US" w:eastAsia="zh-CN" w:bidi="ar-SA"/>
              </w:rPr>
              <w:t>、车辆发票</w:t>
            </w:r>
            <w:r>
              <w:rPr>
                <w:rFonts w:hint="eastAsia" w:ascii="宋体" w:hAnsi="宋体" w:eastAsia="宋体" w:cs="宋体"/>
                <w:kern w:val="2"/>
                <w:sz w:val="24"/>
                <w:szCs w:val="24"/>
                <w:highlight w:val="none"/>
                <w:lang w:val="en-US" w:eastAsia="zh-CN" w:bidi="ar-SA"/>
              </w:rPr>
              <w:t>）。</w:t>
            </w:r>
          </w:p>
          <w:p w14:paraId="4A554FFD">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2）运输、配送方案合理性综合评审： 方案详细、具有可行性，得 4 分；</w:t>
            </w:r>
          </w:p>
          <w:p w14:paraId="461EF0C4">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方案一般、可行性一般，得 2 分；</w:t>
            </w:r>
          </w:p>
          <w:p w14:paraId="556D1BF1">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方案差、可行性差，得 1 分；</w:t>
            </w:r>
          </w:p>
          <w:p w14:paraId="60B066AD">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未提供相关资料的，得 0 分。</w:t>
            </w:r>
          </w:p>
        </w:tc>
      </w:tr>
      <w:tr w14:paraId="5F9DE7F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529" w:type="dxa"/>
            <w:vMerge w:val="continue"/>
          </w:tcPr>
          <w:p w14:paraId="7C00834A">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highlight w:val="none"/>
              </w:rPr>
            </w:pPr>
          </w:p>
        </w:tc>
        <w:tc>
          <w:tcPr>
            <w:tcW w:w="3827" w:type="dxa"/>
            <w:vAlign w:val="center"/>
          </w:tcPr>
          <w:p w14:paraId="079467E6">
            <w:pPr>
              <w:pStyle w:val="195"/>
              <w:keepNext w:val="0"/>
              <w:keepLines w:val="0"/>
              <w:pageBreakBefore w:val="0"/>
              <w:kinsoku/>
              <w:wordWrap/>
              <w:overflowPunct/>
              <w:topLinePunct w:val="0"/>
              <w:autoSpaceDE/>
              <w:autoSpaceDN/>
              <w:bidi w:val="0"/>
              <w:adjustRightInd/>
              <w:snapToGrid/>
              <w:spacing w:before="280" w:line="360" w:lineRule="auto"/>
              <w:ind w:left="120" w:leftChars="0" w:right="62" w:rightChars="0" w:hanging="120" w:hangingChars="50"/>
              <w:jc w:val="left"/>
              <w:textAlignment w:val="auto"/>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仓储设施设备及备品库存（5.0分）</w:t>
            </w:r>
          </w:p>
        </w:tc>
        <w:tc>
          <w:tcPr>
            <w:tcW w:w="8423" w:type="dxa"/>
            <w:vAlign w:val="top"/>
          </w:tcPr>
          <w:p w14:paraId="55C56407">
            <w:pPr>
              <w:pStyle w:val="195"/>
              <w:keepNext w:val="0"/>
              <w:keepLines w:val="0"/>
              <w:pageBreakBefore w:val="0"/>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投标人仓储能力：面积≥1000 平方米，得 5 分；500 平方米≤面积＜1000 平方米，得 3 分；100 平方米≤面积＜500 平方米，得 1 分。未提供相关证明资料的，得 0 分。请提供相关证明材料复印件并（需提供仓存租赁合同或房产证等证明材料、仓存设备购置发票等证明材料，未提供相关证明材料不得分）</w:t>
            </w:r>
          </w:p>
        </w:tc>
      </w:tr>
      <w:tr w14:paraId="62628FB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9" w:hRule="atLeast"/>
        </w:trPr>
        <w:tc>
          <w:tcPr>
            <w:tcW w:w="1529" w:type="dxa"/>
            <w:vAlign w:val="center"/>
          </w:tcPr>
          <w:p w14:paraId="540CE83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投标报价</w:t>
            </w:r>
          </w:p>
        </w:tc>
        <w:tc>
          <w:tcPr>
            <w:tcW w:w="3827" w:type="dxa"/>
            <w:vAlign w:val="center"/>
          </w:tcPr>
          <w:p w14:paraId="35DA2770">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投标报价得分</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0.0分</w:t>
            </w:r>
            <w:r>
              <w:rPr>
                <w:rFonts w:hint="eastAsia" w:ascii="宋体" w:hAnsi="宋体" w:cs="宋体"/>
                <w:sz w:val="24"/>
                <w:szCs w:val="24"/>
                <w:highlight w:val="none"/>
                <w:lang w:eastAsia="zh-CN"/>
              </w:rPr>
              <w:t>）</w:t>
            </w:r>
          </w:p>
        </w:tc>
        <w:tc>
          <w:tcPr>
            <w:tcW w:w="8423" w:type="dxa"/>
          </w:tcPr>
          <w:p w14:paraId="280B1891">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报价得分＝（评标基准价/投标报价）×价格分值【注：满足招标文件要求且投标价格最低的投标报价为评标基准价。】最低报价不是中标的唯一依据。因落实政府采购政策进行价格调整的，以调整后的价格计算评标基准价和投标报价。</w:t>
            </w:r>
          </w:p>
        </w:tc>
      </w:tr>
    </w:tbl>
    <w:p w14:paraId="1DC7E558">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注：1、评委按分项的规定分数范围内给各供应商进行打分，并统计总分。</w:t>
      </w:r>
    </w:p>
    <w:p w14:paraId="3BE7BFC6">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价格评分：</w:t>
      </w:r>
      <w:r>
        <w:rPr>
          <w:rFonts w:hint="eastAsia" w:ascii="宋体" w:hAnsi="宋体" w:eastAsia="宋体" w:cs="宋体"/>
          <w:color w:val="auto"/>
          <w:sz w:val="24"/>
          <w:szCs w:val="24"/>
          <w:highlight w:val="none"/>
          <w:lang w:val="en-US" w:eastAsia="zh-CN"/>
        </w:rPr>
        <w:t>评标基准价</w:t>
      </w:r>
    </w:p>
    <w:p w14:paraId="057F13E7">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lang w:val="en-US" w:eastAsia="zh-CN"/>
        </w:rPr>
      </w:pPr>
      <w:r>
        <w:rPr>
          <w:rFonts w:hint="eastAsia" w:ascii="宋体" w:hAnsi="宋体" w:eastAsia="宋体" w:cs="宋体"/>
          <w:color w:val="000000"/>
          <w:kern w:val="0"/>
          <w:sz w:val="24"/>
          <w:szCs w:val="24"/>
          <w:highlight w:val="none"/>
        </w:rPr>
        <w:t>价格分采用低价优先法计算，即满足招标文件要求和招标人采购产品</w:t>
      </w:r>
      <w:r>
        <w:rPr>
          <w:rFonts w:hint="eastAsia" w:ascii="宋体" w:hAnsi="宋体" w:eastAsia="宋体" w:cs="宋体"/>
          <w:color w:val="000000"/>
          <w:kern w:val="0"/>
          <w:sz w:val="24"/>
          <w:szCs w:val="24"/>
          <w:highlight w:val="none"/>
          <w:lang w:val="en-US" w:eastAsia="zh-CN"/>
        </w:rPr>
        <w:t>/服务</w:t>
      </w:r>
      <w:r>
        <w:rPr>
          <w:rFonts w:hint="eastAsia" w:ascii="宋体" w:hAnsi="宋体" w:eastAsia="宋体" w:cs="宋体"/>
          <w:color w:val="000000"/>
          <w:kern w:val="0"/>
          <w:sz w:val="24"/>
          <w:szCs w:val="24"/>
          <w:highlight w:val="none"/>
        </w:rPr>
        <w:t>主要技术参数要求且投标价格最低的投标报价为评标基准价</w:t>
      </w:r>
      <w:r>
        <w:rPr>
          <w:rFonts w:hint="eastAsia" w:ascii="宋体" w:hAnsi="宋体" w:eastAsia="宋体" w:cs="宋体"/>
          <w:color w:val="000000"/>
          <w:kern w:val="0"/>
          <w:sz w:val="24"/>
          <w:szCs w:val="24"/>
          <w:highlight w:val="none"/>
          <w:lang w:eastAsia="zh-CN"/>
        </w:rPr>
        <w:t>。</w:t>
      </w:r>
    </w:p>
    <w:p w14:paraId="1CBB76DE">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lang w:val="en-US" w:eastAsia="zh-CN"/>
        </w:rPr>
        <w:sectPr>
          <w:headerReference r:id="rId12" w:type="default"/>
          <w:footerReference r:id="rId13" w:type="default"/>
          <w:pgSz w:w="16840" w:h="11907" w:orient="landscape"/>
          <w:pgMar w:top="1418" w:right="1440" w:bottom="1418" w:left="1559" w:header="851" w:footer="851" w:gutter="0"/>
          <w:pgNumType w:fmt="decimal"/>
          <w:cols w:space="720" w:num="1"/>
          <w:docGrid w:linePitch="285" w:charSpace="0"/>
        </w:sectPr>
      </w:pPr>
      <w:r>
        <w:rPr>
          <w:rFonts w:hint="eastAsia" w:ascii="宋体" w:hAnsi="宋体" w:eastAsia="宋体" w:cs="宋体"/>
          <w:color w:val="000000"/>
          <w:kern w:val="0"/>
          <w:sz w:val="24"/>
          <w:szCs w:val="24"/>
          <w:highlight w:val="none"/>
        </w:rPr>
        <w:t>注：未通过初步评审的投标不参与投标报价得分的计算。评标过程中，评标委员会发现供应商的投标报价明显低于其他报价，使其投标报价可能低于其个别成本的，评标委员会应对其质询，并要求该供应商做出书面说明和提供相关的证明材料；该供应商不能合理说明或提供证明材料的，其投标将被否决</w:t>
      </w:r>
      <w:r>
        <w:rPr>
          <w:rFonts w:hint="eastAsia" w:ascii="宋体" w:hAnsi="宋体" w:eastAsia="宋体" w:cs="宋体"/>
          <w:color w:val="000000"/>
          <w:kern w:val="0"/>
          <w:sz w:val="24"/>
          <w:szCs w:val="24"/>
          <w:highlight w:val="none"/>
          <w:lang w:eastAsia="zh-CN"/>
        </w:rPr>
        <w:t>。</w:t>
      </w:r>
    </w:p>
    <w:p w14:paraId="16FC1662">
      <w:pPr>
        <w:spacing w:line="360" w:lineRule="auto"/>
        <w:ind w:left="0" w:leftChars="0" w:firstLine="0" w:firstLineChars="0"/>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第五章采购需求</w:t>
      </w:r>
      <w:bookmarkEnd w:id="273"/>
    </w:p>
    <w:p w14:paraId="429956F8">
      <w:pPr>
        <w:pStyle w:val="44"/>
        <w:numPr>
          <w:ilvl w:val="0"/>
          <w:numId w:val="7"/>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有关说明</w:t>
      </w:r>
    </w:p>
    <w:p w14:paraId="73BB56BD">
      <w:pPr>
        <w:numPr>
          <w:ilvl w:val="0"/>
          <w:numId w:val="8"/>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投标人须对本项目的采购标的进行整体投标，任何只对本项目采购标的其中一部分内容、数量进行的投标都被视为无效投标。</w:t>
      </w:r>
    </w:p>
    <w:p w14:paraId="0A739E2C">
      <w:pPr>
        <w:numPr>
          <w:ilvl w:val="0"/>
          <w:numId w:val="8"/>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产品属于国家强制采购的节能产品，响应供应商必须提供属于国家强制性节能产品品目清单内的产品进行响应，并提供有效的强制性节能产品认证证书复印件。</w:t>
      </w:r>
    </w:p>
    <w:p w14:paraId="183D5594">
      <w:pPr>
        <w:numPr>
          <w:ilvl w:val="0"/>
          <w:numId w:val="8"/>
        </w:numPr>
        <w:snapToGrid w:val="0"/>
        <w:spacing w:line="360" w:lineRule="auto"/>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采购需求中标注“▲”号条款为重要技术参数，但不作为无效投标条款。</w:t>
      </w:r>
    </w:p>
    <w:p w14:paraId="56449CBD">
      <w:pPr>
        <w:pStyle w:val="44"/>
        <w:numPr>
          <w:ilvl w:val="0"/>
          <w:numId w:val="7"/>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项目基本概况</w:t>
      </w:r>
    </w:p>
    <w:p w14:paraId="72D0973D">
      <w:pPr>
        <w:pStyle w:val="44"/>
        <w:tabs>
          <w:tab w:val="left" w:pos="420"/>
          <w:tab w:val="left" w:pos="540"/>
        </w:tabs>
        <w:snapToGrid w:val="0"/>
        <w:spacing w:line="360" w:lineRule="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1.</w:t>
      </w:r>
      <w:r>
        <w:rPr>
          <w:rFonts w:hint="eastAsia" w:ascii="宋体" w:hAnsi="宋体" w:eastAsia="宋体" w:cs="宋体"/>
          <w:bCs/>
          <w:color w:val="000000"/>
          <w:sz w:val="24"/>
          <w:szCs w:val="24"/>
          <w:highlight w:val="none"/>
        </w:rPr>
        <w:tab/>
      </w:r>
      <w:r>
        <w:rPr>
          <w:rFonts w:hint="eastAsia" w:ascii="宋体" w:hAnsi="宋体" w:eastAsia="宋体" w:cs="宋体"/>
          <w:bCs/>
          <w:color w:val="000000"/>
          <w:sz w:val="24"/>
          <w:szCs w:val="24"/>
          <w:highlight w:val="none"/>
        </w:rPr>
        <w:t>项目需求概述</w:t>
      </w:r>
    </w:p>
    <w:p w14:paraId="32A235C5">
      <w:pPr>
        <w:pStyle w:val="67"/>
        <w:spacing w:before="50" w:beforeAutospacing="0" w:after="50" w:afterAutospacing="0" w:line="360" w:lineRule="auto"/>
        <w:ind w:firstLine="420"/>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和田地区洛浦县维吾尔医医院饮片类、辅料及药包材采购项目（包</w:t>
      </w:r>
      <w:r>
        <w:rPr>
          <w:rFonts w:hint="eastAsia" w:cs="宋体"/>
          <w:color w:val="000000"/>
          <w:highlight w:val="none"/>
          <w:lang w:val="en-US" w:eastAsia="zh-CN"/>
        </w:rPr>
        <w:t>七</w:t>
      </w:r>
      <w:r>
        <w:rPr>
          <w:rFonts w:hint="eastAsia" w:ascii="宋体" w:hAnsi="宋体" w:eastAsia="宋体" w:cs="宋体"/>
          <w:color w:val="000000"/>
          <w:highlight w:val="none"/>
          <w:lang w:val="en-US" w:eastAsia="zh-CN"/>
        </w:rPr>
        <w:t>）</w:t>
      </w:r>
    </w:p>
    <w:p w14:paraId="267782A1">
      <w:pPr>
        <w:pStyle w:val="67"/>
        <w:spacing w:before="50" w:beforeAutospacing="0" w:after="50" w:afterAutospacing="0" w:line="360" w:lineRule="auto"/>
        <w:ind w:firstLine="420"/>
        <w:rPr>
          <w:rFonts w:hint="default"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供货期</w:t>
      </w:r>
      <w:r>
        <w:rPr>
          <w:rFonts w:hint="eastAsia" w:ascii="宋体" w:hAnsi="宋体" w:eastAsia="宋体" w:cs="宋体"/>
          <w:color w:val="000000"/>
          <w:highlight w:val="none"/>
        </w:rPr>
        <w:t>：</w:t>
      </w:r>
      <w:r>
        <w:rPr>
          <w:rFonts w:hint="eastAsia" w:cs="宋体"/>
          <w:color w:val="000000"/>
          <w:highlight w:val="none"/>
          <w:lang w:val="en-US" w:eastAsia="zh-CN"/>
        </w:rPr>
        <w:t>1年</w:t>
      </w:r>
    </w:p>
    <w:p w14:paraId="1019D0E0">
      <w:pPr>
        <w:pStyle w:val="44"/>
        <w:numPr>
          <w:ilvl w:val="0"/>
          <w:numId w:val="7"/>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采购项目清单及技术参数</w:t>
      </w:r>
    </w:p>
    <w:p w14:paraId="1B2E4C68">
      <w:pPr>
        <w:pStyle w:val="44"/>
        <w:numPr>
          <w:ilvl w:val="0"/>
          <w:numId w:val="9"/>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采购项目一览表</w:t>
      </w:r>
    </w:p>
    <w:p w14:paraId="478099EB">
      <w:pPr>
        <w:pStyle w:val="44"/>
        <w:numPr>
          <w:ilvl w:val="0"/>
          <w:numId w:val="0"/>
        </w:numPr>
        <w:tabs>
          <w:tab w:val="left" w:pos="540"/>
        </w:tabs>
        <w:snapToGrid w:val="0"/>
        <w:spacing w:line="360" w:lineRule="auto"/>
        <w:rPr>
          <w:rFonts w:hint="eastAsia" w:ascii="宋体" w:hAnsi="宋体" w:eastAsia="宋体" w:cs="宋体"/>
          <w:b/>
          <w:color w:val="000000"/>
          <w:sz w:val="24"/>
          <w:szCs w:val="24"/>
          <w:highlight w:val="none"/>
        </w:rPr>
      </w:pPr>
    </w:p>
    <w:tbl>
      <w:tblPr>
        <w:tblStyle w:val="72"/>
        <w:tblW w:w="9418" w:type="dxa"/>
        <w:tblInd w:w="-1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382"/>
        <w:gridCol w:w="879"/>
        <w:gridCol w:w="1684"/>
        <w:gridCol w:w="4473"/>
      </w:tblGrid>
      <w:tr w14:paraId="17B70E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1" w:hRule="atLeast"/>
        </w:trPr>
        <w:tc>
          <w:tcPr>
            <w:tcW w:w="2382"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6E693CC4">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采购内容</w:t>
            </w:r>
          </w:p>
        </w:tc>
        <w:tc>
          <w:tcPr>
            <w:tcW w:w="879"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0D5DD030">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数量</w:t>
            </w:r>
          </w:p>
        </w:tc>
        <w:tc>
          <w:tcPr>
            <w:tcW w:w="1684" w:type="dxa"/>
            <w:tcBorders>
              <w:top w:val="single" w:color="auto" w:sz="12" w:space="0"/>
              <w:left w:val="single" w:color="auto" w:sz="6" w:space="0"/>
              <w:bottom w:val="single" w:color="auto" w:sz="6" w:space="0"/>
              <w:right w:val="single" w:color="auto" w:sz="12" w:space="0"/>
            </w:tcBorders>
            <w:shd w:val="clear" w:color="auto" w:fill="EEECE1"/>
            <w:noWrap w:val="0"/>
            <w:vAlign w:val="center"/>
          </w:tcPr>
          <w:p w14:paraId="36AA5812">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最高限价</w:t>
            </w:r>
          </w:p>
          <w:p w14:paraId="438B6BB0">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（人民币元）</w:t>
            </w:r>
          </w:p>
        </w:tc>
        <w:tc>
          <w:tcPr>
            <w:tcW w:w="4473"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536E9DD8">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lang w:val="en-US" w:eastAsia="zh-CN"/>
              </w:rPr>
              <w:t>供货期</w:t>
            </w:r>
          </w:p>
        </w:tc>
      </w:tr>
      <w:tr w14:paraId="0A79CA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367" w:hRule="atLeast"/>
        </w:trPr>
        <w:tc>
          <w:tcPr>
            <w:tcW w:w="2382" w:type="dxa"/>
            <w:tcBorders>
              <w:top w:val="single" w:color="auto" w:sz="6" w:space="0"/>
              <w:left w:val="single" w:color="auto" w:sz="6" w:space="0"/>
              <w:bottom w:val="single" w:color="auto" w:sz="12" w:space="0"/>
              <w:right w:val="single" w:color="auto" w:sz="6" w:space="0"/>
            </w:tcBorders>
            <w:noWrap w:val="0"/>
            <w:vAlign w:val="center"/>
          </w:tcPr>
          <w:p w14:paraId="11E39A99">
            <w:pPr>
              <w:snapToGrid w:val="0"/>
              <w:jc w:val="center"/>
              <w:rPr>
                <w:rFonts w:hint="eastAsia" w:ascii="宋体" w:hAnsi="宋体" w:eastAsia="宋体" w:cs="宋体"/>
                <w:bCs/>
                <w:color w:val="000000"/>
                <w:sz w:val="24"/>
                <w:highlight w:val="none"/>
                <w:lang w:eastAsia="zh-CN"/>
              </w:rPr>
            </w:pPr>
            <w:r>
              <w:rPr>
                <w:rFonts w:hint="eastAsia" w:ascii="宋体" w:hAnsi="宋体" w:eastAsia="宋体" w:cs="宋体"/>
                <w:bCs/>
                <w:color w:val="000000"/>
                <w:sz w:val="24"/>
                <w:highlight w:val="none"/>
                <w:lang w:eastAsia="zh-CN"/>
              </w:rPr>
              <w:t>和田地区洛浦县维吾尔医医院饮片类、辅料及药包材采购项目（包</w:t>
            </w:r>
            <w:r>
              <w:rPr>
                <w:rFonts w:hint="eastAsia" w:ascii="宋体" w:hAnsi="宋体" w:cs="宋体"/>
                <w:bCs/>
                <w:color w:val="000000"/>
                <w:sz w:val="24"/>
                <w:highlight w:val="none"/>
                <w:lang w:val="en-US" w:eastAsia="zh-CN"/>
              </w:rPr>
              <w:t>七</w:t>
            </w:r>
            <w:r>
              <w:rPr>
                <w:rFonts w:hint="eastAsia" w:ascii="宋体" w:hAnsi="宋体" w:eastAsia="宋体" w:cs="宋体"/>
                <w:bCs/>
                <w:color w:val="000000"/>
                <w:sz w:val="24"/>
                <w:highlight w:val="none"/>
                <w:lang w:eastAsia="zh-CN"/>
              </w:rPr>
              <w:t>）</w:t>
            </w:r>
          </w:p>
        </w:tc>
        <w:tc>
          <w:tcPr>
            <w:tcW w:w="879" w:type="dxa"/>
            <w:tcBorders>
              <w:top w:val="single" w:color="auto" w:sz="6" w:space="0"/>
              <w:left w:val="single" w:color="auto" w:sz="6" w:space="0"/>
              <w:bottom w:val="single" w:color="auto" w:sz="12" w:space="0"/>
              <w:right w:val="single" w:color="auto" w:sz="6" w:space="0"/>
            </w:tcBorders>
            <w:noWrap w:val="0"/>
            <w:vAlign w:val="center"/>
          </w:tcPr>
          <w:p w14:paraId="2D376F03">
            <w:pPr>
              <w:snapToGrid w:val="0"/>
              <w:jc w:val="center"/>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一批</w:t>
            </w:r>
          </w:p>
        </w:tc>
        <w:tc>
          <w:tcPr>
            <w:tcW w:w="1684" w:type="dxa"/>
            <w:tcBorders>
              <w:top w:val="single" w:color="auto" w:sz="6" w:space="0"/>
              <w:left w:val="single" w:color="auto" w:sz="6" w:space="0"/>
              <w:bottom w:val="single" w:color="auto" w:sz="12" w:space="0"/>
              <w:right w:val="single" w:color="auto" w:sz="12" w:space="0"/>
            </w:tcBorders>
            <w:noWrap w:val="0"/>
            <w:vAlign w:val="center"/>
          </w:tcPr>
          <w:p w14:paraId="264EA52A">
            <w:pPr>
              <w:keepNext/>
              <w:snapToGrid w:val="0"/>
              <w:jc w:val="center"/>
              <w:textAlignment w:val="center"/>
              <w:rPr>
                <w:rFonts w:hint="default" w:ascii="宋体" w:hAnsi="宋体" w:eastAsia="宋体" w:cs="宋体"/>
                <w:color w:val="000000"/>
                <w:sz w:val="24"/>
                <w:highlight w:val="none"/>
                <w:lang w:val="en-US" w:eastAsia="zh-CN"/>
              </w:rPr>
            </w:pPr>
            <w:r>
              <w:rPr>
                <w:rFonts w:hint="eastAsia" w:ascii="宋体" w:hAnsi="宋体" w:cs="宋体"/>
                <w:color w:val="000000"/>
                <w:sz w:val="24"/>
                <w:highlight w:val="none"/>
                <w:lang w:val="en-US" w:eastAsia="zh-CN"/>
              </w:rPr>
              <w:t>712881.98</w:t>
            </w:r>
          </w:p>
        </w:tc>
        <w:tc>
          <w:tcPr>
            <w:tcW w:w="4473" w:type="dxa"/>
            <w:tcBorders>
              <w:top w:val="single" w:color="auto" w:sz="6" w:space="0"/>
              <w:left w:val="single" w:color="auto" w:sz="6" w:space="0"/>
              <w:bottom w:val="single" w:color="auto" w:sz="12" w:space="0"/>
              <w:right w:val="single" w:color="auto" w:sz="6" w:space="0"/>
            </w:tcBorders>
            <w:noWrap w:val="0"/>
            <w:vAlign w:val="center"/>
          </w:tcPr>
          <w:p w14:paraId="37163B61">
            <w:pPr>
              <w:keepNext/>
              <w:snapToGrid w:val="0"/>
              <w:jc w:val="center"/>
              <w:textAlignment w:val="center"/>
              <w:rPr>
                <w:rFonts w:hint="default" w:ascii="宋体" w:hAnsi="宋体" w:eastAsia="宋体" w:cs="宋体"/>
                <w:color w:val="000000"/>
                <w:sz w:val="24"/>
                <w:highlight w:val="none"/>
                <w:lang w:val="en-US" w:eastAsia="zh-CN"/>
              </w:rPr>
            </w:pPr>
            <w:r>
              <w:rPr>
                <w:rFonts w:hint="eastAsia" w:ascii="宋体" w:hAnsi="宋体" w:cs="宋体"/>
                <w:bCs/>
                <w:color w:val="000000"/>
                <w:sz w:val="24"/>
                <w:highlight w:val="none"/>
                <w:lang w:val="en-US" w:eastAsia="zh-CN"/>
              </w:rPr>
              <w:t>1年</w:t>
            </w:r>
          </w:p>
        </w:tc>
      </w:tr>
    </w:tbl>
    <w:p w14:paraId="711A834D">
      <w:pPr>
        <w:rPr>
          <w:rFonts w:hint="eastAsia"/>
          <w:highlight w:val="none"/>
          <w:lang w:val="en-US" w:eastAsia="zh-CN"/>
        </w:rPr>
      </w:pPr>
      <w:r>
        <w:rPr>
          <w:rFonts w:hint="eastAsia"/>
          <w:highlight w:val="none"/>
          <w:lang w:val="en-US" w:eastAsia="zh-CN"/>
        </w:rPr>
        <w:br w:type="page"/>
      </w:r>
    </w:p>
    <w:p w14:paraId="07750CDF">
      <w:pPr>
        <w:pStyle w:val="70"/>
        <w:rPr>
          <w:rFonts w:hint="eastAsia"/>
          <w:highlight w:val="none"/>
          <w:lang w:val="en-US" w:eastAsia="zh-CN"/>
        </w:rPr>
        <w:sectPr>
          <w:footerReference r:id="rId14" w:type="default"/>
          <w:pgSz w:w="11905" w:h="16838"/>
          <w:pgMar w:top="1020" w:right="964" w:bottom="1020" w:left="1191" w:header="567" w:footer="454" w:gutter="0"/>
          <w:pgNumType w:fmt="decimal"/>
          <w:cols w:space="720" w:num="1"/>
          <w:rtlGutter w:val="0"/>
          <w:docGrid w:type="lines" w:linePitch="317" w:charSpace="0"/>
        </w:sectPr>
      </w:pPr>
    </w:p>
    <w:p w14:paraId="48DC8230">
      <w:pPr>
        <w:rPr>
          <w:rFonts w:hint="eastAsia"/>
          <w:b/>
          <w:bCs/>
          <w:sz w:val="24"/>
          <w:szCs w:val="24"/>
          <w:highlight w:val="none"/>
          <w:lang w:val="en-US" w:eastAsia="zh-CN"/>
        </w:rPr>
      </w:pPr>
      <w:r>
        <w:rPr>
          <w:rFonts w:hint="eastAsia"/>
          <w:b/>
          <w:bCs/>
          <w:sz w:val="24"/>
          <w:szCs w:val="24"/>
          <w:highlight w:val="none"/>
          <w:lang w:val="en-US" w:eastAsia="zh-CN"/>
        </w:rPr>
        <w:t>四、技术参数</w:t>
      </w:r>
    </w:p>
    <w:tbl>
      <w:tblPr>
        <w:tblStyle w:val="73"/>
        <w:tblW w:w="94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7"/>
        <w:gridCol w:w="1522"/>
        <w:gridCol w:w="1112"/>
        <w:gridCol w:w="1445"/>
        <w:gridCol w:w="1710"/>
        <w:gridCol w:w="1140"/>
        <w:gridCol w:w="1878"/>
      </w:tblGrid>
      <w:tr w14:paraId="2A958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67" w:type="dxa"/>
            <w:vAlign w:val="center"/>
          </w:tcPr>
          <w:p w14:paraId="114A4CA9">
            <w:pPr>
              <w:pStyle w:val="70"/>
              <w:ind w:left="0" w:leftChars="0" w:firstLine="0" w:firstLineChars="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序号</w:t>
            </w:r>
          </w:p>
        </w:tc>
        <w:tc>
          <w:tcPr>
            <w:tcW w:w="1522" w:type="dxa"/>
            <w:vAlign w:val="center"/>
          </w:tcPr>
          <w:p w14:paraId="36ABC115">
            <w:pPr>
              <w:pStyle w:val="70"/>
              <w:ind w:left="0" w:leftChars="0" w:firstLine="0" w:firstLineChars="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标的名称</w:t>
            </w:r>
          </w:p>
        </w:tc>
        <w:tc>
          <w:tcPr>
            <w:tcW w:w="1112" w:type="dxa"/>
            <w:vAlign w:val="center"/>
          </w:tcPr>
          <w:p w14:paraId="42ABB39D">
            <w:pPr>
              <w:pStyle w:val="7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单位</w:t>
            </w:r>
          </w:p>
        </w:tc>
        <w:tc>
          <w:tcPr>
            <w:tcW w:w="1445" w:type="dxa"/>
            <w:vAlign w:val="center"/>
          </w:tcPr>
          <w:p w14:paraId="376AEFAB">
            <w:pPr>
              <w:keepNext w:val="0"/>
              <w:keepLines w:val="0"/>
              <w:widowControl/>
              <w:suppressLineNumbers w:val="0"/>
              <w:ind w:left="120" w:leftChars="0" w:right="62" w:rightChars="0" w:hanging="120" w:hangingChars="50"/>
              <w:jc w:val="center"/>
              <w:textAlignment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规格</w:t>
            </w:r>
          </w:p>
        </w:tc>
        <w:tc>
          <w:tcPr>
            <w:tcW w:w="1710" w:type="dxa"/>
            <w:vAlign w:val="center"/>
          </w:tcPr>
          <w:p w14:paraId="4F342500">
            <w:pPr>
              <w:keepNext w:val="0"/>
              <w:keepLines w:val="0"/>
              <w:widowControl/>
              <w:suppressLineNumbers w:val="0"/>
              <w:ind w:left="120" w:leftChars="0" w:right="62" w:rightChars="0" w:hanging="120" w:hangingChars="50"/>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质量依据</w:t>
            </w:r>
          </w:p>
        </w:tc>
        <w:tc>
          <w:tcPr>
            <w:tcW w:w="1140" w:type="dxa"/>
            <w:vAlign w:val="center"/>
          </w:tcPr>
          <w:p w14:paraId="64F70C1E">
            <w:pPr>
              <w:pStyle w:val="70"/>
              <w:ind w:left="0" w:leftChars="0" w:firstLine="0" w:firstLineChars="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最高单价限价（元）</w:t>
            </w:r>
          </w:p>
        </w:tc>
        <w:tc>
          <w:tcPr>
            <w:tcW w:w="1878" w:type="dxa"/>
            <w:vAlign w:val="center"/>
          </w:tcPr>
          <w:p w14:paraId="0D7490CF">
            <w:pPr>
              <w:pStyle w:val="70"/>
              <w:ind w:left="0" w:leftChars="0" w:firstLine="0" w:firstLineChars="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附件要求</w:t>
            </w:r>
          </w:p>
        </w:tc>
      </w:tr>
      <w:tr w14:paraId="66501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75968E4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w:t>
            </w:r>
          </w:p>
        </w:tc>
        <w:tc>
          <w:tcPr>
            <w:tcW w:w="1522" w:type="dxa"/>
            <w:vAlign w:val="center"/>
          </w:tcPr>
          <w:p w14:paraId="585A66F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口服液体药用聚酯瓶</w:t>
            </w:r>
          </w:p>
        </w:tc>
        <w:tc>
          <w:tcPr>
            <w:tcW w:w="1112" w:type="dxa"/>
            <w:vAlign w:val="center"/>
          </w:tcPr>
          <w:p w14:paraId="507D25A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瓶</w:t>
            </w:r>
          </w:p>
        </w:tc>
        <w:tc>
          <w:tcPr>
            <w:tcW w:w="1445" w:type="dxa"/>
            <w:vAlign w:val="center"/>
          </w:tcPr>
          <w:p w14:paraId="798915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100ml/50ml</w:t>
            </w:r>
          </w:p>
        </w:tc>
        <w:tc>
          <w:tcPr>
            <w:tcW w:w="1710" w:type="dxa"/>
            <w:vAlign w:val="center"/>
          </w:tcPr>
          <w:p w14:paraId="29E85BC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YBB00102002-2015</w:t>
            </w:r>
          </w:p>
        </w:tc>
        <w:tc>
          <w:tcPr>
            <w:tcW w:w="1140" w:type="dxa"/>
            <w:vAlign w:val="center"/>
          </w:tcPr>
          <w:p w14:paraId="55FB232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1.26</w:t>
            </w:r>
          </w:p>
        </w:tc>
        <w:tc>
          <w:tcPr>
            <w:tcW w:w="1878" w:type="dxa"/>
            <w:vAlign w:val="center"/>
          </w:tcPr>
          <w:p w14:paraId="64515B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必须注册国家药监局平台,带封PET口膜</w:t>
            </w:r>
          </w:p>
        </w:tc>
      </w:tr>
      <w:tr w14:paraId="3F643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630ACB2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w:t>
            </w:r>
          </w:p>
        </w:tc>
        <w:tc>
          <w:tcPr>
            <w:tcW w:w="1522" w:type="dxa"/>
            <w:vAlign w:val="center"/>
          </w:tcPr>
          <w:p w14:paraId="18B65B3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口服固体药用高密度聚乙烯瓶</w:t>
            </w:r>
          </w:p>
        </w:tc>
        <w:tc>
          <w:tcPr>
            <w:tcW w:w="1112" w:type="dxa"/>
            <w:vAlign w:val="center"/>
          </w:tcPr>
          <w:p w14:paraId="1823C9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瓶</w:t>
            </w:r>
          </w:p>
        </w:tc>
        <w:tc>
          <w:tcPr>
            <w:tcW w:w="1445" w:type="dxa"/>
            <w:vAlign w:val="center"/>
          </w:tcPr>
          <w:p w14:paraId="02E17B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100g/50g</w:t>
            </w:r>
          </w:p>
        </w:tc>
        <w:tc>
          <w:tcPr>
            <w:tcW w:w="1710" w:type="dxa"/>
            <w:vAlign w:val="center"/>
          </w:tcPr>
          <w:p w14:paraId="06DDF82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YBB00122002-2015</w:t>
            </w:r>
          </w:p>
        </w:tc>
        <w:tc>
          <w:tcPr>
            <w:tcW w:w="1140" w:type="dxa"/>
            <w:vAlign w:val="center"/>
          </w:tcPr>
          <w:p w14:paraId="2BFC14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1.26</w:t>
            </w:r>
          </w:p>
        </w:tc>
        <w:tc>
          <w:tcPr>
            <w:tcW w:w="1878" w:type="dxa"/>
            <w:vAlign w:val="center"/>
          </w:tcPr>
          <w:p w14:paraId="24ED40D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必须注册国家药监局平台.带PET封口膜</w:t>
            </w:r>
          </w:p>
        </w:tc>
      </w:tr>
      <w:tr w14:paraId="76D67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519FAD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w:t>
            </w:r>
          </w:p>
        </w:tc>
        <w:tc>
          <w:tcPr>
            <w:tcW w:w="1522" w:type="dxa"/>
            <w:vAlign w:val="center"/>
          </w:tcPr>
          <w:p w14:paraId="6915272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口服固体药用高密度聚乙烯瓶</w:t>
            </w:r>
          </w:p>
        </w:tc>
        <w:tc>
          <w:tcPr>
            <w:tcW w:w="1112" w:type="dxa"/>
            <w:vAlign w:val="center"/>
          </w:tcPr>
          <w:p w14:paraId="58716F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瓶</w:t>
            </w:r>
          </w:p>
        </w:tc>
        <w:tc>
          <w:tcPr>
            <w:tcW w:w="1445" w:type="dxa"/>
            <w:vAlign w:val="center"/>
          </w:tcPr>
          <w:p w14:paraId="61E3091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250g/400g/500g</w:t>
            </w:r>
          </w:p>
        </w:tc>
        <w:tc>
          <w:tcPr>
            <w:tcW w:w="1710" w:type="dxa"/>
            <w:vAlign w:val="center"/>
          </w:tcPr>
          <w:p w14:paraId="612ED64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YBB00122002-2015</w:t>
            </w:r>
          </w:p>
        </w:tc>
        <w:tc>
          <w:tcPr>
            <w:tcW w:w="1140" w:type="dxa"/>
            <w:vAlign w:val="center"/>
          </w:tcPr>
          <w:p w14:paraId="2953BF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1.96</w:t>
            </w:r>
          </w:p>
        </w:tc>
        <w:tc>
          <w:tcPr>
            <w:tcW w:w="1878" w:type="dxa"/>
            <w:vAlign w:val="center"/>
          </w:tcPr>
          <w:p w14:paraId="4E0DBEF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必须注册国家药监局平台,带PET封口膜</w:t>
            </w:r>
          </w:p>
        </w:tc>
      </w:tr>
      <w:tr w14:paraId="1BB5A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527A1C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w:t>
            </w:r>
          </w:p>
        </w:tc>
        <w:tc>
          <w:tcPr>
            <w:tcW w:w="1522" w:type="dxa"/>
            <w:vAlign w:val="center"/>
          </w:tcPr>
          <w:p w14:paraId="0BA3AAE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钠钙玻璃输液瓶</w:t>
            </w:r>
          </w:p>
        </w:tc>
        <w:tc>
          <w:tcPr>
            <w:tcW w:w="1112" w:type="dxa"/>
            <w:vAlign w:val="center"/>
          </w:tcPr>
          <w:p w14:paraId="63C67C1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瓶</w:t>
            </w:r>
          </w:p>
        </w:tc>
        <w:tc>
          <w:tcPr>
            <w:tcW w:w="1445" w:type="dxa"/>
            <w:vAlign w:val="center"/>
          </w:tcPr>
          <w:p w14:paraId="1A4159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250ml</w:t>
            </w:r>
          </w:p>
        </w:tc>
        <w:tc>
          <w:tcPr>
            <w:tcW w:w="1710" w:type="dxa"/>
            <w:vAlign w:val="center"/>
          </w:tcPr>
          <w:p w14:paraId="57B63D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YBB00032005-2015</w:t>
            </w:r>
          </w:p>
        </w:tc>
        <w:tc>
          <w:tcPr>
            <w:tcW w:w="1140" w:type="dxa"/>
            <w:vAlign w:val="center"/>
          </w:tcPr>
          <w:p w14:paraId="1E07BC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1.50</w:t>
            </w:r>
          </w:p>
        </w:tc>
        <w:tc>
          <w:tcPr>
            <w:tcW w:w="1878" w:type="dxa"/>
            <w:vAlign w:val="center"/>
          </w:tcPr>
          <w:p w14:paraId="4F6FCC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必须注册国家药监局平台,带铝盖，塞子印刷医院商标</w:t>
            </w:r>
          </w:p>
        </w:tc>
      </w:tr>
      <w:tr w14:paraId="4C5AE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1798B3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w:t>
            </w:r>
          </w:p>
        </w:tc>
        <w:tc>
          <w:tcPr>
            <w:tcW w:w="1522" w:type="dxa"/>
            <w:vAlign w:val="center"/>
          </w:tcPr>
          <w:p w14:paraId="15FE7C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聚酯/铝/聚乙烯药用复合膜，袋</w:t>
            </w:r>
          </w:p>
        </w:tc>
        <w:tc>
          <w:tcPr>
            <w:tcW w:w="1112" w:type="dxa"/>
            <w:vAlign w:val="center"/>
          </w:tcPr>
          <w:p w14:paraId="494A8B2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袋</w:t>
            </w:r>
          </w:p>
        </w:tc>
        <w:tc>
          <w:tcPr>
            <w:tcW w:w="1445" w:type="dxa"/>
            <w:vAlign w:val="center"/>
          </w:tcPr>
          <w:p w14:paraId="1DFC2E9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1710" w:type="dxa"/>
            <w:vAlign w:val="center"/>
          </w:tcPr>
          <w:p w14:paraId="6DCE910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YBB00172002-2015</w:t>
            </w:r>
          </w:p>
        </w:tc>
        <w:tc>
          <w:tcPr>
            <w:tcW w:w="1140" w:type="dxa"/>
            <w:vAlign w:val="center"/>
          </w:tcPr>
          <w:p w14:paraId="69BBBF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38.00</w:t>
            </w:r>
          </w:p>
        </w:tc>
        <w:tc>
          <w:tcPr>
            <w:tcW w:w="1878" w:type="dxa"/>
            <w:vAlign w:val="center"/>
          </w:tcPr>
          <w:p w14:paraId="6253C39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必须注册国家药监局平台,印刷药品说明信息</w:t>
            </w:r>
          </w:p>
        </w:tc>
      </w:tr>
      <w:tr w14:paraId="100FF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5A98305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w:t>
            </w:r>
          </w:p>
        </w:tc>
        <w:tc>
          <w:tcPr>
            <w:tcW w:w="1522" w:type="dxa"/>
            <w:vAlign w:val="center"/>
          </w:tcPr>
          <w:p w14:paraId="23139DF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药用PVC硬片</w:t>
            </w:r>
          </w:p>
        </w:tc>
        <w:tc>
          <w:tcPr>
            <w:tcW w:w="1112" w:type="dxa"/>
            <w:vAlign w:val="center"/>
          </w:tcPr>
          <w:p w14:paraId="3432D90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板</w:t>
            </w:r>
          </w:p>
        </w:tc>
        <w:tc>
          <w:tcPr>
            <w:tcW w:w="1445" w:type="dxa"/>
            <w:vAlign w:val="center"/>
          </w:tcPr>
          <w:p w14:paraId="404A924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1710" w:type="dxa"/>
            <w:vAlign w:val="center"/>
          </w:tcPr>
          <w:p w14:paraId="10F737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YBB00152002-2015</w:t>
            </w:r>
          </w:p>
        </w:tc>
        <w:tc>
          <w:tcPr>
            <w:tcW w:w="1140" w:type="dxa"/>
            <w:vAlign w:val="center"/>
          </w:tcPr>
          <w:p w14:paraId="6BB8E81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38.00</w:t>
            </w:r>
          </w:p>
        </w:tc>
        <w:tc>
          <w:tcPr>
            <w:tcW w:w="1878" w:type="dxa"/>
            <w:vAlign w:val="center"/>
          </w:tcPr>
          <w:p w14:paraId="4620707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必须注册国家药监局平台,印刷医院药品说明信息</w:t>
            </w:r>
          </w:p>
        </w:tc>
      </w:tr>
      <w:tr w14:paraId="32E5B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1187AF2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w:t>
            </w:r>
          </w:p>
        </w:tc>
        <w:tc>
          <w:tcPr>
            <w:tcW w:w="1522" w:type="dxa"/>
            <w:vAlign w:val="center"/>
          </w:tcPr>
          <w:p w14:paraId="1FC78A0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药用铝箔</w:t>
            </w:r>
          </w:p>
        </w:tc>
        <w:tc>
          <w:tcPr>
            <w:tcW w:w="1112" w:type="dxa"/>
            <w:vAlign w:val="center"/>
          </w:tcPr>
          <w:p w14:paraId="287B88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板</w:t>
            </w:r>
          </w:p>
        </w:tc>
        <w:tc>
          <w:tcPr>
            <w:tcW w:w="1445" w:type="dxa"/>
            <w:vAlign w:val="center"/>
          </w:tcPr>
          <w:p w14:paraId="0E38C47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1710" w:type="dxa"/>
            <w:vAlign w:val="center"/>
          </w:tcPr>
          <w:p w14:paraId="4EC029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YBB00212005-2015</w:t>
            </w:r>
          </w:p>
        </w:tc>
        <w:tc>
          <w:tcPr>
            <w:tcW w:w="1140" w:type="dxa"/>
            <w:vAlign w:val="center"/>
          </w:tcPr>
          <w:p w14:paraId="28D795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38.00</w:t>
            </w:r>
          </w:p>
        </w:tc>
        <w:tc>
          <w:tcPr>
            <w:tcW w:w="1878" w:type="dxa"/>
            <w:vAlign w:val="center"/>
          </w:tcPr>
          <w:p w14:paraId="4B41BB5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必须注册国家药监局平台,印刷医院药品说明信息</w:t>
            </w:r>
          </w:p>
        </w:tc>
      </w:tr>
      <w:tr w14:paraId="013CD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4BBD5C0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w:t>
            </w:r>
          </w:p>
        </w:tc>
        <w:tc>
          <w:tcPr>
            <w:tcW w:w="1522" w:type="dxa"/>
            <w:vAlign w:val="center"/>
          </w:tcPr>
          <w:p w14:paraId="0D6FF1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瓦楞箱</w:t>
            </w:r>
          </w:p>
        </w:tc>
        <w:tc>
          <w:tcPr>
            <w:tcW w:w="1112" w:type="dxa"/>
            <w:vAlign w:val="center"/>
          </w:tcPr>
          <w:p w14:paraId="3DFFC7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箱</w:t>
            </w:r>
          </w:p>
        </w:tc>
        <w:tc>
          <w:tcPr>
            <w:tcW w:w="1445" w:type="dxa"/>
            <w:vAlign w:val="center"/>
          </w:tcPr>
          <w:p w14:paraId="3AFFDA6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550*270*200/450*380*155</w:t>
            </w:r>
          </w:p>
        </w:tc>
        <w:tc>
          <w:tcPr>
            <w:tcW w:w="1710" w:type="dxa"/>
            <w:vAlign w:val="center"/>
          </w:tcPr>
          <w:p w14:paraId="62A4E1C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c>
          <w:tcPr>
            <w:tcW w:w="1140" w:type="dxa"/>
            <w:vAlign w:val="center"/>
          </w:tcPr>
          <w:p w14:paraId="236E5B4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4.00</w:t>
            </w:r>
          </w:p>
        </w:tc>
        <w:tc>
          <w:tcPr>
            <w:tcW w:w="1878" w:type="dxa"/>
            <w:vAlign w:val="center"/>
          </w:tcPr>
          <w:p w14:paraId="044012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印刷医院药品相关信息</w:t>
            </w:r>
          </w:p>
        </w:tc>
      </w:tr>
      <w:tr w14:paraId="54FDF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2F053EE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w:t>
            </w:r>
          </w:p>
        </w:tc>
        <w:tc>
          <w:tcPr>
            <w:tcW w:w="1522" w:type="dxa"/>
            <w:vAlign w:val="center"/>
          </w:tcPr>
          <w:p w14:paraId="379E68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不干胶内标签</w:t>
            </w:r>
          </w:p>
        </w:tc>
        <w:tc>
          <w:tcPr>
            <w:tcW w:w="1112" w:type="dxa"/>
            <w:vAlign w:val="center"/>
          </w:tcPr>
          <w:p w14:paraId="07E66B9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张</w:t>
            </w:r>
          </w:p>
        </w:tc>
        <w:tc>
          <w:tcPr>
            <w:tcW w:w="1445" w:type="dxa"/>
            <w:vAlign w:val="center"/>
          </w:tcPr>
          <w:p w14:paraId="43A2883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110*55</w:t>
            </w:r>
          </w:p>
        </w:tc>
        <w:tc>
          <w:tcPr>
            <w:tcW w:w="1710" w:type="dxa"/>
            <w:vAlign w:val="center"/>
          </w:tcPr>
          <w:p w14:paraId="19957C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c>
          <w:tcPr>
            <w:tcW w:w="1140" w:type="dxa"/>
            <w:vAlign w:val="center"/>
          </w:tcPr>
          <w:p w14:paraId="38906C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0.10</w:t>
            </w:r>
          </w:p>
        </w:tc>
        <w:tc>
          <w:tcPr>
            <w:tcW w:w="1878" w:type="dxa"/>
            <w:vAlign w:val="center"/>
          </w:tcPr>
          <w:p w14:paraId="0DEE591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印刷医院药品相关信息</w:t>
            </w:r>
          </w:p>
        </w:tc>
      </w:tr>
      <w:tr w14:paraId="2FEEC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6B120D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w:t>
            </w:r>
          </w:p>
        </w:tc>
        <w:tc>
          <w:tcPr>
            <w:tcW w:w="1522" w:type="dxa"/>
            <w:vAlign w:val="center"/>
          </w:tcPr>
          <w:p w14:paraId="5B3D1E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说明书</w:t>
            </w:r>
          </w:p>
        </w:tc>
        <w:tc>
          <w:tcPr>
            <w:tcW w:w="1112" w:type="dxa"/>
            <w:vAlign w:val="center"/>
          </w:tcPr>
          <w:p w14:paraId="42A283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张</w:t>
            </w:r>
          </w:p>
        </w:tc>
        <w:tc>
          <w:tcPr>
            <w:tcW w:w="1445" w:type="dxa"/>
            <w:vAlign w:val="center"/>
          </w:tcPr>
          <w:p w14:paraId="1DFC816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200*120</w:t>
            </w:r>
          </w:p>
        </w:tc>
        <w:tc>
          <w:tcPr>
            <w:tcW w:w="1710" w:type="dxa"/>
            <w:vAlign w:val="center"/>
          </w:tcPr>
          <w:p w14:paraId="3F3D7A2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c>
          <w:tcPr>
            <w:tcW w:w="1140" w:type="dxa"/>
            <w:vAlign w:val="center"/>
          </w:tcPr>
          <w:p w14:paraId="775525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0.10</w:t>
            </w:r>
          </w:p>
        </w:tc>
        <w:tc>
          <w:tcPr>
            <w:tcW w:w="1878" w:type="dxa"/>
            <w:vAlign w:val="center"/>
          </w:tcPr>
          <w:p w14:paraId="54BF27A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印刷医院药品相关信息</w:t>
            </w:r>
          </w:p>
        </w:tc>
      </w:tr>
      <w:tr w14:paraId="44D88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68534E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w:t>
            </w:r>
          </w:p>
        </w:tc>
        <w:tc>
          <w:tcPr>
            <w:tcW w:w="1522" w:type="dxa"/>
            <w:vAlign w:val="center"/>
          </w:tcPr>
          <w:p w14:paraId="6D416A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药品外包装纸盒</w:t>
            </w:r>
          </w:p>
        </w:tc>
        <w:tc>
          <w:tcPr>
            <w:tcW w:w="1112" w:type="dxa"/>
            <w:vAlign w:val="center"/>
          </w:tcPr>
          <w:p w14:paraId="3EFAAC1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盒</w:t>
            </w:r>
          </w:p>
        </w:tc>
        <w:tc>
          <w:tcPr>
            <w:tcW w:w="1445" w:type="dxa"/>
            <w:vAlign w:val="center"/>
          </w:tcPr>
          <w:p w14:paraId="406FDF9A">
            <w:pPr>
              <w:spacing w:beforeLines="0" w:afterLines="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90*75*100  68*68*150</w:t>
            </w:r>
          </w:p>
          <w:p w14:paraId="3F46DF4C">
            <w:pPr>
              <w:spacing w:beforeLines="0" w:afterLines="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52*52*90</w:t>
            </w:r>
          </w:p>
          <w:p w14:paraId="5CABA35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52*52*94</w:t>
            </w:r>
          </w:p>
        </w:tc>
        <w:tc>
          <w:tcPr>
            <w:tcW w:w="1710" w:type="dxa"/>
            <w:vAlign w:val="center"/>
          </w:tcPr>
          <w:p w14:paraId="52D589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c>
          <w:tcPr>
            <w:tcW w:w="1140" w:type="dxa"/>
            <w:vAlign w:val="center"/>
          </w:tcPr>
          <w:p w14:paraId="1C1789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0.50</w:t>
            </w:r>
          </w:p>
        </w:tc>
        <w:tc>
          <w:tcPr>
            <w:tcW w:w="1878" w:type="dxa"/>
            <w:vAlign w:val="center"/>
          </w:tcPr>
          <w:p w14:paraId="57AE914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中华人民共和国国家标准GB7705—87（印刷医院药品相关信息）</w:t>
            </w:r>
          </w:p>
        </w:tc>
      </w:tr>
      <w:tr w14:paraId="586AA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18094F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w:t>
            </w:r>
          </w:p>
        </w:tc>
        <w:tc>
          <w:tcPr>
            <w:tcW w:w="1522" w:type="dxa"/>
            <w:vAlign w:val="center"/>
          </w:tcPr>
          <w:p w14:paraId="6EFC42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封口贴</w:t>
            </w:r>
          </w:p>
        </w:tc>
        <w:tc>
          <w:tcPr>
            <w:tcW w:w="1112" w:type="dxa"/>
            <w:vAlign w:val="center"/>
          </w:tcPr>
          <w:p w14:paraId="775B06B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个</w:t>
            </w:r>
          </w:p>
        </w:tc>
        <w:tc>
          <w:tcPr>
            <w:tcW w:w="1445" w:type="dxa"/>
            <w:vAlign w:val="center"/>
          </w:tcPr>
          <w:p w14:paraId="718BC0B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30*30</w:t>
            </w:r>
          </w:p>
        </w:tc>
        <w:tc>
          <w:tcPr>
            <w:tcW w:w="1710" w:type="dxa"/>
            <w:vAlign w:val="center"/>
          </w:tcPr>
          <w:p w14:paraId="24CCBE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c>
          <w:tcPr>
            <w:tcW w:w="1140" w:type="dxa"/>
            <w:vAlign w:val="center"/>
          </w:tcPr>
          <w:p w14:paraId="34E0D1D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0.01</w:t>
            </w:r>
          </w:p>
        </w:tc>
        <w:tc>
          <w:tcPr>
            <w:tcW w:w="1878" w:type="dxa"/>
            <w:vAlign w:val="center"/>
          </w:tcPr>
          <w:p w14:paraId="43D99E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印刷医院药品相关信息</w:t>
            </w:r>
          </w:p>
        </w:tc>
      </w:tr>
      <w:tr w14:paraId="18C5D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48252B9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w:t>
            </w:r>
          </w:p>
        </w:tc>
        <w:tc>
          <w:tcPr>
            <w:tcW w:w="1522" w:type="dxa"/>
            <w:vAlign w:val="center"/>
          </w:tcPr>
          <w:p w14:paraId="1191AA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药用中药液复合膜</w:t>
            </w:r>
          </w:p>
        </w:tc>
        <w:tc>
          <w:tcPr>
            <w:tcW w:w="1112" w:type="dxa"/>
            <w:vAlign w:val="center"/>
          </w:tcPr>
          <w:p w14:paraId="146F3B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18公斤/卷</w:t>
            </w:r>
          </w:p>
        </w:tc>
        <w:tc>
          <w:tcPr>
            <w:tcW w:w="1445" w:type="dxa"/>
            <w:vAlign w:val="center"/>
          </w:tcPr>
          <w:p w14:paraId="58C31AB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宽度10cm</w:t>
            </w:r>
          </w:p>
        </w:tc>
        <w:tc>
          <w:tcPr>
            <w:tcW w:w="1710" w:type="dxa"/>
            <w:vAlign w:val="center"/>
          </w:tcPr>
          <w:p w14:paraId="6529220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YBB00182002-2015</w:t>
            </w:r>
          </w:p>
        </w:tc>
        <w:tc>
          <w:tcPr>
            <w:tcW w:w="1140" w:type="dxa"/>
            <w:vAlign w:val="center"/>
          </w:tcPr>
          <w:p w14:paraId="15DD4EE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400.00</w:t>
            </w:r>
          </w:p>
        </w:tc>
        <w:tc>
          <w:tcPr>
            <w:tcW w:w="1878" w:type="dxa"/>
            <w:vAlign w:val="center"/>
          </w:tcPr>
          <w:p w14:paraId="3DC7E2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必须注册国家药监局平台，印刷医院药品说明信息</w:t>
            </w:r>
          </w:p>
        </w:tc>
      </w:tr>
      <w:tr w14:paraId="48E48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2F866F4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w:t>
            </w:r>
          </w:p>
        </w:tc>
        <w:tc>
          <w:tcPr>
            <w:tcW w:w="1522" w:type="dxa"/>
            <w:vAlign w:val="center"/>
          </w:tcPr>
          <w:p w14:paraId="766B149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药用复合膜</w:t>
            </w:r>
          </w:p>
        </w:tc>
        <w:tc>
          <w:tcPr>
            <w:tcW w:w="1112" w:type="dxa"/>
            <w:vAlign w:val="center"/>
          </w:tcPr>
          <w:p w14:paraId="73E8719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1445" w:type="dxa"/>
            <w:vAlign w:val="center"/>
          </w:tcPr>
          <w:p w14:paraId="4849807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宽度26cm</w:t>
            </w:r>
          </w:p>
        </w:tc>
        <w:tc>
          <w:tcPr>
            <w:tcW w:w="1710" w:type="dxa"/>
            <w:vAlign w:val="center"/>
          </w:tcPr>
          <w:p w14:paraId="68DBD8A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聚乙烯</w:t>
            </w:r>
          </w:p>
        </w:tc>
        <w:tc>
          <w:tcPr>
            <w:tcW w:w="1140" w:type="dxa"/>
            <w:vAlign w:val="center"/>
          </w:tcPr>
          <w:p w14:paraId="18B7BDB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38.00</w:t>
            </w:r>
          </w:p>
        </w:tc>
        <w:tc>
          <w:tcPr>
            <w:tcW w:w="1878" w:type="dxa"/>
            <w:vAlign w:val="center"/>
          </w:tcPr>
          <w:p w14:paraId="7667D01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5753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2E898B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w:t>
            </w:r>
          </w:p>
        </w:tc>
        <w:tc>
          <w:tcPr>
            <w:tcW w:w="1522" w:type="dxa"/>
            <w:vAlign w:val="center"/>
          </w:tcPr>
          <w:p w14:paraId="6FE2AD4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药用复合膜</w:t>
            </w:r>
          </w:p>
        </w:tc>
        <w:tc>
          <w:tcPr>
            <w:tcW w:w="1112" w:type="dxa"/>
            <w:vAlign w:val="center"/>
          </w:tcPr>
          <w:p w14:paraId="79A1085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1445" w:type="dxa"/>
            <w:vAlign w:val="center"/>
          </w:tcPr>
          <w:p w14:paraId="414AF9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宽度26cm</w:t>
            </w:r>
          </w:p>
        </w:tc>
        <w:tc>
          <w:tcPr>
            <w:tcW w:w="1710" w:type="dxa"/>
            <w:vAlign w:val="center"/>
          </w:tcPr>
          <w:p w14:paraId="1945E2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布料</w:t>
            </w:r>
          </w:p>
        </w:tc>
        <w:tc>
          <w:tcPr>
            <w:tcW w:w="1140" w:type="dxa"/>
            <w:vAlign w:val="center"/>
          </w:tcPr>
          <w:p w14:paraId="35309F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38.00</w:t>
            </w:r>
          </w:p>
        </w:tc>
        <w:tc>
          <w:tcPr>
            <w:tcW w:w="1878" w:type="dxa"/>
            <w:vAlign w:val="center"/>
          </w:tcPr>
          <w:p w14:paraId="071754D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3715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67" w:type="dxa"/>
            <w:vAlign w:val="center"/>
          </w:tcPr>
          <w:p w14:paraId="572902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16</w:t>
            </w:r>
          </w:p>
        </w:tc>
        <w:tc>
          <w:tcPr>
            <w:tcW w:w="1522" w:type="dxa"/>
            <w:vAlign w:val="center"/>
          </w:tcPr>
          <w:p w14:paraId="54602C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PE滚珠瓶</w:t>
            </w:r>
          </w:p>
        </w:tc>
        <w:tc>
          <w:tcPr>
            <w:tcW w:w="1112" w:type="dxa"/>
            <w:vAlign w:val="center"/>
          </w:tcPr>
          <w:p w14:paraId="20A384D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瓶</w:t>
            </w:r>
          </w:p>
        </w:tc>
        <w:tc>
          <w:tcPr>
            <w:tcW w:w="1445" w:type="dxa"/>
            <w:vAlign w:val="center"/>
          </w:tcPr>
          <w:p w14:paraId="0073B5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30ml/ 50ml/60ml/100ml</w:t>
            </w:r>
          </w:p>
        </w:tc>
        <w:tc>
          <w:tcPr>
            <w:tcW w:w="1710" w:type="dxa"/>
            <w:vAlign w:val="center"/>
          </w:tcPr>
          <w:p w14:paraId="4BDACE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w:t>
            </w:r>
          </w:p>
        </w:tc>
        <w:tc>
          <w:tcPr>
            <w:tcW w:w="1140" w:type="dxa"/>
            <w:vAlign w:val="center"/>
          </w:tcPr>
          <w:p w14:paraId="2327FA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0.96</w:t>
            </w:r>
          </w:p>
        </w:tc>
        <w:tc>
          <w:tcPr>
            <w:tcW w:w="1878" w:type="dxa"/>
            <w:vAlign w:val="center"/>
          </w:tcPr>
          <w:p w14:paraId="57482DC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扁方瓶，带PET封口膜</w:t>
            </w:r>
          </w:p>
        </w:tc>
      </w:tr>
    </w:tbl>
    <w:p w14:paraId="1F05FBDC">
      <w:pPr>
        <w:ind w:left="120" w:leftChars="0" w:right="62" w:rightChars="0" w:hanging="120" w:hangingChars="5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★备注：不得以总价值竞标，采用下浮率竞标，不按要求报价者，即自行退出竞标。</w:t>
      </w:r>
    </w:p>
    <w:p w14:paraId="749E2AE5">
      <w:pPr>
        <w:pStyle w:val="70"/>
        <w:ind w:left="0" w:leftChars="0" w:firstLine="0" w:firstLineChars="0"/>
        <w:rPr>
          <w:rFonts w:hint="eastAsia"/>
          <w:highlight w:val="none"/>
          <w:lang w:val="en-US" w:eastAsia="zh-CN"/>
        </w:rPr>
        <w:sectPr>
          <w:pgSz w:w="11905" w:h="16838"/>
          <w:pgMar w:top="1020" w:right="964" w:bottom="1020" w:left="1191" w:header="567" w:footer="454" w:gutter="0"/>
          <w:pgNumType w:fmt="decimal"/>
          <w:cols w:space="720" w:num="1"/>
          <w:rtlGutter w:val="0"/>
          <w:docGrid w:type="lines" w:linePitch="317" w:charSpace="0"/>
        </w:sectPr>
      </w:pPr>
      <w:r>
        <w:rPr>
          <w:rFonts w:hint="eastAsia" w:ascii="宋体" w:hAnsi="宋体" w:eastAsia="宋体" w:cs="宋体"/>
          <w:color w:val="auto"/>
          <w:kern w:val="2"/>
          <w:sz w:val="24"/>
          <w:szCs w:val="24"/>
          <w:highlight w:val="none"/>
          <w:lang w:val="en-US" w:eastAsia="zh-CN" w:bidi="ar-SA"/>
        </w:rPr>
        <w:t>★此价格包括运抵甲方的运费及含税收等，此价格为</w:t>
      </w:r>
      <w:r>
        <w:rPr>
          <w:rFonts w:hint="eastAsia" w:ascii="宋体" w:hAnsi="宋体" w:cs="宋体"/>
          <w:color w:val="auto"/>
          <w:kern w:val="2"/>
          <w:sz w:val="24"/>
          <w:szCs w:val="24"/>
          <w:highlight w:val="none"/>
          <w:lang w:val="en-US" w:eastAsia="zh-CN" w:bidi="ar-SA"/>
        </w:rPr>
        <w:t>基于最高限价的</w:t>
      </w:r>
      <w:r>
        <w:rPr>
          <w:rFonts w:hint="eastAsia" w:ascii="宋体" w:hAnsi="宋体" w:eastAsia="宋体" w:cs="宋体"/>
          <w:color w:val="auto"/>
          <w:kern w:val="2"/>
          <w:sz w:val="24"/>
          <w:szCs w:val="24"/>
          <w:highlight w:val="none"/>
          <w:lang w:val="en-US" w:eastAsia="zh-CN" w:bidi="ar-SA"/>
        </w:rPr>
        <w:t>下浮率报价，</w:t>
      </w:r>
      <w:r>
        <w:rPr>
          <w:rFonts w:hint="eastAsia" w:ascii="宋体" w:hAnsi="宋体" w:cs="宋体"/>
          <w:color w:val="auto"/>
          <w:kern w:val="2"/>
          <w:sz w:val="24"/>
          <w:szCs w:val="24"/>
          <w:highlight w:val="none"/>
          <w:lang w:val="en-US" w:eastAsia="zh-CN" w:bidi="ar-SA"/>
        </w:rPr>
        <w:t>在合同履约期内</w:t>
      </w:r>
      <w:r>
        <w:rPr>
          <w:rFonts w:hint="eastAsia" w:ascii="宋体" w:hAnsi="宋体" w:eastAsia="宋体" w:cs="宋体"/>
          <w:color w:val="auto"/>
          <w:kern w:val="2"/>
          <w:sz w:val="24"/>
          <w:szCs w:val="24"/>
          <w:highlight w:val="none"/>
          <w:lang w:val="en-US" w:eastAsia="zh-CN" w:bidi="ar-SA"/>
        </w:rPr>
        <w:t>不因市场价格变动而有任何调整，同时乙方不得降低产品规格，不得缺斤少两</w:t>
      </w:r>
      <w:r>
        <w:rPr>
          <w:rFonts w:hint="eastAsia" w:ascii="宋体" w:hAnsi="宋体" w:cs="宋体"/>
          <w:color w:val="auto"/>
          <w:kern w:val="2"/>
          <w:sz w:val="24"/>
          <w:szCs w:val="24"/>
          <w:highlight w:val="none"/>
          <w:lang w:val="en-US" w:eastAsia="zh-CN" w:bidi="ar-SA"/>
        </w:rPr>
        <w:t>，供应商必须单独提供书面承诺</w:t>
      </w:r>
      <w:r>
        <w:rPr>
          <w:rFonts w:hint="eastAsia" w:ascii="宋体" w:hAnsi="宋体" w:eastAsia="宋体" w:cs="宋体"/>
          <w:color w:val="auto"/>
          <w:kern w:val="2"/>
          <w:sz w:val="24"/>
          <w:szCs w:val="24"/>
          <w:highlight w:val="none"/>
          <w:lang w:val="en-US" w:eastAsia="zh-CN" w:bidi="ar-SA"/>
        </w:rPr>
        <w:t>。</w:t>
      </w:r>
    </w:p>
    <w:p w14:paraId="0A5ECB87">
      <w:pPr>
        <w:spacing w:line="560" w:lineRule="exact"/>
        <w:ind w:firstLine="482" w:firstLineChars="200"/>
        <w:outlineLvl w:val="1"/>
        <w:rPr>
          <w:rStyle w:val="185"/>
          <w:rFonts w:hint="eastAsia" w:ascii="宋体" w:hAnsi="宋体" w:eastAsia="宋体" w:cs="宋体"/>
          <w:b/>
          <w:bCs/>
          <w:color w:val="auto"/>
          <w:sz w:val="24"/>
          <w:szCs w:val="24"/>
          <w:highlight w:val="none"/>
          <w:lang w:val="en-US" w:eastAsia="zh-CN"/>
        </w:rPr>
      </w:pPr>
      <w:r>
        <w:rPr>
          <w:rStyle w:val="185"/>
          <w:rFonts w:hint="eastAsia" w:ascii="宋体" w:hAnsi="宋体" w:eastAsia="宋体" w:cs="宋体"/>
          <w:b/>
          <w:bCs/>
          <w:color w:val="auto"/>
          <w:sz w:val="24"/>
          <w:szCs w:val="24"/>
          <w:highlight w:val="none"/>
          <w:lang w:val="en-US" w:eastAsia="zh-CN"/>
        </w:rPr>
        <w:t>五、商务要求</w:t>
      </w:r>
    </w:p>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p w14:paraId="44FE9676">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报价要求</w:t>
      </w:r>
    </w:p>
    <w:p w14:paraId="637041A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本项目响应报价以“单价最高预算”为基准，采用中标下浮率的方式进行报价，对本项目所投全部内容不接受有选择性地报价，只允许对本项目全部内容整体报一个中标下浮率，且所报的下浮率应当适用于本项目所有产品。</w:t>
      </w:r>
    </w:p>
    <w:p w14:paraId="7459F55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2）★报价范围：0.00%≤中标下浮率＜100.00%【下浮率必须为固定报价，允许保留小数点后两位，不接受区间报价（如1.00%～2.00%）】，若供应商所报下浮率≥100.00%，将被视为无效响应。</w:t>
      </w:r>
    </w:p>
    <w:p w14:paraId="3CEBAC87">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3）本项目各类产品的结算单价=单价最高预算×（1－中标下浮率）。</w:t>
      </w:r>
    </w:p>
    <w:p w14:paraId="7027A662">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注：</w:t>
      </w:r>
    </w:p>
    <w:p w14:paraId="3810671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1、投标人只需对本列表中采购预算报出总下浮率，无须对本列表内各品种药材单独报下浮率。</w:t>
      </w:r>
    </w:p>
    <w:p w14:paraId="30FC6984">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价格要求</w:t>
      </w:r>
    </w:p>
    <w:p w14:paraId="0C5CF32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1)★中标人提供的货物价格不得高于市场价格。供货周期内价格不得上调。</w:t>
      </w:r>
    </w:p>
    <w:p w14:paraId="2C9367D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2)中标人必须负责中标货物的运输、搬运等工作，所产生的费用由中标人负责。</w:t>
      </w:r>
    </w:p>
    <w:p w14:paraId="50F48AA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3)★中标人不得擅自变更投标货品（含商标、名称、产地、包装、规格和重量等），严格按采购人要求供应，否则，采购人有权拒收。</w:t>
      </w:r>
    </w:p>
    <w:p w14:paraId="3A53EF9E">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国家和自治区对中标物品的价格下调低于合同价格，合同价格在调价文件生效之日起随即下调至文件规定的价格，直到供货期限满为止，供应商需针对此条款作出书面承诺，不得以此为由终止合同或终止供货。</w:t>
      </w:r>
    </w:p>
    <w:p w14:paraId="4D8E79AD">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质量要求</w:t>
      </w:r>
    </w:p>
    <w:p w14:paraId="3DC35FF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成交供应商提供的货物必须为目前市场上技术较先进、成熟的原装、全新的，符合国家以及该产品的出厂标准和满足招标文件有关技术参数及质量标准的货物；且货物外形（外观）尺寸须符合国家及行业标准的公差标准及相关要求，表面无划伤，无碰撞，各项技术指标完全符合国家检测标准及产品出厂标准，凡列入《中华人民共和国实施强制性产品认证的产品目录》的货物需获得相关认证证书。货物若有国家标准按照国家标准验收，若无国家标准按行业标准验收，货物无侵权行为、表面无划损、无任何缺陷隐患，在中国境内可依常规安全合法使用。</w:t>
      </w:r>
    </w:p>
    <w:p w14:paraId="2D2892C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2、如果成交供应商所提供的货物被有关部门认定为违反国家有关行业安全和质量规定及违法侵权等，由此而引起的一切后果和责任均由成交供应商负责。</w:t>
      </w:r>
    </w:p>
    <w:p w14:paraId="42642BC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3、在实际供货时，成交供应商响应时所提供的货物若已经停产（不列入该厂家当时的产品系统），且未能按原价提供同等质量或更优质的货物，则按违约处理。</w:t>
      </w:r>
    </w:p>
    <w:p w14:paraId="1977257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4、成交供应商负责将货物送到现场过程中的全部运输，包括装卸车、货物现场的搬运；货物在现场的保管由成交供应商负责，直至验收完毕。</w:t>
      </w:r>
    </w:p>
    <w:p w14:paraId="6A388F7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在实际供货时，若中标人提供的货物未能达到招标文件的要求和投标文件中的有关承诺，将按有关法规进行处罚，采购人将有权单方面终止合同的执行，并追究因中标人所提供的未达到所承诺准确率产品而产生的所有损失和责任。（以提供承诺函响应该条款，格式由供应商自拟。）</w:t>
      </w:r>
    </w:p>
    <w:p w14:paraId="668A89E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6、中标人负责将货物送到现场过程中的全部运输，包括装卸车、货物现场的搬运；货物在现场的保管由中标人负责，直至验收完毕。</w:t>
      </w:r>
    </w:p>
    <w:p w14:paraId="49D8A42C">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服务要求</w:t>
      </w:r>
    </w:p>
    <w:p w14:paraId="7E2E00B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1、供货期限一年，采购周期内确保产品的供应和配送服务，不得以经销或代理授权变更的理由，更换中标人。</w:t>
      </w:r>
    </w:p>
    <w:p w14:paraId="2A20CC7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2、招标文件中的年采购量及采购预算具体采购数量及金额以合同执行过程中的实际采购量及产生金额为准；采购人与中标人按照投标文件所报的单价签订采购合同；采购人不承诺最低采购数量和采购总金额。</w:t>
      </w:r>
    </w:p>
    <w:p w14:paraId="1EDFE3F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3、送货时间：收到订单后72小时内，若发生延迟须提前告知，否则视为违约，按违约条款进行处罚，急救类药材须在通知后4小时内送达，如采购人有特殊配送需求的，应设法满足，节假日照常配送。</w:t>
      </w:r>
    </w:p>
    <w:p w14:paraId="78C0965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除客观不可抗力外，中标人不得更改送货内容。如确需变更供货内容的，中标人应在得知情况的同时告知采购人并征得采购人同意，经发现中标人有私自更改菜单中货品时以违约论处，由此产生的一切损失和费用由中标人承担。供货期内中标人出现上述情况，经采购人书面提出整改通知，但情况没有改善的，采购人有权取消中标人供货资格，终止中标人供货合同和没收履约保证金。</w:t>
      </w:r>
    </w:p>
    <w:p w14:paraId="771C0A2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投标人必须对所投项目的所有清单内容完整投标，若成交则必须全部供货，在供货时不得缺少任何一项货物，否则采购人有权终止采购合同，没收履约保证金，成交供应商不得以任何理由拒绝。（针对该条提供单独书面承诺书并由法定代表人签字盖章），投标时缺项漏项将导致投标无效。也不得修改清单中的任何内容，但可于投标前提出询问，否则投标无效。</w:t>
      </w:r>
    </w:p>
    <w:p w14:paraId="52764BD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6、★若中标商品有断货或停货等特殊情况时，供货商必须提前30日通知采购方，并出示加盖公章的停货书面说明。断货期间，医院有权向其他供货商购买同类产品，直到原供货方能继续供货为止。</w:t>
      </w:r>
    </w:p>
    <w:p w14:paraId="4E562AE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7、有意向参与该项目的投标人在购买招标文件后，可向采购人了解采购清单中的医用药材目前的使用情况和相关信息，采购人将给予配合。</w:t>
      </w:r>
    </w:p>
    <w:p w14:paraId="1F12EED6">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供货要求</w:t>
      </w:r>
    </w:p>
    <w:p w14:paraId="7D51C9B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如发现中标人所交付的货物有次品、损坏或其他不符合本项目的采购文件要求或不能满足投标文件有关承诺等情况，采购人有权提出退换货处理或按违约处理，由中标人负责对需退换货的产品做好相关记录，经中标人、采购人双方签字确认后，方可进行退换货品的工作。</w:t>
      </w:r>
    </w:p>
    <w:p w14:paraId="46ADF8C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2、中标人须在确认当天完成所有的退换货工作，退换货工作包括货品的运输、搬运、堆放等，且由此产生的一切费用由中标人承担。</w:t>
      </w:r>
    </w:p>
    <w:p w14:paraId="59D1C1C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3、本项目换货后的产品须满足采购文件要求及投标文件承诺，不得低于原货品的标准要求；中标人也可经采购人同意后，选择同档次或优于原货品的同类产品替换原货品。</w:t>
      </w:r>
    </w:p>
    <w:p w14:paraId="7EAFDA2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为确保本项目顺利完成，中标供应商必须承诺：本公司承诺在中标后所投入的人员为公司人员，并与投标文件提供的人员一致，如服务期内采购人发现投入人员与投标文件不一致，视为提供虚假材料应标，采购人有权扣除履约保证金，单方面终止采购合同，并将供应商虚假应标的相关问题报送监管部门，供应商针对此点提供书面承诺。</w:t>
      </w:r>
    </w:p>
    <w:p w14:paraId="4DDADF1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5、在采购人签收之前，货物的所有权和风险属于中标人，货物发生遗失、损坏由中标人负责。</w:t>
      </w:r>
    </w:p>
    <w:p w14:paraId="4966666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中标人须严格按照各采购人的指令配送商品的数量，不得随意增减数量，否则，采购人有权拒收并扣除履约保证金。出现一次配送商品的数量增减的情况扣除1000元履约保证金，出现两次扣除5000元履约保证金，出现3次扣除20000元履约保证金，出现3次以上直接取消供货资格并扣除所有履约保证金。</w:t>
      </w:r>
    </w:p>
    <w:p w14:paraId="05F3E4F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7、如因市场流通问题确实需要变更的，应事先书面申请，并经采购人同意后方可改变。</w:t>
      </w:r>
    </w:p>
    <w:p w14:paraId="193718D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采购人发现采购货物不能正常使用的，中标人应无条件退换。中标人未能履行招标文件和合同所定事项，或供应不合格的、假冒伪劣、以次充好的商品，采购人退货后将记录在案，并对中标人予以处罚，要承担因此产生的一切损失和费用，供应商针对此点提供书面承诺。</w:t>
      </w:r>
    </w:p>
    <w:p w14:paraId="4A19A02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9、中标人不能按核定的供货价交付中标商品、不能提供与其承诺相符的服务或中标人存在违反招标文件和合同的行为，并且不予纠正的，将取消其供货资格。此项下违约责任包括但不限于下列各项：</w:t>
      </w:r>
    </w:p>
    <w:p w14:paraId="240195EF">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①中标人在收到采购人订货要求后，在承诺的供货时间内不能供货的；</w:t>
      </w:r>
    </w:p>
    <w:p w14:paraId="1ED867E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②中标人未能提供承诺的服务的。</w:t>
      </w:r>
    </w:p>
    <w:p w14:paraId="7A3071F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10、中标商品在保质期出现损坏的，中标人应承诺提供替换服务，因替换货物产生的费用由中标人负责。</w:t>
      </w:r>
    </w:p>
    <w:p w14:paraId="5885FD8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11、中标人的送货单必须详细注明商品的品牌、型号、单价、数量、送货单不得涂改。标记不清的，采购人将拒绝签收。结算期末中标人还应提供送货清单供采购人结算。</w:t>
      </w:r>
    </w:p>
    <w:p w14:paraId="4C1BD19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12、中标人指定的送货专员必须穿着便于辨认的工衣和佩戴胸卡，送货专员在采购人单位活动必须严格遵守采购人单位各项规章制度，不得做出有损采购人形象和利益的事情。</w:t>
      </w:r>
    </w:p>
    <w:p w14:paraId="24B2448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13、★中标人不得泄露采购人的商业秘密。泄密造成采购人损失的，中标人将承担由此产生的一切损失和法律责任。</w:t>
      </w:r>
    </w:p>
    <w:p w14:paraId="6AFDF4B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14、★截至送货日，中标人所供货的产品有效期不得低于产品总有效期的五分之四，否则采购人有权拒收。</w:t>
      </w:r>
    </w:p>
    <w:p w14:paraId="35D2CBD7">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验收要求</w:t>
      </w:r>
    </w:p>
    <w:p w14:paraId="7C6BF37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1、本项目验收标准：货物进场验收，通过最终验收后交付采购人使用，进入质保期。根据国家颁布的最新检定规程执行。</w:t>
      </w:r>
    </w:p>
    <w:p w14:paraId="2085055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采购人组织验收小组按国家有关规定、规范进行验收，必要时邀请相关的专业人员或构参与验收。因货物质量问题发生争议时，由本地质量技术监督部门鉴定。货物符合质量技术标准的，鉴定费由采购人承担；否则鉴定费由中标人承担，供应商针对此点提供书面承诺。</w:t>
      </w:r>
    </w:p>
    <w:p w14:paraId="0EBC3F5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3、验收标准按照国内最新相关标准实施，要求对全部产品、型号、规格、数量、外形、外观、包装进行验收。双方将依据有关规定，对到货的规格、数量等进行检验。</w:t>
      </w:r>
    </w:p>
    <w:p w14:paraId="11DFFE50">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技术服务人员及售后服务队伍要求</w:t>
      </w:r>
    </w:p>
    <w:p w14:paraId="37035CB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1.中标人需有稳定、专业的服务团队，须指派1名项目负责人全程跟踪管理本项目，与采购人保持良好的沟通。项目负责人应有丰富的类似项目经验、有良好的服务态度及沟通能力。</w:t>
      </w:r>
    </w:p>
    <w:p w14:paraId="2F8C00FF">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2.原则上项目负责人不得随意更换（除离职、生病等不可抗力外），如确需更换应提前3个工作日书面通知采购人，征得采购人同意后方可更换，而且更换后的人员水平不得低于原人员。</w:t>
      </w:r>
    </w:p>
    <w:p w14:paraId="67BEC9A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3.中标人应当具有完善的物流配送体系和售后服务队伍，且具有履行本项目货物的供应、安装、维修等专业技术和服务能力。</w:t>
      </w:r>
    </w:p>
    <w:p w14:paraId="00D881E5">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售后服务要求</w:t>
      </w:r>
    </w:p>
    <w:p w14:paraId="5505143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除特别标明之外，所有货物保证在最终验收合格并交付用户使用之日起，应按照国家或生产厂家的规定执行。质保期内中标人必须进行质量“三包”。因质量原因损坏，中标人应迅速派员解决，并承担由此发生的费用。</w:t>
      </w:r>
    </w:p>
    <w:p w14:paraId="50278A3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中标人应有稳定售后服务机构（点）或部门，质保期内指派专人负责与采购人联系售后服务事宜，提供服务专线。在质保期内，因产品质量问题，中标人在接到维修通知后2小时内响应，包括电话、传真、电子邮件等各种有效方式进行答疑或技术指导；若口头和书面交流仍无法解决问题，提供同档次产品代用，否则中标人应赔偿采购人的相应损失。如果需要更换产品的则必须免费提供，要求更换的产品跟被更换的品牌、类型相一致或者是同类同档次的替代品，且更换前应征得采购人同意。</w:t>
      </w:r>
    </w:p>
    <w:p w14:paraId="1AC05CA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3.质量保证期内非采购方的人为原因而出现产品质量及安装问题，由中标人负责包修、包换或包退，不能在规定时间内修复，由中标人负责包退或1个月内包换服务，并承担因此而产生的一切费用。</w:t>
      </w:r>
    </w:p>
    <w:p w14:paraId="756B58DA">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付款方式要求</w:t>
      </w:r>
    </w:p>
    <w:p w14:paraId="124BFA1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付款方式：中标人每月所订购的药材到采购人指定的地点交付并通过采购人的验收合格后中标人凭开具的正式发票，由采购人在6个月内支付货款。</w:t>
      </w:r>
    </w:p>
    <w:p w14:paraId="40578B1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1)中标人货款按月度进行结算。在办理付款手续之前双方须对供应货物的品种、数量、单价、金额等进行统计，并核实无误。</w:t>
      </w:r>
    </w:p>
    <w:p w14:paraId="7B01305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2)采购人收到中标人收货凭证复印件和有效等额发票后，6个月内办理支付手续；（具体付款时间以政府财政支付为准）</w:t>
      </w:r>
    </w:p>
    <w:p w14:paraId="33287F1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3)中标人凭以下有效文件与采购人结算：</w:t>
      </w:r>
    </w:p>
    <w:p w14:paraId="5862CCD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①合同；</w:t>
      </w:r>
    </w:p>
    <w:p w14:paraId="5DA1C82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②中标人开具的正式发票；</w:t>
      </w:r>
    </w:p>
    <w:p w14:paraId="4B7D6E5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③货物收货清单（加盖采购人公章）；</w:t>
      </w:r>
    </w:p>
    <w:p w14:paraId="573424C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④中标通知书。</w:t>
      </w:r>
    </w:p>
    <w:p w14:paraId="30E23D5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因采购人使用的是财政资金，采购人在前款规定的付款时间为向政府采购支付部门提出办理财政支付申请手续的时间（不含政府财政支付部门审核的时间），在规定时间内提出支付申请手续后即视为采购人已经按期支付。成交供应商不能因此主张采购人违反合同约定，不能因此主张解除合同。（以提供承诺函响应该条款，格式由供应商自拟。）</w:t>
      </w:r>
    </w:p>
    <w:p w14:paraId="65459C5C">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项目履约保证金</w:t>
      </w:r>
    </w:p>
    <w:p w14:paraId="46D42D8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必须在收到中标通知书5个工作日内向采购人缴交合同金额10%的履约保证金，如未能按时交纳履约保证金的，采购人有权单方面取消其中标人资格并终止合同，并按照排序从其他候选中标供应商中确定中标供应商或重招。</w:t>
      </w:r>
    </w:p>
    <w:p w14:paraId="67A0E8F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如中标人违约，采购人可随时启动项目履约保证金，因中标人违约扣减履约保证金而使履约保证金不足的，采购人有权向中标人收取补足，中标人须在接到采购人通知的5个工作日内补足相应履约保证金，中标人未按时补足履约保证金的，采购人可单方面取消其中标人资格并终止合同，没收余下履约保证金，并按照排序从其他中标候选供应商中确定中标供应商或重招。</w:t>
      </w:r>
    </w:p>
    <w:p w14:paraId="48B6179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3)如中标人的供货不符合采购人的质量要求，采购人有权单方面解除合同。</w:t>
      </w:r>
    </w:p>
    <w:p w14:paraId="3545FB4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4)中标人无违约责任、无任何不良记录或违约责任已处理完成，采购人将于合同期满后一个月内无息退还全部履约保证金。</w:t>
      </w:r>
    </w:p>
    <w:p w14:paraId="0CAED979">
      <w:pPr>
        <w:numPr>
          <w:ilvl w:val="0"/>
          <w:numId w:val="10"/>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其他要求</w:t>
      </w:r>
    </w:p>
    <w:p w14:paraId="38D2D972">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1）同意采购人以任何形式对中标人投标文件内容及采购人认为有必要的相关资料的真实性和有效性进行审查、验证。</w:t>
      </w:r>
    </w:p>
    <w:p w14:paraId="688B0FB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2)采购人与中标人在投标及履行合同过程中，必须遵守《中华人民共和国反不正当竞争法》《中华人民共和国消费者权益保障法》《中华人民共和国经济合同法》及相关的国家法律法规。</w:t>
      </w:r>
    </w:p>
    <w:p w14:paraId="1AB75CE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3)项目结案要求：项目结束后中标人须向采购人提供台账、项目决算表、项目总结报告等相关数据资料。</w:t>
      </w:r>
    </w:p>
    <w:p w14:paraId="24AEB3C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替补候选人的设定与使用。</w:t>
      </w:r>
    </w:p>
    <w:p w14:paraId="6245F0B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★如果中标供应商不能按照招标文件要求及投标文件的承诺签订中标合同，或经核定中标供应商的投标文件与事实不符，从而影响公平、公正及影响中标合同执行时，采购人有权取消该中标供应商的中标资格，</w:t>
      </w:r>
      <w:r>
        <w:rPr>
          <w:rFonts w:hint="eastAsia" w:asciiTheme="minorEastAsia" w:hAnsiTheme="minorEastAsia" w:eastAsiaTheme="minorEastAsia" w:cstheme="minorEastAsia"/>
          <w:sz w:val="24"/>
          <w:szCs w:val="24"/>
          <w:highlight w:val="none"/>
          <w:lang w:val="en-US" w:eastAsia="zh-CN"/>
        </w:rPr>
        <w:t>依顺序</w:t>
      </w:r>
      <w:r>
        <w:rPr>
          <w:rFonts w:hint="eastAsia" w:asciiTheme="minorEastAsia" w:hAnsiTheme="minorEastAsia" w:eastAsiaTheme="minorEastAsia" w:cstheme="minorEastAsia"/>
          <w:sz w:val="24"/>
          <w:szCs w:val="24"/>
          <w:highlight w:val="none"/>
        </w:rPr>
        <w:t>确定</w:t>
      </w:r>
      <w:r>
        <w:rPr>
          <w:rFonts w:hint="eastAsia" w:asciiTheme="minorEastAsia" w:hAnsiTheme="minorEastAsia" w:eastAsiaTheme="minorEastAsia" w:cstheme="minorEastAsia"/>
          <w:sz w:val="24"/>
          <w:szCs w:val="24"/>
          <w:highlight w:val="none"/>
          <w:lang w:val="en-US" w:eastAsia="zh-CN"/>
        </w:rPr>
        <w:t>该标段</w:t>
      </w:r>
      <w:r>
        <w:rPr>
          <w:rFonts w:hint="eastAsia" w:asciiTheme="minorEastAsia" w:hAnsiTheme="minorEastAsia" w:eastAsiaTheme="minorEastAsia" w:cstheme="minorEastAsia"/>
          <w:sz w:val="24"/>
          <w:szCs w:val="24"/>
          <w:highlight w:val="none"/>
        </w:rPr>
        <w:t>排名</w:t>
      </w:r>
      <w:r>
        <w:rPr>
          <w:rFonts w:hint="eastAsia" w:asciiTheme="minorEastAsia" w:hAnsiTheme="minorEastAsia" w:eastAsiaTheme="minorEastAsia" w:cstheme="minorEastAsia"/>
          <w:sz w:val="24"/>
          <w:szCs w:val="24"/>
          <w:highlight w:val="none"/>
          <w:lang w:val="en-US" w:eastAsia="zh-CN"/>
        </w:rPr>
        <w:t>最高得</w:t>
      </w:r>
      <w:r>
        <w:rPr>
          <w:rFonts w:hint="eastAsia" w:asciiTheme="minorEastAsia" w:hAnsiTheme="minorEastAsia" w:eastAsiaTheme="minorEastAsia" w:cstheme="minorEastAsia"/>
          <w:sz w:val="24"/>
          <w:szCs w:val="24"/>
          <w:highlight w:val="none"/>
        </w:rPr>
        <w:t>的投标供应商为中标供应商</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lang w:val="en-US" w:eastAsia="zh-CN"/>
        </w:rPr>
        <w:t>不受兼投不兼中规则约束</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或依法重新招标。</w:t>
      </w:r>
    </w:p>
    <w:p w14:paraId="02DFB38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★如果所有中标候选人均无法签订合同，采购人将依法重新招标或更改采购形式，对受影响的响应供应商不承担任何责任。</w:t>
      </w:r>
    </w:p>
    <w:p w14:paraId="20FCBF4B">
      <w:pPr>
        <w:autoSpaceDE w:val="0"/>
        <w:autoSpaceDN w:val="0"/>
        <w:adjustRightInd w:val="0"/>
        <w:spacing w:line="400" w:lineRule="exact"/>
        <w:jc w:val="left"/>
        <w:rPr>
          <w:rFonts w:hint="eastAsia" w:ascii="宋体" w:hAnsi="宋体" w:eastAsia="宋体" w:cs="宋体"/>
          <w:b/>
          <w:bCs/>
          <w:kern w:val="0"/>
          <w:sz w:val="28"/>
          <w:szCs w:val="28"/>
          <w:highlight w:val="none"/>
        </w:rPr>
      </w:pPr>
      <w:r>
        <w:rPr>
          <w:rFonts w:hint="eastAsia" w:ascii="宋体" w:hAnsi="宋体" w:eastAsia="宋体" w:cs="宋体"/>
          <w:b/>
          <w:sz w:val="36"/>
          <w:szCs w:val="36"/>
          <w:highlight w:val="none"/>
        </w:rPr>
        <w:br w:type="page"/>
      </w:r>
      <w:bookmarkStart w:id="274" w:name="_Toc20987"/>
    </w:p>
    <w:bookmarkEnd w:id="274"/>
    <w:p w14:paraId="6E45E1C3">
      <w:pPr>
        <w:pageBreakBefore w:val="0"/>
        <w:widowControl w:val="0"/>
        <w:numPr>
          <w:ilvl w:val="0"/>
          <w:numId w:val="0"/>
        </w:numPr>
        <w:kinsoku/>
        <w:wordWrap/>
        <w:overflowPunct/>
        <w:topLinePunct w:val="0"/>
        <w:autoSpaceDE/>
        <w:autoSpaceDN/>
        <w:bidi w:val="0"/>
        <w:spacing w:line="440" w:lineRule="exact"/>
        <w:ind w:right="62" w:rightChars="0"/>
        <w:jc w:val="center"/>
        <w:textAlignment w:val="auto"/>
        <w:outlineLvl w:val="0"/>
        <w:rPr>
          <w:rFonts w:hint="eastAsia" w:ascii="宋体" w:hAnsi="宋体" w:eastAsia="宋体" w:cs="宋体"/>
          <w:b/>
          <w:kern w:val="2"/>
          <w:sz w:val="28"/>
          <w:szCs w:val="28"/>
          <w:highlight w:val="none"/>
          <w:lang w:val="en-US" w:eastAsia="zh-CN" w:bidi="ar-SA"/>
        </w:rPr>
      </w:pPr>
      <w:bookmarkStart w:id="275" w:name="_Toc2874"/>
      <w:r>
        <w:rPr>
          <w:rFonts w:hint="eastAsia" w:ascii="宋体" w:hAnsi="宋体" w:eastAsia="宋体" w:cs="宋体"/>
          <w:b/>
          <w:kern w:val="2"/>
          <w:sz w:val="28"/>
          <w:szCs w:val="28"/>
          <w:highlight w:val="none"/>
          <w:lang w:val="en-US" w:eastAsia="zh-CN" w:bidi="ar-SA"/>
        </w:rPr>
        <w:t>第六章</w:t>
      </w:r>
      <w:bookmarkEnd w:id="275"/>
      <w:r>
        <w:rPr>
          <w:rFonts w:hint="eastAsia" w:ascii="宋体" w:hAnsi="宋体" w:eastAsia="宋体" w:cs="宋体"/>
          <w:b/>
          <w:kern w:val="2"/>
          <w:sz w:val="28"/>
          <w:szCs w:val="28"/>
          <w:highlight w:val="none"/>
          <w:lang w:val="en-US" w:eastAsia="zh-CN" w:bidi="ar-SA"/>
        </w:rPr>
        <w:t>拟签订的合同文本</w:t>
      </w:r>
    </w:p>
    <w:p w14:paraId="13B7BA89">
      <w:pPr>
        <w:snapToGrid w:val="0"/>
        <w:spacing w:line="360" w:lineRule="auto"/>
        <w:ind w:left="0" w:leftChars="0" w:firstLine="0" w:firstLineChars="0"/>
        <w:jc w:val="center"/>
        <w:rPr>
          <w:rFonts w:hint="eastAsia" w:ascii="宋体" w:hAnsi="宋体" w:eastAsia="宋体" w:cs="宋体"/>
          <w:b/>
          <w:color w:val="000000"/>
          <w:sz w:val="24"/>
          <w:szCs w:val="24"/>
          <w:highlight w:val="none"/>
        </w:rPr>
      </w:pPr>
    </w:p>
    <w:p w14:paraId="57E0AC67">
      <w:pPr>
        <w:ind w:right="62" w:firstLine="480" w:firstLineChars="200"/>
        <w:rPr>
          <w:rFonts w:hint="eastAsia" w:ascii="宋体" w:hAnsi="宋体" w:eastAsia="宋体" w:cs="宋体"/>
          <w:sz w:val="24"/>
          <w:szCs w:val="24"/>
          <w:highlight w:val="none"/>
        </w:rPr>
      </w:pPr>
      <w:bookmarkStart w:id="276" w:name="_Toc11035"/>
      <w:bookmarkStart w:id="277" w:name="_Toc19415"/>
      <w:bookmarkStart w:id="278" w:name="_Toc25342"/>
      <w:bookmarkStart w:id="279" w:name="_Toc9510643"/>
      <w:bookmarkStart w:id="280" w:name="_Toc6125"/>
      <w:r>
        <w:rPr>
          <w:rFonts w:hint="eastAsia" w:ascii="宋体" w:hAnsi="宋体" w:eastAsia="宋体" w:cs="宋体"/>
          <w:sz w:val="24"/>
          <w:szCs w:val="24"/>
          <w:highlight w:val="none"/>
          <w:lang w:val="en-US" w:eastAsia="zh-CN"/>
        </w:rPr>
        <w:t>甲</w:t>
      </w:r>
      <w:r>
        <w:rPr>
          <w:rFonts w:hint="eastAsia" w:ascii="宋体" w:hAnsi="宋体" w:eastAsia="宋体" w:cs="宋体"/>
          <w:sz w:val="24"/>
          <w:szCs w:val="24"/>
          <w:highlight w:val="none"/>
        </w:rPr>
        <w:t>方：</w:t>
      </w:r>
      <w:r>
        <w:rPr>
          <w:rFonts w:hint="eastAsia" w:ascii="宋体" w:hAnsi="宋体" w:eastAsia="宋体" w:cs="宋体"/>
          <w:sz w:val="24"/>
          <w:szCs w:val="24"/>
          <w:highlight w:val="none"/>
          <w:u w:val="single"/>
        </w:rPr>
        <w:t>和田地区洛浦县维吾尔医医院</w:t>
      </w:r>
      <w:r>
        <w:rPr>
          <w:rFonts w:hint="eastAsia" w:ascii="宋体" w:hAnsi="宋体" w:eastAsia="宋体" w:cs="宋体"/>
          <w:sz w:val="24"/>
          <w:szCs w:val="24"/>
          <w:highlight w:val="none"/>
        </w:rPr>
        <w:t>（以下简称“甲方”）</w:t>
      </w:r>
    </w:p>
    <w:p w14:paraId="22C9BC0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乙方：</w:t>
      </w:r>
      <w:r>
        <w:rPr>
          <w:rFonts w:hint="eastAsia" w:ascii="宋体" w:hAnsi="宋体" w:eastAsia="宋体" w:cs="宋体"/>
          <w:sz w:val="24"/>
          <w:szCs w:val="24"/>
          <w:highlight w:val="none"/>
          <w:u w:val="single"/>
        </w:rPr>
        <w:t>XX公司</w:t>
      </w:r>
      <w:r>
        <w:rPr>
          <w:rFonts w:hint="eastAsia" w:ascii="宋体" w:hAnsi="宋体" w:eastAsia="宋体" w:cs="宋体"/>
          <w:sz w:val="24"/>
          <w:szCs w:val="24"/>
          <w:highlight w:val="none"/>
        </w:rPr>
        <w:t>（以下简称“乙方”）</w:t>
      </w:r>
    </w:p>
    <w:p w14:paraId="7E67FFD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依据《中华人民共和国合同法》《中华人民共和国政府采购法》规定，遵循平等、自愿、公平和诚信的原则，为了明确双方的权利与义务关系，经友好协商，现就乙方承接甲方采购中药饮片事宜达成如下条款，订立本合同。</w:t>
      </w:r>
    </w:p>
    <w:p w14:paraId="777188A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第一条项目概况</w:t>
      </w:r>
    </w:p>
    <w:p w14:paraId="3624BACA">
      <w:pPr>
        <w:ind w:right="62" w:firstLine="480" w:firstLineChars="20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项目名称</w:t>
      </w:r>
      <w:r>
        <w:rPr>
          <w:rFonts w:hint="eastAsia" w:ascii="宋体" w:hAnsi="宋体" w:eastAsia="宋体" w:cs="宋体"/>
          <w:sz w:val="24"/>
          <w:szCs w:val="24"/>
          <w:highlight w:val="none"/>
          <w:u w:val="single"/>
        </w:rPr>
        <w:t xml:space="preserve">：和田地区洛浦县维吾尔医医院饮片类、辅料及药包材采购项目 </w:t>
      </w:r>
    </w:p>
    <w:p w14:paraId="1A6F2F28">
      <w:pPr>
        <w:ind w:right="62" w:firstLine="480" w:firstLineChars="20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项目地点：</w:t>
      </w:r>
      <w:r>
        <w:rPr>
          <w:rFonts w:hint="eastAsia" w:ascii="宋体" w:hAnsi="宋体" w:eastAsia="宋体" w:cs="宋体"/>
          <w:sz w:val="24"/>
          <w:szCs w:val="24"/>
          <w:highlight w:val="none"/>
          <w:u w:val="single"/>
        </w:rPr>
        <w:t>和田地区洛浦县维吾尔医医院</w:t>
      </w:r>
    </w:p>
    <w:p w14:paraId="33B3310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项目内容：</w:t>
      </w:r>
      <w:r>
        <w:rPr>
          <w:rFonts w:hint="eastAsia" w:ascii="宋体" w:hAnsi="宋体" w:eastAsia="宋体" w:cs="宋体"/>
          <w:sz w:val="24"/>
          <w:szCs w:val="24"/>
          <w:highlight w:val="none"/>
          <w:u w:val="single"/>
        </w:rPr>
        <w:t xml:space="preserve">和田地区洛浦县维吾尔医医院饮片类、辅料及药包材采购项目 </w:t>
      </w:r>
    </w:p>
    <w:p w14:paraId="7B81F25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第二条产品要求及产品清单</w:t>
      </w:r>
    </w:p>
    <w:p w14:paraId="57192C2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（一）产品清单、规格：</w:t>
      </w:r>
    </w:p>
    <w:p w14:paraId="6BA5D8A5">
      <w:pPr>
        <w:spacing w:line="70" w:lineRule="exact"/>
        <w:rPr>
          <w:rFonts w:hint="eastAsia" w:ascii="宋体" w:hAnsi="宋体" w:eastAsia="宋体" w:cs="宋体"/>
          <w:sz w:val="24"/>
          <w:szCs w:val="24"/>
          <w:highlight w:val="none"/>
        </w:rPr>
      </w:pPr>
    </w:p>
    <w:tbl>
      <w:tblPr>
        <w:tblStyle w:val="72"/>
        <w:tblW w:w="8869"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88"/>
        <w:gridCol w:w="1078"/>
        <w:gridCol w:w="1078"/>
        <w:gridCol w:w="2381"/>
        <w:gridCol w:w="1078"/>
        <w:gridCol w:w="1078"/>
        <w:gridCol w:w="1088"/>
      </w:tblGrid>
      <w:tr w14:paraId="57E8BA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4" w:hRule="atLeast"/>
        </w:trPr>
        <w:tc>
          <w:tcPr>
            <w:tcW w:w="1088" w:type="dxa"/>
            <w:noWrap w:val="0"/>
            <w:vAlign w:val="center"/>
          </w:tcPr>
          <w:p w14:paraId="0CF16647">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序号</w:t>
            </w:r>
          </w:p>
        </w:tc>
        <w:tc>
          <w:tcPr>
            <w:tcW w:w="1078" w:type="dxa"/>
            <w:noWrap w:val="0"/>
            <w:vAlign w:val="center"/>
          </w:tcPr>
          <w:p w14:paraId="357A513B">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货物名称</w:t>
            </w:r>
          </w:p>
        </w:tc>
        <w:tc>
          <w:tcPr>
            <w:tcW w:w="1078" w:type="dxa"/>
            <w:noWrap w:val="0"/>
            <w:vAlign w:val="center"/>
          </w:tcPr>
          <w:p w14:paraId="248F799D">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规格</w:t>
            </w:r>
          </w:p>
        </w:tc>
        <w:tc>
          <w:tcPr>
            <w:tcW w:w="2381" w:type="dxa"/>
            <w:noWrap w:val="0"/>
            <w:vAlign w:val="center"/>
          </w:tcPr>
          <w:p w14:paraId="272CB99F">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质量/验收依据</w:t>
            </w:r>
          </w:p>
        </w:tc>
        <w:tc>
          <w:tcPr>
            <w:tcW w:w="1078" w:type="dxa"/>
            <w:noWrap w:val="0"/>
            <w:vAlign w:val="center"/>
          </w:tcPr>
          <w:p w14:paraId="36BE4088">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高单价限</w:t>
            </w:r>
          </w:p>
        </w:tc>
        <w:tc>
          <w:tcPr>
            <w:tcW w:w="1078" w:type="dxa"/>
            <w:noWrap w:val="0"/>
            <w:vAlign w:val="center"/>
          </w:tcPr>
          <w:p w14:paraId="5783C925">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合同单价</w:t>
            </w:r>
          </w:p>
        </w:tc>
        <w:tc>
          <w:tcPr>
            <w:tcW w:w="1088" w:type="dxa"/>
            <w:noWrap w:val="0"/>
            <w:vAlign w:val="center"/>
          </w:tcPr>
          <w:p w14:paraId="3BDAD7AF">
            <w:pPr>
              <w:pStyle w:val="195"/>
              <w:spacing w:before="194" w:line="219" w:lineRule="auto"/>
              <w:ind w:left="193"/>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下浮率</w:t>
            </w:r>
          </w:p>
        </w:tc>
      </w:tr>
      <w:tr w14:paraId="59DCFF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46" w:hRule="atLeast"/>
        </w:trPr>
        <w:tc>
          <w:tcPr>
            <w:tcW w:w="1088" w:type="dxa"/>
            <w:noWrap w:val="0"/>
            <w:vAlign w:val="center"/>
          </w:tcPr>
          <w:p w14:paraId="0E7E06B2">
            <w:pPr>
              <w:spacing w:line="458" w:lineRule="auto"/>
              <w:jc w:val="center"/>
              <w:rPr>
                <w:rFonts w:hint="eastAsia" w:ascii="宋体" w:hAnsi="宋体" w:eastAsia="宋体" w:cs="宋体"/>
                <w:sz w:val="24"/>
                <w:szCs w:val="24"/>
                <w:highlight w:val="none"/>
              </w:rPr>
            </w:pPr>
          </w:p>
          <w:p w14:paraId="147BE2A6">
            <w:pPr>
              <w:pStyle w:val="195"/>
              <w:spacing w:before="78" w:line="184" w:lineRule="auto"/>
              <w:ind w:left="442"/>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1.</w:t>
            </w:r>
          </w:p>
        </w:tc>
        <w:tc>
          <w:tcPr>
            <w:tcW w:w="1078" w:type="dxa"/>
            <w:noWrap w:val="0"/>
            <w:vAlign w:val="center"/>
          </w:tcPr>
          <w:p w14:paraId="0A7417AF">
            <w:pPr>
              <w:spacing w:line="460" w:lineRule="auto"/>
              <w:jc w:val="center"/>
              <w:rPr>
                <w:rFonts w:hint="eastAsia" w:ascii="宋体" w:hAnsi="宋体" w:eastAsia="宋体" w:cs="宋体"/>
                <w:sz w:val="24"/>
                <w:szCs w:val="24"/>
                <w:highlight w:val="none"/>
              </w:rPr>
            </w:pPr>
          </w:p>
          <w:p w14:paraId="405E0987">
            <w:pPr>
              <w:pStyle w:val="195"/>
              <w:spacing w:before="78" w:line="182" w:lineRule="auto"/>
              <w:ind w:left="353"/>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XXX</w:t>
            </w:r>
          </w:p>
        </w:tc>
        <w:tc>
          <w:tcPr>
            <w:tcW w:w="1078" w:type="dxa"/>
            <w:noWrap w:val="0"/>
            <w:vAlign w:val="center"/>
          </w:tcPr>
          <w:p w14:paraId="54E652E9">
            <w:pPr>
              <w:spacing w:line="421" w:lineRule="auto"/>
              <w:jc w:val="center"/>
              <w:rPr>
                <w:rFonts w:hint="eastAsia" w:ascii="宋体" w:hAnsi="宋体" w:eastAsia="宋体" w:cs="宋体"/>
                <w:sz w:val="24"/>
                <w:szCs w:val="24"/>
                <w:highlight w:val="none"/>
              </w:rPr>
            </w:pPr>
          </w:p>
          <w:p w14:paraId="06C82AB1">
            <w:pPr>
              <w:pStyle w:val="195"/>
              <w:spacing w:before="78" w:line="214" w:lineRule="auto"/>
              <w:ind w:left="376"/>
              <w:jc w:val="center"/>
              <w:rPr>
                <w:rFonts w:hint="eastAsia" w:ascii="宋体" w:hAnsi="宋体" w:eastAsia="宋体" w:cs="宋体"/>
                <w:sz w:val="24"/>
                <w:szCs w:val="24"/>
                <w:highlight w:val="none"/>
                <w:lang w:eastAsia="zh-CN"/>
              </w:rPr>
            </w:pPr>
          </w:p>
        </w:tc>
        <w:tc>
          <w:tcPr>
            <w:tcW w:w="2381" w:type="dxa"/>
            <w:noWrap w:val="0"/>
            <w:vAlign w:val="center"/>
          </w:tcPr>
          <w:p w14:paraId="4EA2317D">
            <w:pPr>
              <w:pStyle w:val="195"/>
              <w:spacing w:before="34" w:line="231" w:lineRule="auto"/>
              <w:ind w:left="109" w:right="107"/>
              <w:jc w:val="center"/>
              <w:rPr>
                <w:rFonts w:hint="eastAsia" w:ascii="宋体" w:hAnsi="宋体" w:eastAsia="宋体" w:cs="宋体"/>
                <w:sz w:val="24"/>
                <w:szCs w:val="24"/>
                <w:highlight w:val="none"/>
                <w:lang w:eastAsia="zh-CN"/>
              </w:rPr>
            </w:pPr>
          </w:p>
        </w:tc>
        <w:tc>
          <w:tcPr>
            <w:tcW w:w="1078" w:type="dxa"/>
            <w:noWrap w:val="0"/>
            <w:vAlign w:val="center"/>
          </w:tcPr>
          <w:p w14:paraId="3826F32D">
            <w:pPr>
              <w:jc w:val="center"/>
              <w:rPr>
                <w:rFonts w:hint="eastAsia" w:ascii="宋体" w:hAnsi="宋体" w:eastAsia="宋体" w:cs="宋体"/>
                <w:sz w:val="24"/>
                <w:szCs w:val="24"/>
                <w:highlight w:val="none"/>
              </w:rPr>
            </w:pPr>
          </w:p>
        </w:tc>
        <w:tc>
          <w:tcPr>
            <w:tcW w:w="1078" w:type="dxa"/>
            <w:noWrap w:val="0"/>
            <w:vAlign w:val="center"/>
          </w:tcPr>
          <w:p w14:paraId="2449240F">
            <w:pPr>
              <w:jc w:val="center"/>
              <w:rPr>
                <w:rFonts w:hint="eastAsia" w:ascii="宋体" w:hAnsi="宋体" w:eastAsia="宋体" w:cs="宋体"/>
                <w:sz w:val="24"/>
                <w:szCs w:val="24"/>
                <w:highlight w:val="none"/>
              </w:rPr>
            </w:pPr>
          </w:p>
        </w:tc>
        <w:tc>
          <w:tcPr>
            <w:tcW w:w="1088" w:type="dxa"/>
            <w:noWrap w:val="0"/>
            <w:vAlign w:val="center"/>
          </w:tcPr>
          <w:p w14:paraId="5DCBC125">
            <w:pPr>
              <w:jc w:val="center"/>
              <w:rPr>
                <w:rFonts w:hint="eastAsia" w:ascii="宋体" w:hAnsi="宋体" w:eastAsia="宋体" w:cs="宋体"/>
                <w:sz w:val="24"/>
                <w:szCs w:val="24"/>
                <w:highlight w:val="none"/>
              </w:rPr>
            </w:pPr>
          </w:p>
        </w:tc>
      </w:tr>
      <w:tr w14:paraId="4713E9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1088" w:type="dxa"/>
            <w:noWrap w:val="0"/>
            <w:vAlign w:val="center"/>
          </w:tcPr>
          <w:p w14:paraId="199836E6">
            <w:pPr>
              <w:pStyle w:val="195"/>
              <w:spacing w:before="215" w:line="183" w:lineRule="auto"/>
              <w:ind w:left="427"/>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w:t>
            </w:r>
          </w:p>
        </w:tc>
        <w:tc>
          <w:tcPr>
            <w:tcW w:w="1078" w:type="dxa"/>
            <w:noWrap w:val="0"/>
            <w:vAlign w:val="center"/>
          </w:tcPr>
          <w:p w14:paraId="4FD7CACB">
            <w:pPr>
              <w:jc w:val="center"/>
              <w:rPr>
                <w:rFonts w:hint="eastAsia" w:ascii="宋体" w:hAnsi="宋体" w:eastAsia="宋体" w:cs="宋体"/>
                <w:sz w:val="24"/>
                <w:szCs w:val="24"/>
                <w:highlight w:val="none"/>
              </w:rPr>
            </w:pPr>
          </w:p>
        </w:tc>
        <w:tc>
          <w:tcPr>
            <w:tcW w:w="1078" w:type="dxa"/>
            <w:noWrap w:val="0"/>
            <w:vAlign w:val="center"/>
          </w:tcPr>
          <w:p w14:paraId="729B1D7C">
            <w:pPr>
              <w:jc w:val="center"/>
              <w:rPr>
                <w:rFonts w:hint="eastAsia" w:ascii="宋体" w:hAnsi="宋体" w:eastAsia="宋体" w:cs="宋体"/>
                <w:sz w:val="24"/>
                <w:szCs w:val="24"/>
                <w:highlight w:val="none"/>
              </w:rPr>
            </w:pPr>
          </w:p>
        </w:tc>
        <w:tc>
          <w:tcPr>
            <w:tcW w:w="2381" w:type="dxa"/>
            <w:noWrap w:val="0"/>
            <w:vAlign w:val="center"/>
          </w:tcPr>
          <w:p w14:paraId="736CF7E2">
            <w:pPr>
              <w:jc w:val="center"/>
              <w:rPr>
                <w:rFonts w:hint="eastAsia" w:ascii="宋体" w:hAnsi="宋体" w:eastAsia="宋体" w:cs="宋体"/>
                <w:sz w:val="24"/>
                <w:szCs w:val="24"/>
                <w:highlight w:val="none"/>
              </w:rPr>
            </w:pPr>
          </w:p>
        </w:tc>
        <w:tc>
          <w:tcPr>
            <w:tcW w:w="1078" w:type="dxa"/>
            <w:noWrap w:val="0"/>
            <w:vAlign w:val="center"/>
          </w:tcPr>
          <w:p w14:paraId="0FEEC748">
            <w:pPr>
              <w:jc w:val="center"/>
              <w:rPr>
                <w:rFonts w:hint="eastAsia" w:ascii="宋体" w:hAnsi="宋体" w:eastAsia="宋体" w:cs="宋体"/>
                <w:sz w:val="24"/>
                <w:szCs w:val="24"/>
                <w:highlight w:val="none"/>
              </w:rPr>
            </w:pPr>
          </w:p>
        </w:tc>
        <w:tc>
          <w:tcPr>
            <w:tcW w:w="1078" w:type="dxa"/>
            <w:noWrap w:val="0"/>
            <w:vAlign w:val="center"/>
          </w:tcPr>
          <w:p w14:paraId="3D711C5F">
            <w:pPr>
              <w:jc w:val="center"/>
              <w:rPr>
                <w:rFonts w:hint="eastAsia" w:ascii="宋体" w:hAnsi="宋体" w:eastAsia="宋体" w:cs="宋体"/>
                <w:sz w:val="24"/>
                <w:szCs w:val="24"/>
                <w:highlight w:val="none"/>
              </w:rPr>
            </w:pPr>
          </w:p>
        </w:tc>
        <w:tc>
          <w:tcPr>
            <w:tcW w:w="1088" w:type="dxa"/>
            <w:noWrap w:val="0"/>
            <w:vAlign w:val="center"/>
          </w:tcPr>
          <w:p w14:paraId="0FDD4E19">
            <w:pPr>
              <w:jc w:val="center"/>
              <w:rPr>
                <w:rFonts w:hint="eastAsia" w:ascii="宋体" w:hAnsi="宋体" w:eastAsia="宋体" w:cs="宋体"/>
                <w:sz w:val="24"/>
                <w:szCs w:val="24"/>
                <w:highlight w:val="none"/>
              </w:rPr>
            </w:pPr>
          </w:p>
        </w:tc>
      </w:tr>
      <w:tr w14:paraId="1ABA3B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9" w:hRule="atLeast"/>
        </w:trPr>
        <w:tc>
          <w:tcPr>
            <w:tcW w:w="1088" w:type="dxa"/>
            <w:noWrap w:val="0"/>
            <w:vAlign w:val="center"/>
          </w:tcPr>
          <w:p w14:paraId="4B464FCC">
            <w:pPr>
              <w:pStyle w:val="195"/>
              <w:spacing w:before="218" w:line="183" w:lineRule="auto"/>
              <w:ind w:left="429"/>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3.</w:t>
            </w:r>
          </w:p>
        </w:tc>
        <w:tc>
          <w:tcPr>
            <w:tcW w:w="1078" w:type="dxa"/>
            <w:noWrap w:val="0"/>
            <w:vAlign w:val="center"/>
          </w:tcPr>
          <w:p w14:paraId="2EFE9880">
            <w:pPr>
              <w:jc w:val="center"/>
              <w:rPr>
                <w:rFonts w:hint="eastAsia" w:ascii="宋体" w:hAnsi="宋体" w:eastAsia="宋体" w:cs="宋体"/>
                <w:sz w:val="24"/>
                <w:szCs w:val="24"/>
                <w:highlight w:val="none"/>
              </w:rPr>
            </w:pPr>
          </w:p>
        </w:tc>
        <w:tc>
          <w:tcPr>
            <w:tcW w:w="1078" w:type="dxa"/>
            <w:noWrap w:val="0"/>
            <w:vAlign w:val="center"/>
          </w:tcPr>
          <w:p w14:paraId="7A7793E4">
            <w:pPr>
              <w:jc w:val="center"/>
              <w:rPr>
                <w:rFonts w:hint="eastAsia" w:ascii="宋体" w:hAnsi="宋体" w:eastAsia="宋体" w:cs="宋体"/>
                <w:sz w:val="24"/>
                <w:szCs w:val="24"/>
                <w:highlight w:val="none"/>
              </w:rPr>
            </w:pPr>
          </w:p>
        </w:tc>
        <w:tc>
          <w:tcPr>
            <w:tcW w:w="2381" w:type="dxa"/>
            <w:noWrap w:val="0"/>
            <w:vAlign w:val="center"/>
          </w:tcPr>
          <w:p w14:paraId="1EAC6F6F">
            <w:pPr>
              <w:jc w:val="center"/>
              <w:rPr>
                <w:rFonts w:hint="eastAsia" w:ascii="宋体" w:hAnsi="宋体" w:eastAsia="宋体" w:cs="宋体"/>
                <w:sz w:val="24"/>
                <w:szCs w:val="24"/>
                <w:highlight w:val="none"/>
              </w:rPr>
            </w:pPr>
          </w:p>
        </w:tc>
        <w:tc>
          <w:tcPr>
            <w:tcW w:w="1078" w:type="dxa"/>
            <w:noWrap w:val="0"/>
            <w:vAlign w:val="center"/>
          </w:tcPr>
          <w:p w14:paraId="07307201">
            <w:pPr>
              <w:jc w:val="center"/>
              <w:rPr>
                <w:rFonts w:hint="eastAsia" w:ascii="宋体" w:hAnsi="宋体" w:eastAsia="宋体" w:cs="宋体"/>
                <w:sz w:val="24"/>
                <w:szCs w:val="24"/>
                <w:highlight w:val="none"/>
              </w:rPr>
            </w:pPr>
          </w:p>
        </w:tc>
        <w:tc>
          <w:tcPr>
            <w:tcW w:w="1078" w:type="dxa"/>
            <w:noWrap w:val="0"/>
            <w:vAlign w:val="center"/>
          </w:tcPr>
          <w:p w14:paraId="7400CA34">
            <w:pPr>
              <w:jc w:val="center"/>
              <w:rPr>
                <w:rFonts w:hint="eastAsia" w:ascii="宋体" w:hAnsi="宋体" w:eastAsia="宋体" w:cs="宋体"/>
                <w:sz w:val="24"/>
                <w:szCs w:val="24"/>
                <w:highlight w:val="none"/>
              </w:rPr>
            </w:pPr>
          </w:p>
        </w:tc>
        <w:tc>
          <w:tcPr>
            <w:tcW w:w="1088" w:type="dxa"/>
            <w:noWrap w:val="0"/>
            <w:vAlign w:val="center"/>
          </w:tcPr>
          <w:p w14:paraId="5A8E64CA">
            <w:pPr>
              <w:jc w:val="center"/>
              <w:rPr>
                <w:rFonts w:hint="eastAsia" w:ascii="宋体" w:hAnsi="宋体" w:eastAsia="宋体" w:cs="宋体"/>
                <w:sz w:val="24"/>
                <w:szCs w:val="24"/>
                <w:highlight w:val="none"/>
              </w:rPr>
            </w:pPr>
          </w:p>
        </w:tc>
      </w:tr>
    </w:tbl>
    <w:p w14:paraId="239C41E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（二）质量条款</w:t>
      </w:r>
    </w:p>
    <w:p w14:paraId="6D4E54E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提供的货物必须为目前市场上技术较先进、成熟的原装、全新的，符合国家以及该产品的出厂标准和满足招标文件有关技术参数及质量标准的货物；且货物外形（外观）尺寸须符合国家及行业标准的公差标准及相关要求，表面无划伤，无碰撞，各项技术指标完全符合国家检测标准及产品出厂标准，凡列入《中华人民共和国实施强制性产品认证的产品目录》的货物需获得相关认证证书。货物若有国家标准按照国家标准验收，若无国家标准按行业标准验收，货物无侵权行为、表面无划损、无任何缺陷隐患，在中国境内可依常规安全合法使用。</w:t>
      </w:r>
    </w:p>
    <w:p w14:paraId="6402851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2、如果乙方所提供的货物被有关部门认定为违反国家有关行业安全和质量规定及违法侵权等，由此而引起的一切后果和责任均由乙方负责。</w:t>
      </w:r>
    </w:p>
    <w:p w14:paraId="177B3B1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3、在实际供货时，乙方响应时所提供的货物若已经停产（不列入该厂家当时的产品系统）,且未能按原价提供同等质量或更优质的货物，则按违约处理。</w:t>
      </w:r>
    </w:p>
    <w:p w14:paraId="0AE8424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在实际供货时，若乙方提供的货物未能达到招标文件的要求和投标文件中的有关承诺，将按有关法规进行处罚，甲方将有权单方面终止合同的执行，并追究因乙方所提供的未达到所承诺准确率产品而产生的所有损失和责任。</w:t>
      </w:r>
    </w:p>
    <w:p w14:paraId="75F3D30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5、乙方负责将货物送到现场过程中的全部运输，包括装卸车、货物现场的搬运；货物在现场的保管由乙方负责，直至验收完毕。</w:t>
      </w:r>
    </w:p>
    <w:p w14:paraId="0C27FA9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（三）服务条款</w:t>
      </w:r>
    </w:p>
    <w:p w14:paraId="12A3953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1、供货期限一年，采购周期内确保产品的供应和配送服务，乙方不得以经销或代理授权变更的理由，更换供应商。</w:t>
      </w:r>
    </w:p>
    <w:p w14:paraId="0A18843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送货时间：乙方收到订单后72小时内，若发生延迟须提前告知（延迟交货不得超过3次），否则视为违约，按违约条款进行处罚，急救类药材须在通知后4小时内送达，如甲方有特殊配送需求的，应设法满足，节假日照常配送。</w:t>
      </w:r>
    </w:p>
    <w:p w14:paraId="1CD4A53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除客观不可抗力外，乙方不得更改送货内容。如确需变更供货内容的，乙方应在得知情况的同时告知甲方并征得甲方同意，经发现乙方有私自更改菜单中货品时以违约论处，由此产生的一切损失和费用由乙方承担。供货期内乙方出现上述情况，经甲方书面提出整改通知，但情况没有改善的，甲方有权取消乙方供货资格，终止乙方供货合同和没收履约保证金。</w:t>
      </w:r>
    </w:p>
    <w:p w14:paraId="0061BE5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4、乙方必须对所投项目的所有清单内容完整供货，否则按违约处理，没收履约保证金，解除采购合同。</w:t>
      </w:r>
    </w:p>
    <w:p w14:paraId="08B55F1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5、若拟供饮片有断货或停货等特殊情况时，乙方必须提前30日通知甲方，并出示加盖制造商公章的停货书面说明。乙方需在30天内寻找可替代的药材并交乙方确认。</w:t>
      </w:r>
    </w:p>
    <w:p w14:paraId="2DACF74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6、乙方可向甲方了解采购清单中的医用药材目前的使用情况和相关信息，甲方将给予配合。</w:t>
      </w:r>
    </w:p>
    <w:p w14:paraId="123A83F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（四）供货条款</w:t>
      </w:r>
    </w:p>
    <w:p w14:paraId="2FD393A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A.一般条款</w:t>
      </w:r>
    </w:p>
    <w:p w14:paraId="4BC0044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如发现乙方所交付的货物有次品、损坏或其他不符合本项目的采购文件要求或不能满足投标文件有关承诺等情况，甲方有权提出退换货处理或按违约处理，由乙方负责对需退换货的产品做好相关记录，经乙方、甲方双方签字确认后，方可进行退换货品的工作。</w:t>
      </w:r>
    </w:p>
    <w:p w14:paraId="57FF7D7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2、乙方须在确认当天完成所有的退换货工作，退换货工作包括货品的运输、搬运、堆放等，且由此产生的一切费用由乙方承担。</w:t>
      </w:r>
    </w:p>
    <w:p w14:paraId="63F69C0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3、本项目换货后的产品须满足采购文件要求及投标文件承诺，不得低于原货品的标准要求；乙方也可经甲方同意后，选择同档次或优于原货品的同类产品替换原货品。</w:t>
      </w:r>
    </w:p>
    <w:p w14:paraId="3FE01E6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4、在甲方签收之前，货物的所有权和风险属于乙方，货物发生遗失、损坏由乙方负责。</w:t>
      </w:r>
    </w:p>
    <w:p w14:paraId="0C67601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5、乙方须严格按照甲方的指令配送商品的数量，不得随意增减数量，否则，甲方有权拒收。</w:t>
      </w:r>
    </w:p>
    <w:p w14:paraId="2116685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甲方发现采购货物不能正常使用的，乙方应无条件退换。乙方未能履行招标文件和合同所定事项，或供应不合格的、假冒伪劣、以次充好的商品，甲方退货后将记录在案，并对乙方予以处罚，要承担因此产生的一切损失和费用。</w:t>
      </w:r>
    </w:p>
    <w:p w14:paraId="54BC30F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7、乙方不能按核定的供货价交付中标商品、不能提供与其承诺相符的服务或乙方存在违反招标文件和合同的行为，并且不予纠正的，将取消其供货资格。此项下违约责任包括但不限于下列各项：</w:t>
      </w:r>
    </w:p>
    <w:p w14:paraId="67A453E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①乙方在收到甲方订货要求后，在承诺的供货时间内不能供货的；</w:t>
      </w:r>
    </w:p>
    <w:p w14:paraId="5A99CC7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②乙方未能提供承诺的服务的。</w:t>
      </w:r>
    </w:p>
    <w:p w14:paraId="601C219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8、中标商品在保质期出现损坏的，乙方应承诺提供替换服务，因替换货物产生的费用由乙方负责。</w:t>
      </w:r>
    </w:p>
    <w:p w14:paraId="53FEA89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9、乙方的送货单必须详细注明商品的名称、质量标准依据、单价、数量、装量重量，送货单不得涂改。标记不清的，甲方将拒绝签收。结算期末乙方还应提供送货清单供甲方结算。</w:t>
      </w:r>
    </w:p>
    <w:p w14:paraId="1F5E137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10、乙方指定的送货专员必须穿着便于辨认的工衣和佩戴胸卡，送货专员在甲方单位活动必须严格遵守甲方单位各项规章制度，不得做出有损甲方形象和利益的事情。</w:t>
      </w:r>
    </w:p>
    <w:p w14:paraId="77775E0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11、乙方不得泄露甲方的商业秘密。泄密造成甲方损失的，乙方将承担由此产生的一切损失和法律责任。</w:t>
      </w:r>
    </w:p>
    <w:p w14:paraId="661FD9C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B.本项目专用条款</w:t>
      </w:r>
    </w:p>
    <w:p w14:paraId="676C9B8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1.交货地点：按甲方指定的地点。</w:t>
      </w:r>
    </w:p>
    <w:p w14:paraId="30A6623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2.交货时间：甲方提出供货需求后3天内完成交货。</w:t>
      </w:r>
    </w:p>
    <w:p w14:paraId="08BE62C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3.乙方将货物一次性运至交货地点。并于货名称、剂型、数量、外形、单重及注意事项等，以书面形式通知甲方。</w:t>
      </w:r>
    </w:p>
    <w:p w14:paraId="6C2DE36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中药饮片包装应符合国家标准，乙方送货时要提供中药饮片的检验报告，检验报告应检验内容符合质量依据制定的质量检验项目，项目检验按照中国药典最新版本药材和饮片鉴定通则标准进行检验。甲方不定期对乙方提供药品进行检验，若不符合相关质量依据标准，甲方拒收或退货。</w:t>
      </w:r>
    </w:p>
    <w:p w14:paraId="3A878B5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5.中药饮片在运输过程中不受损伤，由于包装不当造成中药饮片在运输过程中有任何损坏或丢失，由乙方负责。</w:t>
      </w:r>
    </w:p>
    <w:p w14:paraId="42A8C0E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6.中药饮片由乙方负责送到指定地点，由乙方负责运输、卸车并且入库上架。</w:t>
      </w:r>
    </w:p>
    <w:p w14:paraId="7FED731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中药饮片到达现场，甲乙双方均须在场并确认包装的完好性后，质量和数量符合要求，由甲方验货。乙方应按甲方安排的时间派人到现场，对货物进行清点验收，并签字确认。若发现货物与需求清单不符，乙方负责补齐或收回。如乙方不能按时到达，甲方有权开箱检验，并对缺少的产品，损坏作出记录，乙方应认可并负责解决。</w:t>
      </w:r>
    </w:p>
    <w:p w14:paraId="302CEC9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交货时间，甲方按照中药饮片需求量通知（包括但不限于微信、短信，电话及书面通知）乙方，乙方于收到供货通知后3日内交货，紧急货物4小时内交货。如未按时供货次数达3次，或某次交货时间超过5日，甲方将通知（包括但不限于微信、短信，电话及书面通知）乙方终止合同，乙方应无条件接受，甲方没收乙方履约保证金。</w:t>
      </w:r>
    </w:p>
    <w:p w14:paraId="69B101A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9、包装要求：</w:t>
      </w:r>
    </w:p>
    <w:p w14:paraId="60B5684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9.1符合甲方要求：除非对包装另有规定，乙方提供的全部中药饮片应按标准保护措施进行包装，以防止中药饮片在运输过程中损坏或变质，确保安全无损运抵约定地点。</w:t>
      </w:r>
    </w:p>
    <w:p w14:paraId="4C123A0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9.2每一个包装上应注明品名、规格、产地、数量、批号、有效期、质量标准依据等相关的信息标志。如包装不能做到上述要求，甲方有权拒绝接收。</w:t>
      </w:r>
    </w:p>
    <w:p w14:paraId="2678652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10.乙方提供给甲方的中药饮片有效期必须在总有效期的五分之四以上，若乙方提供药品有效期不足总有效期的五分之四，甲方拒收。</w:t>
      </w:r>
    </w:p>
    <w:p w14:paraId="6116E0C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11.如所供应品种未能达到质量标准要求，甲方可单方终止本合同并可更换由其他候选中标单位供货。</w:t>
      </w:r>
    </w:p>
    <w:p w14:paraId="13E5DC6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12.依据产品质量监督检验部门提供的质量标准，乙方所提供的产品是经过质量监督管理部门检验并取得合格证明的产品，每批次产品提供时交存货物质量合格证明、乙方自检报告、产品质量检测合格报告或检验报告复印件。</w:t>
      </w:r>
    </w:p>
    <w:p w14:paraId="2BAD261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（五）验收要求</w:t>
      </w:r>
    </w:p>
    <w:p w14:paraId="1C8CF0D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1、本项目验收标准：货物进场验收，通过最终验收后交付甲方使用，进入质保期。根据国家颁布的最新检定规程执行。</w:t>
      </w:r>
    </w:p>
    <w:p w14:paraId="4438F1E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组织验收小组按国家有关规定、规范进行验收，必要时邀请相关的专业人员或机构参与验收。因货物质量问题发生争议时，由甲方取样送检第三方（药检部门）检验鉴定。经第三方检验货物符合质量依据标准的鉴定费由甲方承担；否则鉴定费由乙方承担。</w:t>
      </w:r>
    </w:p>
    <w:p w14:paraId="5176C29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3、验收标准按照国内最新相关标准实施，要求对全部产品、型号、规格、数量、外形、外观、包装进行验收。双方将依据有关规定，对到货的规格、数量等进行检验。</w:t>
      </w:r>
    </w:p>
    <w:p w14:paraId="35611FB3">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4、乙方在每批次供货时必须提供所供药材货物质量合格证明、乙方自检报告、产品质量检测合格报告或检验报告。</w:t>
      </w:r>
    </w:p>
    <w:p w14:paraId="754BC66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（六）项目履约保证金</w:t>
      </w:r>
    </w:p>
    <w:p w14:paraId="7AE49DD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1）乙方必须合同签订之日起5个工作日内向甲方缴交合同金额10%（小写</w:t>
      </w: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rPr>
        <w:t>大写</w:t>
      </w: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rPr>
        <w:t>万元）的履约保证金，如未能按时缴纳履约保证金的，甲方有权单方面取消其乙方资格并终止合同，并按照排序从其他候选中标供应商中确定中标供应商。</w:t>
      </w:r>
    </w:p>
    <w:p w14:paraId="4649571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如乙方违约，甲方可随时启动扣除项目履约保证金，因乙方违约扣减履约保证金而使履约保证金不足的，甲方有权向乙方收取补足，乙方须在接到甲方通知的5个工作日内补足相应履约保证金，乙方未按时补足履约保证金的，甲方可单方面取消其乙方资格并终止合同，没收余下履约保证金，并按照排序从其他中标候选供应商中确定中标供应商或重招。</w:t>
      </w:r>
    </w:p>
    <w:p w14:paraId="1622811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3）如乙方的供货不符合甲方的质量要求，甲方有权单方面解除合同。</w:t>
      </w:r>
    </w:p>
    <w:p w14:paraId="2E4DA0E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4）乙方无违约责任、无任何不良记录或违约责任已处理完成，甲方将于合同期满后一个月内无息退还全部履约保证金。</w:t>
      </w:r>
    </w:p>
    <w:p w14:paraId="6E02765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（七）其他要求</w:t>
      </w:r>
    </w:p>
    <w:p w14:paraId="502144B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1）同意甲方以任何形式对乙方投标文件内容及甲方认为有必要的相关资料的真实性和有效性进行审查、验证。</w:t>
      </w:r>
    </w:p>
    <w:p w14:paraId="62891AE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2）甲方与乙方在投标及履行合同过程中，必须遵守《中华人民共和国反不正当竞争法》《中华人民共和国消费者权益保障法》《中华人民共和国经济合同法》及相关的国家法律法规。</w:t>
      </w:r>
    </w:p>
    <w:p w14:paraId="0D71357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3）项目结案要求：项目结束后乙方须向甲方提供台账、项目决算表、项目总结报告等相关数据资料。</w:t>
      </w:r>
    </w:p>
    <w:p w14:paraId="023E353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第三条合同金额</w:t>
      </w:r>
    </w:p>
    <w:p w14:paraId="1C4ADB0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根据上述合同文件要求，合同下浮率为招标最高限价金额的%，大写：百分之。</w:t>
      </w:r>
    </w:p>
    <w:p w14:paraId="00BFEB2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在合同履约期内不因市场价格变动而有任何调整，同时乙方不得降低产品规格，不得缺斤少两。最终结算金额以实际交货验收数量×各货物中标单价。</w:t>
      </w:r>
    </w:p>
    <w:p w14:paraId="322D407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乙方开户单位：XX公司</w:t>
      </w:r>
    </w:p>
    <w:p w14:paraId="6F8CDCB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开户银行：</w:t>
      </w:r>
    </w:p>
    <w:p w14:paraId="1F3AA86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账号：</w:t>
      </w:r>
    </w:p>
    <w:p w14:paraId="66CB1CF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第四条付款方式</w:t>
      </w:r>
    </w:p>
    <w:p w14:paraId="114BCF3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付款方式：乙方每月所订购的药材到甲方指定的地点交付并通过甲方的验收合格并入库后，乙方凭开具的正式发票，由甲方在6个月内按销售量支付货款。</w:t>
      </w:r>
    </w:p>
    <w:p w14:paraId="75DD07E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1）乙方货款按月度进行结算。在办理付款手续之前双方须对供应货物的品种、数量、单价、金额等进行统计，并核实无误。</w:t>
      </w:r>
    </w:p>
    <w:p w14:paraId="2DCA618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2）甲方收到乙方收货凭证复印件和有效等额发票后，6个月内办理支付手续；（具体付款时间以政府财政支付为准）</w:t>
      </w:r>
    </w:p>
    <w:p w14:paraId="1B3305C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第五条交付日期、地点</w:t>
      </w:r>
    </w:p>
    <w:p w14:paraId="03F1467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1、交付日期：收到甲方计划3日内</w:t>
      </w:r>
    </w:p>
    <w:p w14:paraId="63DCCC4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2、交付地点：（甲方指定交货地点）</w:t>
      </w:r>
    </w:p>
    <w:p w14:paraId="7462CE2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第六条违约责任</w:t>
      </w:r>
    </w:p>
    <w:p w14:paraId="7891460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1、甲方的违约责任</w:t>
      </w:r>
    </w:p>
    <w:p w14:paraId="1F1FEEA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（1）无合理理由，中途解除合同，甲方支付乙方违约金，违约金为所遭受损失3%;</w:t>
      </w:r>
    </w:p>
    <w:p w14:paraId="1A3A361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（2）甲方未按合同约定做好相关工作的对乙方进行赔偿；</w:t>
      </w:r>
    </w:p>
    <w:p w14:paraId="37BB9DF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（3）甲方无正当原因拒绝接收中药饮片产品、包装材料应当赔偿乙方因此造成的的来往运费及额外产生的仓储费等乙方实际所发生的损失；</w:t>
      </w:r>
    </w:p>
    <w:p w14:paraId="58CBAB1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2、乙方的违约责任</w:t>
      </w:r>
    </w:p>
    <w:p w14:paraId="4CE18DA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无合理理由，中途解除合同，乙方支付甲方违约金，违约金为所遭受损失3%；乙方的以下行为构成违约，应承担相应更换、重新配送等义务外，直接影响甲方正常工作进展，或有其他严重违约情形的，甲方可单方解除合同，并不承担相应的赔付责任；</w:t>
      </w:r>
    </w:p>
    <w:p w14:paraId="551CEFC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A.提供的中药饮片产品不符合附件清单所列要求；</w:t>
      </w:r>
    </w:p>
    <w:p w14:paraId="01CFEAF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B.未按合同规定的期限交付中药饮片产品；</w:t>
      </w:r>
    </w:p>
    <w:p w14:paraId="33FA8F8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C.未按合同规定的质量要求交付中药饮片产品。</w:t>
      </w:r>
    </w:p>
    <w:p w14:paraId="01C384C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（2）乙方未提供中药饮片产品保质，或乙方提供的保质未达到合同约定要求的，甲方除要求乙方继续承担相关义务外，可拒绝支付质保金。</w:t>
      </w:r>
    </w:p>
    <w:p w14:paraId="38A3955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（3）因乙方提供的中药饮片产品的疏漏导致甲方损失，乙方应承担赔偿责任。</w:t>
      </w:r>
    </w:p>
    <w:p w14:paraId="7DFE42F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（4）乙方收到甲方订单后无法提供的中药饮片要两个小时之内通知甲方，如果两个小时内没给甲方通知，也不提供中药饮片而造成的后果和甲方损失由乙方承担。</w:t>
      </w:r>
    </w:p>
    <w:p w14:paraId="37222EF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（5）乙方在合同履约期内不因市场价格变动而有任何调整，同时乙方不得降低产品规格，不得缺斤少两，如乙方违反上述条款，视为违约。</w:t>
      </w:r>
    </w:p>
    <w:p w14:paraId="52BBB93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（6）乙方必须对所投项目的所有清单内容完整供货，否则按违约处理，没收履约保证金，解除采购合同。</w:t>
      </w:r>
    </w:p>
    <w:p w14:paraId="332C3FE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（7）乙方无正当理由迟延交货或不按质按量交货的，应按如下条款约定承担违约责任：</w:t>
      </w:r>
    </w:p>
    <w:p w14:paraId="3C2E2EF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a）如乙方未按照合同时间配送中药饮片，造成甲方配制供应损失。</w:t>
      </w:r>
    </w:p>
    <w:p w14:paraId="0CB9FF9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b）如果乙方没有按合同及甲方的采购计划规定的数量配送中药饮片，造成甲方配制供应损失的，甲方可单方终止本合同并可更换由其他候选中标单位供货。</w:t>
      </w:r>
    </w:p>
    <w:p w14:paraId="744342C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c）合同期内乙方按照甲方每月采购计划，及时提供供货服务。每批次采购数量以甲方的指令为准。</w:t>
      </w:r>
    </w:p>
    <w:p w14:paraId="0446E35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（8）如出现一次供货不齐全，或供不了货或两次供货不合格，乙方承担所有责任，甲方有权可单方终止供货合同，并扣除乙方的履约保证金。</w:t>
      </w:r>
    </w:p>
    <w:p w14:paraId="301C5D4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第七条责任免除</w:t>
      </w:r>
    </w:p>
    <w:p w14:paraId="19C1741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1、货物在经甲方验收后，因甲方不正确的保管、使用、仓储等行为引起的产品乃至后续的问题，应由甲方承担责任。</w:t>
      </w:r>
    </w:p>
    <w:p w14:paraId="4343019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发生不可抗力造成一方或双方损失的，经核实均应当免除全部或部分对方责任，但应当及时通知对方，并在7个工作日内提供证明。并且应当采取积极措施尽量减少损失，损失扩大的，由该方承担责任。在这期间乙方恢复正常供货之前甲方可以从其他供应商处进货。</w:t>
      </w:r>
    </w:p>
    <w:p w14:paraId="078253F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第八条合同的变更和解除</w:t>
      </w:r>
    </w:p>
    <w:p w14:paraId="295DD05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本合同执行期间，双方不得随意变更和解除合同，合同如有未尽事宜，应由双方协商，作出补充规定，补充规定与本合同具有同等效力。</w:t>
      </w:r>
    </w:p>
    <w:p w14:paraId="4A75540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第九条风险承担</w:t>
      </w:r>
    </w:p>
    <w:p w14:paraId="46EF566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中药饮片供应期间出现乙方员工工伤事故，由乙方自行负责。</w:t>
      </w:r>
    </w:p>
    <w:p w14:paraId="60757573">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第十条保密条款</w:t>
      </w:r>
    </w:p>
    <w:p w14:paraId="30034A3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合同一方（“资料披露方”）对其向本合同另一方（“资料接受方”）按照本合同（或就本合同）所提供的各类产品和商业资料、规格说明、图纸、文件及专有技术（简称“保密资料”）享有合法所有权。除本合同授权实施的行为外，资料接受方应将保密资料视为商业秘密予以保护，且不得将该保密资料部分的或全部地复制或向第三方披露。资料接收方可仅为本合同的目的向其确有知悉必要的雇员披露对方提供的保密资料，但同时须指示其雇员遵守本章规定的保密及不披露义务。接受方仅得为执行本合同下义务的目的对保密资料进行复制，本合同终止或解除后，接受方必须将保密资料全部返还披露方，并销毁所有复制件。接受方应当妥善保存保密资料，并对保密资料在接受方期间发生的被盗、不慎泄露或其他有损保密资料保密性的事件承担全部责任，因此造成披露方损失的，接受方应负责赔偿。</w:t>
      </w:r>
    </w:p>
    <w:p w14:paraId="02A1124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第十一条合同生效与终止</w:t>
      </w:r>
    </w:p>
    <w:p w14:paraId="56077E2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1、本合同自甲乙双方盖章并由授权代表签字之日起生效。</w:t>
      </w:r>
    </w:p>
    <w:p w14:paraId="11DD27D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2、本合同有效期从2024年2月日起至2025年2月日止。</w:t>
      </w:r>
    </w:p>
    <w:p w14:paraId="107942F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第十二条纠纷处理及其他</w:t>
      </w:r>
    </w:p>
    <w:p w14:paraId="5CA2EBB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1、本合同发生纠纷时，当事人双方应协商解决；协商不成时，依法向甲方所在地人民法院起诉。</w:t>
      </w:r>
    </w:p>
    <w:p w14:paraId="690A29E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2、本合同正本一式肆份，甲乙双方各执二份。附件与本合同具有同等效力。</w:t>
      </w:r>
    </w:p>
    <w:p w14:paraId="5083567F">
      <w:pPr>
        <w:ind w:right="62" w:firstLine="480" w:firstLineChars="200"/>
        <w:rPr>
          <w:rFonts w:hint="eastAsia" w:ascii="宋体" w:hAnsi="宋体" w:eastAsia="宋体" w:cs="宋体"/>
          <w:sz w:val="24"/>
          <w:szCs w:val="24"/>
          <w:highlight w:val="none"/>
        </w:rPr>
        <w:sectPr>
          <w:footerReference r:id="rId15" w:type="default"/>
          <w:type w:val="continuous"/>
          <w:pgSz w:w="11907" w:h="16839"/>
          <w:pgMar w:top="871" w:right="1080" w:bottom="1181" w:left="1080" w:header="0" w:footer="967" w:gutter="0"/>
          <w:cols w:space="720" w:num="1"/>
        </w:sectPr>
      </w:pPr>
    </w:p>
    <w:p w14:paraId="316EC41C">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（以下为签字盖章页无正文）</w:t>
      </w:r>
    </w:p>
    <w:p w14:paraId="4A769787">
      <w:pPr>
        <w:ind w:right="62" w:firstLine="482" w:firstLineChars="200"/>
        <w:rPr>
          <w:rFonts w:hint="eastAsia" w:ascii="宋体" w:hAnsi="宋体" w:eastAsia="宋体" w:cs="宋体"/>
          <w:b/>
          <w:bCs/>
          <w:sz w:val="24"/>
          <w:szCs w:val="24"/>
          <w:highlight w:val="none"/>
        </w:rPr>
      </w:pPr>
    </w:p>
    <w:p w14:paraId="6F533037">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甲方：</w:t>
      </w:r>
      <w:r>
        <w:rPr>
          <w:rFonts w:hint="eastAsia" w:ascii="宋体" w:hAnsi="宋体" w:eastAsia="宋体" w:cs="宋体"/>
          <w:b/>
          <w:bCs/>
          <w:sz w:val="24"/>
          <w:szCs w:val="24"/>
          <w:highlight w:val="none"/>
          <w:lang w:val="en-US" w:eastAsia="zh-CN"/>
        </w:rPr>
        <w:t xml:space="preserve">                                </w:t>
      </w:r>
      <w:r>
        <w:rPr>
          <w:rFonts w:hint="eastAsia" w:ascii="宋体" w:hAnsi="宋体" w:eastAsia="宋体" w:cs="宋体"/>
          <w:b/>
          <w:bCs/>
          <w:sz w:val="24"/>
          <w:szCs w:val="24"/>
          <w:highlight w:val="none"/>
        </w:rPr>
        <w:t>乙方：XX公司</w:t>
      </w:r>
    </w:p>
    <w:p w14:paraId="4BFF3EDB">
      <w:pPr>
        <w:ind w:right="62" w:firstLine="482" w:firstLineChars="200"/>
        <w:rPr>
          <w:rFonts w:hint="eastAsia" w:ascii="宋体" w:hAnsi="宋体" w:eastAsia="宋体" w:cs="宋体"/>
          <w:b/>
          <w:bCs/>
          <w:sz w:val="24"/>
          <w:szCs w:val="24"/>
          <w:highlight w:val="none"/>
        </w:rPr>
      </w:pPr>
    </w:p>
    <w:p w14:paraId="12CC2F9C">
      <w:pPr>
        <w:ind w:right="62" w:firstLine="482" w:firstLineChars="200"/>
        <w:rPr>
          <w:rFonts w:hint="eastAsia" w:ascii="宋体" w:hAnsi="宋体" w:eastAsia="宋体" w:cs="宋体"/>
          <w:b/>
          <w:bCs/>
          <w:sz w:val="24"/>
          <w:szCs w:val="24"/>
          <w:highlight w:val="none"/>
        </w:rPr>
      </w:pPr>
    </w:p>
    <w:p w14:paraId="76346167">
      <w:pPr>
        <w:ind w:right="62" w:firstLine="482" w:firstLineChars="200"/>
        <w:rPr>
          <w:rFonts w:hint="eastAsia" w:ascii="宋体" w:hAnsi="宋体" w:eastAsia="宋体" w:cs="宋体"/>
          <w:b/>
          <w:bCs/>
          <w:sz w:val="24"/>
          <w:szCs w:val="24"/>
          <w:highlight w:val="none"/>
        </w:rPr>
        <w:sectPr>
          <w:footerReference r:id="rId16" w:type="default"/>
          <w:pgSz w:w="11907" w:h="16839"/>
          <w:pgMar w:top="871" w:right="1785" w:bottom="1181" w:left="1080" w:header="0" w:footer="967" w:gutter="0"/>
          <w:cols w:space="720" w:num="1"/>
        </w:sectPr>
      </w:pPr>
    </w:p>
    <w:p w14:paraId="5ABE55A8">
      <w:pPr>
        <w:ind w:right="62" w:firstLine="482" w:firstLineChars="200"/>
        <w:rPr>
          <w:rFonts w:hint="eastAsia" w:ascii="宋体" w:hAnsi="宋体" w:eastAsia="宋体" w:cs="宋体"/>
          <w:b/>
          <w:bCs/>
          <w:sz w:val="24"/>
          <w:szCs w:val="24"/>
          <w:highlight w:val="none"/>
        </w:rPr>
      </w:pPr>
    </w:p>
    <w:p w14:paraId="47543D19">
      <w:pPr>
        <w:ind w:right="62" w:firstLine="482" w:firstLineChars="200"/>
        <w:rPr>
          <w:rFonts w:hint="eastAsia" w:ascii="宋体" w:hAnsi="宋体" w:eastAsia="宋体" w:cs="宋体"/>
          <w:b/>
          <w:bCs/>
          <w:sz w:val="24"/>
          <w:szCs w:val="24"/>
          <w:highlight w:val="none"/>
        </w:rPr>
      </w:pPr>
    </w:p>
    <w:p w14:paraId="32F2DA35">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单位名称（公章）：</w:t>
      </w:r>
    </w:p>
    <w:p w14:paraId="1C2852F8">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br w:type="column"/>
      </w:r>
    </w:p>
    <w:p w14:paraId="123A8D4E">
      <w:pPr>
        <w:ind w:right="62" w:firstLine="482" w:firstLineChars="200"/>
        <w:rPr>
          <w:rFonts w:hint="eastAsia" w:ascii="宋体" w:hAnsi="宋体" w:eastAsia="宋体" w:cs="宋体"/>
          <w:b/>
          <w:bCs/>
          <w:sz w:val="24"/>
          <w:szCs w:val="24"/>
          <w:highlight w:val="none"/>
        </w:rPr>
      </w:pPr>
    </w:p>
    <w:p w14:paraId="448393CA">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单位名称（公章）：</w:t>
      </w:r>
    </w:p>
    <w:p w14:paraId="0134646A">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XX公司</w:t>
      </w:r>
    </w:p>
    <w:p w14:paraId="7770768E">
      <w:pPr>
        <w:ind w:right="62" w:firstLine="482" w:firstLineChars="200"/>
        <w:rPr>
          <w:rFonts w:hint="eastAsia" w:ascii="宋体" w:hAnsi="宋体" w:eastAsia="宋体" w:cs="宋体"/>
          <w:b/>
          <w:bCs/>
          <w:sz w:val="24"/>
          <w:szCs w:val="24"/>
          <w:highlight w:val="none"/>
        </w:rPr>
        <w:sectPr>
          <w:type w:val="continuous"/>
          <w:pgSz w:w="11907" w:h="16839"/>
          <w:pgMar w:top="871" w:right="1785" w:bottom="1181" w:left="1080" w:header="0" w:footer="967" w:gutter="0"/>
          <w:cols w:equalWidth="0" w:num="2">
            <w:col w:w="4388" w:space="100"/>
            <w:col w:w="4553"/>
          </w:cols>
        </w:sectPr>
      </w:pPr>
    </w:p>
    <w:p w14:paraId="5A8591D5">
      <w:pPr>
        <w:ind w:right="62" w:firstLine="482" w:firstLineChars="200"/>
        <w:rPr>
          <w:rFonts w:hint="eastAsia" w:ascii="宋体" w:hAnsi="宋体" w:eastAsia="宋体" w:cs="宋体"/>
          <w:b/>
          <w:bCs/>
          <w:sz w:val="24"/>
          <w:szCs w:val="24"/>
          <w:highlight w:val="none"/>
        </w:rPr>
      </w:pPr>
    </w:p>
    <w:p w14:paraId="3B1CAE04">
      <w:pPr>
        <w:ind w:right="62" w:firstLine="482" w:firstLineChars="200"/>
        <w:rPr>
          <w:rFonts w:hint="eastAsia" w:ascii="宋体" w:hAnsi="宋体" w:eastAsia="宋体" w:cs="宋体"/>
          <w:b/>
          <w:bCs/>
          <w:sz w:val="24"/>
          <w:szCs w:val="24"/>
          <w:highlight w:val="none"/>
        </w:rPr>
      </w:pPr>
    </w:p>
    <w:p w14:paraId="737AF630">
      <w:pPr>
        <w:ind w:right="62" w:firstLine="482" w:firstLineChars="200"/>
        <w:rPr>
          <w:rFonts w:hint="eastAsia" w:ascii="宋体" w:hAnsi="宋体" w:eastAsia="宋体" w:cs="宋体"/>
          <w:b/>
          <w:bCs/>
          <w:sz w:val="24"/>
          <w:szCs w:val="24"/>
          <w:highlight w:val="none"/>
        </w:rPr>
        <w:sectPr>
          <w:type w:val="continuous"/>
          <w:pgSz w:w="11907" w:h="16839"/>
          <w:pgMar w:top="871" w:right="1785" w:bottom="1181" w:left="1080" w:header="0" w:footer="967" w:gutter="0"/>
          <w:cols w:space="720" w:num="1"/>
        </w:sectPr>
      </w:pPr>
    </w:p>
    <w:p w14:paraId="55E751F5">
      <w:pPr>
        <w:ind w:right="62" w:firstLine="482" w:firstLineChars="200"/>
        <w:rPr>
          <w:rFonts w:hint="eastAsia" w:ascii="宋体" w:hAnsi="宋体" w:eastAsia="宋体" w:cs="宋体"/>
          <w:b/>
          <w:bCs/>
          <w:sz w:val="24"/>
          <w:szCs w:val="24"/>
          <w:highlight w:val="none"/>
        </w:rPr>
      </w:pPr>
    </w:p>
    <w:p w14:paraId="45F5CCCE">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法定代表人或授权代理人：（签字）</w:t>
      </w:r>
    </w:p>
    <w:p w14:paraId="4EC29B9B">
      <w:pPr>
        <w:ind w:right="62" w:firstLine="482" w:firstLineChars="200"/>
        <w:rPr>
          <w:rFonts w:hint="eastAsia" w:ascii="宋体" w:hAnsi="宋体" w:eastAsia="宋体" w:cs="宋体"/>
          <w:b/>
          <w:bCs/>
          <w:sz w:val="24"/>
          <w:szCs w:val="24"/>
          <w:highlight w:val="none"/>
        </w:rPr>
      </w:pPr>
    </w:p>
    <w:p w14:paraId="64E32B52">
      <w:pPr>
        <w:ind w:right="62" w:firstLine="482" w:firstLineChars="200"/>
        <w:rPr>
          <w:rFonts w:hint="eastAsia" w:ascii="宋体" w:hAnsi="宋体" w:eastAsia="宋体" w:cs="宋体"/>
          <w:b/>
          <w:bCs/>
          <w:sz w:val="24"/>
          <w:szCs w:val="24"/>
          <w:highlight w:val="none"/>
        </w:rPr>
      </w:pPr>
    </w:p>
    <w:p w14:paraId="4984118E">
      <w:pPr>
        <w:ind w:right="62" w:firstLine="482" w:firstLineChars="200"/>
        <w:rPr>
          <w:rFonts w:hint="eastAsia" w:ascii="宋体" w:hAnsi="宋体" w:eastAsia="宋体" w:cs="宋体"/>
          <w:b/>
          <w:bCs/>
          <w:sz w:val="24"/>
          <w:szCs w:val="24"/>
          <w:highlight w:val="none"/>
        </w:rPr>
      </w:pPr>
    </w:p>
    <w:p w14:paraId="13B6C0C2">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电话：</w:t>
      </w:r>
    </w:p>
    <w:p w14:paraId="62D9EDC9">
      <w:pPr>
        <w:ind w:right="62" w:firstLine="482" w:firstLineChars="200"/>
        <w:rPr>
          <w:rFonts w:hint="eastAsia" w:ascii="宋体" w:hAnsi="宋体" w:eastAsia="宋体" w:cs="宋体"/>
          <w:b/>
          <w:bCs/>
          <w:sz w:val="24"/>
          <w:szCs w:val="24"/>
          <w:highlight w:val="none"/>
        </w:rPr>
      </w:pPr>
    </w:p>
    <w:p w14:paraId="107A202A">
      <w:pPr>
        <w:ind w:right="62" w:firstLine="482" w:firstLineChars="200"/>
        <w:rPr>
          <w:rFonts w:hint="eastAsia" w:ascii="宋体" w:hAnsi="宋体" w:eastAsia="宋体" w:cs="宋体"/>
          <w:b/>
          <w:bCs/>
          <w:sz w:val="24"/>
          <w:szCs w:val="24"/>
          <w:highlight w:val="none"/>
        </w:rPr>
      </w:pPr>
    </w:p>
    <w:p w14:paraId="07C377B2">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签订日期：</w:t>
      </w:r>
    </w:p>
    <w:p w14:paraId="2D77E080">
      <w:pPr>
        <w:ind w:right="62" w:firstLine="482" w:firstLineChars="200"/>
        <w:rPr>
          <w:rFonts w:hint="eastAsia" w:ascii="宋体" w:hAnsi="宋体" w:eastAsia="宋体" w:cs="宋体"/>
          <w:b/>
          <w:bCs/>
          <w:sz w:val="24"/>
          <w:szCs w:val="24"/>
          <w:highlight w:val="none"/>
        </w:rPr>
      </w:pPr>
    </w:p>
    <w:p w14:paraId="299059B9">
      <w:pPr>
        <w:ind w:right="62" w:firstLine="482" w:firstLineChars="200"/>
        <w:rPr>
          <w:rFonts w:hint="eastAsia" w:ascii="宋体" w:hAnsi="宋体" w:eastAsia="宋体" w:cs="宋体"/>
          <w:b/>
          <w:bCs/>
          <w:sz w:val="24"/>
          <w:szCs w:val="24"/>
          <w:highlight w:val="none"/>
        </w:rPr>
      </w:pPr>
    </w:p>
    <w:p w14:paraId="760E66CA">
      <w:pPr>
        <w:ind w:right="62" w:firstLine="482" w:firstLineChars="200"/>
        <w:rPr>
          <w:rFonts w:hint="eastAsia" w:ascii="宋体" w:hAnsi="宋体" w:eastAsia="宋体" w:cs="宋体"/>
          <w:b/>
          <w:bCs/>
          <w:sz w:val="24"/>
          <w:szCs w:val="24"/>
          <w:highlight w:val="none"/>
        </w:rPr>
      </w:pPr>
    </w:p>
    <w:p w14:paraId="190CE8FF">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签约地：洛浦县</w:t>
      </w:r>
    </w:p>
    <w:p w14:paraId="33E59082">
      <w:pPr>
        <w:ind w:right="62" w:firstLine="482" w:firstLineChars="200"/>
        <w:rPr>
          <w:rFonts w:hint="eastAsia" w:ascii="宋体" w:hAnsi="宋体" w:eastAsia="宋体" w:cs="宋体"/>
          <w:b/>
          <w:bCs/>
          <w:sz w:val="24"/>
          <w:szCs w:val="24"/>
          <w:highlight w:val="none"/>
        </w:rPr>
      </w:pPr>
    </w:p>
    <w:p w14:paraId="56C3BE5E">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（本合同仅供参考）</w:t>
      </w:r>
    </w:p>
    <w:p w14:paraId="4400D2AE">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br w:type="column"/>
      </w:r>
    </w:p>
    <w:p w14:paraId="2070D760">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法定代表人或授权代理人：（签字）</w:t>
      </w:r>
    </w:p>
    <w:p w14:paraId="146E677C">
      <w:pPr>
        <w:ind w:right="62" w:firstLine="482" w:firstLineChars="200"/>
        <w:rPr>
          <w:rFonts w:hint="eastAsia" w:ascii="宋体" w:hAnsi="宋体" w:eastAsia="宋体" w:cs="宋体"/>
          <w:b/>
          <w:bCs/>
          <w:sz w:val="24"/>
          <w:szCs w:val="24"/>
          <w:highlight w:val="none"/>
        </w:rPr>
      </w:pPr>
    </w:p>
    <w:p w14:paraId="4A11A40B">
      <w:pPr>
        <w:ind w:right="62" w:firstLine="482" w:firstLineChars="200"/>
        <w:rPr>
          <w:rFonts w:hint="eastAsia" w:ascii="宋体" w:hAnsi="宋体" w:eastAsia="宋体" w:cs="宋体"/>
          <w:b/>
          <w:bCs/>
          <w:sz w:val="24"/>
          <w:szCs w:val="24"/>
          <w:highlight w:val="none"/>
        </w:rPr>
      </w:pPr>
    </w:p>
    <w:p w14:paraId="5DC3EB1B">
      <w:pPr>
        <w:ind w:right="62" w:firstLine="482" w:firstLineChars="200"/>
        <w:rPr>
          <w:rFonts w:hint="eastAsia" w:ascii="宋体" w:hAnsi="宋体" w:eastAsia="宋体" w:cs="宋体"/>
          <w:b/>
          <w:bCs/>
          <w:sz w:val="24"/>
          <w:szCs w:val="24"/>
          <w:highlight w:val="none"/>
        </w:rPr>
      </w:pPr>
    </w:p>
    <w:p w14:paraId="0DFAF7A1">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电话：</w:t>
      </w:r>
    </w:p>
    <w:p w14:paraId="07968C22">
      <w:pPr>
        <w:ind w:right="62" w:firstLine="482" w:firstLineChars="200"/>
        <w:rPr>
          <w:rFonts w:hint="eastAsia" w:ascii="宋体" w:hAnsi="宋体" w:eastAsia="宋体" w:cs="宋体"/>
          <w:b/>
          <w:bCs/>
          <w:sz w:val="24"/>
          <w:szCs w:val="24"/>
          <w:highlight w:val="none"/>
        </w:rPr>
      </w:pPr>
    </w:p>
    <w:p w14:paraId="0F6192CF">
      <w:pPr>
        <w:ind w:right="62" w:firstLine="482" w:firstLineChars="200"/>
        <w:rPr>
          <w:rFonts w:hint="eastAsia" w:ascii="宋体" w:hAnsi="宋体" w:eastAsia="宋体" w:cs="宋体"/>
          <w:b/>
          <w:bCs/>
          <w:sz w:val="24"/>
          <w:szCs w:val="24"/>
          <w:highlight w:val="none"/>
        </w:rPr>
      </w:pPr>
    </w:p>
    <w:p w14:paraId="0D662D3A">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签订日期：</w:t>
      </w:r>
    </w:p>
    <w:p w14:paraId="1EF2D3B7">
      <w:pPr>
        <w:ind w:right="62" w:firstLine="643" w:firstLineChars="200"/>
        <w:rPr>
          <w:rFonts w:hint="eastAsia" w:ascii="仿宋" w:hAnsi="仿宋" w:eastAsia="仿宋" w:cs="仿宋"/>
          <w:b/>
          <w:bCs/>
          <w:sz w:val="32"/>
          <w:szCs w:val="32"/>
          <w:highlight w:val="none"/>
        </w:rPr>
      </w:pPr>
    </w:p>
    <w:p w14:paraId="616192A1">
      <w:pPr>
        <w:ind w:right="62" w:firstLine="643" w:firstLineChars="200"/>
        <w:rPr>
          <w:rFonts w:hint="eastAsia" w:ascii="仿宋" w:hAnsi="仿宋" w:eastAsia="仿宋" w:cs="仿宋"/>
          <w:b/>
          <w:bCs/>
          <w:sz w:val="32"/>
          <w:szCs w:val="32"/>
          <w:highlight w:val="none"/>
        </w:rPr>
        <w:sectPr>
          <w:type w:val="continuous"/>
          <w:pgSz w:w="11907" w:h="16839"/>
          <w:pgMar w:top="871" w:right="1785" w:bottom="1181" w:left="1080" w:header="0" w:footer="967" w:gutter="0"/>
          <w:cols w:equalWidth="0" w:num="2">
            <w:col w:w="4391" w:space="100"/>
            <w:col w:w="4551"/>
          </w:cols>
        </w:sectPr>
      </w:pPr>
    </w:p>
    <w:p w14:paraId="05EE7786">
      <w:pPr>
        <w:rPr>
          <w:rFonts w:hint="eastAsia" w:ascii="宋体" w:hAnsi="宋体" w:eastAsia="宋体" w:cs="宋体"/>
          <w:b/>
          <w:kern w:val="2"/>
          <w:sz w:val="28"/>
          <w:szCs w:val="28"/>
          <w:highlight w:val="none"/>
          <w:lang w:val="en-US" w:eastAsia="zh-CN" w:bidi="ar-SA"/>
        </w:rPr>
      </w:pPr>
    </w:p>
    <w:p w14:paraId="2AEA6C5B">
      <w:pPr>
        <w:spacing w:line="360" w:lineRule="auto"/>
        <w:ind w:firstLine="562" w:firstLineChars="200"/>
        <w:jc w:val="center"/>
        <w:outlineLvl w:val="0"/>
        <w:rPr>
          <w:rFonts w:hint="eastAsia" w:ascii="宋体" w:hAnsi="宋体" w:eastAsia="宋体" w:cs="宋体"/>
          <w:b/>
          <w:sz w:val="36"/>
          <w:szCs w:val="36"/>
          <w:highlight w:val="none"/>
        </w:rPr>
      </w:pPr>
      <w:r>
        <w:rPr>
          <w:rFonts w:hint="eastAsia" w:ascii="宋体" w:hAnsi="宋体" w:eastAsia="宋体" w:cs="宋体"/>
          <w:b/>
          <w:kern w:val="2"/>
          <w:sz w:val="28"/>
          <w:szCs w:val="28"/>
          <w:highlight w:val="none"/>
          <w:lang w:val="en-US" w:eastAsia="zh-CN" w:bidi="ar-SA"/>
        </w:rPr>
        <w:t>第六章　投标文件格式</w:t>
      </w:r>
      <w:bookmarkEnd w:id="276"/>
      <w:bookmarkEnd w:id="277"/>
      <w:bookmarkEnd w:id="278"/>
      <w:bookmarkEnd w:id="279"/>
      <w:bookmarkEnd w:id="280"/>
    </w:p>
    <w:p w14:paraId="232E24D8">
      <w:pPr>
        <w:adjustRightInd w:val="0"/>
        <w:spacing w:line="360" w:lineRule="auto"/>
        <w:rPr>
          <w:rFonts w:hint="eastAsia" w:ascii="宋体" w:hAnsi="宋体" w:eastAsia="宋体" w:cs="宋体"/>
          <w:szCs w:val="24"/>
          <w:highlight w:val="none"/>
        </w:rPr>
      </w:pPr>
    </w:p>
    <w:p w14:paraId="358182C7">
      <w:pPr>
        <w:spacing w:line="560" w:lineRule="exact"/>
        <w:ind w:firstLine="480" w:firstLineChars="200"/>
        <w:outlineLvl w:val="1"/>
        <w:rPr>
          <w:rFonts w:hint="eastAsia" w:ascii="宋体" w:hAnsi="宋体" w:eastAsia="宋体" w:cs="宋体"/>
          <w:kern w:val="2"/>
          <w:sz w:val="24"/>
          <w:szCs w:val="24"/>
          <w:highlight w:val="none"/>
          <w:lang w:val="en-US" w:eastAsia="zh-CN" w:bidi="ar-SA"/>
        </w:rPr>
      </w:pPr>
      <w:bookmarkStart w:id="281" w:name="_Toc23594"/>
      <w:r>
        <w:rPr>
          <w:rFonts w:hint="eastAsia" w:ascii="宋体" w:hAnsi="宋体" w:eastAsia="宋体" w:cs="宋体"/>
          <w:kern w:val="2"/>
          <w:sz w:val="24"/>
          <w:szCs w:val="24"/>
          <w:highlight w:val="none"/>
          <w:lang w:val="en-US" w:eastAsia="zh-CN" w:bidi="ar-SA"/>
        </w:rPr>
        <w:t>一、投标人提交投标文件须知：</w:t>
      </w:r>
      <w:bookmarkEnd w:id="281"/>
    </w:p>
    <w:p w14:paraId="1543C095">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1、投标人应严格按照以下顺序填写和提交下述规定的全部格式文件以及其他有关资料，混乱的编排导致投标文件被误读或评标小组查找不到有效文件是投标人的风险。</w:t>
      </w:r>
    </w:p>
    <w:p w14:paraId="1836F3E6">
      <w:pPr>
        <w:spacing w:line="560" w:lineRule="exact"/>
        <w:ind w:firstLine="480" w:firstLineChars="200"/>
        <w:outlineLvl w:val="2"/>
        <w:rPr>
          <w:rFonts w:hint="eastAsia" w:ascii="宋体" w:hAnsi="宋体" w:eastAsia="宋体" w:cs="宋体"/>
          <w:kern w:val="2"/>
          <w:sz w:val="24"/>
          <w:szCs w:val="24"/>
          <w:highlight w:val="none"/>
          <w:lang w:val="en-US" w:eastAsia="zh-CN" w:bidi="ar-SA"/>
        </w:rPr>
      </w:pPr>
      <w:bookmarkStart w:id="282" w:name="_Toc23205"/>
      <w:r>
        <w:rPr>
          <w:rFonts w:hint="eastAsia" w:ascii="宋体" w:hAnsi="宋体" w:eastAsia="宋体" w:cs="宋体"/>
          <w:kern w:val="2"/>
          <w:sz w:val="24"/>
          <w:szCs w:val="24"/>
          <w:highlight w:val="none"/>
          <w:lang w:val="en-US" w:eastAsia="zh-CN" w:bidi="ar-SA"/>
        </w:rPr>
        <w:t>2、所附表格中要求回答的全部问题和/或信息都必须正面回答。</w:t>
      </w:r>
      <w:bookmarkEnd w:id="282"/>
    </w:p>
    <w:p w14:paraId="67E33ABB">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3、本声明书的签字人应保证全部声明和问题的回答是真实的和准确的。</w:t>
      </w:r>
    </w:p>
    <w:p w14:paraId="3ACC7DA4">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4、评标委员会将应用投标人提交的资料根据自己的判断和考虑决定投标人履行合同的合格性及能力。</w:t>
      </w:r>
    </w:p>
    <w:p w14:paraId="0641D9CC">
      <w:pPr>
        <w:spacing w:line="560" w:lineRule="exact"/>
        <w:ind w:firstLine="480" w:firstLineChars="200"/>
        <w:outlineLvl w:val="2"/>
        <w:rPr>
          <w:rFonts w:hint="eastAsia" w:ascii="宋体" w:hAnsi="宋体" w:eastAsia="宋体" w:cs="宋体"/>
          <w:kern w:val="2"/>
          <w:sz w:val="24"/>
          <w:szCs w:val="24"/>
          <w:highlight w:val="none"/>
          <w:lang w:val="en-US" w:eastAsia="zh-CN" w:bidi="ar-SA"/>
        </w:rPr>
      </w:pPr>
      <w:bookmarkStart w:id="283" w:name="_Toc8067"/>
      <w:r>
        <w:rPr>
          <w:rFonts w:hint="eastAsia" w:ascii="宋体" w:hAnsi="宋体" w:eastAsia="宋体" w:cs="宋体"/>
          <w:kern w:val="2"/>
          <w:sz w:val="24"/>
          <w:szCs w:val="24"/>
          <w:highlight w:val="none"/>
          <w:lang w:val="en-US" w:eastAsia="zh-CN" w:bidi="ar-SA"/>
        </w:rPr>
        <w:t>5、投标人提交的材料将在一定期限内被保密保存，但不退还。</w:t>
      </w:r>
      <w:bookmarkEnd w:id="283"/>
    </w:p>
    <w:p w14:paraId="08F76DB2">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6、全部文件应按投标人须知中规定的语言和份数提交。投标文件组成漏项或未按规定的格式编制，内容不全或内容字迹模糊辨认不清的情况，将有可能被评标小组认定为投标无效。</w:t>
      </w:r>
    </w:p>
    <w:p w14:paraId="60FF9C6F">
      <w:pPr>
        <w:adjustRightInd w:val="0"/>
        <w:snapToGrid w:val="0"/>
        <w:spacing w:before="50" w:after="50"/>
        <w:rPr>
          <w:rFonts w:hint="eastAsia" w:ascii="宋体" w:hAnsi="宋体" w:eastAsia="宋体" w:cs="宋体"/>
          <w:sz w:val="32"/>
          <w:highlight w:val="none"/>
        </w:rPr>
      </w:pPr>
    </w:p>
    <w:p w14:paraId="2412BB91">
      <w:pPr>
        <w:spacing w:line="360" w:lineRule="auto"/>
        <w:jc w:val="center"/>
        <w:outlineLvl w:val="9"/>
        <w:rPr>
          <w:rFonts w:hint="eastAsia" w:ascii="宋体" w:hAnsi="宋体" w:eastAsia="宋体" w:cs="宋体"/>
          <w:sz w:val="32"/>
          <w:highlight w:val="none"/>
        </w:rPr>
      </w:pPr>
      <w:r>
        <w:rPr>
          <w:rFonts w:hint="eastAsia" w:ascii="宋体" w:hAnsi="宋体" w:eastAsia="宋体" w:cs="宋体"/>
          <w:sz w:val="32"/>
          <w:highlight w:val="none"/>
        </w:rPr>
        <w:br w:type="page"/>
      </w:r>
      <w:bookmarkStart w:id="284" w:name="_Toc2253"/>
    </w:p>
    <w:p w14:paraId="1A67A290">
      <w:pPr>
        <w:spacing w:line="360" w:lineRule="auto"/>
        <w:jc w:val="center"/>
        <w:outlineLvl w:val="1"/>
        <w:rPr>
          <w:rFonts w:hint="eastAsia" w:ascii="宋体" w:hAnsi="宋体" w:eastAsia="宋体" w:cs="宋体"/>
          <w:sz w:val="48"/>
          <w:szCs w:val="48"/>
          <w:highlight w:val="none"/>
        </w:rPr>
      </w:pPr>
      <w:bookmarkStart w:id="285" w:name="_Toc23960"/>
      <w:bookmarkStart w:id="286" w:name="_Toc17130"/>
      <w:r>
        <w:rPr>
          <w:rFonts w:hint="eastAsia" w:ascii="宋体" w:hAnsi="宋体" w:cs="宋体"/>
          <w:sz w:val="48"/>
          <w:szCs w:val="48"/>
          <w:highlight w:val="none"/>
          <w:lang w:eastAsia="zh-CN"/>
        </w:rPr>
        <w:t>（</w:t>
      </w:r>
      <w:r>
        <w:rPr>
          <w:rFonts w:hint="eastAsia" w:ascii="宋体" w:hAnsi="宋体" w:eastAsia="宋体" w:cs="宋体"/>
          <w:sz w:val="48"/>
          <w:szCs w:val="48"/>
          <w:highlight w:val="none"/>
        </w:rPr>
        <w:t>项目</w:t>
      </w:r>
      <w:r>
        <w:rPr>
          <w:rFonts w:hint="eastAsia" w:ascii="宋体" w:hAnsi="宋体" w:eastAsia="宋体" w:cs="宋体"/>
          <w:sz w:val="48"/>
          <w:szCs w:val="48"/>
          <w:highlight w:val="none"/>
          <w:lang w:eastAsia="zh-CN"/>
        </w:rPr>
        <w:t>、标段</w:t>
      </w:r>
      <w:r>
        <w:rPr>
          <w:rFonts w:hint="eastAsia" w:ascii="宋体" w:hAnsi="宋体" w:eastAsia="宋体" w:cs="宋体"/>
          <w:sz w:val="48"/>
          <w:szCs w:val="48"/>
          <w:highlight w:val="none"/>
        </w:rPr>
        <w:t>名称</w:t>
      </w:r>
      <w:r>
        <w:rPr>
          <w:rFonts w:hint="eastAsia" w:ascii="宋体" w:hAnsi="宋体" w:cs="宋体"/>
          <w:sz w:val="48"/>
          <w:szCs w:val="48"/>
          <w:highlight w:val="none"/>
          <w:lang w:eastAsia="zh-CN"/>
        </w:rPr>
        <w:t>）</w:t>
      </w:r>
      <w:r>
        <w:rPr>
          <w:rFonts w:hint="eastAsia" w:ascii="宋体" w:hAnsi="宋体" w:eastAsia="宋体" w:cs="宋体"/>
          <w:sz w:val="48"/>
          <w:szCs w:val="48"/>
          <w:highlight w:val="none"/>
        </w:rPr>
        <w:t>项目</w:t>
      </w:r>
      <w:bookmarkEnd w:id="284"/>
      <w:bookmarkEnd w:id="285"/>
      <w:bookmarkEnd w:id="286"/>
    </w:p>
    <w:p w14:paraId="4A80E846">
      <w:pPr>
        <w:spacing w:line="360" w:lineRule="auto"/>
        <w:jc w:val="center"/>
        <w:outlineLvl w:val="9"/>
        <w:rPr>
          <w:rFonts w:hint="eastAsia" w:ascii="宋体" w:hAnsi="宋体" w:eastAsia="宋体" w:cs="宋体"/>
          <w:sz w:val="32"/>
          <w:highlight w:val="none"/>
        </w:rPr>
      </w:pPr>
    </w:p>
    <w:p w14:paraId="43DCD557">
      <w:pPr>
        <w:spacing w:line="360" w:lineRule="auto"/>
        <w:jc w:val="center"/>
        <w:outlineLvl w:val="9"/>
        <w:rPr>
          <w:rFonts w:hint="eastAsia" w:ascii="宋体" w:hAnsi="宋体" w:eastAsia="宋体" w:cs="宋体"/>
          <w:sz w:val="32"/>
          <w:highlight w:val="none"/>
        </w:rPr>
      </w:pPr>
      <w:bookmarkStart w:id="287" w:name="_Toc24951"/>
      <w:r>
        <w:rPr>
          <w:rFonts w:hint="eastAsia" w:ascii="宋体" w:hAnsi="宋体" w:eastAsia="宋体" w:cs="宋体"/>
          <w:sz w:val="32"/>
          <w:highlight w:val="none"/>
        </w:rPr>
        <w:t>项目编号：</w:t>
      </w:r>
      <w:bookmarkEnd w:id="287"/>
    </w:p>
    <w:p w14:paraId="3F9C9315">
      <w:pPr>
        <w:spacing w:line="560" w:lineRule="exact"/>
        <w:ind w:firstLine="883" w:firstLineChars="200"/>
        <w:jc w:val="center"/>
        <w:rPr>
          <w:rFonts w:hint="eastAsia" w:ascii="宋体" w:hAnsi="宋体" w:eastAsia="宋体" w:cs="宋体"/>
          <w:b/>
          <w:bCs/>
          <w:kern w:val="2"/>
          <w:sz w:val="44"/>
          <w:szCs w:val="52"/>
          <w:highlight w:val="none"/>
          <w:lang w:val="en-US" w:eastAsia="zh-CN" w:bidi="ar-SA"/>
        </w:rPr>
      </w:pPr>
    </w:p>
    <w:p w14:paraId="48713AD9">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投</w:t>
      </w:r>
    </w:p>
    <w:p w14:paraId="2F82AEAA">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标</w:t>
      </w:r>
    </w:p>
    <w:p w14:paraId="4A2F023E">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文</w:t>
      </w:r>
    </w:p>
    <w:p w14:paraId="7B976825">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件</w:t>
      </w:r>
    </w:p>
    <w:p w14:paraId="4FBEB6AA">
      <w:pPr>
        <w:spacing w:line="560" w:lineRule="exact"/>
        <w:ind w:firstLine="560" w:firstLineChars="200"/>
        <w:rPr>
          <w:rFonts w:hint="eastAsia" w:ascii="宋体" w:hAnsi="宋体" w:eastAsia="宋体" w:cs="宋体"/>
          <w:kern w:val="2"/>
          <w:sz w:val="28"/>
          <w:szCs w:val="36"/>
          <w:highlight w:val="none"/>
          <w:lang w:val="en-US" w:eastAsia="zh-CN" w:bidi="ar-SA"/>
        </w:rPr>
      </w:pPr>
    </w:p>
    <w:p w14:paraId="1287FDC9">
      <w:pPr>
        <w:spacing w:line="560" w:lineRule="exact"/>
        <w:ind w:firstLine="560" w:firstLineChars="200"/>
        <w:rPr>
          <w:rFonts w:hint="eastAsia" w:ascii="宋体" w:hAnsi="宋体" w:eastAsia="宋体" w:cs="宋体"/>
          <w:kern w:val="2"/>
          <w:sz w:val="28"/>
          <w:szCs w:val="36"/>
          <w:highlight w:val="none"/>
          <w:lang w:val="en-US" w:eastAsia="zh-CN" w:bidi="ar-SA"/>
        </w:rPr>
      </w:pPr>
    </w:p>
    <w:p w14:paraId="62CCD0DB">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投标单位名称：（加盖单位公章）</w:t>
      </w:r>
    </w:p>
    <w:p w14:paraId="4F06B4B3">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投标单位地址：</w:t>
      </w:r>
    </w:p>
    <w:p w14:paraId="673C4631">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法人或法人授权代表（签字或盖章）：</w:t>
      </w:r>
    </w:p>
    <w:p w14:paraId="7FC51008">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投标单位联系电话：</w:t>
      </w:r>
    </w:p>
    <w:p w14:paraId="74FCBCA0">
      <w:pPr>
        <w:spacing w:line="560" w:lineRule="exact"/>
        <w:ind w:firstLine="420" w:firstLineChars="200"/>
        <w:rPr>
          <w:rFonts w:hint="eastAsia" w:ascii="宋体" w:hAnsi="宋体" w:eastAsia="宋体" w:cs="宋体"/>
          <w:kern w:val="2"/>
          <w:sz w:val="21"/>
          <w:szCs w:val="24"/>
          <w:highlight w:val="none"/>
          <w:lang w:val="en-US" w:eastAsia="zh-CN" w:bidi="ar-SA"/>
        </w:rPr>
      </w:pPr>
    </w:p>
    <w:p w14:paraId="232F8162">
      <w:pPr>
        <w:spacing w:line="560" w:lineRule="exact"/>
        <w:ind w:firstLine="560" w:firstLineChars="200"/>
        <w:jc w:val="center"/>
        <w:rPr>
          <w:rFonts w:hint="eastAsia" w:ascii="宋体" w:hAnsi="宋体" w:eastAsia="宋体" w:cs="宋体"/>
          <w:kern w:val="2"/>
          <w:sz w:val="28"/>
          <w:szCs w:val="36"/>
          <w:highlight w:val="none"/>
          <w:lang w:val="en-US" w:eastAsia="zh-CN" w:bidi="ar-SA"/>
        </w:rPr>
      </w:pPr>
      <w:bookmarkStart w:id="288" w:name="_Toc1683"/>
    </w:p>
    <w:p w14:paraId="78E43419">
      <w:pPr>
        <w:spacing w:line="560" w:lineRule="exact"/>
        <w:ind w:firstLine="560" w:firstLineChars="200"/>
        <w:jc w:val="center"/>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年月日</w:t>
      </w:r>
      <w:bookmarkEnd w:id="288"/>
    </w:p>
    <w:p w14:paraId="067CD58E">
      <w:pPr>
        <w:adjustRightInd w:val="0"/>
        <w:snapToGrid w:val="0"/>
        <w:jc w:val="center"/>
        <w:outlineLvl w:val="9"/>
        <w:rPr>
          <w:rFonts w:hint="eastAsia" w:ascii="宋体" w:hAnsi="宋体" w:eastAsia="宋体" w:cs="宋体"/>
          <w:b/>
          <w:sz w:val="44"/>
          <w:szCs w:val="44"/>
          <w:highlight w:val="none"/>
        </w:rPr>
      </w:pPr>
    </w:p>
    <w:p w14:paraId="05CC0808">
      <w:pPr>
        <w:widowControl/>
        <w:spacing w:line="240" w:lineRule="auto"/>
        <w:jc w:val="center"/>
        <w:outlineLvl w:val="9"/>
        <w:rPr>
          <w:rFonts w:hint="eastAsia" w:ascii="宋体" w:hAnsi="宋体" w:eastAsia="宋体" w:cs="宋体"/>
          <w:b/>
          <w:sz w:val="24"/>
          <w:szCs w:val="24"/>
          <w:highlight w:val="none"/>
        </w:rPr>
      </w:pPr>
      <w:r>
        <w:rPr>
          <w:rFonts w:hint="eastAsia" w:ascii="宋体" w:hAnsi="宋体" w:eastAsia="宋体" w:cs="宋体"/>
          <w:b/>
          <w:sz w:val="44"/>
          <w:szCs w:val="44"/>
          <w:highlight w:val="none"/>
        </w:rPr>
        <w:br w:type="page"/>
      </w:r>
    </w:p>
    <w:p w14:paraId="557C77B0">
      <w:pPr>
        <w:jc w:val="center"/>
        <w:rPr>
          <w:rFonts w:hint="eastAsia" w:ascii="宋体" w:hAnsi="宋体" w:eastAsia="宋体" w:cs="宋体"/>
          <w:b/>
          <w:bCs/>
          <w:color w:val="auto"/>
          <w:sz w:val="32"/>
          <w:szCs w:val="44"/>
          <w:highlight w:val="none"/>
          <w:lang w:val="en-US" w:eastAsia="zh-CN"/>
        </w:rPr>
      </w:pPr>
      <w:r>
        <w:rPr>
          <w:rFonts w:hint="eastAsia" w:ascii="宋体" w:hAnsi="宋体" w:eastAsia="宋体" w:cs="宋体"/>
          <w:b/>
          <w:bCs/>
          <w:color w:val="auto"/>
          <w:sz w:val="32"/>
          <w:szCs w:val="44"/>
          <w:highlight w:val="none"/>
          <w:lang w:val="en-US" w:eastAsia="zh-CN"/>
        </w:rPr>
        <w:t>目录</w:t>
      </w:r>
    </w:p>
    <w:p w14:paraId="119A8DE7">
      <w:pPr>
        <w:spacing w:line="30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报价部分：</w:t>
      </w:r>
    </w:p>
    <w:p w14:paraId="3C2C831B">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1、投标函；</w:t>
      </w:r>
    </w:p>
    <w:p w14:paraId="3F4F7712">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2、开标一览表；</w:t>
      </w:r>
    </w:p>
    <w:p w14:paraId="7A5A7C42">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3、投标报价明细表</w:t>
      </w:r>
    </w:p>
    <w:p w14:paraId="712EBBF8">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商务部分：</w:t>
      </w:r>
    </w:p>
    <w:p w14:paraId="170933A7">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投标单位简介，并附投标人资质证件等；</w:t>
      </w:r>
    </w:p>
    <w:p w14:paraId="257CAA2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出具法人营业执照函（格式见附件）；</w:t>
      </w:r>
    </w:p>
    <w:p w14:paraId="4BE07175">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6、联合体协议书（如是）</w:t>
      </w:r>
    </w:p>
    <w:p w14:paraId="4297EEE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法定代表人证明书及身份证</w:t>
      </w:r>
      <w:r>
        <w:rPr>
          <w:rFonts w:hint="eastAsia" w:ascii="宋体" w:hAnsi="宋体" w:eastAsia="宋体" w:cs="宋体"/>
          <w:sz w:val="24"/>
          <w:szCs w:val="24"/>
          <w:highlight w:val="none"/>
          <w:lang w:val="en-US" w:eastAsia="zh-CN"/>
        </w:rPr>
        <w:t>复印</w:t>
      </w:r>
      <w:r>
        <w:rPr>
          <w:rFonts w:hint="eastAsia" w:ascii="宋体" w:hAnsi="宋体" w:eastAsia="宋体" w:cs="宋体"/>
          <w:sz w:val="24"/>
          <w:szCs w:val="24"/>
          <w:highlight w:val="none"/>
        </w:rPr>
        <w:t>件；</w:t>
      </w:r>
    </w:p>
    <w:p w14:paraId="6B880E9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法人代表授权委托书及身份证</w:t>
      </w:r>
      <w:r>
        <w:rPr>
          <w:rFonts w:hint="eastAsia" w:ascii="宋体" w:hAnsi="宋体" w:eastAsia="宋体" w:cs="宋体"/>
          <w:sz w:val="24"/>
          <w:szCs w:val="24"/>
          <w:highlight w:val="none"/>
          <w:lang w:val="en-US" w:eastAsia="zh-CN"/>
        </w:rPr>
        <w:t>复印件</w:t>
      </w:r>
      <w:r>
        <w:rPr>
          <w:rFonts w:hint="eastAsia" w:ascii="宋体" w:hAnsi="宋体" w:eastAsia="宋体" w:cs="宋体"/>
          <w:sz w:val="24"/>
          <w:szCs w:val="24"/>
          <w:highlight w:val="none"/>
        </w:rPr>
        <w:t>；</w:t>
      </w:r>
    </w:p>
    <w:p w14:paraId="4B9402F2">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9、投标人资格声明函（格式自拟）； </w:t>
      </w:r>
    </w:p>
    <w:p w14:paraId="3CE03DF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10、近三年内（本项目投标截止期前）未被“信用中国”（www.creditchina.gov.cn）、中国政府采购网（www.ccgp.gov.cn）列入失信被执行人、重大税收违法案件当事人名单、政府采购严重违法失信行为记录名单</w:t>
      </w:r>
      <w:r>
        <w:rPr>
          <w:rFonts w:hint="eastAsia" w:ascii="宋体" w:hAnsi="宋体" w:eastAsia="宋体" w:cs="宋体"/>
          <w:sz w:val="24"/>
          <w:szCs w:val="24"/>
          <w:highlight w:val="none"/>
        </w:rPr>
        <w:t>；</w:t>
      </w:r>
    </w:p>
    <w:p w14:paraId="030F99A4">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11、投标单位的依法缴纳税收和社会保障资金的良好记录；具有良好的商业信誉和健全的财务会计制度（需提供202</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年度财务审计报告）；</w:t>
      </w:r>
    </w:p>
    <w:p w14:paraId="3D3100E5">
      <w:pPr>
        <w:spacing w:line="300" w:lineRule="auto"/>
        <w:outlineLvl w:val="2"/>
        <w:rPr>
          <w:rFonts w:hint="eastAsia" w:ascii="宋体" w:hAnsi="宋体" w:eastAsia="宋体" w:cs="宋体"/>
          <w:sz w:val="24"/>
          <w:szCs w:val="24"/>
          <w:highlight w:val="none"/>
          <w:lang w:val="en-US" w:eastAsia="zh-CN"/>
        </w:rPr>
      </w:pPr>
      <w:bookmarkStart w:id="289" w:name="_Toc16907"/>
      <w:r>
        <w:rPr>
          <w:rFonts w:hint="eastAsia" w:ascii="宋体" w:hAnsi="宋体" w:eastAsia="宋体" w:cs="宋体"/>
          <w:sz w:val="24"/>
          <w:szCs w:val="24"/>
          <w:highlight w:val="none"/>
          <w:lang w:val="en-US" w:eastAsia="zh-CN"/>
        </w:rPr>
        <w:t>12、投标保证金打款凭证；</w:t>
      </w:r>
      <w:bookmarkEnd w:id="289"/>
    </w:p>
    <w:p w14:paraId="2DDDDCC7">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13、采购需求条款响应一览表；</w:t>
      </w:r>
      <w:r>
        <w:rPr>
          <w:rFonts w:hint="eastAsia" w:ascii="宋体" w:hAnsi="宋体" w:eastAsia="宋体" w:cs="宋体"/>
          <w:color w:val="FF0000"/>
          <w:sz w:val="24"/>
          <w:szCs w:val="24"/>
          <w:highlight w:val="none"/>
        </w:rPr>
        <w:t xml:space="preserve"> </w:t>
      </w:r>
      <w:r>
        <w:rPr>
          <w:rFonts w:hint="eastAsia" w:ascii="宋体" w:hAnsi="宋体" w:eastAsia="宋体" w:cs="宋体"/>
          <w:sz w:val="24"/>
          <w:szCs w:val="24"/>
          <w:highlight w:val="none"/>
        </w:rPr>
        <w:t xml:space="preserve"> </w:t>
      </w:r>
    </w:p>
    <w:p w14:paraId="38B4AD47">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反商业贿赂承诺书（格式见附件）；</w:t>
      </w:r>
    </w:p>
    <w:p w14:paraId="5535033A">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15、无围标、串标等违法违规行为承诺书</w:t>
      </w:r>
      <w:r>
        <w:rPr>
          <w:rFonts w:hint="eastAsia" w:ascii="宋体" w:hAnsi="宋体" w:eastAsia="宋体" w:cs="宋体"/>
          <w:sz w:val="24"/>
          <w:szCs w:val="24"/>
          <w:highlight w:val="none"/>
        </w:rPr>
        <w:t>（格式见附件）；</w:t>
      </w:r>
    </w:p>
    <w:p w14:paraId="67D66E91">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16、中小企业声明函</w:t>
      </w:r>
      <w:r>
        <w:rPr>
          <w:rFonts w:hint="eastAsia" w:ascii="宋体" w:hAnsi="宋体" w:eastAsia="宋体" w:cs="宋体"/>
          <w:sz w:val="24"/>
          <w:szCs w:val="24"/>
          <w:highlight w:val="none"/>
        </w:rPr>
        <w:t>；</w:t>
      </w:r>
    </w:p>
    <w:p w14:paraId="669E7FC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17、</w:t>
      </w:r>
      <w:r>
        <w:rPr>
          <w:rFonts w:hint="eastAsia" w:ascii="宋体" w:hAnsi="宋体" w:eastAsia="宋体" w:cs="宋体"/>
          <w:sz w:val="24"/>
          <w:szCs w:val="24"/>
          <w:highlight w:val="none"/>
        </w:rPr>
        <w:t>投标人认为有必要提供的声明及文件资料。</w:t>
      </w:r>
    </w:p>
    <w:p w14:paraId="6E5C20C5">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技术部分：</w:t>
      </w:r>
    </w:p>
    <w:p w14:paraId="04A98314">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rPr>
        <w:t>对本次</w:t>
      </w:r>
      <w:r>
        <w:rPr>
          <w:rFonts w:hint="eastAsia" w:ascii="宋体" w:hAnsi="宋体" w:eastAsia="宋体" w:cs="宋体"/>
          <w:sz w:val="24"/>
          <w:szCs w:val="24"/>
          <w:highlight w:val="none"/>
          <w:lang w:val="en-US" w:eastAsia="zh-CN"/>
        </w:rPr>
        <w:t>投标项目的技术方案</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rPr>
        <w:t>投标人视需要自行编写</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t>
      </w:r>
    </w:p>
    <w:p w14:paraId="1225A43C">
      <w:pPr>
        <w:spacing w:line="30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19</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eastAsia="zh-CN"/>
        </w:rPr>
        <w:t>其他有利于投标人的资料（如有）</w:t>
      </w:r>
    </w:p>
    <w:p w14:paraId="4C0BEB43">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注：1、投标文件必须制作有目录和页码</w:t>
      </w:r>
    </w:p>
    <w:p w14:paraId="7EA016E8">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w:t>
      </w:r>
      <w:bookmarkStart w:id="290" w:name="_Toc26933"/>
      <w:r>
        <w:rPr>
          <w:rFonts w:hint="eastAsia" w:ascii="宋体" w:hAnsi="宋体" w:eastAsia="宋体" w:cs="宋体"/>
          <w:sz w:val="24"/>
          <w:szCs w:val="24"/>
          <w:highlight w:val="none"/>
          <w:lang w:val="en-US" w:eastAsia="zh-CN"/>
        </w:rPr>
        <w:t>2、只接受A4纸张大小的投标文件</w:t>
      </w:r>
      <w:bookmarkEnd w:id="290"/>
    </w:p>
    <w:p w14:paraId="4F3124F1">
      <w:pPr>
        <w:spacing w:line="300" w:lineRule="auto"/>
        <w:rPr>
          <w:rFonts w:hint="eastAsia" w:ascii="宋体" w:hAnsi="宋体" w:eastAsia="宋体" w:cs="宋体"/>
          <w:color w:val="000000"/>
          <w:sz w:val="24"/>
          <w:szCs w:val="24"/>
          <w:highlight w:val="none"/>
          <w:lang w:eastAsia="zh-CN"/>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sz w:val="24"/>
          <w:szCs w:val="24"/>
          <w:highlight w:val="none"/>
          <w:lang w:val="en-US" w:eastAsia="zh-CN"/>
        </w:rPr>
        <w:t xml:space="preserve">投标文件严格按要求制作   </w:t>
      </w:r>
    </w:p>
    <w:p w14:paraId="4CA1D9D7">
      <w:pPr>
        <w:numPr>
          <w:ilvl w:val="0"/>
          <w:numId w:val="0"/>
        </w:numPr>
        <w:spacing w:line="440" w:lineRule="exact"/>
        <w:jc w:val="both"/>
        <w:rPr>
          <w:rFonts w:hint="eastAsia" w:ascii="宋体" w:hAnsi="宋体" w:eastAsia="宋体" w:cs="宋体"/>
          <w:b/>
          <w:color w:val="auto"/>
          <w:sz w:val="24"/>
          <w:szCs w:val="24"/>
          <w:highlight w:val="none"/>
          <w:lang w:val="en-US" w:eastAsia="zh-CN"/>
        </w:rPr>
      </w:pPr>
    </w:p>
    <w:p w14:paraId="28D839F3">
      <w:pPr>
        <w:pStyle w:val="17"/>
        <w:rPr>
          <w:rFonts w:hint="eastAsia" w:ascii="宋体" w:hAnsi="宋体" w:eastAsia="宋体" w:cs="宋体"/>
          <w:color w:val="auto"/>
          <w:sz w:val="24"/>
          <w:szCs w:val="24"/>
          <w:highlight w:val="none"/>
          <w:lang w:val="en-US" w:eastAsia="zh-CN"/>
        </w:rPr>
      </w:pPr>
    </w:p>
    <w:p w14:paraId="0294C0D6">
      <w:pP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br w:type="page"/>
      </w:r>
    </w:p>
    <w:p w14:paraId="21BF9962">
      <w:pPr>
        <w:numPr>
          <w:ilvl w:val="0"/>
          <w:numId w:val="0"/>
        </w:numPr>
        <w:spacing w:line="440" w:lineRule="exact"/>
        <w:jc w:val="both"/>
        <w:rPr>
          <w:rFonts w:hint="eastAsia" w:ascii="宋体" w:hAnsi="宋体" w:eastAsia="宋体" w:cs="宋体"/>
          <w:b/>
          <w:color w:val="auto"/>
          <w:sz w:val="28"/>
          <w:szCs w:val="24"/>
          <w:highlight w:val="none"/>
          <w:lang w:val="en-US" w:eastAsia="zh-CN"/>
        </w:rPr>
      </w:pPr>
      <w:r>
        <w:rPr>
          <w:rFonts w:hint="eastAsia" w:ascii="宋体" w:hAnsi="宋体" w:eastAsia="宋体" w:cs="宋体"/>
          <w:b/>
          <w:color w:val="auto"/>
          <w:sz w:val="28"/>
          <w:szCs w:val="24"/>
          <w:highlight w:val="none"/>
          <w:lang w:val="en-US" w:eastAsia="zh-CN"/>
        </w:rPr>
        <w:t>附件一</w:t>
      </w:r>
    </w:p>
    <w:p w14:paraId="7821F138">
      <w:pPr>
        <w:numPr>
          <w:ilvl w:val="0"/>
          <w:numId w:val="0"/>
        </w:numPr>
        <w:spacing w:line="440" w:lineRule="exact"/>
        <w:jc w:val="center"/>
        <w:rPr>
          <w:rFonts w:hint="eastAsia" w:ascii="宋体" w:hAnsi="宋体" w:eastAsia="宋体" w:cs="宋体"/>
          <w:b/>
          <w:color w:val="auto"/>
          <w:sz w:val="32"/>
          <w:szCs w:val="28"/>
          <w:highlight w:val="none"/>
          <w:lang w:eastAsia="zh-CN"/>
        </w:rPr>
      </w:pPr>
      <w:r>
        <w:rPr>
          <w:rFonts w:hint="eastAsia" w:ascii="宋体" w:hAnsi="宋体" w:eastAsia="宋体" w:cs="宋体"/>
          <w:b/>
          <w:color w:val="auto"/>
          <w:sz w:val="32"/>
          <w:szCs w:val="28"/>
          <w:highlight w:val="none"/>
        </w:rPr>
        <w:t>投标</w:t>
      </w:r>
      <w:r>
        <w:rPr>
          <w:rFonts w:hint="eastAsia" w:ascii="宋体" w:hAnsi="宋体" w:eastAsia="宋体" w:cs="宋体"/>
          <w:b/>
          <w:color w:val="auto"/>
          <w:sz w:val="32"/>
          <w:szCs w:val="28"/>
          <w:highlight w:val="none"/>
          <w:lang w:eastAsia="zh-CN"/>
        </w:rPr>
        <w:t>函</w:t>
      </w:r>
    </w:p>
    <w:p w14:paraId="75876FF1">
      <w:pPr>
        <w:pStyle w:val="173"/>
        <w:numPr>
          <w:ilvl w:val="0"/>
          <w:numId w:val="0"/>
        </w:numPr>
        <w:rPr>
          <w:rFonts w:hint="eastAsia" w:ascii="宋体" w:hAnsi="宋体" w:eastAsia="宋体" w:cs="宋体"/>
          <w:color w:val="auto"/>
          <w:sz w:val="24"/>
          <w:szCs w:val="24"/>
          <w:highlight w:val="none"/>
        </w:rPr>
      </w:pPr>
    </w:p>
    <w:p w14:paraId="741FBB4B">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招标人：：</w:t>
      </w:r>
    </w:p>
    <w:p w14:paraId="503A519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我们收到你们的</w:t>
      </w:r>
      <w:r>
        <w:rPr>
          <w:rFonts w:hint="eastAsia" w:ascii="宋体" w:hAnsi="宋体" w:eastAsia="宋体" w:cs="宋体"/>
          <w:color w:val="auto"/>
          <w:sz w:val="24"/>
          <w:szCs w:val="24"/>
          <w:highlight w:val="none"/>
          <w:u w:val="single"/>
        </w:rPr>
        <w:t>（项目名称）（项目编号：号）</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文件，经认真研究，我们决定参加本次</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活动。</w:t>
      </w:r>
    </w:p>
    <w:p w14:paraId="4472B8FF">
      <w:pPr>
        <w:numPr>
          <w:ilvl w:val="0"/>
          <w:numId w:val="11"/>
        </w:num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1" w:name="_Toc15514"/>
      <w:r>
        <w:rPr>
          <w:rFonts w:hint="eastAsia" w:ascii="宋体" w:hAnsi="宋体" w:eastAsia="宋体" w:cs="宋体"/>
          <w:color w:val="auto"/>
          <w:sz w:val="24"/>
          <w:szCs w:val="24"/>
          <w:highlight w:val="none"/>
        </w:rPr>
        <w:t>按照</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中的一切要求，提供招标的相关服务。</w:t>
      </w:r>
      <w:bookmarkEnd w:id="291"/>
    </w:p>
    <w:p w14:paraId="3870C9C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2、如果我们的投标文件被接受，我们将履行</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中规定的每一项义务和要求，按期、按质、按量完成</w:t>
      </w:r>
      <w:r>
        <w:rPr>
          <w:rFonts w:hint="eastAsia" w:ascii="宋体" w:hAnsi="宋体" w:eastAsia="宋体" w:cs="宋体"/>
          <w:color w:val="auto"/>
          <w:sz w:val="24"/>
          <w:szCs w:val="24"/>
          <w:highlight w:val="none"/>
          <w:lang w:val="en-US" w:eastAsia="zh-CN"/>
        </w:rPr>
        <w:t>本次服务</w:t>
      </w:r>
      <w:r>
        <w:rPr>
          <w:rFonts w:hint="eastAsia" w:ascii="宋体" w:hAnsi="宋体" w:eastAsia="宋体" w:cs="宋体"/>
          <w:color w:val="auto"/>
          <w:sz w:val="24"/>
          <w:szCs w:val="24"/>
          <w:highlight w:val="none"/>
        </w:rPr>
        <w:t>。</w:t>
      </w:r>
    </w:p>
    <w:p w14:paraId="19642BB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3、我们同意按</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文件的规定，本投标文件的有效期为</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w:t>
      </w:r>
    </w:p>
    <w:p w14:paraId="6D77303C">
      <w:p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2" w:name="_Toc29996"/>
      <w:r>
        <w:rPr>
          <w:rFonts w:hint="eastAsia" w:ascii="宋体" w:hAnsi="宋体" w:eastAsia="宋体" w:cs="宋体"/>
          <w:color w:val="auto"/>
          <w:sz w:val="24"/>
          <w:szCs w:val="24"/>
          <w:highlight w:val="none"/>
        </w:rPr>
        <w:t>4、我们愿意提供招标人在</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文件中要求的所有资料。</w:t>
      </w:r>
      <w:bookmarkEnd w:id="292"/>
    </w:p>
    <w:p w14:paraId="0B4A932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5、我们认为你们有选择或拒绝任何投标者中标的权力。我们理解，最低报价不是中标的唯一条件。</w:t>
      </w:r>
    </w:p>
    <w:p w14:paraId="025D7FE8">
      <w:p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3" w:name="_Toc19169"/>
      <w:r>
        <w:rPr>
          <w:rFonts w:hint="eastAsia" w:ascii="宋体" w:hAnsi="宋体" w:eastAsia="宋体" w:cs="宋体"/>
          <w:color w:val="auto"/>
          <w:sz w:val="24"/>
          <w:szCs w:val="24"/>
          <w:highlight w:val="none"/>
        </w:rPr>
        <w:t>6、我们愿按合同法履行自己的全部责任。</w:t>
      </w:r>
      <w:bookmarkEnd w:id="293"/>
    </w:p>
    <w:p w14:paraId="41CBD9BB">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7、我们愿意遵守国家有关规定和</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文件中规定的收费标准，承付中标服务费。</w:t>
      </w:r>
    </w:p>
    <w:p w14:paraId="3A861328">
      <w:p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4" w:name="_Toc17525"/>
      <w:r>
        <w:rPr>
          <w:rFonts w:hint="eastAsia" w:ascii="宋体" w:hAnsi="宋体" w:eastAsia="宋体" w:cs="宋体"/>
          <w:color w:val="auto"/>
          <w:sz w:val="24"/>
          <w:szCs w:val="24"/>
          <w:highlight w:val="none"/>
        </w:rPr>
        <w:t>8、该项投标在开标后的全过程中保持有效，不作任何更改和变动。</w:t>
      </w:r>
      <w:bookmarkEnd w:id="294"/>
    </w:p>
    <w:p w14:paraId="124ECBD0">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9、我们同意按</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文件规定，交纳</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元的投标保证金。</w:t>
      </w:r>
    </w:p>
    <w:p w14:paraId="76C306B4">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10、其它说明。</w:t>
      </w:r>
    </w:p>
    <w:p w14:paraId="72BF218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11、所有有关本标书的函电，请按下列地址联系：</w:t>
      </w:r>
    </w:p>
    <w:p w14:paraId="7709279B">
      <w:pPr>
        <w:adjustRightInd w:val="0"/>
        <w:snapToGrid w:val="0"/>
        <w:spacing w:line="360" w:lineRule="auto"/>
        <w:ind w:firstLine="480" w:firstLineChars="20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投标单位：</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u w:val="none"/>
          <w:lang w:eastAsia="zh-CN"/>
        </w:rPr>
        <w:t>盖章</w:t>
      </w:r>
      <w:r>
        <w:rPr>
          <w:rFonts w:hint="eastAsia" w:ascii="宋体" w:hAnsi="宋体" w:eastAsia="宋体" w:cs="宋体"/>
          <w:color w:val="auto"/>
          <w:sz w:val="24"/>
          <w:szCs w:val="24"/>
          <w:highlight w:val="none"/>
          <w:u w:val="none"/>
        </w:rPr>
        <w:t>）</w:t>
      </w:r>
    </w:p>
    <w:p w14:paraId="144F30D5">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法定代表人（签字</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rPr>
        <w:t>盖章）：</w:t>
      </w:r>
    </w:p>
    <w:p w14:paraId="0DB993BB">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p>
    <w:p w14:paraId="4C1ABD29">
      <w:pPr>
        <w:adjustRightInd w:val="0"/>
        <w:snapToGrid w:val="0"/>
        <w:spacing w:line="360" w:lineRule="auto"/>
        <w:ind w:firstLine="480"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rPr>
        <w:t>联系人：</w:t>
      </w:r>
    </w:p>
    <w:p w14:paraId="1C1260AB">
      <w:pPr>
        <w:adjustRightInd w:val="0"/>
        <w:snapToGrid w:val="0"/>
        <w:spacing w:line="360" w:lineRule="auto"/>
        <w:ind w:firstLine="480"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rPr>
        <w:t>电话：</w:t>
      </w:r>
    </w:p>
    <w:p w14:paraId="51CFA3A7">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传真：</w:t>
      </w:r>
    </w:p>
    <w:p w14:paraId="4FEA3B60">
      <w:pPr>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邮政编码：</w:t>
      </w:r>
    </w:p>
    <w:p w14:paraId="7E6E5533">
      <w:pPr>
        <w:adjustRightInd w:val="0"/>
        <w:snapToGrid w:val="0"/>
        <w:spacing w:line="360" w:lineRule="auto"/>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日期：</w:t>
      </w:r>
      <w:r>
        <w:rPr>
          <w:rFonts w:hint="eastAsia" w:ascii="宋体" w:hAnsi="宋体" w:eastAsia="宋体" w:cs="宋体"/>
          <w:color w:val="auto"/>
          <w:sz w:val="24"/>
          <w:szCs w:val="24"/>
          <w:highlight w:val="none"/>
        </w:rPr>
        <w:t>年月日</w:t>
      </w:r>
    </w:p>
    <w:p w14:paraId="3335CF8A">
      <w:pPr>
        <w:pStyle w:val="20"/>
        <w:overflowPunct w:val="0"/>
        <w:snapToGrid w:val="0"/>
        <w:spacing w:line="360" w:lineRule="auto"/>
        <w:ind w:firstLine="0"/>
        <w:rPr>
          <w:rFonts w:hint="eastAsia" w:ascii="宋体" w:hAnsi="宋体" w:eastAsia="宋体" w:cs="宋体"/>
          <w:color w:val="auto"/>
          <w:sz w:val="24"/>
          <w:szCs w:val="24"/>
          <w:highlight w:val="none"/>
          <w:lang w:eastAsia="zh-CN"/>
        </w:rPr>
        <w:sectPr>
          <w:footerReference r:id="rId17" w:type="default"/>
          <w:type w:val="continuous"/>
          <w:pgSz w:w="11905" w:h="16838"/>
          <w:pgMar w:top="1304" w:right="964" w:bottom="1020" w:left="1191" w:header="567" w:footer="454" w:gutter="0"/>
          <w:pgNumType w:fmt="decimal"/>
          <w:cols w:space="720" w:num="1"/>
          <w:rtlGutter w:val="0"/>
          <w:docGrid w:type="lines" w:linePitch="317" w:charSpace="0"/>
        </w:sectPr>
      </w:pPr>
    </w:p>
    <w:p w14:paraId="4ED14BEA">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6E67DC8">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4F02D21C">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8FDAD16">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72C3076">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A014464">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AE3A08B">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7AA6F675">
      <w:pPr>
        <w:numPr>
          <w:ilvl w:val="0"/>
          <w:numId w:val="0"/>
        </w:numPr>
        <w:spacing w:line="440" w:lineRule="exact"/>
        <w:jc w:val="both"/>
        <w:rPr>
          <w:rFonts w:hint="eastAsia" w:ascii="宋体" w:hAnsi="宋体" w:eastAsia="宋体" w:cs="宋体"/>
          <w:b/>
          <w:color w:val="auto"/>
          <w:sz w:val="28"/>
          <w:szCs w:val="24"/>
          <w:highlight w:val="none"/>
          <w:lang w:val="en-US" w:eastAsia="zh-CN"/>
        </w:rPr>
      </w:pPr>
      <w:r>
        <w:rPr>
          <w:rFonts w:hint="eastAsia" w:ascii="宋体" w:hAnsi="宋体" w:eastAsia="宋体" w:cs="宋体"/>
          <w:b/>
          <w:color w:val="auto"/>
          <w:sz w:val="28"/>
          <w:szCs w:val="24"/>
          <w:highlight w:val="none"/>
          <w:lang w:val="en-US" w:eastAsia="zh-CN"/>
        </w:rPr>
        <w:t>附件二</w:t>
      </w:r>
    </w:p>
    <w:p w14:paraId="1E254862">
      <w:pPr>
        <w:numPr>
          <w:ilvl w:val="0"/>
          <w:numId w:val="0"/>
        </w:numPr>
        <w:spacing w:line="440" w:lineRule="exact"/>
        <w:jc w:val="center"/>
        <w:rPr>
          <w:rFonts w:hint="eastAsia" w:ascii="宋体" w:hAnsi="宋体" w:eastAsia="宋体" w:cs="宋体"/>
          <w:b/>
          <w:color w:val="auto"/>
          <w:sz w:val="32"/>
          <w:szCs w:val="28"/>
          <w:highlight w:val="none"/>
        </w:rPr>
      </w:pPr>
      <w:r>
        <w:rPr>
          <w:rFonts w:hint="eastAsia" w:ascii="宋体" w:hAnsi="宋体" w:eastAsia="宋体" w:cs="宋体"/>
          <w:b/>
          <w:color w:val="auto"/>
          <w:sz w:val="32"/>
          <w:szCs w:val="28"/>
          <w:highlight w:val="none"/>
        </w:rPr>
        <w:t>开标一览表</w:t>
      </w:r>
    </w:p>
    <w:p w14:paraId="3B7D51CE">
      <w:pPr>
        <w:pStyle w:val="90"/>
        <w:rPr>
          <w:rFonts w:hint="eastAsia" w:ascii="宋体" w:hAnsi="宋体" w:eastAsia="宋体" w:cs="宋体"/>
          <w:color w:val="auto"/>
          <w:highlight w:val="none"/>
        </w:rPr>
      </w:pPr>
    </w:p>
    <w:p w14:paraId="4312EDDF">
      <w:pPr>
        <w:pStyle w:val="90"/>
        <w:rPr>
          <w:rFonts w:hint="eastAsia" w:ascii="宋体" w:hAnsi="宋体" w:eastAsia="宋体" w:cs="宋体"/>
          <w:color w:val="auto"/>
          <w:highlight w:val="none"/>
        </w:rPr>
      </w:pPr>
    </w:p>
    <w:p w14:paraId="0651CF1D">
      <w:pPr>
        <w:spacing w:line="370" w:lineRule="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项目名称：</w:t>
      </w:r>
    </w:p>
    <w:p w14:paraId="6120BC1B">
      <w:pPr>
        <w:spacing w:before="227" w:line="185" w:lineRule="auto"/>
        <w:ind w:firstLine="617"/>
        <w:rPr>
          <w:rFonts w:hint="eastAsia" w:ascii="宋体" w:hAnsi="宋体" w:eastAsia="宋体" w:cs="宋体"/>
          <w:color w:val="auto"/>
          <w:spacing w:val="1"/>
          <w:sz w:val="24"/>
          <w:szCs w:val="24"/>
          <w:highlight w:val="none"/>
          <w:u w:val="single" w:color="auto"/>
          <w:lang w:eastAsia="zh-CN"/>
        </w:rPr>
      </w:pPr>
      <w:r>
        <w:rPr>
          <w:rFonts w:hint="eastAsia" w:ascii="宋体" w:hAnsi="宋体" w:eastAsia="宋体" w:cs="宋体"/>
          <w:color w:val="auto"/>
          <w:sz w:val="24"/>
          <w:szCs w:val="24"/>
          <w:highlight w:val="none"/>
        </w:rPr>
        <w:t>项目编号：</w:t>
      </w:r>
    </w:p>
    <w:p w14:paraId="20C48221">
      <w:pPr>
        <w:pStyle w:val="20"/>
        <w:rPr>
          <w:rFonts w:hint="eastAsia" w:ascii="宋体" w:hAnsi="宋体" w:eastAsia="宋体" w:cs="宋体"/>
          <w:color w:val="auto"/>
          <w:sz w:val="24"/>
          <w:szCs w:val="24"/>
          <w:highlight w:val="none"/>
        </w:rPr>
      </w:pPr>
    </w:p>
    <w:tbl>
      <w:tblPr>
        <w:tblStyle w:val="72"/>
        <w:tblW w:w="9577" w:type="dxa"/>
        <w:tblInd w:w="-61" w:type="dxa"/>
        <w:tblLayout w:type="fixed"/>
        <w:tblCellMar>
          <w:top w:w="0" w:type="dxa"/>
          <w:left w:w="0" w:type="dxa"/>
          <w:bottom w:w="0" w:type="dxa"/>
          <w:right w:w="0" w:type="dxa"/>
        </w:tblCellMar>
      </w:tblPr>
      <w:tblGrid>
        <w:gridCol w:w="1850"/>
        <w:gridCol w:w="3049"/>
        <w:gridCol w:w="1883"/>
        <w:gridCol w:w="1324"/>
        <w:gridCol w:w="1471"/>
      </w:tblGrid>
      <w:tr w14:paraId="7B6610A3">
        <w:tblPrEx>
          <w:tblCellMar>
            <w:top w:w="0" w:type="dxa"/>
            <w:left w:w="0" w:type="dxa"/>
            <w:bottom w:w="0" w:type="dxa"/>
            <w:right w:w="0" w:type="dxa"/>
          </w:tblCellMar>
        </w:tblPrEx>
        <w:trPr>
          <w:trHeight w:val="701" w:hRule="atLeast"/>
        </w:trPr>
        <w:tc>
          <w:tcPr>
            <w:tcW w:w="1850" w:type="dxa"/>
            <w:tcBorders>
              <w:top w:val="single" w:color="auto" w:sz="4" w:space="0"/>
              <w:left w:val="single" w:color="auto" w:sz="4" w:space="0"/>
              <w:bottom w:val="single" w:color="auto" w:sz="8" w:space="0"/>
              <w:right w:val="single" w:color="auto" w:sz="4" w:space="0"/>
            </w:tcBorders>
            <w:vAlign w:val="center"/>
          </w:tcPr>
          <w:p w14:paraId="48C30777">
            <w:pPr>
              <w:tabs>
                <w:tab w:val="left" w:pos="5580"/>
              </w:tabs>
              <w:spacing w:line="240" w:lineRule="atLeast"/>
              <w:ind w:right="-1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标项名称</w:t>
            </w:r>
          </w:p>
        </w:tc>
        <w:tc>
          <w:tcPr>
            <w:tcW w:w="3049" w:type="dxa"/>
            <w:tcBorders>
              <w:top w:val="single" w:color="auto" w:sz="4" w:space="0"/>
              <w:left w:val="single" w:color="auto" w:sz="8" w:space="0"/>
              <w:bottom w:val="single" w:color="auto" w:sz="8" w:space="0"/>
              <w:right w:val="single" w:color="auto" w:sz="4" w:space="0"/>
            </w:tcBorders>
            <w:vAlign w:val="center"/>
          </w:tcPr>
          <w:p w14:paraId="2B2D47E3">
            <w:pPr>
              <w:tabs>
                <w:tab w:val="left" w:pos="5580"/>
              </w:tabs>
              <w:spacing w:line="240" w:lineRule="atLeas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en-US" w:eastAsia="zh-CN"/>
              </w:rPr>
              <w:t>下浮率</w:t>
            </w:r>
          </w:p>
        </w:tc>
        <w:tc>
          <w:tcPr>
            <w:tcW w:w="1883" w:type="dxa"/>
            <w:tcBorders>
              <w:top w:val="single" w:color="auto" w:sz="8" w:space="0"/>
              <w:left w:val="nil"/>
              <w:bottom w:val="single" w:color="auto" w:sz="8" w:space="0"/>
              <w:right w:val="single" w:color="auto" w:sz="4" w:space="0"/>
            </w:tcBorders>
            <w:vAlign w:val="center"/>
          </w:tcPr>
          <w:p w14:paraId="7C5E1EA4">
            <w:pPr>
              <w:tabs>
                <w:tab w:val="left" w:pos="5580"/>
              </w:tabs>
              <w:spacing w:line="24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履约期限</w:t>
            </w:r>
          </w:p>
        </w:tc>
        <w:tc>
          <w:tcPr>
            <w:tcW w:w="1324" w:type="dxa"/>
            <w:tcBorders>
              <w:top w:val="single" w:color="auto" w:sz="8" w:space="0"/>
              <w:left w:val="nil"/>
              <w:bottom w:val="single" w:color="auto" w:sz="8" w:space="0"/>
              <w:right w:val="single" w:color="auto" w:sz="4" w:space="0"/>
            </w:tcBorders>
            <w:vAlign w:val="center"/>
          </w:tcPr>
          <w:p w14:paraId="380609E6">
            <w:pPr>
              <w:tabs>
                <w:tab w:val="left" w:pos="5580"/>
              </w:tabs>
              <w:spacing w:line="24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履约地点</w:t>
            </w:r>
          </w:p>
        </w:tc>
        <w:tc>
          <w:tcPr>
            <w:tcW w:w="1471" w:type="dxa"/>
            <w:tcBorders>
              <w:top w:val="single" w:color="auto" w:sz="8" w:space="0"/>
              <w:left w:val="single" w:color="auto" w:sz="4" w:space="0"/>
              <w:bottom w:val="single" w:color="auto" w:sz="8" w:space="0"/>
              <w:right w:val="single" w:color="auto" w:sz="8" w:space="0"/>
            </w:tcBorders>
            <w:vAlign w:val="center"/>
          </w:tcPr>
          <w:p w14:paraId="6E589DDA">
            <w:pPr>
              <w:tabs>
                <w:tab w:val="left" w:pos="5580"/>
              </w:tabs>
              <w:spacing w:line="24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6AD04F5E">
        <w:tblPrEx>
          <w:tblCellMar>
            <w:top w:w="0" w:type="dxa"/>
            <w:left w:w="0" w:type="dxa"/>
            <w:bottom w:w="0" w:type="dxa"/>
            <w:right w:w="0" w:type="dxa"/>
          </w:tblCellMar>
        </w:tblPrEx>
        <w:trPr>
          <w:cantSplit/>
          <w:trHeight w:val="1716" w:hRule="atLeast"/>
        </w:trPr>
        <w:tc>
          <w:tcPr>
            <w:tcW w:w="1850" w:type="dxa"/>
            <w:tcBorders>
              <w:top w:val="single" w:color="auto" w:sz="8" w:space="0"/>
              <w:left w:val="single" w:color="auto" w:sz="4" w:space="0"/>
              <w:bottom w:val="single" w:color="auto" w:sz="4" w:space="0"/>
              <w:right w:val="single" w:color="auto" w:sz="4" w:space="0"/>
            </w:tcBorders>
            <w:vAlign w:val="center"/>
          </w:tcPr>
          <w:p w14:paraId="794F4740">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和田地区洛浦县维吾尔医医院饮片类、辅料及药包材采购项目（包</w:t>
            </w:r>
            <w:r>
              <w:rPr>
                <w:rFonts w:hint="eastAsia" w:ascii="宋体" w:hAnsi="宋体" w:eastAsia="宋体" w:cs="宋体"/>
                <w:color w:val="auto"/>
                <w:sz w:val="24"/>
                <w:szCs w:val="24"/>
                <w:highlight w:val="none"/>
                <w:lang w:val="en-US" w:eastAsia="zh-CN"/>
              </w:rPr>
              <w:t>七）</w:t>
            </w:r>
          </w:p>
        </w:tc>
        <w:tc>
          <w:tcPr>
            <w:tcW w:w="3049" w:type="dxa"/>
            <w:tcBorders>
              <w:top w:val="single" w:color="auto" w:sz="8" w:space="0"/>
              <w:left w:val="single" w:color="auto" w:sz="8" w:space="0"/>
              <w:bottom w:val="single" w:color="auto" w:sz="4" w:space="0"/>
              <w:right w:val="single" w:color="auto" w:sz="4" w:space="0"/>
            </w:tcBorders>
            <w:vAlign w:val="center"/>
          </w:tcPr>
          <w:p w14:paraId="7F70785C">
            <w:pPr>
              <w:tabs>
                <w:tab w:val="left" w:pos="5580"/>
              </w:tabs>
              <w:spacing w:line="240" w:lineRule="atLeast"/>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下浮率</w:t>
            </w:r>
            <w:r>
              <w:rPr>
                <w:rFonts w:hint="eastAsia" w:ascii="宋体" w:hAnsi="宋体" w:eastAsia="宋体" w:cs="宋体"/>
                <w:color w:val="auto"/>
                <w:sz w:val="24"/>
                <w:szCs w:val="24"/>
                <w:highlight w:val="none"/>
              </w:rPr>
              <w:t>大写：</w:t>
            </w:r>
          </w:p>
          <w:p w14:paraId="48E1A5DD">
            <w:pPr>
              <w:tabs>
                <w:tab w:val="left" w:pos="5580"/>
              </w:tabs>
              <w:spacing w:line="240" w:lineRule="atLeast"/>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下浮率</w:t>
            </w:r>
            <w:r>
              <w:rPr>
                <w:rFonts w:hint="eastAsia" w:ascii="宋体" w:hAnsi="宋体" w:eastAsia="宋体" w:cs="宋体"/>
                <w:color w:val="auto"/>
                <w:sz w:val="24"/>
                <w:szCs w:val="24"/>
                <w:highlight w:val="none"/>
              </w:rPr>
              <w:t>小写：</w:t>
            </w:r>
          </w:p>
        </w:tc>
        <w:tc>
          <w:tcPr>
            <w:tcW w:w="1883" w:type="dxa"/>
            <w:tcBorders>
              <w:top w:val="single" w:color="auto" w:sz="8" w:space="0"/>
              <w:left w:val="nil"/>
              <w:bottom w:val="single" w:color="auto" w:sz="4" w:space="0"/>
              <w:right w:val="single" w:color="auto" w:sz="4" w:space="0"/>
            </w:tcBorders>
            <w:vAlign w:val="center"/>
          </w:tcPr>
          <w:p w14:paraId="0B650768">
            <w:pPr>
              <w:tabs>
                <w:tab w:val="left" w:pos="5580"/>
              </w:tabs>
              <w:spacing w:line="240" w:lineRule="atLeast"/>
              <w:ind w:left="660" w:leftChars="257" w:hanging="54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1年</w:t>
            </w:r>
          </w:p>
        </w:tc>
        <w:tc>
          <w:tcPr>
            <w:tcW w:w="1324" w:type="dxa"/>
            <w:tcBorders>
              <w:top w:val="single" w:color="auto" w:sz="8" w:space="0"/>
              <w:left w:val="nil"/>
              <w:bottom w:val="single" w:color="auto" w:sz="4" w:space="0"/>
              <w:right w:val="single" w:color="auto" w:sz="4" w:space="0"/>
            </w:tcBorders>
            <w:vAlign w:val="center"/>
          </w:tcPr>
          <w:p w14:paraId="35471AF3">
            <w:pPr>
              <w:tabs>
                <w:tab w:val="left" w:pos="5580"/>
              </w:tabs>
              <w:spacing w:line="240" w:lineRule="atLeast"/>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洛浦县</w:t>
            </w:r>
          </w:p>
        </w:tc>
        <w:tc>
          <w:tcPr>
            <w:tcW w:w="1471" w:type="dxa"/>
            <w:tcBorders>
              <w:top w:val="single" w:color="auto" w:sz="8" w:space="0"/>
              <w:left w:val="single" w:color="auto" w:sz="4" w:space="0"/>
              <w:bottom w:val="single" w:color="auto" w:sz="4" w:space="0"/>
              <w:right w:val="single" w:color="auto" w:sz="8" w:space="0"/>
            </w:tcBorders>
            <w:vAlign w:val="center"/>
          </w:tcPr>
          <w:p w14:paraId="3E82A462">
            <w:pPr>
              <w:tabs>
                <w:tab w:val="left" w:pos="5580"/>
              </w:tabs>
              <w:spacing w:line="240" w:lineRule="atLeast"/>
              <w:ind w:left="660" w:leftChars="257" w:hanging="540"/>
              <w:jc w:val="center"/>
              <w:rPr>
                <w:rFonts w:hint="eastAsia" w:ascii="宋体" w:hAnsi="宋体" w:eastAsia="宋体" w:cs="宋体"/>
                <w:color w:val="auto"/>
                <w:sz w:val="24"/>
                <w:szCs w:val="24"/>
                <w:highlight w:val="none"/>
              </w:rPr>
            </w:pPr>
          </w:p>
        </w:tc>
      </w:tr>
    </w:tbl>
    <w:p w14:paraId="1A0D4B60">
      <w:pPr>
        <w:pStyle w:val="20"/>
        <w:rPr>
          <w:rFonts w:hint="eastAsia" w:ascii="宋体" w:hAnsi="宋体" w:eastAsia="宋体" w:cs="宋体"/>
          <w:color w:val="auto"/>
          <w:sz w:val="24"/>
          <w:szCs w:val="24"/>
          <w:highlight w:val="none"/>
        </w:rPr>
      </w:pPr>
    </w:p>
    <w:p w14:paraId="09E1E76A">
      <w:pPr>
        <w:adjustRightInd w:val="0"/>
        <w:snapToGrid w:val="0"/>
        <w:spacing w:line="360" w:lineRule="auto"/>
        <w:ind w:left="0" w:leftChars="0" w:firstLine="0" w:firstLineChars="0"/>
        <w:rPr>
          <w:rFonts w:hint="eastAsia" w:ascii="宋体" w:hAnsi="宋体" w:eastAsia="宋体" w:cs="宋体"/>
          <w:color w:val="auto"/>
          <w:sz w:val="24"/>
          <w:szCs w:val="24"/>
          <w:highlight w:val="none"/>
        </w:rPr>
      </w:pPr>
    </w:p>
    <w:p w14:paraId="5843CFCA">
      <w:pPr>
        <w:adjustRightInd w:val="0"/>
        <w:snapToGrid w:val="0"/>
        <w:spacing w:line="360" w:lineRule="auto"/>
        <w:ind w:firstLine="480" w:firstLineChars="200"/>
        <w:rPr>
          <w:rFonts w:hint="eastAsia" w:ascii="宋体" w:hAnsi="宋体" w:eastAsia="宋体" w:cs="宋体"/>
          <w:color w:val="auto"/>
          <w:sz w:val="24"/>
          <w:szCs w:val="24"/>
          <w:highlight w:val="none"/>
        </w:rPr>
      </w:pPr>
    </w:p>
    <w:p w14:paraId="5D32F7A3">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投标人名称（</w:t>
      </w:r>
      <w:r>
        <w:rPr>
          <w:rFonts w:hint="eastAsia" w:ascii="宋体" w:hAnsi="宋体" w:eastAsia="宋体" w:cs="宋体"/>
          <w:color w:val="auto"/>
          <w:sz w:val="24"/>
          <w:szCs w:val="24"/>
          <w:highlight w:val="none"/>
          <w:lang w:eastAsia="zh-CN"/>
        </w:rPr>
        <w:t>盖章</w:t>
      </w:r>
      <w:r>
        <w:rPr>
          <w:rFonts w:hint="eastAsia" w:ascii="宋体" w:hAnsi="宋体" w:eastAsia="宋体" w:cs="宋体"/>
          <w:color w:val="auto"/>
          <w:sz w:val="24"/>
          <w:szCs w:val="24"/>
          <w:highlight w:val="none"/>
        </w:rPr>
        <w:t>）：</w:t>
      </w:r>
    </w:p>
    <w:p w14:paraId="5485EFFC">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273B59B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日期：年月日</w:t>
      </w:r>
    </w:p>
    <w:p w14:paraId="64D1F8F4">
      <w:pPr>
        <w:adjustRightInd w:val="0"/>
        <w:snapToGrid w:val="0"/>
        <w:spacing w:line="360" w:lineRule="auto"/>
        <w:ind w:firstLine="480" w:firstLineChars="200"/>
        <w:rPr>
          <w:rFonts w:hint="eastAsia" w:ascii="宋体" w:hAnsi="宋体" w:eastAsia="宋体" w:cs="宋体"/>
          <w:color w:val="auto"/>
          <w:sz w:val="24"/>
          <w:szCs w:val="24"/>
          <w:highlight w:val="none"/>
        </w:rPr>
      </w:pPr>
    </w:p>
    <w:p w14:paraId="7ABFEA8D">
      <w:pPr>
        <w:adjustRightInd w:val="0"/>
        <w:snapToGrid w:val="0"/>
        <w:spacing w:line="360" w:lineRule="auto"/>
        <w:ind w:firstLine="480" w:firstLineChars="200"/>
        <w:rPr>
          <w:rFonts w:hint="eastAsia" w:ascii="宋体" w:hAnsi="宋体" w:eastAsia="宋体" w:cs="宋体"/>
          <w:color w:val="auto"/>
          <w:sz w:val="24"/>
          <w:szCs w:val="24"/>
          <w:highlight w:val="none"/>
        </w:rPr>
      </w:pPr>
    </w:p>
    <w:p w14:paraId="0851495B">
      <w:pPr>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注：</w:t>
      </w:r>
      <w:r>
        <w:rPr>
          <w:rFonts w:hint="eastAsia" w:ascii="宋体" w:hAnsi="宋体" w:eastAsia="宋体" w:cs="宋体"/>
          <w:color w:val="auto"/>
          <w:sz w:val="24"/>
          <w:szCs w:val="24"/>
          <w:highlight w:val="none"/>
          <w:lang w:val="en-US" w:eastAsia="zh-CN"/>
        </w:rPr>
        <w:t>1、单项报价不得超过各品类单项最高限价，总价不得超过本项目最高限价，否则做无效报价处理。</w:t>
      </w:r>
    </w:p>
    <w:p w14:paraId="652CD80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、任何有选择或有条件的投标总价或表中某一包填写多个报价，均将导致投标被拒绝；</w:t>
      </w:r>
    </w:p>
    <w:p w14:paraId="210578BC">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、投标报价包含完成服务成果的一切费用、售后维护费用、税费等</w:t>
      </w:r>
    </w:p>
    <w:p w14:paraId="6B2BCF7A">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、报价为含税金额，税票为增值税专用发票。</w:t>
      </w:r>
    </w:p>
    <w:p w14:paraId="0D7ECB14">
      <w:pPr>
        <w:spacing w:line="360" w:lineRule="auto"/>
        <w:ind w:left="210" w:leftChars="100"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、大写标注：壹、贰、叁、肆、伍、陆、柒、捌、玖、拾、佰、仟、万、亿。</w:t>
      </w:r>
    </w:p>
    <w:p w14:paraId="27C19B9B">
      <w:pPr>
        <w:pStyle w:val="90"/>
        <w:rPr>
          <w:rFonts w:hint="eastAsia" w:ascii="宋体" w:hAnsi="宋体" w:eastAsia="宋体" w:cs="宋体"/>
          <w:color w:val="auto"/>
          <w:sz w:val="24"/>
          <w:szCs w:val="24"/>
          <w:highlight w:val="none"/>
          <w:lang w:eastAsia="zh-CN"/>
        </w:rPr>
        <w:sectPr>
          <w:footerReference r:id="rId18" w:type="default"/>
          <w:type w:val="continuous"/>
          <w:pgSz w:w="11905" w:h="16838"/>
          <w:pgMar w:top="1304" w:right="964" w:bottom="1020" w:left="1191" w:header="567" w:footer="454" w:gutter="0"/>
          <w:pgNumType w:fmt="decimal"/>
          <w:cols w:space="720" w:num="1"/>
          <w:rtlGutter w:val="0"/>
          <w:docGrid w:type="lines" w:linePitch="317" w:charSpace="0"/>
        </w:sectPr>
      </w:pPr>
    </w:p>
    <w:p w14:paraId="77056D7F">
      <w:pPr>
        <w:rPr>
          <w:rFonts w:hint="eastAsia" w:ascii="宋体" w:hAnsi="宋体" w:eastAsia="宋体" w:cs="宋体"/>
          <w:b/>
          <w:color w:val="auto"/>
          <w:sz w:val="28"/>
          <w:szCs w:val="24"/>
          <w:highlight w:val="none"/>
          <w:lang w:val="en-US" w:eastAsia="zh-CN"/>
        </w:rPr>
      </w:pPr>
      <w:bookmarkStart w:id="295" w:name="_Toc23314"/>
      <w:bookmarkStart w:id="296" w:name="_Toc8739"/>
      <w:r>
        <w:rPr>
          <w:rFonts w:hint="eastAsia" w:ascii="宋体" w:hAnsi="宋体" w:eastAsia="宋体" w:cs="宋体"/>
          <w:b/>
          <w:color w:val="auto"/>
          <w:sz w:val="28"/>
          <w:szCs w:val="24"/>
          <w:highlight w:val="none"/>
          <w:lang w:val="en-US" w:eastAsia="zh-CN"/>
        </w:rPr>
        <w:br w:type="page"/>
      </w:r>
    </w:p>
    <w:p w14:paraId="121A0E6E">
      <w:pPr>
        <w:numPr>
          <w:ilvl w:val="0"/>
          <w:numId w:val="0"/>
        </w:numPr>
        <w:spacing w:line="440" w:lineRule="exact"/>
        <w:jc w:val="left"/>
        <w:rPr>
          <w:rFonts w:hint="eastAsia" w:ascii="宋体" w:hAnsi="宋体" w:eastAsia="宋体" w:cs="宋体"/>
          <w:b/>
          <w:color w:val="auto"/>
          <w:sz w:val="28"/>
          <w:szCs w:val="24"/>
          <w:highlight w:val="none"/>
          <w:lang w:val="en-US" w:eastAsia="zh-CN"/>
        </w:rPr>
      </w:pPr>
      <w:r>
        <w:rPr>
          <w:rFonts w:hint="eastAsia" w:ascii="宋体" w:hAnsi="宋体" w:eastAsia="宋体" w:cs="宋体"/>
          <w:b/>
          <w:color w:val="auto"/>
          <w:sz w:val="28"/>
          <w:szCs w:val="24"/>
          <w:highlight w:val="none"/>
          <w:lang w:val="en-US" w:eastAsia="zh-CN"/>
        </w:rPr>
        <w:t>附件三</w:t>
      </w:r>
    </w:p>
    <w:p w14:paraId="4EAE2FCD">
      <w:pPr>
        <w:numPr>
          <w:ilvl w:val="0"/>
          <w:numId w:val="0"/>
        </w:numPr>
        <w:spacing w:line="440" w:lineRule="exact"/>
        <w:jc w:val="center"/>
        <w:rPr>
          <w:rFonts w:hint="eastAsia" w:ascii="宋体" w:hAnsi="宋体" w:eastAsia="宋体" w:cs="宋体"/>
          <w:b/>
          <w:color w:val="auto"/>
          <w:sz w:val="32"/>
          <w:szCs w:val="28"/>
          <w:highlight w:val="none"/>
          <w:lang w:val="en-US" w:eastAsia="zh-CN"/>
        </w:rPr>
      </w:pPr>
      <w:r>
        <w:rPr>
          <w:rFonts w:hint="eastAsia" w:ascii="宋体" w:hAnsi="宋体" w:eastAsia="宋体" w:cs="宋体"/>
          <w:b/>
          <w:color w:val="auto"/>
          <w:sz w:val="32"/>
          <w:szCs w:val="28"/>
          <w:highlight w:val="none"/>
          <w:lang w:val="en-US" w:eastAsia="zh-CN"/>
        </w:rPr>
        <w:t>投标报价明细表</w:t>
      </w:r>
    </w:p>
    <w:p w14:paraId="7836389F">
      <w:pPr>
        <w:spacing w:line="370" w:lineRule="auto"/>
        <w:jc w:val="left"/>
        <w:rPr>
          <w:rFonts w:hint="eastAsia" w:ascii="宋体" w:hAnsi="宋体" w:eastAsia="宋体" w:cs="宋体"/>
          <w:color w:val="auto"/>
          <w:spacing w:val="-2"/>
          <w:sz w:val="24"/>
          <w:szCs w:val="24"/>
          <w:highlight w:val="none"/>
          <w:u w:val="single"/>
          <w:lang w:val="en-US"/>
        </w:rPr>
      </w:pPr>
      <w:r>
        <w:rPr>
          <w:rFonts w:hint="eastAsia" w:ascii="宋体" w:hAnsi="宋体" w:eastAsia="宋体" w:cs="宋体"/>
          <w:color w:val="auto"/>
          <w:sz w:val="24"/>
          <w:szCs w:val="24"/>
          <w:highlight w:val="none"/>
          <w:lang w:val="en-US" w:eastAsia="zh-CN"/>
        </w:rPr>
        <w:t>项目名称：</w:t>
      </w:r>
    </w:p>
    <w:p w14:paraId="76DC4A40">
      <w:pPr>
        <w:spacing w:before="150" w:line="185" w:lineRule="auto"/>
        <w:ind w:firstLine="605"/>
        <w:jc w:val="left"/>
        <w:rPr>
          <w:rFonts w:hint="eastAsia" w:ascii="宋体" w:hAnsi="宋体" w:eastAsia="宋体" w:cs="宋体"/>
          <w:color w:val="auto"/>
          <w:spacing w:val="2"/>
          <w:sz w:val="24"/>
          <w:szCs w:val="24"/>
          <w:highlight w:val="none"/>
          <w:u w:val="single" w:color="auto"/>
        </w:rPr>
      </w:pPr>
      <w:r>
        <w:rPr>
          <w:rFonts w:hint="eastAsia" w:ascii="宋体" w:hAnsi="宋体" w:eastAsia="宋体" w:cs="宋体"/>
          <w:color w:val="auto"/>
          <w:spacing w:val="-2"/>
          <w:sz w:val="24"/>
          <w:szCs w:val="24"/>
          <w:highlight w:val="none"/>
        </w:rPr>
        <w:t>项目编号：</w:t>
      </w:r>
    </w:p>
    <w:p w14:paraId="3F5BFA94">
      <w:pPr>
        <w:spacing w:line="234" w:lineRule="exact"/>
        <w:jc w:val="left"/>
        <w:rPr>
          <w:rFonts w:hint="eastAsia" w:ascii="宋体" w:hAnsi="宋体" w:eastAsia="宋体" w:cs="宋体"/>
          <w:color w:val="auto"/>
          <w:sz w:val="24"/>
          <w:szCs w:val="24"/>
          <w:highlight w:val="none"/>
        </w:rPr>
      </w:pPr>
    </w:p>
    <w:tbl>
      <w:tblPr>
        <w:tblStyle w:val="174"/>
        <w:tblW w:w="925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0"/>
        <w:gridCol w:w="972"/>
        <w:gridCol w:w="1755"/>
        <w:gridCol w:w="886"/>
        <w:gridCol w:w="886"/>
        <w:gridCol w:w="928"/>
        <w:gridCol w:w="1069"/>
        <w:gridCol w:w="1987"/>
      </w:tblGrid>
      <w:tr w14:paraId="1DED35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3" w:hRule="atLeast"/>
          <w:jc w:val="center"/>
        </w:trPr>
        <w:tc>
          <w:tcPr>
            <w:tcW w:w="770" w:type="dxa"/>
            <w:noWrap w:val="0"/>
            <w:vAlign w:val="center"/>
          </w:tcPr>
          <w:p w14:paraId="7EC653D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序号</w:t>
            </w:r>
          </w:p>
        </w:tc>
        <w:tc>
          <w:tcPr>
            <w:tcW w:w="972" w:type="dxa"/>
            <w:noWrap w:val="0"/>
            <w:vAlign w:val="center"/>
          </w:tcPr>
          <w:p w14:paraId="52FDE56F">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标的名称</w:t>
            </w:r>
          </w:p>
        </w:tc>
        <w:tc>
          <w:tcPr>
            <w:tcW w:w="1755" w:type="dxa"/>
            <w:noWrap w:val="0"/>
            <w:vAlign w:val="center"/>
          </w:tcPr>
          <w:p w14:paraId="294A948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规格/服务要求</w:t>
            </w:r>
          </w:p>
        </w:tc>
        <w:tc>
          <w:tcPr>
            <w:tcW w:w="886" w:type="dxa"/>
            <w:noWrap w:val="0"/>
            <w:vAlign w:val="center"/>
          </w:tcPr>
          <w:p w14:paraId="238C011E">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产地</w:t>
            </w:r>
          </w:p>
        </w:tc>
        <w:tc>
          <w:tcPr>
            <w:tcW w:w="886" w:type="dxa"/>
            <w:noWrap w:val="0"/>
            <w:vAlign w:val="center"/>
          </w:tcPr>
          <w:p w14:paraId="242083E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928" w:type="dxa"/>
            <w:noWrap w:val="0"/>
            <w:vAlign w:val="center"/>
          </w:tcPr>
          <w:p w14:paraId="15747C5A">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下浮率%</w:t>
            </w:r>
          </w:p>
        </w:tc>
        <w:tc>
          <w:tcPr>
            <w:tcW w:w="1069" w:type="dxa"/>
            <w:noWrap w:val="0"/>
            <w:vAlign w:val="center"/>
          </w:tcPr>
          <w:p w14:paraId="196CF779">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制造商</w:t>
            </w:r>
          </w:p>
        </w:tc>
        <w:tc>
          <w:tcPr>
            <w:tcW w:w="1987" w:type="dxa"/>
            <w:noWrap w:val="0"/>
            <w:vAlign w:val="center"/>
          </w:tcPr>
          <w:p w14:paraId="1E459C2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tc>
      </w:tr>
      <w:tr w14:paraId="0F7F3B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5EC5C30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70A9EBC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0470760A">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4D90E1BB">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5FC0743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7E6C4BB9">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12D5BEA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52542019">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29A1A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63DBC6A4">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4D51A46B">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0351EBD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4A89052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5481B055">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1BE5D66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2AB34E6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12826AC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50187C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770" w:type="dxa"/>
            <w:noWrap w:val="0"/>
            <w:vAlign w:val="top"/>
          </w:tcPr>
          <w:p w14:paraId="41339C95">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1D8A9E0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21DF4A7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5D94CEF2">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3964EC5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773DD82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2696FB94">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5116311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00FDB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31C68E62">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647C5CC0">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2575C9A5">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75A66EC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61D65CD6">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121130A0">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43A9078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26B9A762">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79DFA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73FD326A">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4367E1B1">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5DAF6AA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3B9DD82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204FEEC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26F24CE6">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6877027B">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7139054A">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7EE66B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03E75FC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46C82196">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1868F2E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01BFDFD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35A7A3B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3365E03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1543463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47A9A22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048ADB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742" w:type="dxa"/>
            <w:gridSpan w:val="2"/>
            <w:noWrap w:val="0"/>
            <w:vAlign w:val="top"/>
          </w:tcPr>
          <w:p w14:paraId="59CB5CEE">
            <w:pPr>
              <w:snapToGrid w:val="0"/>
              <w:spacing w:line="400" w:lineRule="exact"/>
              <w:ind w:left="120" w:leftChars="0" w:right="62" w:rightChars="0" w:hanging="120" w:hangingChars="50"/>
              <w:jc w:val="center"/>
              <w:rPr>
                <w:rFonts w:hint="eastAsia" w:ascii="宋体" w:hAnsi="宋体" w:cs="宋体"/>
                <w:color w:val="auto"/>
                <w:sz w:val="24"/>
                <w:szCs w:val="24"/>
                <w:highlight w:val="none"/>
                <w:lang w:val="en-US" w:eastAsia="zh-CN"/>
              </w:rPr>
            </w:pPr>
          </w:p>
          <w:p w14:paraId="018554D3">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投标下浮率</w:t>
            </w:r>
          </w:p>
        </w:tc>
        <w:tc>
          <w:tcPr>
            <w:tcW w:w="7511" w:type="dxa"/>
            <w:gridSpan w:val="6"/>
            <w:noWrap w:val="0"/>
            <w:vAlign w:val="top"/>
          </w:tcPr>
          <w:p w14:paraId="50004782">
            <w:pPr>
              <w:snapToGrid w:val="0"/>
              <w:spacing w:line="400" w:lineRule="exact"/>
              <w:ind w:left="120" w:leftChars="0" w:right="62" w:rightChars="0" w:hanging="120" w:hangingChars="50"/>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小写：</w:t>
            </w:r>
          </w:p>
          <w:p w14:paraId="0EE316B4">
            <w:pPr>
              <w:pStyle w:val="8"/>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大写：</w:t>
            </w:r>
          </w:p>
          <w:p w14:paraId="65669763">
            <w:pPr>
              <w:jc w:val="right"/>
              <w:rPr>
                <w:rFonts w:hint="default"/>
                <w:highlight w:val="none"/>
                <w:lang w:val="en-US" w:eastAsia="zh-CN"/>
              </w:rPr>
            </w:pPr>
            <w:r>
              <w:rPr>
                <w:rFonts w:hint="eastAsia" w:ascii="宋体" w:hAnsi="宋体" w:cs="宋体"/>
                <w:color w:val="auto"/>
                <w:sz w:val="24"/>
                <w:szCs w:val="24"/>
                <w:highlight w:val="none"/>
                <w:lang w:val="en-US" w:eastAsia="zh-CN"/>
              </w:rPr>
              <w:t>日期：</w:t>
            </w:r>
          </w:p>
        </w:tc>
      </w:tr>
      <w:tr w14:paraId="1EA157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5352062C">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备注</w:t>
            </w:r>
          </w:p>
        </w:tc>
        <w:tc>
          <w:tcPr>
            <w:tcW w:w="8483" w:type="dxa"/>
            <w:gridSpan w:val="7"/>
            <w:noWrap w:val="0"/>
            <w:vAlign w:val="top"/>
          </w:tcPr>
          <w:p w14:paraId="7C7478B0">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bl>
    <w:p w14:paraId="02F0F95E">
      <w:pPr>
        <w:rPr>
          <w:color w:val="auto"/>
          <w:highlight w:val="none"/>
        </w:rPr>
      </w:pPr>
    </w:p>
    <w:p w14:paraId="4E388252">
      <w:pPr>
        <w:spacing w:line="245" w:lineRule="auto"/>
        <w:jc w:val="left"/>
        <w:rPr>
          <w:rFonts w:hint="eastAsia" w:ascii="宋体" w:hAnsi="宋体" w:eastAsia="宋体" w:cs="宋体"/>
          <w:color w:val="auto"/>
          <w:sz w:val="24"/>
          <w:szCs w:val="24"/>
          <w:highlight w:val="none"/>
        </w:rPr>
      </w:pPr>
    </w:p>
    <w:p w14:paraId="46D79621">
      <w:pPr>
        <w:spacing w:line="245" w:lineRule="auto"/>
        <w:jc w:val="left"/>
        <w:rPr>
          <w:rFonts w:hint="eastAsia" w:ascii="宋体" w:hAnsi="宋体" w:eastAsia="宋体" w:cs="宋体"/>
          <w:color w:val="auto"/>
          <w:sz w:val="24"/>
          <w:szCs w:val="24"/>
          <w:highlight w:val="none"/>
        </w:rPr>
      </w:pPr>
    </w:p>
    <w:p w14:paraId="341BA992">
      <w:pPr>
        <w:spacing w:before="79" w:line="185" w:lineRule="auto"/>
        <w:ind w:left="1207" w:leftChars="114" w:hanging="968" w:hangingChars="440"/>
        <w:jc w:val="left"/>
        <w:rPr>
          <w:rFonts w:hint="eastAsia" w:ascii="宋体" w:hAnsi="宋体" w:eastAsia="宋体" w:cs="宋体"/>
          <w:color w:val="auto"/>
          <w:spacing w:val="-10"/>
          <w:sz w:val="24"/>
          <w:szCs w:val="24"/>
          <w:highlight w:val="none"/>
          <w:lang w:eastAsia="zh-CN"/>
        </w:rPr>
      </w:pPr>
      <w:r>
        <w:rPr>
          <w:rFonts w:hint="eastAsia" w:ascii="宋体" w:hAnsi="宋体" w:eastAsia="宋体" w:cs="宋体"/>
          <w:color w:val="auto"/>
          <w:spacing w:val="-10"/>
          <w:sz w:val="24"/>
          <w:szCs w:val="24"/>
          <w:highlight w:val="none"/>
          <w:lang w:eastAsia="zh-CN"/>
        </w:rPr>
        <w:t>投标人名称（盖章）：</w:t>
      </w:r>
    </w:p>
    <w:p w14:paraId="40539B68">
      <w:pPr>
        <w:spacing w:before="79" w:line="185" w:lineRule="auto"/>
        <w:ind w:left="1207" w:leftChars="114" w:hanging="968" w:hangingChars="440"/>
        <w:jc w:val="left"/>
        <w:rPr>
          <w:rFonts w:hint="eastAsia" w:ascii="宋体" w:hAnsi="宋体" w:eastAsia="宋体" w:cs="宋体"/>
          <w:color w:val="auto"/>
          <w:spacing w:val="-10"/>
          <w:sz w:val="24"/>
          <w:szCs w:val="24"/>
          <w:highlight w:val="none"/>
          <w:lang w:eastAsia="zh-CN"/>
        </w:rPr>
      </w:pPr>
      <w:r>
        <w:rPr>
          <w:rFonts w:hint="eastAsia" w:ascii="宋体" w:hAnsi="宋体" w:eastAsia="宋体" w:cs="宋体"/>
          <w:color w:val="auto"/>
          <w:spacing w:val="-10"/>
          <w:sz w:val="24"/>
          <w:szCs w:val="24"/>
          <w:highlight w:val="none"/>
          <w:lang w:eastAsia="zh-CN"/>
        </w:rPr>
        <w:t>法定代表人（签字或盖章）：</w:t>
      </w:r>
    </w:p>
    <w:p w14:paraId="720B9B4F">
      <w:pPr>
        <w:spacing w:before="79" w:line="185" w:lineRule="auto"/>
        <w:ind w:left="1207" w:leftChars="114" w:hanging="968" w:hangingChars="440"/>
        <w:jc w:val="left"/>
        <w:rPr>
          <w:rFonts w:hint="eastAsia" w:ascii="宋体" w:hAnsi="宋体" w:eastAsia="宋体" w:cs="宋体"/>
          <w:color w:val="auto"/>
          <w:spacing w:val="-10"/>
          <w:sz w:val="24"/>
          <w:szCs w:val="24"/>
          <w:highlight w:val="none"/>
          <w:lang w:eastAsia="zh-CN"/>
        </w:rPr>
      </w:pPr>
      <w:r>
        <w:rPr>
          <w:rFonts w:hint="eastAsia" w:ascii="宋体" w:hAnsi="宋体" w:eastAsia="宋体" w:cs="宋体"/>
          <w:color w:val="auto"/>
          <w:spacing w:val="-10"/>
          <w:sz w:val="24"/>
          <w:szCs w:val="24"/>
          <w:highlight w:val="none"/>
          <w:lang w:eastAsia="zh-CN"/>
        </w:rPr>
        <w:t>日期：年月日</w:t>
      </w:r>
    </w:p>
    <w:p w14:paraId="6F5F0959">
      <w:pPr>
        <w:spacing w:before="79" w:line="185" w:lineRule="auto"/>
        <w:ind w:left="1207" w:leftChars="114" w:hanging="968" w:hangingChars="440"/>
        <w:jc w:val="left"/>
        <w:rPr>
          <w:rFonts w:hint="eastAsia"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rPr>
        <w:t>注：1、投标人必须填写报价明细表</w:t>
      </w:r>
      <w:r>
        <w:rPr>
          <w:rFonts w:hint="eastAsia" w:ascii="宋体" w:hAnsi="宋体" w:eastAsia="宋体" w:cs="宋体"/>
          <w:color w:val="auto"/>
          <w:spacing w:val="-10"/>
          <w:sz w:val="24"/>
          <w:szCs w:val="24"/>
          <w:highlight w:val="none"/>
          <w:lang w:eastAsia="zh-CN"/>
        </w:rPr>
        <w:t>且</w:t>
      </w:r>
      <w:r>
        <w:rPr>
          <w:rFonts w:hint="eastAsia" w:ascii="宋体" w:hAnsi="宋体" w:eastAsia="宋体" w:cs="宋体"/>
          <w:color w:val="auto"/>
          <w:spacing w:val="-10"/>
          <w:sz w:val="24"/>
          <w:szCs w:val="24"/>
          <w:highlight w:val="none"/>
          <w:lang w:val="en-US" w:eastAsia="zh-CN"/>
        </w:rPr>
        <w:t>明细表中需包含服务需求表中所有内容，</w:t>
      </w:r>
      <w:r>
        <w:rPr>
          <w:rFonts w:hint="eastAsia" w:ascii="宋体" w:hAnsi="宋体" w:eastAsia="宋体" w:cs="宋体"/>
          <w:color w:val="auto"/>
          <w:spacing w:val="-10"/>
          <w:sz w:val="24"/>
          <w:szCs w:val="24"/>
          <w:highlight w:val="none"/>
        </w:rPr>
        <w:t>否则将导致投标被拒绝。</w:t>
      </w:r>
    </w:p>
    <w:p w14:paraId="5F7F6922">
      <w:pPr>
        <w:spacing w:before="228" w:line="185" w:lineRule="auto"/>
        <w:ind w:firstLine="654"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pacing w:val="-11"/>
          <w:sz w:val="24"/>
          <w:szCs w:val="24"/>
          <w:highlight w:val="none"/>
        </w:rPr>
        <w:t>2、报价</w:t>
      </w:r>
      <w:r>
        <w:rPr>
          <w:rFonts w:hint="eastAsia" w:ascii="宋体" w:hAnsi="宋体" w:cs="宋体"/>
          <w:color w:val="auto"/>
          <w:spacing w:val="-11"/>
          <w:sz w:val="24"/>
          <w:szCs w:val="24"/>
          <w:highlight w:val="none"/>
          <w:lang w:val="en-US" w:eastAsia="zh-CN"/>
        </w:rPr>
        <w:t>明细表</w:t>
      </w:r>
      <w:r>
        <w:rPr>
          <w:rFonts w:hint="eastAsia" w:ascii="宋体" w:hAnsi="宋体" w:eastAsia="宋体" w:cs="宋体"/>
          <w:color w:val="auto"/>
          <w:spacing w:val="-11"/>
          <w:sz w:val="24"/>
          <w:szCs w:val="24"/>
          <w:highlight w:val="none"/>
        </w:rPr>
        <w:t>中的“投标</w:t>
      </w:r>
      <w:r>
        <w:rPr>
          <w:rFonts w:hint="eastAsia" w:ascii="宋体" w:hAnsi="宋体" w:cs="宋体"/>
          <w:color w:val="auto"/>
          <w:spacing w:val="-11"/>
          <w:sz w:val="24"/>
          <w:szCs w:val="24"/>
          <w:highlight w:val="none"/>
          <w:lang w:val="en-US" w:eastAsia="zh-CN"/>
        </w:rPr>
        <w:t>下浮率</w:t>
      </w:r>
      <w:r>
        <w:rPr>
          <w:rFonts w:hint="eastAsia" w:ascii="宋体" w:hAnsi="宋体" w:eastAsia="宋体" w:cs="宋体"/>
          <w:color w:val="auto"/>
          <w:spacing w:val="-11"/>
          <w:sz w:val="24"/>
          <w:szCs w:val="24"/>
          <w:highlight w:val="none"/>
        </w:rPr>
        <w:t>”应等于“开标一览表”中的“投标</w:t>
      </w:r>
      <w:r>
        <w:rPr>
          <w:rFonts w:hint="eastAsia" w:ascii="宋体" w:hAnsi="宋体" w:cs="宋体"/>
          <w:color w:val="auto"/>
          <w:spacing w:val="-11"/>
          <w:sz w:val="24"/>
          <w:szCs w:val="24"/>
          <w:highlight w:val="none"/>
          <w:lang w:val="en-US" w:eastAsia="zh-CN"/>
        </w:rPr>
        <w:t>下浮率</w:t>
      </w:r>
      <w:r>
        <w:rPr>
          <w:rFonts w:hint="eastAsia" w:ascii="宋体" w:hAnsi="宋体" w:eastAsia="宋体" w:cs="宋体"/>
          <w:color w:val="auto"/>
          <w:spacing w:val="-11"/>
          <w:sz w:val="24"/>
          <w:szCs w:val="24"/>
          <w:highlight w:val="none"/>
        </w:rPr>
        <w:t>”。</w:t>
      </w:r>
    </w:p>
    <w:p w14:paraId="034C7111">
      <w:pPr>
        <w:spacing w:before="227" w:line="185" w:lineRule="auto"/>
        <w:ind w:firstLine="702" w:firstLineChars="300"/>
        <w:jc w:val="left"/>
        <w:outlineLvl w:val="2"/>
        <w:rPr>
          <w:rFonts w:hint="eastAsia" w:ascii="宋体" w:hAnsi="宋体" w:eastAsia="宋体" w:cs="宋体"/>
          <w:color w:val="auto"/>
          <w:sz w:val="24"/>
          <w:szCs w:val="24"/>
          <w:highlight w:val="none"/>
          <w:lang w:eastAsia="zh-CN"/>
        </w:rPr>
        <w:sectPr>
          <w:footerReference r:id="rId19" w:type="default"/>
          <w:type w:val="continuous"/>
          <w:pgSz w:w="11905" w:h="16838"/>
          <w:pgMar w:top="1304" w:right="964" w:bottom="1020" w:left="1191" w:header="567" w:footer="454" w:gutter="0"/>
          <w:pgNumType w:fmt="decimal"/>
          <w:cols w:space="720" w:num="1"/>
          <w:rtlGutter w:val="0"/>
          <w:docGrid w:type="lines" w:linePitch="317" w:charSpace="0"/>
        </w:sectPr>
      </w:pPr>
      <w:bookmarkStart w:id="297" w:name="_Toc15566"/>
      <w:r>
        <w:rPr>
          <w:rFonts w:hint="eastAsia" w:ascii="宋体" w:hAnsi="宋体" w:eastAsia="宋体" w:cs="宋体"/>
          <w:color w:val="auto"/>
          <w:spacing w:val="-3"/>
          <w:sz w:val="24"/>
          <w:szCs w:val="24"/>
          <w:highlight w:val="none"/>
        </w:rPr>
        <w:t>3、报价项目填报不下的，可自行扩</w:t>
      </w:r>
      <w:r>
        <w:rPr>
          <w:rFonts w:hint="eastAsia" w:ascii="宋体" w:hAnsi="宋体" w:eastAsia="宋体" w:cs="宋体"/>
          <w:color w:val="auto"/>
          <w:spacing w:val="-3"/>
          <w:sz w:val="24"/>
          <w:szCs w:val="24"/>
          <w:highlight w:val="none"/>
          <w:lang w:val="en-US" w:eastAsia="zh-CN"/>
        </w:rPr>
        <w:t>展</w:t>
      </w:r>
      <w:bookmarkEnd w:id="297"/>
    </w:p>
    <w:p w14:paraId="3314FCF0">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36544332">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60D64E1D">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04D0F11B">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63FA9339">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bookmarkEnd w:id="295"/>
    <w:bookmarkEnd w:id="296"/>
    <w:p w14:paraId="411ACC87">
      <w:pPr>
        <w:numPr>
          <w:ilvl w:val="0"/>
          <w:numId w:val="0"/>
        </w:numPr>
        <w:spacing w:line="440" w:lineRule="exact"/>
        <w:jc w:val="both"/>
        <w:outlineLvl w:val="1"/>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附件四</w:t>
      </w:r>
    </w:p>
    <w:p w14:paraId="4D0C6F2D">
      <w:pPr>
        <w:jc w:val="center"/>
        <w:rPr>
          <w:rFonts w:hint="eastAsia" w:ascii="宋体" w:hAnsi="宋体" w:eastAsia="宋体" w:cs="宋体"/>
          <w:b/>
          <w:color w:val="000000"/>
          <w:sz w:val="32"/>
          <w:szCs w:val="28"/>
          <w:highlight w:val="none"/>
        </w:rPr>
      </w:pPr>
      <w:r>
        <w:rPr>
          <w:rFonts w:hint="eastAsia" w:ascii="宋体" w:hAnsi="宋体" w:eastAsia="宋体" w:cs="宋体"/>
          <w:b/>
          <w:color w:val="000000"/>
          <w:sz w:val="32"/>
          <w:szCs w:val="28"/>
          <w:highlight w:val="none"/>
        </w:rPr>
        <w:t>投标单位简介</w:t>
      </w:r>
    </w:p>
    <w:p w14:paraId="3C901D6B">
      <w:pP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rPr>
        <w:t xml:space="preserve">    </w:t>
      </w:r>
    </w:p>
    <w:p w14:paraId="350CDD09">
      <w:pPr>
        <w:ind w:firstLine="482" w:firstLineChars="200"/>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投标人自行编制</w:t>
      </w:r>
    </w:p>
    <w:p w14:paraId="2ABD811E">
      <w:pPr>
        <w:ind w:firstLine="482" w:firstLineChars="200"/>
        <w:rPr>
          <w:rFonts w:hint="eastAsia" w:ascii="宋体" w:hAnsi="宋体" w:eastAsia="宋体" w:cs="宋体"/>
          <w:b/>
          <w:color w:val="000000"/>
          <w:sz w:val="24"/>
          <w:szCs w:val="24"/>
          <w:highlight w:val="none"/>
        </w:rPr>
      </w:pPr>
    </w:p>
    <w:p w14:paraId="296676A8">
      <w:pPr>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后附：投标人单位相关资质证件</w:t>
      </w:r>
    </w:p>
    <w:p w14:paraId="0657A0D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BBF153E">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94CCFF8">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DDDD0A0">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6A202D6">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29A540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227593B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C213C9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5DF532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3DB1266">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DB2F590">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E89486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9779FE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3D0D32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AED2AC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CB15D8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0B9AAD9">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AECF2DE">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7F742E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F2065E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A29513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448EFF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2DD8464">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03F04A4">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EDD4520">
      <w:pPr>
        <w:pStyle w:val="37"/>
        <w:spacing w:line="240" w:lineRule="auto"/>
        <w:ind w:left="0" w:leftChars="0" w:firstLine="0" w:firstLineChars="0"/>
        <w:jc w:val="both"/>
        <w:rPr>
          <w:rFonts w:hint="eastAsia" w:ascii="宋体" w:hAnsi="宋体" w:eastAsia="宋体" w:cs="宋体"/>
          <w:b/>
          <w:color w:val="000000"/>
          <w:sz w:val="28"/>
          <w:szCs w:val="24"/>
          <w:highlight w:val="none"/>
          <w:lang w:val="en-US" w:eastAsia="zh-CN"/>
        </w:rPr>
      </w:pPr>
    </w:p>
    <w:p w14:paraId="77E049C7">
      <w:pPr>
        <w:pStyle w:val="37"/>
        <w:spacing w:line="240" w:lineRule="auto"/>
        <w:ind w:left="0" w:leftChars="0" w:firstLine="0" w:firstLineChars="0"/>
        <w:jc w:val="both"/>
        <w:rPr>
          <w:rFonts w:hint="eastAsia" w:ascii="宋体" w:hAnsi="宋体" w:eastAsia="宋体" w:cs="宋体"/>
          <w:b/>
          <w:color w:val="000000"/>
          <w:sz w:val="32"/>
          <w:szCs w:val="28"/>
          <w:highlight w:val="none"/>
          <w:lang w:val="en-US" w:eastAsia="zh-CN"/>
        </w:rPr>
      </w:pPr>
      <w:r>
        <w:rPr>
          <w:rFonts w:hint="eastAsia" w:ascii="宋体" w:hAnsi="宋体" w:eastAsia="宋体" w:cs="宋体"/>
          <w:b/>
          <w:color w:val="000000"/>
          <w:sz w:val="28"/>
          <w:szCs w:val="24"/>
          <w:highlight w:val="none"/>
          <w:lang w:val="en-US" w:eastAsia="zh-CN"/>
        </w:rPr>
        <w:t>附件五</w:t>
      </w:r>
    </w:p>
    <w:p w14:paraId="2D95DBFD">
      <w:pPr>
        <w:pStyle w:val="37"/>
        <w:spacing w:line="240" w:lineRule="auto"/>
        <w:ind w:left="0" w:leftChars="0" w:firstLine="0" w:firstLineChars="0"/>
        <w:jc w:val="center"/>
        <w:rPr>
          <w:rFonts w:hint="eastAsia" w:ascii="宋体" w:hAnsi="宋体" w:eastAsia="宋体" w:cs="宋体"/>
          <w:b/>
          <w:color w:val="000000"/>
          <w:sz w:val="32"/>
          <w:szCs w:val="28"/>
          <w:highlight w:val="none"/>
          <w:lang w:eastAsia="zh-CN"/>
        </w:rPr>
      </w:pPr>
      <w:r>
        <w:rPr>
          <w:rFonts w:hint="eastAsia" w:ascii="宋体" w:hAnsi="宋体" w:eastAsia="宋体" w:cs="宋体"/>
          <w:b/>
          <w:color w:val="000000"/>
          <w:sz w:val="32"/>
          <w:szCs w:val="28"/>
          <w:highlight w:val="none"/>
        </w:rPr>
        <w:t>出具法人营业执照函</w:t>
      </w:r>
    </w:p>
    <w:p w14:paraId="0CEC2076">
      <w:pPr>
        <w:rPr>
          <w:rFonts w:hint="eastAsia" w:ascii="宋体" w:hAnsi="宋体" w:eastAsia="宋体" w:cs="宋体"/>
          <w:color w:val="000000"/>
          <w:sz w:val="28"/>
          <w:szCs w:val="28"/>
          <w:highlight w:val="none"/>
        </w:rPr>
      </w:pPr>
    </w:p>
    <w:p w14:paraId="0CE4E1FB">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招标人：</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w:t>
      </w:r>
    </w:p>
    <w:p w14:paraId="71ADBE5E">
      <w:pPr>
        <w:rPr>
          <w:rFonts w:hint="eastAsia" w:ascii="宋体" w:hAnsi="宋体" w:eastAsia="宋体" w:cs="宋体"/>
          <w:color w:val="000000"/>
          <w:sz w:val="21"/>
          <w:szCs w:val="21"/>
          <w:highlight w:val="none"/>
        </w:rPr>
      </w:pPr>
    </w:p>
    <w:p w14:paraId="16BE299F">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    现附上由</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（签发机关名称）签发的我方法人营业执照复印件，该执照已经年检，真实有效。</w:t>
      </w:r>
    </w:p>
    <w:p w14:paraId="124D2336">
      <w:pPr>
        <w:ind w:firstLine="852"/>
        <w:rPr>
          <w:rFonts w:hint="eastAsia" w:ascii="宋体" w:hAnsi="宋体" w:eastAsia="宋体" w:cs="宋体"/>
          <w:color w:val="000000"/>
          <w:sz w:val="21"/>
          <w:szCs w:val="21"/>
          <w:highlight w:val="none"/>
        </w:rPr>
      </w:pPr>
    </w:p>
    <w:p w14:paraId="06D799C5">
      <w:pPr>
        <w:ind w:firstLine="852"/>
        <w:rPr>
          <w:rFonts w:hint="eastAsia" w:ascii="宋体" w:hAnsi="宋体" w:eastAsia="宋体" w:cs="宋体"/>
          <w:color w:val="000000"/>
          <w:sz w:val="21"/>
          <w:szCs w:val="21"/>
          <w:highlight w:val="none"/>
        </w:rPr>
      </w:pPr>
    </w:p>
    <w:p w14:paraId="1586D7E8">
      <w:pPr>
        <w:ind w:firstLine="852"/>
        <w:rPr>
          <w:rFonts w:hint="eastAsia" w:ascii="宋体" w:hAnsi="宋体" w:eastAsia="宋体" w:cs="宋体"/>
          <w:color w:val="000000"/>
          <w:sz w:val="21"/>
          <w:szCs w:val="21"/>
          <w:highlight w:val="none"/>
        </w:rPr>
      </w:pPr>
    </w:p>
    <w:p w14:paraId="4D595BFE">
      <w:pP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投标单位名称</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eastAsia="zh-CN"/>
        </w:rPr>
        <w:t>盖章</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4043EC4E">
      <w:pPr>
        <w:rPr>
          <w:rFonts w:hint="eastAsia" w:ascii="宋体" w:hAnsi="宋体" w:eastAsia="宋体" w:cs="宋体"/>
          <w:color w:val="000000"/>
          <w:sz w:val="21"/>
          <w:szCs w:val="21"/>
          <w:highlight w:val="none"/>
        </w:rPr>
      </w:pPr>
    </w:p>
    <w:p w14:paraId="55FAE36C">
      <w:pPr>
        <w:rPr>
          <w:rFonts w:hint="eastAsia" w:ascii="宋体" w:hAnsi="宋体" w:eastAsia="宋体" w:cs="宋体"/>
          <w:color w:val="000000"/>
          <w:sz w:val="21"/>
          <w:szCs w:val="21"/>
          <w:highlight w:val="none"/>
        </w:rPr>
      </w:pPr>
    </w:p>
    <w:p w14:paraId="5D6464CB">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法定代表人</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en-US" w:eastAsia="zh-CN"/>
        </w:rPr>
        <w:t>签字或</w:t>
      </w:r>
      <w:r>
        <w:rPr>
          <w:rFonts w:hint="eastAsia" w:ascii="宋体" w:hAnsi="宋体" w:eastAsia="宋体" w:cs="宋体"/>
          <w:color w:val="000000"/>
          <w:sz w:val="21"/>
          <w:szCs w:val="21"/>
          <w:highlight w:val="none"/>
        </w:rPr>
        <w:t>盖章）</w:t>
      </w:r>
      <w:r>
        <w:rPr>
          <w:rFonts w:hint="eastAsia" w:ascii="宋体" w:hAnsi="宋体" w:eastAsia="宋体" w:cs="宋体"/>
          <w:color w:val="000000"/>
          <w:sz w:val="21"/>
          <w:szCs w:val="21"/>
          <w:highlight w:val="none"/>
          <w:u w:val="single"/>
        </w:rPr>
        <w:t xml:space="preserve">                </w:t>
      </w:r>
    </w:p>
    <w:p w14:paraId="3C31D2BD">
      <w:pPr>
        <w:rPr>
          <w:rFonts w:hint="eastAsia" w:ascii="宋体" w:hAnsi="宋体" w:eastAsia="宋体" w:cs="宋体"/>
          <w:color w:val="000000"/>
          <w:sz w:val="21"/>
          <w:szCs w:val="21"/>
          <w:highlight w:val="none"/>
        </w:rPr>
      </w:pPr>
    </w:p>
    <w:p w14:paraId="5CB2E5F8">
      <w:pPr>
        <w:rPr>
          <w:rFonts w:hint="eastAsia" w:ascii="宋体" w:hAnsi="宋体" w:eastAsia="宋体" w:cs="宋体"/>
          <w:color w:val="000000"/>
          <w:sz w:val="21"/>
          <w:szCs w:val="21"/>
          <w:highlight w:val="none"/>
        </w:rPr>
      </w:pPr>
    </w:p>
    <w:p w14:paraId="62D723D2">
      <w:pPr>
        <w:ind w:firstLine="2879" w:firstLineChars="1371"/>
        <w:jc w:val="right"/>
        <w:rPr>
          <w:rFonts w:hint="eastAsia" w:ascii="宋体" w:hAnsi="宋体" w:eastAsia="宋体" w:cs="宋体"/>
          <w:highlight w:val="none"/>
        </w:rPr>
      </w:pPr>
      <w:r>
        <w:rPr>
          <w:rFonts w:hint="eastAsia" w:ascii="宋体" w:hAnsi="宋体" w:eastAsia="宋体" w:cs="宋体"/>
          <w:color w:val="000000"/>
          <w:sz w:val="21"/>
          <w:szCs w:val="21"/>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76135355">
      <w:pPr>
        <w:jc w:val="right"/>
        <w:rPr>
          <w:rFonts w:hint="eastAsia" w:ascii="宋体" w:hAnsi="宋体" w:eastAsia="宋体" w:cs="宋体"/>
          <w:color w:val="000000"/>
          <w:sz w:val="21"/>
          <w:szCs w:val="21"/>
          <w:highlight w:val="none"/>
        </w:rPr>
      </w:pPr>
    </w:p>
    <w:p w14:paraId="154C6990">
      <w:pPr>
        <w:rPr>
          <w:rFonts w:hint="eastAsia" w:ascii="宋体" w:hAnsi="宋体" w:eastAsia="宋体" w:cs="宋体"/>
          <w:color w:val="000000"/>
          <w:sz w:val="21"/>
          <w:szCs w:val="21"/>
          <w:highlight w:val="none"/>
        </w:rPr>
      </w:pPr>
    </w:p>
    <w:p w14:paraId="77BA81DE">
      <w:pPr>
        <w:jc w:val="lef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后附：投标单位三合一营业执照复印件</w:t>
      </w:r>
    </w:p>
    <w:p w14:paraId="4144941B">
      <w:pPr>
        <w:pStyle w:val="20"/>
        <w:overflowPunct w:val="0"/>
        <w:snapToGrid w:val="0"/>
        <w:spacing w:line="360" w:lineRule="auto"/>
        <w:ind w:firstLine="0"/>
        <w:rPr>
          <w:rFonts w:hint="eastAsia" w:ascii="宋体" w:hAnsi="宋体" w:eastAsia="宋体" w:cs="宋体"/>
          <w:color w:val="000000"/>
          <w:sz w:val="21"/>
          <w:szCs w:val="21"/>
          <w:highlight w:val="none"/>
          <w:lang w:eastAsia="zh-CN"/>
        </w:rPr>
      </w:pPr>
    </w:p>
    <w:p w14:paraId="176AC2E5">
      <w:pPr>
        <w:rPr>
          <w:rFonts w:hint="eastAsia" w:ascii="宋体" w:hAnsi="宋体" w:eastAsia="宋体" w:cs="宋体"/>
          <w:color w:val="000000"/>
          <w:sz w:val="24"/>
          <w:szCs w:val="24"/>
          <w:highlight w:val="none"/>
          <w:lang w:eastAsia="zh-CN"/>
        </w:rPr>
      </w:pPr>
    </w:p>
    <w:p w14:paraId="5B89AF9B">
      <w:pPr>
        <w:pStyle w:val="4"/>
        <w:outlineLvl w:val="9"/>
        <w:rPr>
          <w:rFonts w:hint="eastAsia" w:ascii="宋体" w:hAnsi="宋体" w:eastAsia="宋体" w:cs="宋体"/>
          <w:color w:val="000000"/>
          <w:sz w:val="24"/>
          <w:szCs w:val="24"/>
          <w:highlight w:val="none"/>
          <w:lang w:eastAsia="zh-CN"/>
        </w:rPr>
      </w:pPr>
    </w:p>
    <w:p w14:paraId="166E421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B69D53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837738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8F02BFF">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3B90B6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933F69F">
      <w:pPr>
        <w:numPr>
          <w:ilvl w:val="0"/>
          <w:numId w:val="0"/>
        </w:numPr>
        <w:spacing w:line="440" w:lineRule="exact"/>
        <w:jc w:val="both"/>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附件六</w:t>
      </w:r>
    </w:p>
    <w:p w14:paraId="3EE07DB0">
      <w:pPr>
        <w:jc w:val="center"/>
        <w:rPr>
          <w:rFonts w:hint="eastAsia" w:ascii="宋体" w:hAnsi="宋体" w:eastAsia="宋体" w:cs="宋体"/>
          <w:sz w:val="28"/>
          <w:highlight w:val="none"/>
        </w:rPr>
      </w:pPr>
    </w:p>
    <w:p w14:paraId="7F303607">
      <w:pPr>
        <w:jc w:val="center"/>
        <w:outlineLvl w:val="2"/>
        <w:rPr>
          <w:rFonts w:hint="eastAsia" w:ascii="宋体" w:hAnsi="宋体" w:eastAsia="宋体" w:cs="宋体"/>
          <w:b/>
          <w:sz w:val="32"/>
          <w:szCs w:val="32"/>
          <w:highlight w:val="none"/>
          <w:lang w:eastAsia="zh-CN"/>
        </w:rPr>
      </w:pPr>
      <w:bookmarkStart w:id="298" w:name="_Toc25844"/>
      <w:bookmarkStart w:id="299" w:name="_Toc1239"/>
      <w:r>
        <w:rPr>
          <w:rFonts w:hint="eastAsia" w:ascii="宋体" w:hAnsi="宋体" w:eastAsia="宋体" w:cs="宋体"/>
          <w:b/>
          <w:sz w:val="32"/>
          <w:szCs w:val="32"/>
          <w:highlight w:val="none"/>
        </w:rPr>
        <w:t>联合体协议书</w:t>
      </w:r>
      <w:bookmarkEnd w:id="298"/>
      <w:bookmarkEnd w:id="299"/>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lang w:val="en-US" w:eastAsia="zh-CN"/>
        </w:rPr>
        <w:t>如是</w:t>
      </w:r>
      <w:r>
        <w:rPr>
          <w:rFonts w:hint="eastAsia" w:ascii="宋体" w:hAnsi="宋体" w:eastAsia="宋体" w:cs="宋体"/>
          <w:b/>
          <w:sz w:val="32"/>
          <w:szCs w:val="32"/>
          <w:highlight w:val="none"/>
          <w:lang w:eastAsia="zh-CN"/>
        </w:rPr>
        <w:t>）</w:t>
      </w:r>
    </w:p>
    <w:p w14:paraId="234086B5">
      <w:pPr>
        <w:jc w:val="center"/>
        <w:rPr>
          <w:rFonts w:hint="eastAsia" w:ascii="宋体" w:hAnsi="宋体" w:eastAsia="宋体" w:cs="宋体"/>
          <w:sz w:val="30"/>
          <w:szCs w:val="30"/>
          <w:highlight w:val="none"/>
        </w:rPr>
      </w:pPr>
    </w:p>
    <w:p w14:paraId="31E38AF3">
      <w:pPr>
        <w:topLinePunct/>
        <w:spacing w:line="440" w:lineRule="exact"/>
        <w:ind w:left="210" w:leftChars="100" w:firstLine="210" w:firstLineChars="100"/>
        <w:rPr>
          <w:rFonts w:hint="eastAsia" w:ascii="宋体" w:hAnsi="宋体" w:eastAsia="宋体" w:cs="宋体"/>
          <w:szCs w:val="21"/>
          <w:highlight w:val="none"/>
        </w:rPr>
      </w:pP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（所有成员单位名称）自愿组成联合体，共同参加</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（项目名称）投标。现就联合体投标事宜订立如下协议。</w:t>
      </w:r>
    </w:p>
    <w:p w14:paraId="227A8066">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（某成员单位名称）为牵头人。</w:t>
      </w:r>
    </w:p>
    <w:p w14:paraId="605359A1">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2378A0B0">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3、联合体将严格按照招标文件的各项要求，递交投标文件，履行合同，并对外承担连带责任。</w:t>
      </w:r>
    </w:p>
    <w:p w14:paraId="010F0571">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4、联合体各成员单位内部的职责分工如下：</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w:t>
      </w:r>
    </w:p>
    <w:p w14:paraId="651FB2AE">
      <w:pPr>
        <w:topLinePunct/>
        <w:spacing w:line="440" w:lineRule="exact"/>
        <w:ind w:firstLine="420" w:firstLineChars="200"/>
        <w:outlineLvl w:val="2"/>
        <w:rPr>
          <w:rFonts w:hint="eastAsia" w:ascii="宋体" w:hAnsi="宋体" w:eastAsia="宋体" w:cs="宋体"/>
          <w:szCs w:val="21"/>
          <w:highlight w:val="none"/>
        </w:rPr>
      </w:pPr>
      <w:bookmarkStart w:id="300" w:name="_Toc14243"/>
      <w:r>
        <w:rPr>
          <w:rFonts w:hint="eastAsia" w:ascii="宋体" w:hAnsi="宋体" w:eastAsia="宋体" w:cs="宋体"/>
          <w:szCs w:val="21"/>
          <w:highlight w:val="none"/>
        </w:rPr>
        <w:t>5、本协议书自签署之日起生效，合同履行完毕后自动失效。</w:t>
      </w:r>
      <w:bookmarkEnd w:id="300"/>
      <w:r>
        <w:rPr>
          <w:rFonts w:hint="eastAsia" w:ascii="宋体" w:hAnsi="宋体" w:eastAsia="宋体" w:cs="宋体"/>
          <w:szCs w:val="21"/>
          <w:highlight w:val="none"/>
        </w:rPr>
        <w:t xml:space="preserve"> </w:t>
      </w:r>
    </w:p>
    <w:p w14:paraId="1ADCE7A9">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6、本协议书一式</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份，联合体成员和招标人各执</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w:t>
      </w:r>
    </w:p>
    <w:p w14:paraId="20B38CD7">
      <w:pPr>
        <w:topLinePunct/>
        <w:spacing w:line="440" w:lineRule="exact"/>
        <w:rPr>
          <w:rFonts w:hint="eastAsia" w:ascii="宋体" w:hAnsi="宋体" w:eastAsia="宋体" w:cs="宋体"/>
          <w:szCs w:val="21"/>
          <w:highlight w:val="none"/>
        </w:rPr>
      </w:pPr>
    </w:p>
    <w:p w14:paraId="20EE88E1">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注：本协议书由委托代理人签字的，应附法定代表人签字的授权委托书。</w:t>
      </w:r>
    </w:p>
    <w:p w14:paraId="072477E2">
      <w:pPr>
        <w:topLinePunct/>
        <w:spacing w:line="440" w:lineRule="exact"/>
        <w:rPr>
          <w:rFonts w:hint="eastAsia" w:ascii="宋体" w:hAnsi="宋体" w:eastAsia="宋体" w:cs="宋体"/>
          <w:szCs w:val="21"/>
          <w:highlight w:val="none"/>
        </w:rPr>
      </w:pPr>
    </w:p>
    <w:p w14:paraId="25A1AF8C">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牵头人名称：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（盖章）</w:t>
      </w:r>
    </w:p>
    <w:p w14:paraId="3522A67C">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法定代表人或其委托代理人：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r>
        <w:rPr>
          <w:rFonts w:hint="eastAsia" w:ascii="宋体" w:hAnsi="宋体" w:eastAsia="宋体" w:cs="宋体"/>
          <w:szCs w:val="21"/>
          <w:highlight w:val="none"/>
          <w:lang w:val="en-US" w:eastAsia="zh-CN"/>
        </w:rPr>
        <w:t>或盖章</w:t>
      </w:r>
      <w:r>
        <w:rPr>
          <w:rFonts w:hint="eastAsia" w:ascii="宋体" w:hAnsi="宋体" w:eastAsia="宋体" w:cs="宋体"/>
          <w:szCs w:val="21"/>
          <w:highlight w:val="none"/>
        </w:rPr>
        <w:t>）</w:t>
      </w:r>
    </w:p>
    <w:p w14:paraId="3CFE802C">
      <w:pPr>
        <w:topLinePunct/>
        <w:spacing w:line="440" w:lineRule="exact"/>
        <w:rPr>
          <w:rFonts w:hint="eastAsia" w:ascii="宋体" w:hAnsi="宋体" w:eastAsia="宋体" w:cs="宋体"/>
          <w:szCs w:val="21"/>
          <w:highlight w:val="none"/>
        </w:rPr>
      </w:pPr>
    </w:p>
    <w:p w14:paraId="26568312">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成员一名称：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（盖章）</w:t>
      </w:r>
    </w:p>
    <w:p w14:paraId="25B7B02C">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法定代表人或其委托代理人：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r>
        <w:rPr>
          <w:rFonts w:hint="eastAsia" w:ascii="宋体" w:hAnsi="宋体" w:eastAsia="宋体" w:cs="宋体"/>
          <w:szCs w:val="21"/>
          <w:highlight w:val="none"/>
          <w:lang w:val="en-US" w:eastAsia="zh-CN"/>
        </w:rPr>
        <w:t>或盖章</w:t>
      </w:r>
      <w:r>
        <w:rPr>
          <w:rFonts w:hint="eastAsia" w:ascii="宋体" w:hAnsi="宋体" w:eastAsia="宋体" w:cs="宋体"/>
          <w:szCs w:val="21"/>
          <w:highlight w:val="none"/>
        </w:rPr>
        <w:t>）</w:t>
      </w:r>
    </w:p>
    <w:p w14:paraId="2053B443">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3AC73807">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成员二名称：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（盖章）</w:t>
      </w:r>
    </w:p>
    <w:p w14:paraId="1B840706">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法定代表人或其委托代理人：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r>
        <w:rPr>
          <w:rFonts w:hint="eastAsia" w:ascii="宋体" w:hAnsi="宋体" w:eastAsia="宋体" w:cs="宋体"/>
          <w:szCs w:val="21"/>
          <w:highlight w:val="none"/>
          <w:lang w:val="en-US" w:eastAsia="zh-CN"/>
        </w:rPr>
        <w:t>或盖章</w:t>
      </w:r>
      <w:r>
        <w:rPr>
          <w:rFonts w:hint="eastAsia" w:ascii="宋体" w:hAnsi="宋体" w:eastAsia="宋体" w:cs="宋体"/>
          <w:szCs w:val="21"/>
          <w:highlight w:val="none"/>
        </w:rPr>
        <w:t>）</w:t>
      </w:r>
    </w:p>
    <w:p w14:paraId="618815E1">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5833617E">
      <w:pPr>
        <w:topLinePunct/>
        <w:spacing w:line="440" w:lineRule="exact"/>
        <w:rPr>
          <w:rFonts w:hint="eastAsia" w:ascii="宋体" w:hAnsi="宋体" w:eastAsia="宋体" w:cs="宋体"/>
          <w:szCs w:val="21"/>
          <w:highlight w:val="none"/>
        </w:rPr>
      </w:pPr>
    </w:p>
    <w:p w14:paraId="000F086E">
      <w:pPr>
        <w:ind w:firstLine="2879" w:firstLineChars="1371"/>
        <w:jc w:val="right"/>
        <w:rPr>
          <w:rFonts w:hint="eastAsia" w:ascii="宋体" w:hAnsi="宋体" w:eastAsia="宋体" w:cs="宋体"/>
          <w:highlight w:val="none"/>
        </w:rPr>
      </w:pP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1E4C7D6D">
      <w:pPr>
        <w:jc w:val="left"/>
        <w:rPr>
          <w:rFonts w:hint="eastAsia" w:ascii="宋体" w:hAnsi="宋体" w:eastAsia="宋体" w:cs="宋体"/>
          <w:b/>
          <w:color w:val="000000"/>
          <w:sz w:val="28"/>
          <w:szCs w:val="24"/>
          <w:highlight w:val="none"/>
          <w:lang w:val="en-US" w:eastAsia="zh-CN"/>
        </w:rPr>
      </w:pPr>
      <w:r>
        <w:rPr>
          <w:rFonts w:hint="eastAsia" w:ascii="宋体" w:hAnsi="宋体" w:eastAsia="宋体" w:cs="宋体"/>
          <w:sz w:val="24"/>
          <w:szCs w:val="18"/>
          <w:highlight w:val="none"/>
        </w:rPr>
        <w:br w:type="page"/>
      </w:r>
    </w:p>
    <w:p w14:paraId="529B097A">
      <w:pPr>
        <w:rPr>
          <w:rFonts w:hint="eastAsia" w:ascii="宋体" w:hAnsi="宋体" w:eastAsia="宋体" w:cs="宋体"/>
          <w:highlight w:val="none"/>
          <w:lang w:eastAsia="zh-CN"/>
        </w:rPr>
        <w:sectPr>
          <w:type w:val="continuous"/>
          <w:pgSz w:w="11905" w:h="16838"/>
          <w:pgMar w:top="1304" w:right="964" w:bottom="1020" w:left="1191" w:header="567" w:footer="454" w:gutter="0"/>
          <w:pgNumType w:fmt="decimal"/>
          <w:cols w:space="720" w:num="1"/>
          <w:rtlGutter w:val="0"/>
          <w:docGrid w:type="lines" w:linePitch="317" w:charSpace="0"/>
        </w:sectPr>
      </w:pPr>
    </w:p>
    <w:p w14:paraId="30F5B7B2">
      <w:pPr>
        <w:pStyle w:val="37"/>
        <w:spacing w:line="240" w:lineRule="auto"/>
        <w:ind w:left="0" w:leftChars="0" w:firstLine="0" w:firstLineChars="0"/>
        <w:jc w:val="both"/>
        <w:outlineLvl w:val="2"/>
        <w:rPr>
          <w:rFonts w:hint="eastAsia" w:ascii="宋体" w:hAnsi="宋体" w:eastAsia="宋体" w:cs="宋体"/>
          <w:b/>
          <w:color w:val="000000"/>
          <w:sz w:val="28"/>
          <w:szCs w:val="24"/>
          <w:highlight w:val="none"/>
          <w:lang w:val="en-US" w:eastAsia="zh-CN"/>
        </w:rPr>
      </w:pPr>
      <w:bookmarkStart w:id="301" w:name="_Toc1542"/>
      <w:r>
        <w:rPr>
          <w:rFonts w:hint="eastAsia" w:ascii="宋体" w:hAnsi="宋体" w:eastAsia="宋体" w:cs="宋体"/>
          <w:b/>
          <w:color w:val="000000"/>
          <w:sz w:val="28"/>
          <w:szCs w:val="24"/>
          <w:highlight w:val="none"/>
          <w:lang w:val="en-US" w:eastAsia="zh-CN"/>
        </w:rPr>
        <w:t>附件</w:t>
      </w:r>
      <w:bookmarkEnd w:id="301"/>
      <w:r>
        <w:rPr>
          <w:rFonts w:hint="eastAsia" w:ascii="宋体" w:hAnsi="宋体" w:eastAsia="宋体" w:cs="宋体"/>
          <w:b/>
          <w:color w:val="000000"/>
          <w:sz w:val="28"/>
          <w:szCs w:val="24"/>
          <w:highlight w:val="none"/>
          <w:lang w:val="en-US" w:eastAsia="zh-CN"/>
        </w:rPr>
        <w:t>七</w:t>
      </w:r>
    </w:p>
    <w:p w14:paraId="7617646D">
      <w:pPr>
        <w:pStyle w:val="37"/>
        <w:spacing w:line="240" w:lineRule="auto"/>
        <w:ind w:left="0" w:leftChars="0" w:firstLine="0" w:firstLineChars="0"/>
        <w:jc w:val="center"/>
        <w:rPr>
          <w:rFonts w:hint="eastAsia" w:ascii="宋体" w:hAnsi="宋体" w:eastAsia="宋体" w:cs="宋体"/>
          <w:b/>
          <w:color w:val="000000"/>
          <w:szCs w:val="28"/>
          <w:highlight w:val="none"/>
          <w:lang w:val="en-US" w:eastAsia="zh-CN"/>
        </w:rPr>
      </w:pPr>
      <w:r>
        <w:rPr>
          <w:rFonts w:hint="eastAsia" w:ascii="宋体" w:hAnsi="宋体" w:eastAsia="宋体" w:cs="宋体"/>
          <w:b/>
          <w:color w:val="000000"/>
          <w:sz w:val="32"/>
          <w:szCs w:val="28"/>
          <w:highlight w:val="none"/>
        </w:rPr>
        <w:t>法定代表人身份证</w:t>
      </w:r>
      <w:r>
        <w:rPr>
          <w:rFonts w:hint="eastAsia" w:ascii="宋体" w:hAnsi="宋体" w:eastAsia="宋体" w:cs="宋体"/>
          <w:b/>
          <w:color w:val="000000"/>
          <w:sz w:val="32"/>
          <w:szCs w:val="28"/>
          <w:highlight w:val="none"/>
          <w:lang w:val="en-US" w:eastAsia="zh-CN"/>
        </w:rPr>
        <w:t>明</w:t>
      </w:r>
    </w:p>
    <w:p w14:paraId="0C1EDC30">
      <w:pPr>
        <w:autoSpaceDE w:val="0"/>
        <w:autoSpaceDN w:val="0"/>
        <w:adjustRightInd w:val="0"/>
        <w:ind w:left="120" w:hanging="120"/>
        <w:rPr>
          <w:rFonts w:hint="eastAsia" w:ascii="宋体" w:hAnsi="宋体" w:eastAsia="宋体" w:cs="宋体"/>
          <w:sz w:val="24"/>
          <w:highlight w:val="none"/>
          <w:lang w:val="zh-CN"/>
        </w:rPr>
      </w:pPr>
    </w:p>
    <w:p w14:paraId="5F8E1FB0">
      <w:pPr>
        <w:spacing w:line="460" w:lineRule="exact"/>
        <w:ind w:left="120" w:hanging="120"/>
        <w:rPr>
          <w:rFonts w:hint="eastAsia" w:ascii="宋体" w:hAnsi="宋体" w:eastAsia="宋体" w:cs="宋体"/>
          <w:sz w:val="24"/>
          <w:highlight w:val="none"/>
          <w:u w:val="single"/>
        </w:rPr>
      </w:pPr>
      <w:r>
        <w:rPr>
          <w:rFonts w:hint="eastAsia" w:ascii="宋体" w:hAnsi="宋体" w:eastAsia="宋体" w:cs="宋体"/>
          <w:sz w:val="24"/>
          <w:highlight w:val="none"/>
        </w:rPr>
        <w:t>单位名称：</w:t>
      </w:r>
      <w:r>
        <w:rPr>
          <w:rFonts w:hint="eastAsia" w:ascii="宋体" w:hAnsi="宋体" w:eastAsia="宋体" w:cs="宋体"/>
          <w:sz w:val="24"/>
          <w:highlight w:val="none"/>
          <w:u w:val="single"/>
        </w:rPr>
        <w:t xml:space="preserve">                                                  </w:t>
      </w:r>
    </w:p>
    <w:p w14:paraId="727358AF">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地址：</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w:t>
      </w:r>
    </w:p>
    <w:p w14:paraId="214CCA2C">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姓名：</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性别：</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年龄：</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职务：</w:t>
      </w:r>
      <w:r>
        <w:rPr>
          <w:rFonts w:hint="eastAsia" w:ascii="宋体" w:hAnsi="宋体" w:eastAsia="宋体" w:cs="宋体"/>
          <w:sz w:val="24"/>
          <w:highlight w:val="none"/>
          <w:u w:val="single"/>
        </w:rPr>
        <w:t xml:space="preserve">             </w:t>
      </w:r>
    </w:p>
    <w:p w14:paraId="2A6FE0C3">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 xml:space="preserve">系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的法定代表人。</w:t>
      </w:r>
    </w:p>
    <w:p w14:paraId="23831ABF">
      <w:pPr>
        <w:spacing w:line="460" w:lineRule="exact"/>
        <w:ind w:left="120" w:hanging="120"/>
        <w:rPr>
          <w:rFonts w:hint="eastAsia" w:ascii="宋体" w:hAnsi="宋体" w:eastAsia="宋体" w:cs="宋体"/>
          <w:sz w:val="24"/>
          <w:highlight w:val="none"/>
        </w:rPr>
      </w:pPr>
    </w:p>
    <w:p w14:paraId="58A6C208">
      <w:pPr>
        <w:autoSpaceDE w:val="0"/>
        <w:autoSpaceDN w:val="0"/>
        <w:adjustRightInd w:val="0"/>
        <w:spacing w:line="320" w:lineRule="exact"/>
        <w:ind w:left="0" w:leftChars="0" w:firstLine="0" w:firstLineChars="0"/>
        <w:rPr>
          <w:rFonts w:hint="eastAsia" w:ascii="宋体" w:hAnsi="宋体" w:eastAsia="宋体" w:cs="宋体"/>
          <w:sz w:val="24"/>
          <w:highlight w:val="none"/>
          <w:lang w:val="zh-CN"/>
        </w:rPr>
      </w:pPr>
    </w:p>
    <w:p w14:paraId="63D45D7C">
      <w:pPr>
        <w:autoSpaceDE w:val="0"/>
        <w:autoSpaceDN w:val="0"/>
        <w:adjustRightInd w:val="0"/>
        <w:spacing w:line="320" w:lineRule="exact"/>
        <w:ind w:left="120" w:hanging="120"/>
        <w:rPr>
          <w:rFonts w:hint="eastAsia" w:ascii="宋体" w:hAnsi="宋体" w:eastAsia="宋体" w:cs="宋体"/>
          <w:sz w:val="24"/>
          <w:highlight w:val="none"/>
          <w:lang w:val="zh-CN"/>
        </w:rPr>
      </w:pPr>
    </w:p>
    <w:p w14:paraId="685C128D">
      <w:pPr>
        <w:autoSpaceDE w:val="0"/>
        <w:autoSpaceDN w:val="0"/>
        <w:adjustRightInd w:val="0"/>
        <w:spacing w:line="320" w:lineRule="exact"/>
        <w:ind w:left="120" w:hanging="120"/>
        <w:rPr>
          <w:rFonts w:hint="eastAsia" w:ascii="宋体" w:hAnsi="宋体" w:eastAsia="宋体" w:cs="宋体"/>
          <w:sz w:val="24"/>
          <w:highlight w:val="none"/>
          <w:lang w:val="zh-CN"/>
        </w:rPr>
      </w:pPr>
    </w:p>
    <w:p w14:paraId="7ACB8C75">
      <w:pPr>
        <w:autoSpaceDE w:val="0"/>
        <w:autoSpaceDN w:val="0"/>
        <w:adjustRightInd w:val="0"/>
        <w:spacing w:line="320" w:lineRule="exact"/>
        <w:ind w:left="120" w:hanging="120"/>
        <w:rPr>
          <w:rFonts w:hint="eastAsia" w:ascii="宋体" w:hAnsi="宋体" w:eastAsia="宋体" w:cs="宋体"/>
          <w:sz w:val="24"/>
          <w:highlight w:val="none"/>
          <w:lang w:val="zh-CN"/>
        </w:rPr>
      </w:pPr>
      <w:r>
        <w:rPr>
          <w:rFonts w:hint="eastAsia" w:ascii="宋体" w:hAnsi="宋体" w:eastAsia="宋体" w:cs="宋体"/>
          <w:bCs/>
          <w:sz w:val="24"/>
          <w:highlight w:val="none"/>
        </w:rPr>
        <mc:AlternateContent>
          <mc:Choice Requires="wps">
            <w:drawing>
              <wp:anchor distT="0" distB="0" distL="114300" distR="114300" simplePos="0" relativeHeight="251664384" behindDoc="0" locked="0" layoutInCell="1" allowOverlap="1">
                <wp:simplePos x="0" y="0"/>
                <wp:positionH relativeFrom="column">
                  <wp:posOffset>2790825</wp:posOffset>
                </wp:positionH>
                <wp:positionV relativeFrom="paragraph">
                  <wp:posOffset>145415</wp:posOffset>
                </wp:positionV>
                <wp:extent cx="2472690" cy="1263650"/>
                <wp:effectExtent l="4445" t="4445" r="6985" b="12065"/>
                <wp:wrapNone/>
                <wp:docPr id="24" name="文本框 24"/>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2ED80BC8">
                            <w:pPr>
                              <w:ind w:left="140" w:hanging="140"/>
                              <w:jc w:val="center"/>
                              <w:rPr>
                                <w:sz w:val="28"/>
                                <w:szCs w:val="28"/>
                              </w:rPr>
                            </w:pPr>
                            <w:r>
                              <w:rPr>
                                <w:rFonts w:hint="eastAsia"/>
                                <w:sz w:val="28"/>
                                <w:szCs w:val="28"/>
                              </w:rPr>
                              <w:t>法人身份证复印件背面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19.75pt;margin-top:11.45pt;height:99.5pt;width:194.7pt;z-index:251664384;mso-width-relative:page;mso-height-relative:page;" fillcolor="#FFFFFF" filled="t" stroked="t" coordsize="21600,21600" o:gfxdata="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ByrmjZAAAACgEAAA8AAAAAAAAAAQAgAAAAIgAAAGRycy9kb3ducmV2&#10;LnhtbFBLAQIUABQAAAAIAIdO4kBasME0NAIAAHoEAAAOAAAAAAAAAAEAIAAAACgBAABkcnMvZTJv&#10;RG9jLnhtbFBLBQYAAAAABgAGAFkBAADOBQAAAAA=&#10;">
                <v:fill on="t" focussize="0,0"/>
                <v:stroke color="#000000" joinstyle="miter" dashstyle="1 1" endcap="round"/>
                <v:imagedata o:title=""/>
                <o:lock v:ext="edit" aspectratio="f"/>
                <v:textbox>
                  <w:txbxContent>
                    <w:p w14:paraId="2ED80BC8">
                      <w:pPr>
                        <w:ind w:left="140" w:hanging="140"/>
                        <w:jc w:val="center"/>
                        <w:rPr>
                          <w:sz w:val="28"/>
                          <w:szCs w:val="28"/>
                        </w:rPr>
                      </w:pPr>
                      <w:r>
                        <w:rPr>
                          <w:rFonts w:hint="eastAsia"/>
                          <w:sz w:val="28"/>
                          <w:szCs w:val="28"/>
                        </w:rPr>
                        <w:t>法人身份证复印件背面</w:t>
                      </w:r>
                    </w:p>
                  </w:txbxContent>
                </v:textbox>
              </v:shape>
            </w:pict>
          </mc:Fallback>
        </mc:AlternateContent>
      </w:r>
      <w:r>
        <w:rPr>
          <w:rFonts w:hint="eastAsia" w:ascii="宋体" w:hAnsi="宋体" w:eastAsia="宋体" w:cs="宋体"/>
          <w:bCs/>
          <w:sz w:val="24"/>
          <w:highlight w:val="none"/>
        </w:rPr>
        <mc:AlternateContent>
          <mc:Choice Requires="wps">
            <w:drawing>
              <wp:anchor distT="0" distB="0" distL="114300" distR="114300" simplePos="0" relativeHeight="251663360" behindDoc="0" locked="0" layoutInCell="1" allowOverlap="1">
                <wp:simplePos x="0" y="0"/>
                <wp:positionH relativeFrom="column">
                  <wp:posOffset>-47625</wp:posOffset>
                </wp:positionH>
                <wp:positionV relativeFrom="paragraph">
                  <wp:posOffset>156210</wp:posOffset>
                </wp:positionV>
                <wp:extent cx="2472690" cy="1263650"/>
                <wp:effectExtent l="4445" t="4445" r="6985" b="12065"/>
                <wp:wrapNone/>
                <wp:docPr id="25" name="文本框 25"/>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477AE484">
                            <w:pPr>
                              <w:ind w:left="140" w:hanging="140"/>
                              <w:jc w:val="center"/>
                              <w:rPr>
                                <w:sz w:val="28"/>
                                <w:szCs w:val="28"/>
                              </w:rPr>
                            </w:pPr>
                            <w:r>
                              <w:rPr>
                                <w:rFonts w:hint="eastAsia"/>
                                <w:sz w:val="28"/>
                                <w:szCs w:val="28"/>
                              </w:rPr>
                              <w:t>法人身份证复印件正面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3.75pt;margin-top:12.3pt;height:99.5pt;width:194.7pt;z-index:251663360;mso-width-relative:page;mso-height-relative:page;" fillcolor="#FFFFFF" filled="t" stroked="t" coordsize="21600,21600" o:gfxdata="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kqR5xdoAAAAJAQAADwAAAAAAAAABACAAAAAiAAAAZHJzL2Rvd25yZXYu&#10;eG1sUEsBAhQAFAAAAAgAh07iQIhGdooyAgAAegQAAA4AAAAAAAAAAQAgAAAAKQEAAGRycy9lMm9E&#10;b2MueG1sUEsFBgAAAAAGAAYAWQEAAM0FAAAAAA==&#10;">
                <v:fill on="t" focussize="0,0"/>
                <v:stroke color="#000000" joinstyle="miter" dashstyle="1 1" endcap="round"/>
                <v:imagedata o:title=""/>
                <o:lock v:ext="edit" aspectratio="f"/>
                <v:textbox>
                  <w:txbxContent>
                    <w:p w14:paraId="477AE484">
                      <w:pPr>
                        <w:ind w:left="140" w:hanging="140"/>
                        <w:jc w:val="center"/>
                        <w:rPr>
                          <w:sz w:val="28"/>
                          <w:szCs w:val="28"/>
                        </w:rPr>
                      </w:pPr>
                      <w:r>
                        <w:rPr>
                          <w:rFonts w:hint="eastAsia"/>
                          <w:sz w:val="28"/>
                          <w:szCs w:val="28"/>
                        </w:rPr>
                        <w:t>法人身份证复印件正面</w:t>
                      </w:r>
                    </w:p>
                  </w:txbxContent>
                </v:textbox>
              </v:shape>
            </w:pict>
          </mc:Fallback>
        </mc:AlternateContent>
      </w:r>
    </w:p>
    <w:p w14:paraId="7D0B38D6">
      <w:pPr>
        <w:autoSpaceDE w:val="0"/>
        <w:autoSpaceDN w:val="0"/>
        <w:adjustRightInd w:val="0"/>
        <w:spacing w:line="320" w:lineRule="exact"/>
        <w:ind w:left="120" w:hanging="120"/>
        <w:rPr>
          <w:rFonts w:hint="eastAsia" w:ascii="宋体" w:hAnsi="宋体" w:eastAsia="宋体" w:cs="宋体"/>
          <w:sz w:val="24"/>
          <w:highlight w:val="none"/>
          <w:lang w:val="zh-CN"/>
        </w:rPr>
      </w:pPr>
    </w:p>
    <w:p w14:paraId="23F1265B">
      <w:pPr>
        <w:autoSpaceDE w:val="0"/>
        <w:autoSpaceDN w:val="0"/>
        <w:adjustRightInd w:val="0"/>
        <w:spacing w:line="320" w:lineRule="exact"/>
        <w:ind w:left="120" w:hanging="120"/>
        <w:rPr>
          <w:rFonts w:hint="eastAsia" w:ascii="宋体" w:hAnsi="宋体" w:eastAsia="宋体" w:cs="宋体"/>
          <w:sz w:val="24"/>
          <w:highlight w:val="none"/>
          <w:lang w:val="zh-CN"/>
        </w:rPr>
      </w:pPr>
    </w:p>
    <w:p w14:paraId="627898EA">
      <w:pPr>
        <w:autoSpaceDE w:val="0"/>
        <w:autoSpaceDN w:val="0"/>
        <w:adjustRightInd w:val="0"/>
        <w:spacing w:line="320" w:lineRule="exact"/>
        <w:ind w:left="120" w:hanging="120"/>
        <w:rPr>
          <w:rFonts w:hint="eastAsia" w:ascii="宋体" w:hAnsi="宋体" w:eastAsia="宋体" w:cs="宋体"/>
          <w:sz w:val="24"/>
          <w:highlight w:val="none"/>
          <w:lang w:val="zh-CN"/>
        </w:rPr>
      </w:pPr>
    </w:p>
    <w:p w14:paraId="6813F2C5">
      <w:pPr>
        <w:autoSpaceDE w:val="0"/>
        <w:autoSpaceDN w:val="0"/>
        <w:adjustRightInd w:val="0"/>
        <w:spacing w:line="320" w:lineRule="exact"/>
        <w:ind w:left="120" w:hanging="120"/>
        <w:rPr>
          <w:rFonts w:hint="eastAsia" w:ascii="宋体" w:hAnsi="宋体" w:eastAsia="宋体" w:cs="宋体"/>
          <w:sz w:val="24"/>
          <w:highlight w:val="none"/>
          <w:lang w:val="zh-CN"/>
        </w:rPr>
      </w:pPr>
    </w:p>
    <w:p w14:paraId="57E9C1EA">
      <w:pPr>
        <w:autoSpaceDE w:val="0"/>
        <w:autoSpaceDN w:val="0"/>
        <w:adjustRightInd w:val="0"/>
        <w:spacing w:line="320" w:lineRule="exact"/>
        <w:ind w:left="120" w:hanging="120"/>
        <w:rPr>
          <w:rFonts w:hint="eastAsia" w:ascii="宋体" w:hAnsi="宋体" w:eastAsia="宋体" w:cs="宋体"/>
          <w:sz w:val="24"/>
          <w:highlight w:val="none"/>
          <w:lang w:val="zh-CN"/>
        </w:rPr>
      </w:pPr>
    </w:p>
    <w:p w14:paraId="644E67F5">
      <w:pPr>
        <w:autoSpaceDE w:val="0"/>
        <w:autoSpaceDN w:val="0"/>
        <w:adjustRightInd w:val="0"/>
        <w:spacing w:line="320" w:lineRule="exact"/>
        <w:ind w:left="120" w:hanging="120"/>
        <w:rPr>
          <w:rFonts w:hint="eastAsia" w:ascii="宋体" w:hAnsi="宋体" w:eastAsia="宋体" w:cs="宋体"/>
          <w:sz w:val="24"/>
          <w:highlight w:val="none"/>
          <w:lang w:val="zh-CN"/>
        </w:rPr>
      </w:pPr>
    </w:p>
    <w:p w14:paraId="16830AA6">
      <w:pPr>
        <w:autoSpaceDE w:val="0"/>
        <w:autoSpaceDN w:val="0"/>
        <w:adjustRightInd w:val="0"/>
        <w:spacing w:line="320" w:lineRule="exact"/>
        <w:ind w:left="120" w:hanging="120"/>
        <w:rPr>
          <w:rFonts w:hint="eastAsia" w:ascii="宋体" w:hAnsi="宋体" w:eastAsia="宋体" w:cs="宋体"/>
          <w:sz w:val="24"/>
          <w:highlight w:val="none"/>
          <w:lang w:val="zh-CN"/>
        </w:rPr>
      </w:pPr>
    </w:p>
    <w:p w14:paraId="02DE7E83">
      <w:pPr>
        <w:autoSpaceDE w:val="0"/>
        <w:autoSpaceDN w:val="0"/>
        <w:adjustRightInd w:val="0"/>
        <w:spacing w:line="320" w:lineRule="exact"/>
        <w:ind w:left="0" w:leftChars="0" w:firstLine="0" w:firstLineChars="0"/>
        <w:rPr>
          <w:rFonts w:hint="eastAsia" w:ascii="宋体" w:hAnsi="宋体" w:eastAsia="宋体" w:cs="宋体"/>
          <w:sz w:val="24"/>
          <w:highlight w:val="none"/>
          <w:lang w:val="zh-CN"/>
        </w:rPr>
      </w:pPr>
    </w:p>
    <w:p w14:paraId="5D2D4767">
      <w:pPr>
        <w:autoSpaceDE w:val="0"/>
        <w:autoSpaceDN w:val="0"/>
        <w:adjustRightInd w:val="0"/>
        <w:spacing w:line="320" w:lineRule="exact"/>
        <w:ind w:left="120" w:hanging="120"/>
        <w:rPr>
          <w:rFonts w:hint="eastAsia" w:ascii="宋体" w:hAnsi="宋体" w:eastAsia="宋体" w:cs="宋体"/>
          <w:sz w:val="24"/>
          <w:highlight w:val="none"/>
          <w:lang w:val="zh-CN"/>
        </w:rPr>
      </w:pPr>
    </w:p>
    <w:p w14:paraId="1B1F429C">
      <w:pPr>
        <w:autoSpaceDE w:val="0"/>
        <w:autoSpaceDN w:val="0"/>
        <w:adjustRightInd w:val="0"/>
        <w:spacing w:line="320" w:lineRule="exact"/>
        <w:ind w:left="120" w:hanging="120"/>
        <w:rPr>
          <w:rFonts w:hint="eastAsia" w:ascii="宋体" w:hAnsi="宋体" w:eastAsia="宋体" w:cs="宋体"/>
          <w:sz w:val="24"/>
          <w:highlight w:val="none"/>
          <w:lang w:val="zh-CN"/>
        </w:rPr>
      </w:pPr>
    </w:p>
    <w:p w14:paraId="06A4C837">
      <w:pPr>
        <w:pStyle w:val="3"/>
        <w:outlineLvl w:val="9"/>
        <w:rPr>
          <w:rFonts w:hint="eastAsia" w:ascii="宋体" w:hAnsi="宋体" w:eastAsia="宋体" w:cs="宋体"/>
          <w:sz w:val="24"/>
          <w:highlight w:val="none"/>
          <w:lang w:val="zh-CN"/>
        </w:rPr>
      </w:pPr>
    </w:p>
    <w:p w14:paraId="5FB237A4">
      <w:pPr>
        <w:rPr>
          <w:rFonts w:hint="eastAsia" w:ascii="宋体" w:hAnsi="宋体" w:eastAsia="宋体" w:cs="宋体"/>
          <w:highlight w:val="none"/>
          <w:lang w:val="zh-CN"/>
        </w:rPr>
      </w:pPr>
    </w:p>
    <w:p w14:paraId="71297C67">
      <w:pP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投标单位名称：公章）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34F6DADA">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法定代表人</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en-US" w:eastAsia="zh-CN"/>
        </w:rPr>
        <w:t>签字或</w:t>
      </w:r>
      <w:r>
        <w:rPr>
          <w:rFonts w:hint="eastAsia" w:ascii="宋体" w:hAnsi="宋体" w:eastAsia="宋体" w:cs="宋体"/>
          <w:color w:val="000000"/>
          <w:sz w:val="21"/>
          <w:szCs w:val="21"/>
          <w:highlight w:val="none"/>
        </w:rPr>
        <w:t>盖章）</w:t>
      </w:r>
      <w:r>
        <w:rPr>
          <w:rFonts w:hint="eastAsia" w:ascii="宋体" w:hAnsi="宋体" w:eastAsia="宋体" w:cs="宋体"/>
          <w:color w:val="000000"/>
          <w:sz w:val="21"/>
          <w:szCs w:val="21"/>
          <w:highlight w:val="none"/>
          <w:u w:val="single"/>
        </w:rPr>
        <w:t xml:space="preserve">                </w:t>
      </w:r>
    </w:p>
    <w:p w14:paraId="74BD0D23">
      <w:pPr>
        <w:pStyle w:val="90"/>
        <w:rPr>
          <w:rFonts w:hint="eastAsia" w:ascii="宋体" w:hAnsi="宋体" w:eastAsia="宋体" w:cs="宋体"/>
          <w:highlight w:val="none"/>
        </w:rPr>
      </w:pPr>
    </w:p>
    <w:p w14:paraId="4B834D20">
      <w:pPr>
        <w:autoSpaceDE w:val="0"/>
        <w:autoSpaceDN w:val="0"/>
        <w:adjustRightInd w:val="0"/>
        <w:spacing w:line="320" w:lineRule="exact"/>
        <w:ind w:left="120" w:hanging="120"/>
        <w:rPr>
          <w:rFonts w:hint="eastAsia" w:ascii="宋体" w:hAnsi="宋体" w:eastAsia="宋体" w:cs="宋体"/>
          <w:b/>
          <w:bCs/>
          <w:sz w:val="24"/>
          <w:highlight w:val="none"/>
          <w:lang w:val="zh-CN"/>
        </w:rPr>
      </w:pPr>
    </w:p>
    <w:p w14:paraId="72320552">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427EB629">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44499E70">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47C2D8AC">
      <w:pPr>
        <w:autoSpaceDE w:val="0"/>
        <w:autoSpaceDN w:val="0"/>
        <w:adjustRightInd w:val="0"/>
        <w:spacing w:line="320" w:lineRule="exact"/>
        <w:ind w:left="120" w:hanging="120"/>
        <w:jc w:val="right"/>
        <w:outlineLvl w:val="0"/>
        <w:rPr>
          <w:rFonts w:hint="eastAsia" w:ascii="宋体" w:hAnsi="宋体" w:eastAsia="宋体" w:cs="宋体"/>
          <w:sz w:val="24"/>
          <w:highlight w:val="none"/>
          <w:lang w:val="zh-CN"/>
        </w:rPr>
      </w:pPr>
      <w:bookmarkStart w:id="302" w:name="_Toc18606"/>
      <w:bookmarkStart w:id="303" w:name="_Toc7513"/>
      <w:bookmarkStart w:id="304" w:name="_Toc9354"/>
      <w:r>
        <w:rPr>
          <w:rFonts w:hint="eastAsia" w:ascii="宋体" w:hAnsi="宋体" w:eastAsia="宋体" w:cs="宋体"/>
          <w:sz w:val="24"/>
          <w:highlight w:val="none"/>
          <w:lang w:val="zh-CN"/>
        </w:rPr>
        <w:t>日期：</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年</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月</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日</w:t>
      </w:r>
      <w:bookmarkEnd w:id="302"/>
      <w:bookmarkEnd w:id="303"/>
      <w:bookmarkEnd w:id="304"/>
    </w:p>
    <w:p w14:paraId="56B43156">
      <w:pPr>
        <w:pStyle w:val="20"/>
        <w:overflowPunct w:val="0"/>
        <w:snapToGrid w:val="0"/>
        <w:spacing w:line="360" w:lineRule="auto"/>
        <w:ind w:firstLine="0"/>
        <w:rPr>
          <w:rFonts w:hint="eastAsia" w:ascii="宋体" w:hAnsi="宋体" w:eastAsia="宋体" w:cs="宋体"/>
          <w:color w:val="000000"/>
          <w:sz w:val="24"/>
          <w:szCs w:val="24"/>
          <w:highlight w:val="none"/>
          <w:lang w:eastAsia="zh-CN"/>
        </w:rPr>
        <w:sectPr>
          <w:type w:val="continuous"/>
          <w:pgSz w:w="11905" w:h="16838"/>
          <w:pgMar w:top="1304" w:right="964" w:bottom="1020" w:left="1191" w:header="567" w:footer="454" w:gutter="0"/>
          <w:pgNumType w:fmt="decimal"/>
          <w:cols w:space="720" w:num="1"/>
          <w:rtlGutter w:val="0"/>
          <w:docGrid w:type="lines" w:linePitch="317" w:charSpace="0"/>
        </w:sectPr>
      </w:pPr>
    </w:p>
    <w:p w14:paraId="49B25CEC">
      <w:pPr>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br w:type="page"/>
      </w:r>
    </w:p>
    <w:p w14:paraId="7F40DF2A">
      <w:pPr>
        <w:pStyle w:val="37"/>
        <w:spacing w:line="240" w:lineRule="auto"/>
        <w:ind w:left="0" w:leftChars="0" w:firstLine="0" w:firstLineChars="0"/>
        <w:jc w:val="both"/>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附件八</w:t>
      </w:r>
    </w:p>
    <w:p w14:paraId="46DE58EB">
      <w:pPr>
        <w:jc w:val="center"/>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32"/>
          <w:szCs w:val="28"/>
          <w:highlight w:val="none"/>
        </w:rPr>
        <w:t>法定代表人授权委托书</w:t>
      </w:r>
    </w:p>
    <w:p w14:paraId="7122FAC7">
      <w:pPr>
        <w:pStyle w:val="44"/>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本授权委托书声明：注册于</w:t>
      </w:r>
      <w:r>
        <w:rPr>
          <w:rFonts w:hint="eastAsia" w:ascii="宋体" w:hAnsi="宋体" w:eastAsia="宋体" w:cs="宋体"/>
          <w:color w:val="000000"/>
          <w:sz w:val="24"/>
          <w:szCs w:val="24"/>
          <w:highlight w:val="none"/>
          <w:u w:val="single"/>
        </w:rPr>
        <w:t xml:space="preserve"> （投标人地址）  </w:t>
      </w:r>
      <w:r>
        <w:rPr>
          <w:rFonts w:hint="eastAsia" w:ascii="宋体" w:hAnsi="宋体" w:eastAsia="宋体" w:cs="宋体"/>
          <w:color w:val="000000"/>
          <w:sz w:val="24"/>
          <w:szCs w:val="24"/>
          <w:highlight w:val="none"/>
        </w:rPr>
        <w:t>的</w:t>
      </w:r>
      <w:r>
        <w:rPr>
          <w:rFonts w:hint="eastAsia" w:ascii="宋体" w:hAnsi="宋体" w:eastAsia="宋体" w:cs="宋体"/>
          <w:color w:val="000000"/>
          <w:sz w:val="24"/>
          <w:szCs w:val="24"/>
          <w:highlight w:val="none"/>
          <w:u w:val="single"/>
        </w:rPr>
        <w:t xml:space="preserve">  （单位名称）    </w:t>
      </w:r>
      <w:r>
        <w:rPr>
          <w:rFonts w:hint="eastAsia" w:ascii="宋体" w:hAnsi="宋体" w:eastAsia="宋体" w:cs="宋体"/>
          <w:color w:val="000000"/>
          <w:sz w:val="24"/>
          <w:szCs w:val="24"/>
          <w:highlight w:val="none"/>
        </w:rPr>
        <w:t>在下面签名的</w:t>
      </w:r>
      <w:r>
        <w:rPr>
          <w:rFonts w:hint="eastAsia" w:ascii="宋体" w:hAnsi="宋体" w:eastAsia="宋体" w:cs="宋体"/>
          <w:color w:val="000000"/>
          <w:sz w:val="24"/>
          <w:szCs w:val="24"/>
          <w:highlight w:val="none"/>
          <w:u w:val="single"/>
        </w:rPr>
        <w:t>（法定代表人姓名、职务）</w:t>
      </w:r>
      <w:r>
        <w:rPr>
          <w:rFonts w:hint="eastAsia" w:ascii="宋体" w:hAnsi="宋体" w:eastAsia="宋体" w:cs="宋体"/>
          <w:color w:val="000000"/>
          <w:sz w:val="24"/>
          <w:szCs w:val="24"/>
          <w:highlight w:val="none"/>
        </w:rPr>
        <w:t>在此授权</w:t>
      </w:r>
      <w:r>
        <w:rPr>
          <w:rFonts w:hint="eastAsia" w:ascii="宋体" w:hAnsi="宋体" w:eastAsia="宋体" w:cs="宋体"/>
          <w:color w:val="000000"/>
          <w:sz w:val="24"/>
          <w:szCs w:val="24"/>
          <w:highlight w:val="none"/>
          <w:u w:val="single"/>
        </w:rPr>
        <w:t>（被授权人姓名、职务）</w:t>
      </w:r>
      <w:r>
        <w:rPr>
          <w:rFonts w:hint="eastAsia" w:ascii="宋体" w:hAnsi="宋体" w:eastAsia="宋体" w:cs="宋体"/>
          <w:color w:val="000000"/>
          <w:sz w:val="24"/>
          <w:szCs w:val="24"/>
          <w:highlight w:val="none"/>
        </w:rPr>
        <w:t>作为我公司的合法代理人，就</w:t>
      </w:r>
      <w:r>
        <w:rPr>
          <w:rFonts w:hint="eastAsia" w:ascii="宋体" w:hAnsi="宋体" w:eastAsia="宋体" w:cs="宋体"/>
          <w:color w:val="000000"/>
          <w:sz w:val="24"/>
          <w:szCs w:val="24"/>
          <w:highlight w:val="none"/>
          <w:u w:val="single"/>
        </w:rPr>
        <w:t>（项目名称、项目编号</w:t>
      </w:r>
      <w:r>
        <w:rPr>
          <w:rFonts w:hint="eastAsia" w:ascii="宋体" w:hAnsi="宋体" w:eastAsia="宋体" w:cs="宋体"/>
          <w:color w:val="000000"/>
          <w:sz w:val="24"/>
          <w:szCs w:val="24"/>
          <w:highlight w:val="none"/>
        </w:rPr>
        <w:t>）的招投标活动，</w:t>
      </w:r>
      <w:r>
        <w:rPr>
          <w:rFonts w:hint="eastAsia" w:ascii="宋体" w:hAnsi="宋体" w:eastAsia="宋体" w:cs="宋体"/>
          <w:color w:val="000000"/>
          <w:sz w:val="24"/>
          <w:szCs w:val="24"/>
          <w:highlight w:val="none"/>
          <w:lang w:eastAsia="zh-CN"/>
        </w:rPr>
        <w:t>设计</w:t>
      </w:r>
      <w:r>
        <w:rPr>
          <w:rFonts w:hint="eastAsia" w:ascii="宋体" w:hAnsi="宋体" w:eastAsia="宋体" w:cs="宋体"/>
          <w:color w:val="000000"/>
          <w:sz w:val="24"/>
          <w:szCs w:val="24"/>
          <w:highlight w:val="none"/>
        </w:rPr>
        <w:t>合同的签订、执行、完成和售后服务，作为投标人代表以我方的名义处理一切与之有关的事务。</w:t>
      </w:r>
    </w:p>
    <w:p w14:paraId="4E8F1377">
      <w:pPr>
        <w:pStyle w:val="44"/>
        <w:spacing w:line="360" w:lineRule="auto"/>
        <w:ind w:firstLine="480" w:firstLineChars="200"/>
        <w:rPr>
          <w:rFonts w:hint="eastAsia" w:ascii="宋体" w:hAnsi="宋体" w:eastAsia="宋体" w:cs="宋体"/>
          <w:color w:val="000000"/>
          <w:sz w:val="24"/>
          <w:szCs w:val="24"/>
          <w:highlight w:val="none"/>
        </w:rPr>
      </w:pPr>
    </w:p>
    <w:p w14:paraId="7A9D8AB0">
      <w:pPr>
        <w:pStyle w:val="44"/>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被授权人</w:t>
      </w:r>
      <w:r>
        <w:rPr>
          <w:rFonts w:hint="eastAsia" w:ascii="宋体" w:hAnsi="宋体" w:eastAsia="宋体" w:cs="宋体"/>
          <w:color w:val="000000"/>
          <w:sz w:val="24"/>
          <w:szCs w:val="24"/>
          <w:highlight w:val="none"/>
          <w:u w:val="single"/>
        </w:rPr>
        <w:t>（投标人授权代表）</w:t>
      </w:r>
      <w:r>
        <w:rPr>
          <w:rFonts w:hint="eastAsia" w:ascii="宋体" w:hAnsi="宋体" w:eastAsia="宋体" w:cs="宋体"/>
          <w:color w:val="000000"/>
          <w:sz w:val="24"/>
          <w:szCs w:val="24"/>
          <w:highlight w:val="none"/>
        </w:rPr>
        <w:t>无转委托权限。</w:t>
      </w:r>
    </w:p>
    <w:p w14:paraId="19CE8C0C">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本授权书自法定代表人签字</w:t>
      </w:r>
      <w:r>
        <w:rPr>
          <w:rFonts w:hint="eastAsia" w:ascii="宋体" w:hAnsi="宋体" w:cs="宋体"/>
          <w:color w:val="000000"/>
          <w:sz w:val="24"/>
          <w:highlight w:val="none"/>
          <w:u w:val="single"/>
          <w:lang w:val="en-US" w:eastAsia="zh-CN"/>
        </w:rPr>
        <w:t xml:space="preserve">          </w:t>
      </w:r>
      <w:r>
        <w:rPr>
          <w:rFonts w:hint="eastAsia" w:ascii="宋体" w:hAnsi="宋体" w:eastAsia="宋体" w:cs="宋体"/>
          <w:color w:val="000000"/>
          <w:sz w:val="24"/>
          <w:highlight w:val="none"/>
        </w:rPr>
        <w:t>日</w:t>
      </w:r>
      <w:r>
        <w:rPr>
          <w:rFonts w:hint="eastAsia" w:ascii="宋体" w:hAnsi="宋体" w:cs="宋体"/>
          <w:color w:val="000000"/>
          <w:sz w:val="24"/>
          <w:highlight w:val="none"/>
          <w:lang w:val="en-US" w:eastAsia="zh-CN"/>
        </w:rPr>
        <w:t>内有</w:t>
      </w:r>
      <w:r>
        <w:rPr>
          <w:rFonts w:hint="eastAsia" w:ascii="宋体" w:hAnsi="宋体" w:eastAsia="宋体" w:cs="宋体"/>
          <w:color w:val="000000"/>
          <w:sz w:val="24"/>
          <w:highlight w:val="none"/>
        </w:rPr>
        <w:t>效，特此声明。</w:t>
      </w:r>
    </w:p>
    <w:p w14:paraId="3B0B6369">
      <w:pPr>
        <w:rPr>
          <w:rFonts w:hint="eastAsia" w:ascii="宋体" w:hAnsi="宋体" w:eastAsia="宋体" w:cs="宋体"/>
          <w:color w:val="auto"/>
          <w:sz w:val="24"/>
          <w:szCs w:val="24"/>
          <w:highlight w:val="none"/>
        </w:rPr>
      </w:pPr>
    </w:p>
    <w:p w14:paraId="708F1C4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需附：法定代表人、被授权人身份证复印件。</w:t>
      </w:r>
    </w:p>
    <w:p w14:paraId="1A50E4B9">
      <w:pPr>
        <w:pStyle w:val="8"/>
        <w:rPr>
          <w:rFonts w:hint="eastAsia" w:ascii="宋体" w:hAnsi="宋体" w:eastAsia="宋体" w:cs="宋体"/>
          <w:highlight w:val="none"/>
        </w:rPr>
      </w:pPr>
    </w:p>
    <w:p w14:paraId="45E16593">
      <w:pPr>
        <w:rPr>
          <w:rFonts w:hint="eastAsia" w:ascii="宋体" w:hAnsi="宋体" w:eastAsia="宋体" w:cs="宋体"/>
          <w:color w:val="FF0000"/>
          <w:sz w:val="28"/>
          <w:szCs w:val="28"/>
          <w:highlight w:val="none"/>
        </w:rPr>
      </w:pPr>
      <w:r>
        <w:rPr>
          <w:rFonts w:hint="eastAsia" w:ascii="宋体" w:hAnsi="宋体" w:eastAsia="宋体" w:cs="宋体"/>
          <w:color w:val="FF0000"/>
          <w:sz w:val="28"/>
          <w:highlight w:val="none"/>
        </w:rPr>
        <mc:AlternateContent>
          <mc:Choice Requires="wps">
            <w:drawing>
              <wp:anchor distT="0" distB="0" distL="114300" distR="114300" simplePos="0" relativeHeight="251660288" behindDoc="0" locked="0" layoutInCell="1" allowOverlap="1">
                <wp:simplePos x="0" y="0"/>
                <wp:positionH relativeFrom="column">
                  <wp:posOffset>2816225</wp:posOffset>
                </wp:positionH>
                <wp:positionV relativeFrom="paragraph">
                  <wp:posOffset>62230</wp:posOffset>
                </wp:positionV>
                <wp:extent cx="1991360" cy="1219835"/>
                <wp:effectExtent l="7620" t="7620" r="12700" b="22225"/>
                <wp:wrapNone/>
                <wp:docPr id="3" name="文本框 3"/>
                <wp:cNvGraphicFramePr/>
                <a:graphic xmlns:a="http://schemas.openxmlformats.org/drawingml/2006/main">
                  <a:graphicData uri="http://schemas.microsoft.com/office/word/2010/wordprocessingShape">
                    <wps:wsp>
                      <wps:cNvSpPr txBox="1"/>
                      <wps:spPr>
                        <a:xfrm>
                          <a:off x="0" y="0"/>
                          <a:ext cx="1991360" cy="1219835"/>
                        </a:xfrm>
                        <a:prstGeom prst="rect">
                          <a:avLst/>
                        </a:prstGeom>
                        <a:noFill/>
                        <a:ln w="15875" cap="flat" cmpd="sng">
                          <a:solidFill>
                            <a:srgbClr val="000000"/>
                          </a:solidFill>
                          <a:prstDash val="solid"/>
                          <a:miter/>
                          <a:headEnd type="none" w="med" len="med"/>
                          <a:tailEnd type="none" w="med" len="med"/>
                        </a:ln>
                        <a:effectLst/>
                      </wps:spPr>
                      <wps:txbx>
                        <w:txbxContent>
                          <w:p w14:paraId="716E1EDF">
                            <w:pPr>
                              <w:rPr>
                                <w:rFonts w:hint="eastAsia"/>
                              </w:rPr>
                            </w:pPr>
                            <w:r>
                              <w:rPr>
                                <w:rFonts w:hint="eastAsia"/>
                              </w:rPr>
                              <w:t>被授权人身份证复印件正面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4.9pt;height:96.05pt;width:156.8pt;z-index:251660288;mso-width-relative:page;mso-height-relative:page;" filled="f" stroked="t" coordsize="21600,21600" o:gfxdata="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zSkcHdYAAAAJAQAADwAAAAAAAAABACAAAAAiAAAAZHJzL2Rvd25yZXYueG1sUEsBAhQAFAAA&#10;AAgAh07iQFZgQzUqAgAAUAQAAA4AAAAAAAAAAQAgAAAAJQEAAGRycy9lMm9Eb2MueG1sUEsFBgAA&#10;AAAGAAYAWQEAAMEFAAAAAA==&#10;">
                <v:fill on="f" focussize="0,0"/>
                <v:stroke weight="1.25pt" color="#000000" joinstyle="miter"/>
                <v:imagedata o:title=""/>
                <o:lock v:ext="edit" aspectratio="f"/>
                <v:textbox>
                  <w:txbxContent>
                    <w:p w14:paraId="716E1EDF">
                      <w:pPr>
                        <w:rPr>
                          <w:rFonts w:hint="eastAsia"/>
                        </w:rPr>
                      </w:pPr>
                      <w:r>
                        <w:rPr>
                          <w:rFonts w:hint="eastAsia"/>
                        </w:rPr>
                        <w:t>被授权人身份证复印件正面</w:t>
                      </w:r>
                    </w:p>
                  </w:txbxContent>
                </v:textbox>
              </v:shape>
            </w:pict>
          </mc:Fallback>
        </mc:AlternateContent>
      </w:r>
      <w:r>
        <w:rPr>
          <w:rFonts w:hint="eastAsia" w:ascii="宋体" w:hAnsi="宋体" w:eastAsia="宋体" w:cs="宋体"/>
          <w:color w:val="FF0000"/>
          <w:sz w:val="28"/>
          <w:highlight w:val="none"/>
        </w:rPr>
        <mc:AlternateContent>
          <mc:Choice Requires="wps">
            <w:drawing>
              <wp:anchor distT="0" distB="0" distL="114300" distR="114300" simplePos="0" relativeHeight="251659264" behindDoc="0" locked="0" layoutInCell="1" allowOverlap="1">
                <wp:simplePos x="0" y="0"/>
                <wp:positionH relativeFrom="column">
                  <wp:posOffset>95885</wp:posOffset>
                </wp:positionH>
                <wp:positionV relativeFrom="paragraph">
                  <wp:posOffset>62230</wp:posOffset>
                </wp:positionV>
                <wp:extent cx="2023745" cy="1219835"/>
                <wp:effectExtent l="7620" t="7620" r="10795" b="22225"/>
                <wp:wrapNone/>
                <wp:docPr id="19" name="文本框 19"/>
                <wp:cNvGraphicFramePr/>
                <a:graphic xmlns:a="http://schemas.openxmlformats.org/drawingml/2006/main">
                  <a:graphicData uri="http://schemas.microsoft.com/office/word/2010/wordprocessingShape">
                    <wps:wsp>
                      <wps:cNvSpPr txBox="1"/>
                      <wps:spPr>
                        <a:xfrm>
                          <a:off x="0" y="0"/>
                          <a:ext cx="2023745" cy="1219835"/>
                        </a:xfrm>
                        <a:prstGeom prst="rect">
                          <a:avLst/>
                        </a:prstGeom>
                        <a:noFill/>
                        <a:ln w="15875" cap="flat" cmpd="sng">
                          <a:solidFill>
                            <a:srgbClr val="000000"/>
                          </a:solidFill>
                          <a:prstDash val="solid"/>
                          <a:miter/>
                          <a:headEnd type="none" w="med" len="med"/>
                          <a:tailEnd type="none" w="med" len="med"/>
                        </a:ln>
                        <a:effectLst/>
                      </wps:spPr>
                      <wps:txbx>
                        <w:txbxContent>
                          <w:p w14:paraId="16905B81">
                            <w:pPr>
                              <w:rPr>
                                <w:rFonts w:hint="eastAsia"/>
                              </w:rPr>
                            </w:pPr>
                            <w:r>
                              <w:rPr>
                                <w:rFonts w:hint="eastAsia"/>
                              </w:rPr>
                              <w:t>法定代表人身份证复印件正面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4.9pt;height:96.05pt;width:159.35pt;z-index:251659264;mso-width-relative:page;mso-height-relative:page;" filled="f" stroked="t" coordsize="21600,21600" o:gfxdata="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HU36i1AAAAAgBAAAPAAAAAAAAAAEAIAAAACIAAABkcnMvZG93bnJldi54bWxQSwECFAAUAAAA&#10;CACHTuJAZ1/47isCAABSBAAADgAAAAAAAAABACAAAAAjAQAAZHJzL2Uyb0RvYy54bWxQSwUGAAAA&#10;AAYABgBZAQAAwAUAAAAA&#10;">
                <v:fill on="f" focussize="0,0"/>
                <v:stroke weight="1.25pt" color="#000000" joinstyle="miter"/>
                <v:imagedata o:title=""/>
                <o:lock v:ext="edit" aspectratio="f"/>
                <v:textbox>
                  <w:txbxContent>
                    <w:p w14:paraId="16905B81">
                      <w:pPr>
                        <w:rPr>
                          <w:rFonts w:hint="eastAsia"/>
                        </w:rPr>
                      </w:pPr>
                      <w:r>
                        <w:rPr>
                          <w:rFonts w:hint="eastAsia"/>
                        </w:rPr>
                        <w:t>法定代表人身份证复印件正面</w:t>
                      </w:r>
                    </w:p>
                  </w:txbxContent>
                </v:textbox>
              </v:shape>
            </w:pict>
          </mc:Fallback>
        </mc:AlternateContent>
      </w:r>
    </w:p>
    <w:p w14:paraId="509B5E2B">
      <w:pPr>
        <w:rPr>
          <w:rFonts w:hint="eastAsia" w:ascii="宋体" w:hAnsi="宋体" w:eastAsia="宋体" w:cs="宋体"/>
          <w:color w:val="FF0000"/>
          <w:sz w:val="28"/>
          <w:szCs w:val="28"/>
          <w:highlight w:val="none"/>
        </w:rPr>
      </w:pPr>
    </w:p>
    <w:p w14:paraId="77693513">
      <w:pPr>
        <w:rPr>
          <w:rFonts w:hint="eastAsia" w:ascii="宋体" w:hAnsi="宋体" w:eastAsia="宋体" w:cs="宋体"/>
          <w:color w:val="FF0000"/>
          <w:sz w:val="28"/>
          <w:szCs w:val="28"/>
          <w:highlight w:val="none"/>
        </w:rPr>
      </w:pPr>
    </w:p>
    <w:p w14:paraId="12A936F3">
      <w:pPr>
        <w:rPr>
          <w:rFonts w:hint="eastAsia" w:ascii="宋体" w:hAnsi="宋体" w:eastAsia="宋体" w:cs="宋体"/>
          <w:color w:val="FF0000"/>
          <w:sz w:val="28"/>
          <w:szCs w:val="28"/>
          <w:highlight w:val="none"/>
        </w:rPr>
      </w:pPr>
      <w:r>
        <w:rPr>
          <w:rFonts w:hint="eastAsia" w:ascii="宋体" w:hAnsi="宋体" w:eastAsia="宋体" w:cs="宋体"/>
          <w:color w:val="FF0000"/>
          <w:sz w:val="28"/>
          <w:highlight w:val="none"/>
        </w:rPr>
        <mc:AlternateContent>
          <mc:Choice Requires="wps">
            <w:drawing>
              <wp:anchor distT="0" distB="0" distL="114300" distR="114300" simplePos="0" relativeHeight="251662336" behindDoc="0" locked="0" layoutInCell="1" allowOverlap="1">
                <wp:simplePos x="0" y="0"/>
                <wp:positionH relativeFrom="column">
                  <wp:posOffset>2816225</wp:posOffset>
                </wp:positionH>
                <wp:positionV relativeFrom="paragraph">
                  <wp:posOffset>154940</wp:posOffset>
                </wp:positionV>
                <wp:extent cx="1990725" cy="1219835"/>
                <wp:effectExtent l="7620" t="7620" r="13335" b="22225"/>
                <wp:wrapNone/>
                <wp:docPr id="20" name="文本框 20"/>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69D5E8A2">
                            <w:pPr>
                              <w:rPr>
                                <w:rFonts w:hint="eastAsia"/>
                              </w:rPr>
                            </w:pPr>
                            <w:r>
                              <w:rPr>
                                <w:rFonts w:hint="eastAsia"/>
                              </w:rPr>
                              <w:t>被授权人身份证复印件背面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12.2pt;height:96.05pt;width:156.75pt;z-index:251662336;mso-width-relative:page;mso-height-relative:page;" filled="f" stroked="t" coordsize="21600,21600" o:gfxdata="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6ldyPdYAAAAKAQAADwAAAAAAAAABACAAAAAiAAAAZHJzL2Rvd25yZXYueG1sUEsBAhQAFAAA&#10;AAgAh07iQJWNtRwqAgAAUgQAAA4AAAAAAAAAAQAgAAAAJQEAAGRycy9lMm9Eb2MueG1sUEsFBgAA&#10;AAAGAAYAWQEAAMEFAAAAAA==&#10;">
                <v:fill on="f" focussize="0,0"/>
                <v:stroke weight="1.25pt" color="#000000" joinstyle="miter"/>
                <v:imagedata o:title=""/>
                <o:lock v:ext="edit" aspectratio="f"/>
                <v:textbox>
                  <w:txbxContent>
                    <w:p w14:paraId="69D5E8A2">
                      <w:pPr>
                        <w:rPr>
                          <w:rFonts w:hint="eastAsia"/>
                        </w:rPr>
                      </w:pPr>
                      <w:r>
                        <w:rPr>
                          <w:rFonts w:hint="eastAsia"/>
                        </w:rPr>
                        <w:t>被授权人身份证复印件背面</w:t>
                      </w:r>
                    </w:p>
                  </w:txbxContent>
                </v:textbox>
              </v:shape>
            </w:pict>
          </mc:Fallback>
        </mc:AlternateContent>
      </w:r>
      <w:r>
        <w:rPr>
          <w:rFonts w:hint="eastAsia" w:ascii="宋体" w:hAnsi="宋体" w:eastAsia="宋体" w:cs="宋体"/>
          <w:color w:val="FF0000"/>
          <w:sz w:val="28"/>
          <w:highlight w:val="none"/>
        </w:rPr>
        <mc:AlternateContent>
          <mc:Choice Requires="wps">
            <w:drawing>
              <wp:anchor distT="0" distB="0" distL="114300" distR="114300" simplePos="0" relativeHeight="251661312" behindDoc="0" locked="0" layoutInCell="1" allowOverlap="1">
                <wp:simplePos x="0" y="0"/>
                <wp:positionH relativeFrom="column">
                  <wp:posOffset>95885</wp:posOffset>
                </wp:positionH>
                <wp:positionV relativeFrom="paragraph">
                  <wp:posOffset>154940</wp:posOffset>
                </wp:positionV>
                <wp:extent cx="1990725" cy="1219835"/>
                <wp:effectExtent l="7620" t="7620" r="13335" b="22225"/>
                <wp:wrapNone/>
                <wp:docPr id="21" name="文本框 21"/>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23C26FB2">
                            <w:pPr>
                              <w:rPr>
                                <w:rFonts w:hint="eastAsia"/>
                              </w:rPr>
                            </w:pPr>
                            <w:r>
                              <w:rPr>
                                <w:rFonts w:hint="eastAsia"/>
                              </w:rPr>
                              <w:t>法定代表人身份证复印件背面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12.2pt;height:96.05pt;width:156.75pt;z-index:251661312;mso-width-relative:page;mso-height-relative:page;" filled="f" stroked="t" coordsize="21600,21600" o:gfxdata="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yewhYdUAAAAJAQAADwAAAAAAAAABACAAAAAiAAAAZHJzL2Rvd25yZXYueG1sUEsBAhQAFAAA&#10;AAgAh07iQHLcNMQrAgAAUgQAAA4AAAAAAAAAAQAgAAAAJAEAAGRycy9lMm9Eb2MueG1sUEsFBgAA&#10;AAAGAAYAWQEAAMEFAAAAAA==&#10;">
                <v:fill on="f" focussize="0,0"/>
                <v:stroke weight="1.25pt" color="#000000" joinstyle="miter"/>
                <v:imagedata o:title=""/>
                <o:lock v:ext="edit" aspectratio="f"/>
                <v:textbox>
                  <w:txbxContent>
                    <w:p w14:paraId="23C26FB2">
                      <w:pPr>
                        <w:rPr>
                          <w:rFonts w:hint="eastAsia"/>
                        </w:rPr>
                      </w:pPr>
                      <w:r>
                        <w:rPr>
                          <w:rFonts w:hint="eastAsia"/>
                        </w:rPr>
                        <w:t>法定代表人身份证复印件背面</w:t>
                      </w:r>
                    </w:p>
                  </w:txbxContent>
                </v:textbox>
              </v:shape>
            </w:pict>
          </mc:Fallback>
        </mc:AlternateContent>
      </w:r>
    </w:p>
    <w:p w14:paraId="0A2B08A7">
      <w:pPr>
        <w:rPr>
          <w:rFonts w:hint="eastAsia" w:ascii="宋体" w:hAnsi="宋体" w:eastAsia="宋体" w:cs="宋体"/>
          <w:color w:val="FF0000"/>
          <w:sz w:val="28"/>
          <w:szCs w:val="28"/>
          <w:highlight w:val="none"/>
        </w:rPr>
      </w:pPr>
    </w:p>
    <w:p w14:paraId="0EDED863">
      <w:pPr>
        <w:jc w:val="center"/>
        <w:rPr>
          <w:rFonts w:hint="eastAsia" w:ascii="宋体" w:hAnsi="宋体" w:eastAsia="宋体" w:cs="宋体"/>
          <w:b/>
          <w:color w:val="FF0000"/>
          <w:sz w:val="28"/>
          <w:szCs w:val="28"/>
          <w:highlight w:val="none"/>
        </w:rPr>
      </w:pPr>
    </w:p>
    <w:p w14:paraId="0F844187">
      <w:pPr>
        <w:jc w:val="center"/>
        <w:rPr>
          <w:rFonts w:hint="eastAsia" w:ascii="宋体" w:hAnsi="宋体" w:eastAsia="宋体" w:cs="宋体"/>
          <w:b/>
          <w:color w:val="FF0000"/>
          <w:sz w:val="28"/>
          <w:szCs w:val="28"/>
          <w:highlight w:val="none"/>
        </w:rPr>
      </w:pPr>
    </w:p>
    <w:p w14:paraId="15BE9677">
      <w:pPr>
        <w:spacing w:line="360" w:lineRule="auto"/>
        <w:rPr>
          <w:rFonts w:hint="eastAsia" w:ascii="宋体" w:hAnsi="宋体" w:eastAsia="宋体" w:cs="宋体"/>
          <w:color w:val="auto"/>
          <w:sz w:val="24"/>
          <w:szCs w:val="28"/>
          <w:highlight w:val="none"/>
        </w:rPr>
      </w:pPr>
    </w:p>
    <w:p w14:paraId="1045A4D9">
      <w:pPr>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投标单位名称：（</w:t>
      </w:r>
      <w:r>
        <w:rPr>
          <w:rFonts w:hint="eastAsia" w:ascii="宋体" w:hAnsi="宋体" w:eastAsia="宋体" w:cs="宋体"/>
          <w:color w:val="auto"/>
          <w:sz w:val="24"/>
          <w:szCs w:val="28"/>
          <w:highlight w:val="none"/>
          <w:lang w:eastAsia="zh-CN"/>
        </w:rPr>
        <w:t>盖章</w:t>
      </w:r>
      <w:r>
        <w:rPr>
          <w:rFonts w:hint="eastAsia" w:ascii="宋体" w:hAnsi="宋体" w:eastAsia="宋体" w:cs="宋体"/>
          <w:color w:val="auto"/>
          <w:sz w:val="24"/>
          <w:szCs w:val="28"/>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121F90F1">
      <w:pPr>
        <w:spacing w:line="360" w:lineRule="auto"/>
        <w:rPr>
          <w:rFonts w:hint="eastAsia" w:ascii="宋体" w:hAnsi="宋体" w:eastAsia="宋体" w:cs="宋体"/>
          <w:color w:val="auto"/>
          <w:sz w:val="24"/>
          <w:szCs w:val="28"/>
          <w:highlight w:val="none"/>
        </w:rPr>
      </w:pPr>
    </w:p>
    <w:p w14:paraId="20007FA1">
      <w:pPr>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授权代表人</w:t>
      </w:r>
      <w:r>
        <w:rPr>
          <w:rFonts w:hint="eastAsia" w:ascii="宋体" w:hAnsi="宋体" w:eastAsia="宋体" w:cs="宋体"/>
          <w:color w:val="auto"/>
          <w:sz w:val="24"/>
          <w:szCs w:val="28"/>
          <w:highlight w:val="none"/>
          <w:lang w:eastAsia="zh-CN"/>
        </w:rPr>
        <w:t>：</w:t>
      </w:r>
      <w:r>
        <w:rPr>
          <w:rFonts w:hint="eastAsia" w:ascii="宋体" w:hAnsi="宋体" w:eastAsia="宋体" w:cs="宋体"/>
          <w:color w:val="auto"/>
          <w:sz w:val="24"/>
          <w:szCs w:val="28"/>
          <w:highlight w:val="none"/>
        </w:rPr>
        <w:t>（签字</w:t>
      </w:r>
      <w:r>
        <w:rPr>
          <w:rFonts w:hint="eastAsia" w:ascii="宋体" w:hAnsi="宋体" w:eastAsia="宋体" w:cs="宋体"/>
          <w:color w:val="auto"/>
          <w:sz w:val="24"/>
          <w:szCs w:val="28"/>
          <w:highlight w:val="none"/>
          <w:lang w:val="en-US" w:eastAsia="zh-CN"/>
        </w:rPr>
        <w:t>或</w:t>
      </w:r>
      <w:r>
        <w:rPr>
          <w:rFonts w:hint="eastAsia" w:ascii="宋体" w:hAnsi="宋体" w:eastAsia="宋体" w:cs="宋体"/>
          <w:color w:val="auto"/>
          <w:sz w:val="24"/>
          <w:szCs w:val="28"/>
          <w:highlight w:val="none"/>
        </w:rPr>
        <w:t>盖章）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6BBB1B5E">
      <w:pPr>
        <w:spacing w:line="360" w:lineRule="auto"/>
        <w:jc w:val="righ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5357E7CC">
      <w:pPr>
        <w:rPr>
          <w:rFonts w:hint="eastAsia" w:ascii="宋体" w:hAnsi="宋体" w:eastAsia="宋体" w:cs="宋体"/>
          <w:highlight w:val="none"/>
          <w:lang w:val="en-US" w:eastAsia="zh-CN"/>
        </w:rPr>
      </w:pPr>
    </w:p>
    <w:p w14:paraId="73A8AC1E">
      <w:pPr>
        <w:pStyle w:val="37"/>
        <w:spacing w:line="240" w:lineRule="auto"/>
        <w:ind w:left="0" w:leftChars="0" w:firstLine="0" w:firstLineChars="0"/>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法定代表人参加的需提供法定代表人证明书，委托代理人参加的需提供法定代表人授权委托书</w:t>
      </w:r>
    </w:p>
    <w:p w14:paraId="33807B81">
      <w:pPr>
        <w:pStyle w:val="37"/>
        <w:spacing w:line="240" w:lineRule="auto"/>
        <w:ind w:left="0" w:leftChars="0" w:firstLine="0" w:firstLineChars="0"/>
        <w:jc w:val="both"/>
        <w:rPr>
          <w:rFonts w:hint="eastAsia" w:ascii="宋体" w:hAnsi="宋体" w:eastAsia="宋体" w:cs="宋体"/>
          <w:b w:val="0"/>
          <w:bCs/>
          <w:color w:val="auto"/>
          <w:kern w:val="2"/>
          <w:sz w:val="21"/>
          <w:szCs w:val="20"/>
          <w:highlight w:val="none"/>
          <w:lang w:val="en-US" w:eastAsia="zh-CN" w:bidi="ar-SA"/>
        </w:rPr>
      </w:pPr>
    </w:p>
    <w:p w14:paraId="5AD83B27">
      <w:pPr>
        <w:pStyle w:val="37"/>
        <w:spacing w:line="240" w:lineRule="auto"/>
        <w:ind w:left="0" w:leftChars="0" w:firstLine="0" w:firstLineChars="0"/>
        <w:jc w:val="both"/>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附件九</w:t>
      </w:r>
    </w:p>
    <w:p w14:paraId="70023E70">
      <w:pPr>
        <w:pStyle w:val="37"/>
        <w:spacing w:line="240" w:lineRule="auto"/>
        <w:ind w:left="0" w:leftChars="0" w:firstLine="0" w:firstLineChars="0"/>
        <w:jc w:val="center"/>
        <w:rPr>
          <w:rFonts w:hint="eastAsia" w:ascii="宋体" w:hAnsi="宋体" w:eastAsia="宋体" w:cs="宋体"/>
          <w:b/>
          <w:bCs w:val="0"/>
          <w:color w:val="000000"/>
          <w:sz w:val="28"/>
          <w:szCs w:val="24"/>
          <w:highlight w:val="none"/>
          <w:lang w:val="en-US" w:eastAsia="zh-CN"/>
        </w:rPr>
      </w:pPr>
      <w:r>
        <w:rPr>
          <w:rFonts w:hint="eastAsia" w:ascii="宋体" w:hAnsi="宋体" w:eastAsia="宋体" w:cs="宋体"/>
          <w:b/>
          <w:bCs w:val="0"/>
          <w:color w:val="000000"/>
          <w:sz w:val="28"/>
          <w:szCs w:val="24"/>
          <w:highlight w:val="none"/>
          <w:lang w:val="en-US" w:eastAsia="zh-CN"/>
        </w:rPr>
        <w:t>投标人资格声明函（格式自拟）</w:t>
      </w:r>
    </w:p>
    <w:p w14:paraId="7B5BB7E0">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我公司</w:t>
      </w:r>
      <w:r>
        <w:rPr>
          <w:rFonts w:hint="eastAsia" w:ascii="宋体" w:hAnsi="宋体" w:eastAsia="宋体" w:cs="宋体"/>
          <w:b w:val="0"/>
          <w:bCs/>
          <w:color w:val="000000"/>
          <w:sz w:val="24"/>
          <w:szCs w:val="24"/>
          <w:highlight w:val="none"/>
          <w:u w:val="single"/>
          <w:lang w:val="en-US" w:eastAsia="zh-CN"/>
        </w:rPr>
        <w:t xml:space="preserve"> （供应商全称） </w:t>
      </w:r>
      <w:r>
        <w:rPr>
          <w:rFonts w:hint="eastAsia" w:ascii="宋体" w:hAnsi="宋体" w:eastAsia="宋体" w:cs="宋体"/>
          <w:b w:val="0"/>
          <w:bCs/>
          <w:color w:val="000000"/>
          <w:sz w:val="24"/>
          <w:szCs w:val="24"/>
          <w:highlight w:val="none"/>
          <w:lang w:val="en-US" w:eastAsia="zh-CN"/>
        </w:rPr>
        <w:t>收到</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项目（项目编号：</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、标段号：</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、标段名称：</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 xml:space="preserve"> ）的招标文件后，在完全理解该项目采购技术要求和商务条款的基础上，决定参加此次投标活动。我方保证具备履行合同所必需的服务和专业技术能力，并承诺如下：</w:t>
      </w:r>
    </w:p>
    <w:p w14:paraId="50C4F2D9">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1、具有独立承担民事责任的能力；</w:t>
      </w:r>
    </w:p>
    <w:p w14:paraId="4D14E129">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2、具有良好的商业信誉和健全的财务会计制度；</w:t>
      </w:r>
    </w:p>
    <w:p w14:paraId="7C2D3002">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3、具有履行合同所必需的货物和专业技术能力；</w:t>
      </w:r>
    </w:p>
    <w:p w14:paraId="601436E6">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4、有依法缴纳税收和社会保障资金的良好记录；</w:t>
      </w:r>
    </w:p>
    <w:p w14:paraId="091B94E4">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5、参加政府采购活动前三年内，在经营活动中没有重大违法记录；</w:t>
      </w:r>
    </w:p>
    <w:p w14:paraId="5EB3C4FF">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6、法律、行政法规规定的其他条件；</w:t>
      </w:r>
    </w:p>
    <w:p w14:paraId="763B69F6">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7、具备承担和实施本次采购内容相关的经营许可或相关代理授权。</w:t>
      </w:r>
    </w:p>
    <w:p w14:paraId="2BC7680F">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14:paraId="4AEF0911">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6D9A58A2">
      <w:pPr>
        <w:pStyle w:val="37"/>
        <w:spacing w:line="240" w:lineRule="auto"/>
        <w:ind w:left="0" w:leftChars="0" w:firstLine="480" w:firstLineChars="200"/>
        <w:jc w:val="both"/>
        <w:rPr>
          <w:rFonts w:hint="default" w:ascii="宋体" w:hAnsi="宋体" w:eastAsia="宋体" w:cs="宋体"/>
          <w:b w:val="0"/>
          <w:bCs/>
          <w:color w:val="000000"/>
          <w:sz w:val="24"/>
          <w:szCs w:val="24"/>
          <w:highlight w:val="none"/>
          <w:lang w:val="en-US" w:eastAsia="zh-CN"/>
        </w:rPr>
      </w:pPr>
    </w:p>
    <w:p w14:paraId="6B3CDA35">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38E21B13">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12624EEC">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27E17355">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供应商名称（电子公章）：</w:t>
      </w:r>
    </w:p>
    <w:p w14:paraId="015CDEAA">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法定代表人或其授权代表（签字）：</w:t>
      </w:r>
    </w:p>
    <w:p w14:paraId="5A41A09F">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日期：   年   月    日</w:t>
      </w:r>
    </w:p>
    <w:p w14:paraId="4A24DAE1">
      <w:pPr>
        <w:pStyle w:val="20"/>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p>
    <w:p w14:paraId="36142064">
      <w:pPr>
        <w:rPr>
          <w:rFonts w:hint="eastAsia" w:ascii="宋体" w:hAnsi="宋体" w:eastAsia="宋体" w:cs="宋体"/>
          <w:b w:val="0"/>
          <w:bCs/>
          <w:color w:val="auto"/>
          <w:kern w:val="2"/>
          <w:sz w:val="21"/>
          <w:szCs w:val="20"/>
          <w:highlight w:val="none"/>
          <w:lang w:val="en-US" w:eastAsia="zh-CN" w:bidi="ar-SA"/>
        </w:rPr>
      </w:pPr>
    </w:p>
    <w:p w14:paraId="221FDE74">
      <w:pPr>
        <w:pStyle w:val="17"/>
        <w:rPr>
          <w:rFonts w:hint="eastAsia" w:ascii="宋体" w:hAnsi="宋体" w:eastAsia="宋体" w:cs="宋体"/>
          <w:b w:val="0"/>
          <w:bCs/>
          <w:color w:val="auto"/>
          <w:kern w:val="2"/>
          <w:sz w:val="21"/>
          <w:szCs w:val="20"/>
          <w:highlight w:val="none"/>
          <w:lang w:val="en-US" w:eastAsia="zh-CN" w:bidi="ar-SA"/>
        </w:rPr>
      </w:pPr>
    </w:p>
    <w:p w14:paraId="7D5447C9">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51494C6B">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71699B0C">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5108CD5C">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4C70F278">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color w:val="000000"/>
          <w:kern w:val="2"/>
          <w:sz w:val="28"/>
          <w:szCs w:val="24"/>
          <w:highlight w:val="none"/>
          <w:lang w:val="en-US" w:eastAsia="zh-CN" w:bidi="ar-SA"/>
        </w:rPr>
        <w:t>附件十</w:t>
      </w:r>
    </w:p>
    <w:p w14:paraId="3A9B663C">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58CC72DE">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60AEDB35">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436F3B41">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3C95CECF">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信用中国（www.creditchina.gov.cn）查询结果</w:t>
      </w:r>
    </w:p>
    <w:p w14:paraId="3B120293">
      <w:pPr>
        <w:jc w:val="center"/>
        <w:rPr>
          <w:rFonts w:hint="eastAsia" w:ascii="宋体" w:hAnsi="宋体" w:eastAsia="宋体" w:cs="宋体"/>
          <w:b w:val="0"/>
          <w:bCs/>
          <w:color w:val="auto"/>
          <w:kern w:val="2"/>
          <w:sz w:val="21"/>
          <w:szCs w:val="20"/>
          <w:highlight w:val="none"/>
          <w:lang w:val="en-US" w:eastAsia="zh-CN" w:bidi="ar-SA"/>
        </w:rPr>
      </w:pPr>
    </w:p>
    <w:p w14:paraId="1918E990">
      <w:pPr>
        <w:pStyle w:val="3"/>
        <w:jc w:val="center"/>
        <w:outlineLvl w:val="9"/>
        <w:rPr>
          <w:rFonts w:hint="eastAsia" w:ascii="宋体" w:hAnsi="宋体" w:eastAsia="宋体" w:cs="宋体"/>
          <w:b w:val="0"/>
          <w:bCs/>
          <w:color w:val="auto"/>
          <w:kern w:val="2"/>
          <w:sz w:val="21"/>
          <w:szCs w:val="20"/>
          <w:highlight w:val="none"/>
          <w:lang w:val="en-US" w:eastAsia="zh-CN" w:bidi="ar-SA"/>
        </w:rPr>
      </w:pPr>
    </w:p>
    <w:p w14:paraId="5F2D5E54">
      <w:pPr>
        <w:jc w:val="center"/>
        <w:rPr>
          <w:rFonts w:hint="eastAsia" w:ascii="宋体" w:hAnsi="宋体" w:eastAsia="宋体" w:cs="宋体"/>
          <w:b w:val="0"/>
          <w:bCs/>
          <w:color w:val="auto"/>
          <w:kern w:val="2"/>
          <w:sz w:val="21"/>
          <w:szCs w:val="20"/>
          <w:highlight w:val="none"/>
          <w:lang w:val="en-US" w:eastAsia="zh-CN" w:bidi="ar-SA"/>
        </w:rPr>
      </w:pPr>
    </w:p>
    <w:p w14:paraId="45348087">
      <w:pPr>
        <w:pStyle w:val="20"/>
        <w:numPr>
          <w:ilvl w:val="0"/>
          <w:numId w:val="0"/>
        </w:numPr>
        <w:overflowPunct w:val="0"/>
        <w:snapToGrid w:val="0"/>
        <w:spacing w:line="360" w:lineRule="auto"/>
        <w:ind w:firstLine="2520" w:firstLineChars="1200"/>
        <w:jc w:val="both"/>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b w:val="0"/>
          <w:bCs/>
          <w:color w:val="auto"/>
          <w:kern w:val="2"/>
          <w:sz w:val="21"/>
          <w:szCs w:val="20"/>
          <w:highlight w:val="none"/>
          <w:lang w:val="en-US" w:eastAsia="zh-CN" w:bidi="ar-SA"/>
        </w:rPr>
        <w:t>中国政府采购网（www.ccgp.gov.cn）查询结果；</w:t>
      </w:r>
    </w:p>
    <w:p w14:paraId="7C96FF7A">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326CA756">
      <w:pPr>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br w:type="page"/>
      </w:r>
    </w:p>
    <w:p w14:paraId="089E58E6">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t>附件十一</w:t>
      </w:r>
    </w:p>
    <w:p w14:paraId="6667C872">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2C9AB173">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1D273D4F">
      <w:pPr>
        <w:pStyle w:val="20"/>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投标单位的依法缴纳税收和社会保障资金的良好记录；具有良好的商业信誉和健全的财务会计制度需提</w:t>
      </w:r>
    </w:p>
    <w:p w14:paraId="1D17CF09">
      <w:pPr>
        <w:pStyle w:val="20"/>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202</w:t>
      </w:r>
      <w:r>
        <w:rPr>
          <w:rFonts w:hint="eastAsia" w:ascii="宋体" w:hAnsi="宋体" w:cs="宋体"/>
          <w:b w:val="0"/>
          <w:bCs/>
          <w:color w:val="auto"/>
          <w:kern w:val="2"/>
          <w:sz w:val="21"/>
          <w:szCs w:val="20"/>
          <w:highlight w:val="none"/>
          <w:lang w:val="en-US" w:eastAsia="zh-CN" w:bidi="ar-SA"/>
        </w:rPr>
        <w:t>3</w:t>
      </w:r>
      <w:r>
        <w:rPr>
          <w:rFonts w:hint="eastAsia" w:ascii="宋体" w:hAnsi="宋体" w:eastAsia="宋体" w:cs="宋体"/>
          <w:b w:val="0"/>
          <w:bCs/>
          <w:color w:val="auto"/>
          <w:kern w:val="2"/>
          <w:sz w:val="21"/>
          <w:szCs w:val="20"/>
          <w:highlight w:val="none"/>
          <w:lang w:val="en-US" w:eastAsia="zh-CN" w:bidi="ar-SA"/>
        </w:rPr>
        <w:t>财务审计报告）</w:t>
      </w:r>
    </w:p>
    <w:p w14:paraId="365ADD27">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3C361A68">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F34E384">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0B0146FF">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2ED6E507">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0C457B1F">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472DE204">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4D14D4A">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6141F9E1">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36EE0A96">
      <w:pPr>
        <w:pStyle w:val="21"/>
        <w:rPr>
          <w:rFonts w:hint="eastAsia"/>
          <w:highlight w:val="none"/>
          <w:lang w:val="en-US" w:eastAsia="zh-CN"/>
        </w:rPr>
      </w:pPr>
    </w:p>
    <w:p w14:paraId="7467F1F6">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F09D125">
      <w:pPr>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br w:type="page"/>
      </w:r>
    </w:p>
    <w:p w14:paraId="4BE2F96A">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t>附件十二</w:t>
      </w:r>
    </w:p>
    <w:p w14:paraId="27C81005">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1D15048D">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7AA56989">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1096BEFA">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投标保证金回单（以银行到账推送名单情况为</w:t>
      </w:r>
    </w:p>
    <w:p w14:paraId="1CB4C01D">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b w:val="0"/>
          <w:bCs/>
          <w:color w:val="auto"/>
          <w:kern w:val="2"/>
          <w:sz w:val="21"/>
          <w:szCs w:val="20"/>
          <w:highlight w:val="none"/>
          <w:lang w:val="en-US" w:eastAsia="zh-CN" w:bidi="ar-SA"/>
        </w:rPr>
        <w:t>准）</w:t>
      </w:r>
      <w:r>
        <w:rPr>
          <w:rFonts w:hint="eastAsia" w:ascii="宋体" w:hAnsi="宋体" w:cs="宋体"/>
          <w:b w:val="0"/>
          <w:bCs/>
          <w:color w:val="auto"/>
          <w:kern w:val="2"/>
          <w:sz w:val="21"/>
          <w:szCs w:val="20"/>
          <w:highlight w:val="none"/>
          <w:lang w:val="en-US" w:eastAsia="zh-CN" w:bidi="ar-SA"/>
        </w:rPr>
        <w:t>或</w:t>
      </w:r>
      <w:r>
        <w:rPr>
          <w:rFonts w:hint="eastAsia" w:ascii="宋体" w:hAnsi="宋体" w:eastAsia="宋体" w:cs="宋体"/>
          <w:b w:val="0"/>
          <w:bCs/>
          <w:color w:val="auto"/>
          <w:kern w:val="2"/>
          <w:sz w:val="21"/>
          <w:szCs w:val="20"/>
          <w:highlight w:val="none"/>
          <w:lang w:val="en-US" w:eastAsia="zh-CN" w:bidi="ar-SA"/>
        </w:rPr>
        <w:t>电子保函凭证</w:t>
      </w:r>
    </w:p>
    <w:p w14:paraId="72B79E92">
      <w:pPr>
        <w:ind w:left="0" w:leftChars="0" w:firstLine="0" w:firstLineChars="0"/>
        <w:rPr>
          <w:rFonts w:hint="eastAsia" w:ascii="宋体" w:hAnsi="宋体" w:eastAsia="宋体" w:cs="宋体"/>
          <w:b/>
          <w:bCs w:val="0"/>
          <w:color w:val="auto"/>
          <w:kern w:val="2"/>
          <w:sz w:val="28"/>
          <w:szCs w:val="24"/>
          <w:highlight w:val="none"/>
          <w:lang w:val="en-US" w:eastAsia="zh-CN" w:bidi="ar-SA"/>
        </w:rPr>
      </w:pPr>
    </w:p>
    <w:p w14:paraId="5B09AF98">
      <w:pPr>
        <w:ind w:left="0" w:leftChars="0" w:firstLine="0" w:firstLineChars="0"/>
        <w:rPr>
          <w:rFonts w:hint="eastAsia" w:ascii="宋体" w:hAnsi="宋体" w:eastAsia="宋体" w:cs="宋体"/>
          <w:b/>
          <w:bCs w:val="0"/>
          <w:color w:val="auto"/>
          <w:kern w:val="2"/>
          <w:sz w:val="28"/>
          <w:szCs w:val="24"/>
          <w:highlight w:val="none"/>
          <w:lang w:val="en-US" w:eastAsia="zh-CN" w:bidi="ar-SA"/>
        </w:rPr>
      </w:pPr>
    </w:p>
    <w:p w14:paraId="0B5D70BE">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4C6749F3">
      <w:pPr>
        <w:ind w:left="0" w:leftChars="0" w:firstLine="0" w:firstLineChars="0"/>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附件十三</w:t>
      </w:r>
    </w:p>
    <w:p w14:paraId="4AFD5FC9">
      <w:pPr>
        <w:tabs>
          <w:tab w:val="left" w:pos="142"/>
        </w:tabs>
        <w:autoSpaceDE w:val="0"/>
        <w:autoSpaceDN w:val="0"/>
        <w:spacing w:line="360" w:lineRule="auto"/>
        <w:ind w:left="158" w:leftChars="-1" w:firstLine="2"/>
        <w:jc w:val="center"/>
        <w:outlineLvl w:val="3"/>
        <w:rPr>
          <w:rFonts w:hint="eastAsia" w:ascii="宋体" w:hAnsi="宋体" w:eastAsia="宋体" w:cs="宋体"/>
          <w:color w:val="000000"/>
          <w:sz w:val="32"/>
          <w:szCs w:val="32"/>
          <w:highlight w:val="none"/>
        </w:rPr>
      </w:pPr>
      <w:r>
        <w:rPr>
          <w:rFonts w:hint="eastAsia" w:ascii="宋体" w:hAnsi="宋体" w:eastAsia="宋体" w:cs="宋体"/>
          <w:color w:val="000000"/>
          <w:sz w:val="32"/>
          <w:szCs w:val="32"/>
          <w:highlight w:val="none"/>
        </w:rPr>
        <w:t>采购需求条款响应一览表</w:t>
      </w:r>
    </w:p>
    <w:p w14:paraId="1DDC23FF">
      <w:pPr>
        <w:spacing w:line="400" w:lineRule="exact"/>
        <w:rPr>
          <w:rFonts w:hint="eastAsia" w:ascii="宋体" w:hAnsi="宋体" w:eastAsia="宋体" w:cs="宋体"/>
          <w:color w:val="000000"/>
          <w:sz w:val="24"/>
          <w:highlight w:val="none"/>
        </w:rPr>
      </w:pPr>
      <w:r>
        <w:rPr>
          <w:rFonts w:hint="eastAsia" w:ascii="宋体" w:hAnsi="宋体" w:eastAsia="宋体" w:cs="宋体"/>
          <w:color w:val="000000"/>
          <w:sz w:val="24"/>
          <w:highlight w:val="none"/>
        </w:rPr>
        <w:t>说明：</w:t>
      </w:r>
    </w:p>
    <w:p w14:paraId="00390245">
      <w:pPr>
        <w:pStyle w:val="165"/>
        <w:numPr>
          <w:ilvl w:val="0"/>
          <w:numId w:val="12"/>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投标人必须对应</w:t>
      </w:r>
      <w:r>
        <w:rPr>
          <w:rFonts w:hint="eastAsia" w:ascii="宋体" w:hAnsi="宋体" w:eastAsia="宋体" w:cs="宋体"/>
          <w:color w:val="auto"/>
          <w:sz w:val="24"/>
          <w:highlight w:val="none"/>
          <w:lang w:val="en-US" w:eastAsia="zh-CN"/>
        </w:rPr>
        <w:t>采购需求</w:t>
      </w:r>
      <w:r>
        <w:rPr>
          <w:rFonts w:hint="eastAsia" w:ascii="宋体" w:hAnsi="宋体" w:eastAsia="宋体" w:cs="宋体"/>
          <w:color w:val="auto"/>
          <w:sz w:val="24"/>
          <w:highlight w:val="none"/>
        </w:rPr>
        <w:t>条款逐条应答并按要求填写</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采购文件规定的技术和</w:t>
      </w:r>
      <w:r>
        <w:rPr>
          <w:rFonts w:hint="eastAsia" w:ascii="宋体" w:hAnsi="宋体" w:cs="宋体"/>
          <w:color w:val="auto"/>
          <w:sz w:val="24"/>
          <w:highlight w:val="none"/>
          <w:lang w:val="en-US" w:eastAsia="zh-CN"/>
        </w:rPr>
        <w:t>商务</w:t>
      </w:r>
      <w:r>
        <w:rPr>
          <w:rFonts w:hint="eastAsia" w:ascii="宋体" w:hAnsi="宋体" w:eastAsia="宋体" w:cs="宋体"/>
          <w:color w:val="auto"/>
          <w:sz w:val="24"/>
          <w:highlight w:val="none"/>
        </w:rPr>
        <w:t>要求”项下填写的内容应与招标文件中采购需求</w:t>
      </w:r>
      <w:r>
        <w:rPr>
          <w:rFonts w:hint="eastAsia" w:ascii="宋体" w:hAnsi="宋体" w:cs="宋体"/>
          <w:color w:val="auto"/>
          <w:sz w:val="24"/>
          <w:highlight w:val="none"/>
          <w:lang w:val="en-US" w:eastAsia="zh-CN"/>
        </w:rPr>
        <w:t>的</w:t>
      </w:r>
      <w:r>
        <w:rPr>
          <w:rFonts w:hint="eastAsia" w:ascii="宋体" w:hAnsi="宋体" w:eastAsia="宋体" w:cs="宋体"/>
          <w:color w:val="auto"/>
          <w:sz w:val="24"/>
          <w:highlight w:val="none"/>
        </w:rPr>
        <w:t>“技术要求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商务要求</w:t>
      </w:r>
      <w:r>
        <w:rPr>
          <w:rFonts w:hint="eastAsia" w:ascii="宋体" w:hAnsi="宋体" w:eastAsia="宋体" w:cs="宋体"/>
          <w:color w:val="auto"/>
          <w:sz w:val="24"/>
          <w:highlight w:val="none"/>
        </w:rPr>
        <w:t>”的内容保持一致。投标人应当如实填写上表“投标文件响应的具体内容”处内容，对采购文件提出的要求和条件作出明确响应，并列明具体响应数值或内容，只注明符合、满足等无具体内容表述的，将视为未实质性满足招标文件要求。投标人需要说明的内容若需特殊表达，应先在本表中进行相应说明，再另页应答，否则投标无效。</w:t>
      </w:r>
    </w:p>
    <w:p w14:paraId="436763AE">
      <w:pPr>
        <w:pStyle w:val="165"/>
        <w:numPr>
          <w:ilvl w:val="0"/>
          <w:numId w:val="12"/>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投标人响应描述：</w:t>
      </w:r>
      <w:r>
        <w:rPr>
          <w:rFonts w:hint="eastAsia" w:ascii="宋体" w:hAnsi="宋体" w:eastAsia="宋体" w:cs="宋体"/>
          <w:bCs/>
          <w:color w:val="auto"/>
          <w:sz w:val="24"/>
          <w:highlight w:val="none"/>
        </w:rPr>
        <w:t>投标人按响应货物</w:t>
      </w:r>
      <w:r>
        <w:rPr>
          <w:rFonts w:hint="eastAsia" w:ascii="宋体" w:hAnsi="宋体" w:eastAsia="宋体" w:cs="宋体"/>
          <w:bCs/>
          <w:color w:val="auto"/>
          <w:sz w:val="24"/>
          <w:highlight w:val="none"/>
          <w:lang w:val="en-US" w:eastAsia="zh-CN"/>
        </w:rPr>
        <w:t>或服务</w:t>
      </w:r>
      <w:r>
        <w:rPr>
          <w:rFonts w:hint="eastAsia" w:ascii="宋体" w:hAnsi="宋体" w:eastAsia="宋体" w:cs="宋体"/>
          <w:bCs/>
          <w:color w:val="auto"/>
          <w:sz w:val="24"/>
          <w:highlight w:val="none"/>
        </w:rPr>
        <w:t>实际数据填写</w:t>
      </w:r>
      <w:r>
        <w:rPr>
          <w:rFonts w:hint="eastAsia" w:ascii="宋体" w:hAnsi="宋体" w:eastAsia="宋体" w:cs="宋体"/>
          <w:bCs/>
          <w:color w:val="auto"/>
          <w:sz w:val="24"/>
          <w:highlight w:val="none"/>
          <w:lang w:val="en-US" w:eastAsia="zh-CN"/>
        </w:rPr>
        <w:t>，否则视为未响应。</w:t>
      </w:r>
    </w:p>
    <w:p w14:paraId="3DB53C8E">
      <w:pPr>
        <w:pStyle w:val="165"/>
        <w:numPr>
          <w:ilvl w:val="0"/>
          <w:numId w:val="12"/>
        </w:numPr>
        <w:snapToGrid w:val="0"/>
        <w:spacing w:line="360" w:lineRule="auto"/>
        <w:ind w:firstLineChars="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投标人应按招标文件要求附相关证明文件，如有任何一项不响应或不满足的视为负偏离。</w:t>
      </w:r>
    </w:p>
    <w:p w14:paraId="0C4C2C5F">
      <w:pPr>
        <w:pStyle w:val="165"/>
        <w:numPr>
          <w:ilvl w:val="0"/>
          <w:numId w:val="12"/>
        </w:numPr>
        <w:snapToGrid w:val="0"/>
        <w:spacing w:line="360" w:lineRule="auto"/>
        <w:ind w:firstLineChars="0"/>
        <w:rPr>
          <w:rFonts w:hint="eastAsia" w:ascii="宋体" w:hAnsi="宋体" w:eastAsia="宋体" w:cs="宋体"/>
          <w:bCs/>
          <w:snapToGrid w:val="0"/>
          <w:color w:val="000000"/>
          <w:sz w:val="24"/>
          <w:highlight w:val="none"/>
        </w:rPr>
      </w:pPr>
      <w:r>
        <w:rPr>
          <w:rFonts w:hint="eastAsia" w:ascii="宋体" w:hAnsi="宋体" w:eastAsia="宋体" w:cs="宋体"/>
          <w:snapToGrid w:val="0"/>
          <w:color w:val="auto"/>
          <w:sz w:val="24"/>
          <w:highlight w:val="none"/>
        </w:rPr>
        <w:t>偏离情况说明：投标人根据投标人实际情况填写“正偏离”“完全响应”或“负偏离”。</w:t>
      </w:r>
    </w:p>
    <w:p w14:paraId="21A68D70">
      <w:pPr>
        <w:pStyle w:val="165"/>
        <w:numPr>
          <w:ilvl w:val="0"/>
          <w:numId w:val="12"/>
        </w:numPr>
        <w:snapToGrid w:val="0"/>
        <w:spacing w:line="360" w:lineRule="auto"/>
        <w:ind w:firstLineChars="0"/>
        <w:rPr>
          <w:rFonts w:hint="eastAsia" w:ascii="宋体" w:hAnsi="宋体" w:eastAsia="宋体" w:cs="宋体"/>
          <w:bCs/>
          <w:color w:val="000000"/>
          <w:sz w:val="24"/>
          <w:highlight w:val="none"/>
          <w:lang w:val="en-US" w:eastAsia="zh-CN"/>
        </w:rPr>
      </w:pPr>
      <w:r>
        <w:rPr>
          <w:rFonts w:hint="eastAsia" w:ascii="宋体" w:hAnsi="宋体" w:eastAsia="宋体" w:cs="宋体"/>
          <w:bCs/>
          <w:color w:val="000000"/>
          <w:sz w:val="24"/>
          <w:highlight w:val="none"/>
        </w:rPr>
        <w:t>项目名称：</w:t>
      </w:r>
      <w:r>
        <w:rPr>
          <w:rFonts w:hint="eastAsia" w:ascii="宋体" w:hAnsi="宋体" w:cs="宋体"/>
          <w:bCs/>
          <w:color w:val="000000"/>
          <w:sz w:val="24"/>
          <w:highlight w:val="none"/>
          <w:lang w:eastAsia="zh-CN"/>
        </w:rPr>
        <w:t>2024年现代职业教育质量提升计划（服装制作与生产管理专业实训室）项目</w:t>
      </w:r>
    </w:p>
    <w:tbl>
      <w:tblPr>
        <w:tblStyle w:val="72"/>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59"/>
        <w:gridCol w:w="5158"/>
        <w:gridCol w:w="1420"/>
        <w:gridCol w:w="1141"/>
        <w:gridCol w:w="1488"/>
      </w:tblGrid>
      <w:tr w14:paraId="1B49AB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381" w:type="pct"/>
            <w:tcBorders>
              <w:top w:val="single" w:color="auto" w:sz="12" w:space="0"/>
              <w:bottom w:val="double" w:color="auto" w:sz="4" w:space="0"/>
            </w:tcBorders>
            <w:shd w:val="clear" w:color="auto" w:fill="EEECE1"/>
            <w:noWrap w:val="0"/>
            <w:vAlign w:val="center"/>
          </w:tcPr>
          <w:p w14:paraId="303FAF68">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序号</w:t>
            </w:r>
          </w:p>
        </w:tc>
        <w:tc>
          <w:tcPr>
            <w:tcW w:w="2586" w:type="pct"/>
            <w:tcBorders>
              <w:top w:val="single" w:color="auto" w:sz="12" w:space="0"/>
              <w:bottom w:val="double" w:color="auto" w:sz="4" w:space="0"/>
            </w:tcBorders>
            <w:shd w:val="clear" w:color="auto" w:fill="EEECE1"/>
            <w:noWrap w:val="0"/>
            <w:vAlign w:val="center"/>
          </w:tcPr>
          <w:p w14:paraId="6B7D2327">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招标文件条款描述</w:t>
            </w:r>
          </w:p>
        </w:tc>
        <w:tc>
          <w:tcPr>
            <w:tcW w:w="712" w:type="pct"/>
            <w:tcBorders>
              <w:top w:val="single" w:color="auto" w:sz="12" w:space="0"/>
              <w:bottom w:val="double" w:color="auto" w:sz="4" w:space="0"/>
            </w:tcBorders>
            <w:shd w:val="clear" w:color="auto" w:fill="EEECE1"/>
            <w:noWrap w:val="0"/>
            <w:vAlign w:val="center"/>
          </w:tcPr>
          <w:p w14:paraId="61654BD1">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投标人响应描述</w:t>
            </w:r>
          </w:p>
        </w:tc>
        <w:tc>
          <w:tcPr>
            <w:tcW w:w="572" w:type="pct"/>
            <w:tcBorders>
              <w:top w:val="single" w:color="auto" w:sz="12" w:space="0"/>
              <w:bottom w:val="double" w:color="auto" w:sz="4" w:space="0"/>
            </w:tcBorders>
            <w:shd w:val="clear" w:color="auto" w:fill="EEECE1"/>
            <w:noWrap w:val="0"/>
            <w:vAlign w:val="center"/>
          </w:tcPr>
          <w:p w14:paraId="144EA55E">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偏离情况说明</w:t>
            </w:r>
          </w:p>
        </w:tc>
        <w:tc>
          <w:tcPr>
            <w:tcW w:w="746" w:type="pct"/>
            <w:tcBorders>
              <w:top w:val="single" w:color="auto" w:sz="12" w:space="0"/>
              <w:bottom w:val="double" w:color="auto" w:sz="4" w:space="0"/>
            </w:tcBorders>
            <w:shd w:val="clear" w:color="auto" w:fill="EEECE1"/>
            <w:noWrap w:val="0"/>
            <w:vAlign w:val="center"/>
          </w:tcPr>
          <w:p w14:paraId="73A368CE">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查阅/证明文件指引</w:t>
            </w:r>
          </w:p>
        </w:tc>
      </w:tr>
      <w:tr w14:paraId="77A064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48056A98">
            <w:pPr>
              <w:numPr>
                <w:ilvl w:val="0"/>
                <w:numId w:val="13"/>
              </w:numPr>
              <w:snapToGrid w:val="0"/>
              <w:spacing w:line="240" w:lineRule="auto"/>
              <w:jc w:val="center"/>
              <w:rPr>
                <w:rFonts w:hint="eastAsia" w:ascii="宋体" w:hAnsi="宋体" w:eastAsia="宋体" w:cs="宋体"/>
                <w:color w:val="000000"/>
                <w:sz w:val="24"/>
                <w:highlight w:val="none"/>
              </w:rPr>
            </w:pPr>
          </w:p>
        </w:tc>
        <w:tc>
          <w:tcPr>
            <w:tcW w:w="2586" w:type="pct"/>
            <w:noWrap w:val="0"/>
            <w:vAlign w:val="center"/>
          </w:tcPr>
          <w:p w14:paraId="443A9FCE">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0F370858">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7FE8B7B1">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3A53DFD8">
            <w:pPr>
              <w:snapToGrid w:val="0"/>
              <w:spacing w:line="240" w:lineRule="auto"/>
              <w:jc w:val="center"/>
              <w:rPr>
                <w:rFonts w:hint="eastAsia" w:ascii="宋体" w:hAnsi="宋体" w:eastAsia="宋体" w:cs="宋体"/>
                <w:color w:val="000000"/>
                <w:sz w:val="24"/>
                <w:highlight w:val="none"/>
              </w:rPr>
            </w:pPr>
          </w:p>
        </w:tc>
      </w:tr>
      <w:tr w14:paraId="338DA3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1FED13E9">
            <w:pPr>
              <w:numPr>
                <w:ilvl w:val="0"/>
                <w:numId w:val="13"/>
              </w:numPr>
              <w:snapToGrid w:val="0"/>
              <w:spacing w:line="240" w:lineRule="auto"/>
              <w:jc w:val="center"/>
              <w:rPr>
                <w:rFonts w:hint="eastAsia" w:ascii="宋体" w:hAnsi="宋体" w:eastAsia="宋体" w:cs="宋体"/>
                <w:color w:val="000000"/>
                <w:sz w:val="24"/>
                <w:highlight w:val="none"/>
              </w:rPr>
            </w:pPr>
          </w:p>
        </w:tc>
        <w:tc>
          <w:tcPr>
            <w:tcW w:w="2586" w:type="pct"/>
            <w:noWrap w:val="0"/>
            <w:vAlign w:val="center"/>
          </w:tcPr>
          <w:p w14:paraId="04752A5E">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24125FF1">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06D74828">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047B7569">
            <w:pPr>
              <w:snapToGrid w:val="0"/>
              <w:spacing w:line="240" w:lineRule="auto"/>
              <w:jc w:val="center"/>
              <w:rPr>
                <w:rFonts w:hint="eastAsia" w:ascii="宋体" w:hAnsi="宋体" w:eastAsia="宋体" w:cs="宋体"/>
                <w:color w:val="000000"/>
                <w:sz w:val="24"/>
                <w:highlight w:val="none"/>
              </w:rPr>
            </w:pPr>
          </w:p>
        </w:tc>
      </w:tr>
      <w:tr w14:paraId="4808F0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0ABE02C5">
            <w:pPr>
              <w:snapToGrid w:val="0"/>
              <w:spacing w:line="240" w:lineRule="auto"/>
              <w:ind w:left="18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3</w:t>
            </w:r>
          </w:p>
        </w:tc>
        <w:tc>
          <w:tcPr>
            <w:tcW w:w="2586" w:type="pct"/>
            <w:noWrap w:val="0"/>
            <w:vAlign w:val="center"/>
          </w:tcPr>
          <w:p w14:paraId="7C51320E">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01EADA15">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44B997A2">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65CF51B5">
            <w:pPr>
              <w:snapToGrid w:val="0"/>
              <w:spacing w:line="240" w:lineRule="auto"/>
              <w:jc w:val="center"/>
              <w:rPr>
                <w:rFonts w:hint="eastAsia" w:ascii="宋体" w:hAnsi="宋体" w:eastAsia="宋体" w:cs="宋体"/>
                <w:color w:val="000000"/>
                <w:sz w:val="24"/>
                <w:highlight w:val="none"/>
              </w:rPr>
            </w:pPr>
          </w:p>
        </w:tc>
      </w:tr>
      <w:tr w14:paraId="6BA4F6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5DC19A72">
            <w:pPr>
              <w:snapToGrid w:val="0"/>
              <w:spacing w:line="240" w:lineRule="auto"/>
              <w:ind w:left="18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4</w:t>
            </w:r>
          </w:p>
        </w:tc>
        <w:tc>
          <w:tcPr>
            <w:tcW w:w="2586" w:type="pct"/>
            <w:noWrap w:val="0"/>
            <w:vAlign w:val="center"/>
          </w:tcPr>
          <w:p w14:paraId="0E43705B">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4119DBA9">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00BF79F1">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56CBA221">
            <w:pPr>
              <w:snapToGrid w:val="0"/>
              <w:spacing w:line="240" w:lineRule="auto"/>
              <w:jc w:val="center"/>
              <w:rPr>
                <w:rFonts w:hint="eastAsia" w:ascii="宋体" w:hAnsi="宋体" w:eastAsia="宋体" w:cs="宋体"/>
                <w:color w:val="000000"/>
                <w:sz w:val="24"/>
                <w:highlight w:val="none"/>
              </w:rPr>
            </w:pPr>
          </w:p>
        </w:tc>
      </w:tr>
      <w:tr w14:paraId="352084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724C2A43">
            <w:pPr>
              <w:snapToGrid w:val="0"/>
              <w:spacing w:line="240" w:lineRule="auto"/>
              <w:ind w:left="180"/>
              <w:jc w:val="center"/>
              <w:rPr>
                <w:rFonts w:hint="default" w:ascii="宋体" w:hAnsi="宋体" w:eastAsia="宋体" w:cs="宋体"/>
                <w:color w:val="000000"/>
                <w:sz w:val="24"/>
                <w:highlight w:val="none"/>
                <w:lang w:val="en-US" w:eastAsia="zh-CN"/>
              </w:rPr>
            </w:pPr>
            <w:bookmarkStart w:id="305" w:name="_Toc435514868"/>
            <w:bookmarkStart w:id="306" w:name="_Toc435515308"/>
            <w:r>
              <w:rPr>
                <w:rFonts w:hint="eastAsia" w:ascii="宋体" w:hAnsi="宋体" w:eastAsia="宋体" w:cs="宋体"/>
                <w:color w:val="000000"/>
                <w:sz w:val="24"/>
                <w:highlight w:val="none"/>
                <w:lang w:val="en-US" w:eastAsia="zh-CN"/>
              </w:rPr>
              <w:t>.</w:t>
            </w:r>
          </w:p>
        </w:tc>
        <w:tc>
          <w:tcPr>
            <w:tcW w:w="2586" w:type="pct"/>
            <w:noWrap w:val="0"/>
            <w:vAlign w:val="center"/>
          </w:tcPr>
          <w:p w14:paraId="58EF4C0A">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026AEC88">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713E6222">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744859F5">
            <w:pPr>
              <w:snapToGrid w:val="0"/>
              <w:spacing w:line="240" w:lineRule="auto"/>
              <w:jc w:val="center"/>
              <w:rPr>
                <w:rFonts w:hint="eastAsia" w:ascii="宋体" w:hAnsi="宋体" w:eastAsia="宋体" w:cs="宋体"/>
                <w:color w:val="000000"/>
                <w:sz w:val="24"/>
                <w:highlight w:val="none"/>
              </w:rPr>
            </w:pPr>
          </w:p>
        </w:tc>
      </w:tr>
    </w:tbl>
    <w:p w14:paraId="34E73175">
      <w:pPr>
        <w:spacing w:line="500" w:lineRule="exact"/>
        <w:ind w:firstLine="124" w:firstLineChars="50"/>
        <w:rPr>
          <w:rFonts w:hint="eastAsia" w:ascii="宋体" w:hAnsi="宋体" w:eastAsia="宋体" w:cs="宋体"/>
          <w:color w:val="000000"/>
          <w:sz w:val="24"/>
          <w:highlight w:val="none"/>
          <w:u w:val="single"/>
        </w:rPr>
      </w:pPr>
      <w:r>
        <w:rPr>
          <w:rFonts w:hint="eastAsia" w:ascii="宋体" w:hAnsi="宋体" w:eastAsia="宋体" w:cs="宋体"/>
          <w:color w:val="000000"/>
          <w:spacing w:val="4"/>
          <w:sz w:val="24"/>
          <w:highlight w:val="none"/>
        </w:rPr>
        <w:t>投标人名称（</w:t>
      </w:r>
      <w:r>
        <w:rPr>
          <w:rFonts w:hint="eastAsia" w:ascii="宋体" w:hAnsi="宋体" w:eastAsia="宋体" w:cs="宋体"/>
          <w:color w:val="000000"/>
          <w:sz w:val="24"/>
          <w:highlight w:val="none"/>
        </w:rPr>
        <w:t>单位盖</w:t>
      </w:r>
      <w:r>
        <w:rPr>
          <w:rFonts w:hint="eastAsia" w:ascii="宋体" w:hAnsi="宋体" w:eastAsia="宋体" w:cs="宋体"/>
          <w:color w:val="000000"/>
          <w:spacing w:val="4"/>
          <w:sz w:val="24"/>
          <w:highlight w:val="none"/>
        </w:rPr>
        <w:t>公章）：</w:t>
      </w:r>
    </w:p>
    <w:p w14:paraId="45B34AE8">
      <w:pPr>
        <w:spacing w:line="440" w:lineRule="exact"/>
        <w:ind w:firstLine="124" w:firstLineChars="50"/>
        <w:rPr>
          <w:rFonts w:hint="eastAsia" w:ascii="宋体" w:hAnsi="宋体" w:eastAsia="宋体" w:cs="宋体"/>
          <w:color w:val="000000"/>
          <w:spacing w:val="4"/>
          <w:sz w:val="24"/>
          <w:highlight w:val="none"/>
        </w:rPr>
      </w:pPr>
      <w:r>
        <w:rPr>
          <w:rFonts w:hint="eastAsia" w:ascii="宋体" w:hAnsi="宋体" w:eastAsia="宋体" w:cs="宋体"/>
          <w:color w:val="000000"/>
          <w:spacing w:val="4"/>
          <w:sz w:val="24"/>
          <w:highlight w:val="none"/>
        </w:rPr>
        <w:t>日期：</w:t>
      </w:r>
    </w:p>
    <w:bookmarkEnd w:id="305"/>
    <w:bookmarkEnd w:id="306"/>
    <w:p w14:paraId="333C0932">
      <w:pPr>
        <w:adjustRightInd w:val="0"/>
        <w:snapToGrid w:val="0"/>
        <w:spacing w:line="360" w:lineRule="auto"/>
        <w:rPr>
          <w:rFonts w:hint="eastAsia" w:ascii="宋体" w:hAnsi="宋体" w:eastAsia="宋体" w:cs="宋体"/>
          <w:color w:val="000000"/>
          <w:sz w:val="24"/>
          <w:szCs w:val="28"/>
          <w:highlight w:val="none"/>
        </w:rPr>
      </w:pPr>
    </w:p>
    <w:p w14:paraId="26E9C8ED">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2B4159A5">
      <w:pPr>
        <w:pStyle w:val="21"/>
        <w:rPr>
          <w:rFonts w:hint="eastAsia"/>
          <w:highlight w:val="none"/>
          <w:lang w:val="en-US" w:eastAsia="zh-CN"/>
        </w:rPr>
      </w:pPr>
    </w:p>
    <w:p w14:paraId="6CEEC692">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255CE576">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406D5E60">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附件十四</w:t>
      </w:r>
    </w:p>
    <w:p w14:paraId="5419669D">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投标人反商业贿赂承诺书</w:t>
      </w:r>
    </w:p>
    <w:p w14:paraId="57306C1F">
      <w:pPr>
        <w:autoSpaceDE w:val="0"/>
        <w:autoSpaceDN w:val="0"/>
        <w:adjustRightInd w:val="0"/>
        <w:spacing w:line="480" w:lineRule="auto"/>
        <w:ind w:firstLine="525" w:firstLineChars="250"/>
        <w:rPr>
          <w:rFonts w:hint="eastAsia" w:ascii="宋体" w:hAnsi="宋体" w:eastAsia="宋体" w:cs="宋体"/>
          <w:color w:val="000000"/>
          <w:kern w:val="0"/>
          <w:sz w:val="21"/>
          <w:szCs w:val="21"/>
          <w:highlight w:val="none"/>
          <w:lang w:val="zh-CN"/>
        </w:rPr>
      </w:pPr>
      <w:r>
        <w:rPr>
          <w:rFonts w:hint="eastAsia" w:ascii="宋体" w:hAnsi="宋体" w:eastAsia="宋体" w:cs="宋体"/>
          <w:color w:val="000000"/>
          <w:kern w:val="0"/>
          <w:sz w:val="21"/>
          <w:szCs w:val="21"/>
          <w:highlight w:val="none"/>
          <w:lang w:val="zh-CN"/>
        </w:rPr>
        <w:t>我公司承诺在</w:t>
      </w:r>
      <w:r>
        <w:rPr>
          <w:rFonts w:hint="eastAsia" w:ascii="宋体" w:hAnsi="宋体" w:eastAsia="宋体" w:cs="宋体"/>
          <w:bCs/>
          <w:color w:val="000000"/>
          <w:sz w:val="21"/>
          <w:szCs w:val="21"/>
          <w:highlight w:val="none"/>
          <w:u w:val="single"/>
          <w:lang w:val="zh-CN"/>
        </w:rPr>
        <w:t xml:space="preserve">                             </w:t>
      </w:r>
      <w:r>
        <w:rPr>
          <w:rFonts w:hint="eastAsia" w:ascii="宋体" w:hAnsi="宋体" w:eastAsia="宋体" w:cs="宋体"/>
          <w:color w:val="000000"/>
          <w:kern w:val="0"/>
          <w:sz w:val="21"/>
          <w:szCs w:val="21"/>
          <w:highlight w:val="none"/>
          <w:lang w:val="zh-CN"/>
        </w:rPr>
        <w:t>公开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w:t>
      </w:r>
      <w:r>
        <w:rPr>
          <w:rFonts w:hint="eastAsia" w:ascii="宋体" w:hAnsi="宋体" w:cs="宋体"/>
          <w:color w:val="000000"/>
          <w:kern w:val="0"/>
          <w:sz w:val="21"/>
          <w:szCs w:val="21"/>
          <w:highlight w:val="none"/>
          <w:lang w:val="zh-CN"/>
        </w:rPr>
        <w:t>》《</w:t>
      </w:r>
      <w:r>
        <w:rPr>
          <w:rFonts w:hint="eastAsia" w:ascii="宋体" w:hAnsi="宋体" w:eastAsia="宋体" w:cs="宋体"/>
          <w:color w:val="000000"/>
          <w:kern w:val="0"/>
          <w:sz w:val="21"/>
          <w:szCs w:val="21"/>
          <w:highlight w:val="none"/>
          <w:lang w:val="zh-CN"/>
        </w:rPr>
        <w:t>反不正当竞争法》的有关规定接受处罚。</w:t>
      </w:r>
    </w:p>
    <w:p w14:paraId="0B67954D">
      <w:pPr>
        <w:autoSpaceDE w:val="0"/>
        <w:autoSpaceDN w:val="0"/>
        <w:adjustRightInd w:val="0"/>
        <w:spacing w:line="360" w:lineRule="auto"/>
        <w:ind w:firstLine="525" w:firstLineChars="250"/>
        <w:rPr>
          <w:rFonts w:hint="eastAsia" w:ascii="宋体" w:hAnsi="宋体" w:eastAsia="宋体" w:cs="宋体"/>
          <w:bCs/>
          <w:color w:val="000000"/>
          <w:sz w:val="21"/>
          <w:szCs w:val="21"/>
          <w:highlight w:val="none"/>
          <w:lang w:val="zh-CN"/>
        </w:rPr>
      </w:pPr>
      <w:r>
        <w:rPr>
          <w:rFonts w:hint="eastAsia" w:ascii="宋体" w:hAnsi="宋体" w:eastAsia="宋体" w:cs="宋体"/>
          <w:color w:val="000000"/>
          <w:kern w:val="0"/>
          <w:sz w:val="21"/>
          <w:szCs w:val="21"/>
          <w:highlight w:val="none"/>
          <w:lang w:val="zh-CN"/>
        </w:rPr>
        <w:t xml:space="preserve"> </w:t>
      </w:r>
    </w:p>
    <w:p w14:paraId="7B9EB24C">
      <w:pPr>
        <w:spacing w:before="100" w:beforeAutospacing="1" w:after="100" w:afterAutospacing="1" w:line="360" w:lineRule="auto"/>
        <w:ind w:firstLine="420" w:firstLineChars="200"/>
        <w:rPr>
          <w:rFonts w:hint="eastAsia" w:ascii="宋体" w:hAnsi="宋体" w:eastAsia="宋体" w:cs="宋体"/>
          <w:color w:val="000000"/>
          <w:sz w:val="21"/>
          <w:szCs w:val="21"/>
          <w:highlight w:val="none"/>
          <w:u w:val="single"/>
        </w:rPr>
      </w:pPr>
      <w:r>
        <w:rPr>
          <w:rFonts w:hint="eastAsia" w:ascii="宋体" w:hAnsi="宋体" w:eastAsia="宋体" w:cs="宋体"/>
          <w:color w:val="000000"/>
          <w:sz w:val="21"/>
          <w:szCs w:val="21"/>
          <w:highlight w:val="none"/>
        </w:rPr>
        <w:t>投标单位：</w:t>
      </w:r>
      <w:r>
        <w:rPr>
          <w:rFonts w:hint="eastAsia" w:ascii="宋体" w:hAnsi="宋体" w:eastAsia="宋体" w:cs="宋体"/>
          <w:color w:val="000000"/>
          <w:sz w:val="21"/>
          <w:szCs w:val="21"/>
          <w:highlight w:val="none"/>
          <w:u w:val="none"/>
        </w:rPr>
        <w:t>（</w:t>
      </w:r>
      <w:r>
        <w:rPr>
          <w:rFonts w:hint="eastAsia" w:ascii="宋体" w:hAnsi="宋体" w:eastAsia="宋体" w:cs="宋体"/>
          <w:color w:val="000000"/>
          <w:sz w:val="21"/>
          <w:szCs w:val="21"/>
          <w:highlight w:val="none"/>
          <w:u w:val="none"/>
          <w:lang w:eastAsia="zh-CN"/>
        </w:rPr>
        <w:t>盖章</w:t>
      </w:r>
      <w:r>
        <w:rPr>
          <w:rFonts w:hint="eastAsia" w:ascii="宋体" w:hAnsi="宋体" w:eastAsia="宋体" w:cs="宋体"/>
          <w:color w:val="000000"/>
          <w:sz w:val="21"/>
          <w:szCs w:val="21"/>
          <w:highlight w:val="none"/>
          <w:u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12C46F53">
      <w:pPr>
        <w:spacing w:before="100" w:beforeAutospacing="1" w:after="100" w:afterAutospacing="1" w:line="360" w:lineRule="auto"/>
        <w:ind w:firstLine="420" w:firstLineChars="200"/>
        <w:rPr>
          <w:rFonts w:hint="eastAsia" w:ascii="宋体" w:hAnsi="宋体" w:eastAsia="宋体" w:cs="宋体"/>
          <w:color w:val="000000"/>
          <w:sz w:val="21"/>
          <w:szCs w:val="21"/>
          <w:highlight w:val="none"/>
          <w:u w:val="single"/>
        </w:rPr>
      </w:pPr>
    </w:p>
    <w:p w14:paraId="7C15645C">
      <w:pPr>
        <w:spacing w:line="360" w:lineRule="auto"/>
        <w:ind w:firstLine="210" w:firstLineChars="1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  法定代表人</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（签字</w:t>
      </w:r>
      <w:r>
        <w:rPr>
          <w:rFonts w:hint="eastAsia" w:ascii="宋体" w:hAnsi="宋体" w:eastAsia="宋体" w:cs="宋体"/>
          <w:color w:val="000000"/>
          <w:sz w:val="21"/>
          <w:szCs w:val="21"/>
          <w:highlight w:val="none"/>
          <w:lang w:val="en-US" w:eastAsia="zh-CN"/>
        </w:rPr>
        <w:t>或</w:t>
      </w:r>
      <w:r>
        <w:rPr>
          <w:rFonts w:hint="eastAsia" w:ascii="宋体" w:hAnsi="宋体" w:eastAsia="宋体" w:cs="宋体"/>
          <w:color w:val="000000"/>
          <w:sz w:val="21"/>
          <w:szCs w:val="21"/>
          <w:highlight w:val="none"/>
        </w:rPr>
        <w:t>盖章）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579B8A45">
      <w:pPr>
        <w:spacing w:line="360" w:lineRule="auto"/>
        <w:ind w:firstLine="210" w:firstLineChars="100"/>
        <w:rPr>
          <w:rFonts w:hint="eastAsia" w:ascii="宋体" w:hAnsi="宋体" w:eastAsia="宋体" w:cs="宋体"/>
          <w:color w:val="000000"/>
          <w:sz w:val="21"/>
          <w:szCs w:val="21"/>
          <w:highlight w:val="none"/>
          <w:lang w:val="zh-CN"/>
        </w:rPr>
      </w:pPr>
    </w:p>
    <w:p w14:paraId="421C32D6">
      <w:pPr>
        <w:spacing w:before="100" w:beforeAutospacing="1" w:after="100" w:afterAutospacing="1" w:line="360" w:lineRule="auto"/>
        <w:ind w:firstLine="465"/>
        <w:rPr>
          <w:rFonts w:hint="eastAsia" w:ascii="宋体" w:hAnsi="宋体" w:eastAsia="宋体" w:cs="宋体"/>
          <w:color w:val="000000"/>
          <w:sz w:val="21"/>
          <w:szCs w:val="21"/>
          <w:highlight w:val="none"/>
          <w:lang w:val="zh-CN"/>
        </w:rPr>
      </w:pPr>
    </w:p>
    <w:p w14:paraId="1F5E15EC">
      <w:pPr>
        <w:spacing w:before="100" w:beforeAutospacing="1" w:after="100" w:afterAutospacing="1" w:line="360" w:lineRule="auto"/>
        <w:jc w:val="righ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 xml:space="preserve"> </w:t>
      </w:r>
      <w:r>
        <w:rPr>
          <w:rFonts w:hint="eastAsia" w:ascii="宋体" w:hAnsi="宋体" w:eastAsia="宋体" w:cs="宋体"/>
          <w:color w:val="000000"/>
          <w:sz w:val="21"/>
          <w:szCs w:val="21"/>
          <w:highlight w:val="none"/>
        </w:rPr>
        <w:t xml:space="preserve">     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5537C5C2">
      <w:pPr>
        <w:spacing w:before="100" w:beforeAutospacing="1" w:after="100" w:afterAutospacing="1" w:line="360" w:lineRule="auto"/>
        <w:jc w:val="right"/>
        <w:rPr>
          <w:rFonts w:hint="eastAsia" w:ascii="宋体" w:hAnsi="宋体" w:eastAsia="宋体" w:cs="宋体"/>
          <w:color w:val="000000"/>
          <w:sz w:val="24"/>
          <w:szCs w:val="24"/>
          <w:highlight w:val="none"/>
        </w:rPr>
      </w:pPr>
    </w:p>
    <w:p w14:paraId="20D5A895">
      <w:pPr>
        <w:pStyle w:val="20"/>
        <w:widowControl w:val="0"/>
        <w:numPr>
          <w:ilvl w:val="0"/>
          <w:numId w:val="0"/>
        </w:numPr>
        <w:overflowPunct w:val="0"/>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p>
    <w:p w14:paraId="4E56679A">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1C1EBCBF">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7940E525">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7A53550B">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253F2CE8">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4B8FA707">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5EC6A883">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7C56C393">
      <w:pPr>
        <w:spacing w:line="640" w:lineRule="exact"/>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附件十五</w:t>
      </w:r>
    </w:p>
    <w:p w14:paraId="290B4DE6">
      <w:pPr>
        <w:spacing w:line="640" w:lineRule="exact"/>
        <w:ind w:firstLine="569" w:firstLineChars="177"/>
        <w:jc w:val="center"/>
        <w:rPr>
          <w:rFonts w:hint="eastAsia" w:ascii="宋体" w:hAnsi="宋体" w:eastAsia="宋体" w:cs="宋体"/>
          <w:sz w:val="32"/>
          <w:szCs w:val="32"/>
          <w:highlight w:val="none"/>
        </w:rPr>
      </w:pPr>
      <w:r>
        <w:rPr>
          <w:rFonts w:hint="eastAsia" w:ascii="宋体" w:hAnsi="宋体" w:eastAsia="宋体" w:cs="宋体"/>
          <w:b/>
          <w:bCs w:val="0"/>
          <w:color w:val="auto"/>
          <w:kern w:val="2"/>
          <w:sz w:val="32"/>
          <w:szCs w:val="28"/>
          <w:highlight w:val="none"/>
          <w:lang w:val="en-US" w:eastAsia="zh-CN" w:bidi="ar-SA"/>
        </w:rPr>
        <w:t>无围标、串标等违法违规行为承诺书</w:t>
      </w:r>
    </w:p>
    <w:p w14:paraId="76233593">
      <w:pPr>
        <w:spacing w:line="640" w:lineRule="exact"/>
        <w:jc w:val="left"/>
        <w:rPr>
          <w:rFonts w:hint="eastAsia" w:ascii="宋体" w:hAnsi="宋体" w:eastAsia="宋体" w:cs="宋体"/>
          <w:sz w:val="24"/>
          <w:szCs w:val="24"/>
          <w:highlight w:val="none"/>
        </w:rPr>
      </w:pPr>
    </w:p>
    <w:p w14:paraId="0F6684FC">
      <w:pPr>
        <w:spacing w:line="6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本人作为</w:t>
      </w:r>
      <w:r>
        <w:rPr>
          <w:rFonts w:hint="eastAsia" w:ascii="宋体" w:hAnsi="宋体" w:eastAsia="宋体" w:cs="宋体"/>
          <w:sz w:val="21"/>
          <w:szCs w:val="21"/>
          <w:highlight w:val="none"/>
          <w:u w:val="single"/>
        </w:rPr>
        <w:t xml:space="preserve">（单位名称）                    </w:t>
      </w:r>
      <w:r>
        <w:rPr>
          <w:rFonts w:hint="eastAsia" w:ascii="宋体" w:hAnsi="宋体" w:eastAsia="宋体" w:cs="宋体"/>
          <w:sz w:val="21"/>
          <w:szCs w:val="21"/>
          <w:highlight w:val="none"/>
        </w:rPr>
        <w:t>的法人，清楚知晓我公司本项目投标活动，对以下事项作出承诺：</w:t>
      </w:r>
    </w:p>
    <w:p w14:paraId="73BBB327">
      <w:pPr>
        <w:spacing w:line="6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一、我单位遵循公开、公平、公正、诚实守信的原则，依法依规参与本项目竞标。</w:t>
      </w:r>
    </w:p>
    <w:p w14:paraId="2535BAF8">
      <w:pPr>
        <w:spacing w:line="640" w:lineRule="exact"/>
        <w:ind w:firstLine="420" w:firstLineChars="200"/>
        <w:outlineLvl w:val="1"/>
        <w:rPr>
          <w:rFonts w:hint="eastAsia" w:ascii="宋体" w:hAnsi="宋体" w:eastAsia="宋体" w:cs="宋体"/>
          <w:sz w:val="21"/>
          <w:szCs w:val="21"/>
          <w:highlight w:val="none"/>
        </w:rPr>
      </w:pPr>
      <w:bookmarkStart w:id="307" w:name="_Toc3592"/>
      <w:r>
        <w:rPr>
          <w:rFonts w:hint="eastAsia" w:ascii="宋体" w:hAnsi="宋体" w:eastAsia="宋体" w:cs="宋体"/>
          <w:sz w:val="21"/>
          <w:szCs w:val="21"/>
          <w:highlight w:val="none"/>
        </w:rPr>
        <w:t>二、我单位在本项目招标投标活动中，未参与围标串标。</w:t>
      </w:r>
      <w:bookmarkEnd w:id="307"/>
    </w:p>
    <w:p w14:paraId="6091BFA2">
      <w:pPr>
        <w:spacing w:line="640" w:lineRule="exact"/>
        <w:ind w:firstLine="420" w:firstLineChars="200"/>
        <w:rPr>
          <w:rFonts w:hint="eastAsia" w:ascii="宋体" w:hAnsi="宋体" w:eastAsia="宋体" w:cs="宋体"/>
          <w:b/>
          <w:sz w:val="21"/>
          <w:szCs w:val="21"/>
          <w:highlight w:val="none"/>
        </w:rPr>
      </w:pPr>
      <w:r>
        <w:rPr>
          <w:rFonts w:hint="eastAsia" w:ascii="宋体" w:hAnsi="宋体" w:eastAsia="宋体" w:cs="宋体"/>
          <w:sz w:val="21"/>
          <w:szCs w:val="21"/>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4CB14079">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项目编号：</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r>
        <w:rPr>
          <w:rFonts w:hint="eastAsia" w:ascii="宋体" w:hAnsi="宋体" w:eastAsia="宋体" w:cs="宋体"/>
          <w:sz w:val="21"/>
          <w:szCs w:val="21"/>
          <w:highlight w:val="none"/>
        </w:rPr>
        <w:t xml:space="preserve"> </w:t>
      </w:r>
    </w:p>
    <w:p w14:paraId="3925DF39">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项目名称</w:t>
      </w:r>
      <w:r>
        <w:rPr>
          <w:rFonts w:hint="eastAsia" w:ascii="宋体" w:hAnsi="宋体" w:eastAsia="宋体" w:cs="宋体"/>
          <w:sz w:val="21"/>
          <w:szCs w:val="21"/>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r>
        <w:rPr>
          <w:rFonts w:hint="eastAsia" w:ascii="宋体" w:hAnsi="宋体" w:eastAsia="宋体" w:cs="宋体"/>
          <w:sz w:val="21"/>
          <w:szCs w:val="21"/>
          <w:highlight w:val="none"/>
        </w:rPr>
        <w:t xml:space="preserve">    </w:t>
      </w:r>
    </w:p>
    <w:p w14:paraId="50D5DFC0">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单位名称：</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4C834AC2">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法</w:t>
      </w:r>
      <w:r>
        <w:rPr>
          <w:rFonts w:hint="eastAsia" w:ascii="宋体" w:hAnsi="宋体" w:eastAsia="宋体" w:cs="宋体"/>
          <w:sz w:val="21"/>
          <w:szCs w:val="21"/>
          <w:highlight w:val="none"/>
          <w:lang w:eastAsia="zh-CN"/>
        </w:rPr>
        <w:t>定代表</w:t>
      </w:r>
      <w:r>
        <w:rPr>
          <w:rFonts w:hint="eastAsia" w:ascii="宋体" w:hAnsi="宋体" w:eastAsia="宋体" w:cs="宋体"/>
          <w:sz w:val="21"/>
          <w:szCs w:val="21"/>
          <w:highlight w:val="none"/>
        </w:rPr>
        <w:t>人</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签字或盖章</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5F7D1C3F">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p>
    <w:p w14:paraId="7DE8FCD4">
      <w:pPr>
        <w:spacing w:line="640" w:lineRule="exact"/>
        <w:jc w:val="left"/>
        <w:rPr>
          <w:rFonts w:hint="eastAsia" w:ascii="宋体" w:hAnsi="宋体" w:eastAsia="宋体" w:cs="宋体"/>
          <w:sz w:val="21"/>
          <w:szCs w:val="21"/>
          <w:highlight w:val="none"/>
        </w:rPr>
      </w:pPr>
    </w:p>
    <w:p w14:paraId="7ED481C4">
      <w:pPr>
        <w:spacing w:line="640" w:lineRule="exact"/>
        <w:ind w:firstLine="3570" w:firstLineChars="170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p>
    <w:p w14:paraId="282035D8">
      <w:pPr>
        <w:pStyle w:val="20"/>
        <w:numPr>
          <w:ilvl w:val="0"/>
          <w:numId w:val="0"/>
        </w:numPr>
        <w:overflowPunct w:val="0"/>
        <w:snapToGrid w:val="0"/>
        <w:spacing w:line="360" w:lineRule="auto"/>
        <w:ind w:leftChars="0"/>
        <w:jc w:val="right"/>
        <w:rPr>
          <w:rFonts w:hint="eastAsia" w:ascii="宋体" w:hAnsi="宋体" w:eastAsia="宋体" w:cs="宋体"/>
          <w:b/>
          <w:bCs w:val="0"/>
          <w:color w:val="auto"/>
          <w:kern w:val="2"/>
          <w:sz w:val="21"/>
          <w:szCs w:val="21"/>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color w:val="000000"/>
          <w:sz w:val="21"/>
          <w:szCs w:val="21"/>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4162108A">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3D1D7987">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bookmarkStart w:id="308" w:name="_Toc28072"/>
    </w:p>
    <w:p w14:paraId="03D1EFC5">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p w14:paraId="2B8C0CF8">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p w14:paraId="2FEE8A27">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p w14:paraId="4B3D5EA8">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w:t>
      </w:r>
      <w:bookmarkEnd w:id="308"/>
      <w:r>
        <w:rPr>
          <w:rFonts w:hint="eastAsia" w:ascii="宋体" w:hAnsi="宋体" w:eastAsia="宋体" w:cs="宋体"/>
          <w:b/>
          <w:bCs w:val="0"/>
          <w:color w:val="auto"/>
          <w:kern w:val="2"/>
          <w:sz w:val="28"/>
          <w:szCs w:val="24"/>
          <w:highlight w:val="none"/>
          <w:lang w:val="en-US" w:eastAsia="zh-CN" w:bidi="ar-SA"/>
        </w:rPr>
        <w:t>六</w:t>
      </w:r>
    </w:p>
    <w:p w14:paraId="56A00F76">
      <w:pPr>
        <w:pStyle w:val="59"/>
        <w:numPr>
          <w:ilvl w:val="0"/>
          <w:numId w:val="0"/>
        </w:numPr>
        <w:spacing w:before="120"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中小企业声明函、监狱企业、残疾人福利性单位及其他相关的充分的证明材料</w:t>
      </w:r>
    </w:p>
    <w:p w14:paraId="1447951C">
      <w:pPr>
        <w:spacing w:before="240" w:beforeLines="100" w:after="240" w:afterLines="100" w:line="360" w:lineRule="auto"/>
        <w:jc w:val="center"/>
        <w:rPr>
          <w:rFonts w:hint="eastAsia" w:ascii="宋体" w:hAnsi="宋体" w:eastAsia="宋体" w:cs="宋体"/>
          <w:b/>
          <w:color w:val="000000"/>
          <w:sz w:val="36"/>
          <w:szCs w:val="36"/>
          <w:highlight w:val="none"/>
        </w:rPr>
      </w:pPr>
      <w:r>
        <w:rPr>
          <w:rFonts w:hint="eastAsia" w:ascii="宋体" w:hAnsi="宋体" w:eastAsia="宋体" w:cs="宋体"/>
          <w:b/>
          <w:bCs/>
          <w:color w:val="000000"/>
          <w:sz w:val="36"/>
          <w:szCs w:val="36"/>
          <w:highlight w:val="none"/>
        </w:rPr>
        <w:t>中小企业声明函（货物）格式</w:t>
      </w:r>
    </w:p>
    <w:p w14:paraId="081B61D7">
      <w:pPr>
        <w:spacing w:line="360" w:lineRule="auto"/>
        <w:ind w:left="244" w:leftChars="116" w:firstLine="630" w:firstLineChars="250"/>
        <w:rPr>
          <w:rFonts w:hint="eastAsia" w:ascii="宋体" w:hAnsi="宋体" w:eastAsia="宋体" w:cs="宋体"/>
          <w:spacing w:val="6"/>
          <w:sz w:val="24"/>
          <w:highlight w:val="none"/>
        </w:rPr>
      </w:pPr>
      <w:r>
        <w:rPr>
          <w:rFonts w:hint="eastAsia" w:ascii="宋体" w:hAnsi="宋体" w:eastAsia="宋体" w:cs="宋体"/>
          <w:spacing w:val="6"/>
          <w:sz w:val="24"/>
          <w:highlight w:val="none"/>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6D4DEAA2">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1.</w:t>
      </w:r>
      <w:r>
        <w:rPr>
          <w:rFonts w:hint="eastAsia" w:ascii="宋体" w:hAnsi="宋体" w:eastAsia="宋体" w:cs="宋体"/>
          <w:spacing w:val="6"/>
          <w:sz w:val="24"/>
          <w:highlight w:val="none"/>
          <w:u w:val="single"/>
        </w:rPr>
        <w:t>（标的名称）</w:t>
      </w:r>
      <w:r>
        <w:rPr>
          <w:rFonts w:hint="eastAsia" w:ascii="宋体" w:hAnsi="宋体" w:eastAsia="宋体" w:cs="宋体"/>
          <w:spacing w:val="6"/>
          <w:sz w:val="24"/>
          <w:highlight w:val="none"/>
        </w:rPr>
        <w:t>，属于</w:t>
      </w:r>
      <w:r>
        <w:rPr>
          <w:rFonts w:hint="eastAsia" w:ascii="宋体" w:hAnsi="宋体" w:eastAsia="宋体" w:cs="宋体"/>
          <w:spacing w:val="6"/>
          <w:sz w:val="24"/>
          <w:highlight w:val="none"/>
          <w:u w:val="single"/>
        </w:rPr>
        <w:t>（采购文件中明确的所属行业）</w:t>
      </w:r>
      <w:r>
        <w:rPr>
          <w:rFonts w:hint="eastAsia" w:ascii="宋体" w:hAnsi="宋体" w:eastAsia="宋体" w:cs="宋体"/>
          <w:spacing w:val="6"/>
          <w:sz w:val="24"/>
          <w:highlight w:val="none"/>
        </w:rPr>
        <w:t>行业；制造商为</w:t>
      </w:r>
      <w:r>
        <w:rPr>
          <w:rFonts w:hint="eastAsia" w:ascii="宋体" w:hAnsi="宋体" w:eastAsia="宋体" w:cs="宋体"/>
          <w:spacing w:val="6"/>
          <w:sz w:val="24"/>
          <w:highlight w:val="none"/>
          <w:u w:val="single"/>
        </w:rPr>
        <w:t>（企业名称）</w:t>
      </w:r>
      <w:r>
        <w:rPr>
          <w:rFonts w:hint="eastAsia" w:ascii="宋体" w:hAnsi="宋体" w:eastAsia="宋体" w:cs="宋体"/>
          <w:spacing w:val="6"/>
          <w:sz w:val="24"/>
          <w:highlight w:val="none"/>
        </w:rPr>
        <w:t>，从业人员</w:t>
      </w:r>
      <w:r>
        <w:rPr>
          <w:rFonts w:hint="eastAsia" w:ascii="宋体" w:hAnsi="宋体" w:cs="宋体"/>
          <w:spacing w:val="6"/>
          <w:sz w:val="24"/>
          <w:highlight w:val="none"/>
          <w:u w:val="single"/>
          <w:lang w:val="en-US" w:eastAsia="zh-CN"/>
        </w:rPr>
        <w:t xml:space="preserve">       </w:t>
      </w:r>
      <w:r>
        <w:rPr>
          <w:rFonts w:hint="eastAsia" w:ascii="宋体" w:hAnsi="宋体" w:eastAsia="宋体" w:cs="宋体"/>
          <w:spacing w:val="6"/>
          <w:sz w:val="24"/>
          <w:highlight w:val="none"/>
        </w:rPr>
        <w:t>人，营业收入为</w:t>
      </w:r>
      <w:r>
        <w:rPr>
          <w:rFonts w:hint="eastAsia" w:ascii="宋体" w:hAnsi="宋体" w:cs="宋体"/>
          <w:spacing w:val="6"/>
          <w:sz w:val="24"/>
          <w:highlight w:val="none"/>
          <w:u w:val="single"/>
          <w:lang w:val="en-US" w:eastAsia="zh-CN"/>
        </w:rPr>
        <w:t xml:space="preserve">     </w:t>
      </w:r>
      <w:r>
        <w:rPr>
          <w:rFonts w:hint="eastAsia" w:ascii="宋体" w:hAnsi="宋体" w:eastAsia="宋体" w:cs="宋体"/>
          <w:spacing w:val="6"/>
          <w:sz w:val="24"/>
          <w:highlight w:val="none"/>
        </w:rPr>
        <w:t>万元，资产总额为</w:t>
      </w:r>
      <w:r>
        <w:rPr>
          <w:rFonts w:hint="eastAsia" w:ascii="宋体" w:hAnsi="宋体" w:cs="宋体"/>
          <w:spacing w:val="6"/>
          <w:sz w:val="24"/>
          <w:highlight w:val="none"/>
          <w:u w:val="single"/>
          <w:lang w:val="en-US" w:eastAsia="zh-CN"/>
        </w:rPr>
        <w:t xml:space="preserve">     </w:t>
      </w:r>
      <w:r>
        <w:rPr>
          <w:rFonts w:hint="eastAsia" w:ascii="宋体" w:hAnsi="宋体" w:eastAsia="宋体" w:cs="宋体"/>
          <w:spacing w:val="6"/>
          <w:sz w:val="24"/>
          <w:highlight w:val="none"/>
        </w:rPr>
        <w:t>万元</w:t>
      </w:r>
      <w:r>
        <w:rPr>
          <w:rFonts w:hint="eastAsia" w:ascii="宋体" w:hAnsi="宋体" w:eastAsia="宋体" w:cs="宋体"/>
          <w:spacing w:val="6"/>
          <w:sz w:val="24"/>
          <w:highlight w:val="none"/>
          <w:vertAlign w:val="superscript"/>
        </w:rPr>
        <w:t>1</w:t>
      </w:r>
      <w:r>
        <w:rPr>
          <w:rFonts w:hint="eastAsia" w:ascii="宋体" w:hAnsi="宋体" w:eastAsia="宋体" w:cs="宋体"/>
          <w:spacing w:val="6"/>
          <w:sz w:val="24"/>
          <w:highlight w:val="none"/>
        </w:rPr>
        <w:t>，属于（中型企业、小型企业、微型企业）；</w:t>
      </w:r>
    </w:p>
    <w:p w14:paraId="7B1137B9">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2.</w:t>
      </w:r>
      <w:r>
        <w:rPr>
          <w:rFonts w:hint="eastAsia" w:ascii="宋体" w:hAnsi="宋体" w:eastAsia="宋体" w:cs="宋体"/>
          <w:spacing w:val="6"/>
          <w:sz w:val="24"/>
          <w:highlight w:val="none"/>
          <w:u w:val="single"/>
        </w:rPr>
        <w:t>（标的名称）</w:t>
      </w:r>
      <w:r>
        <w:rPr>
          <w:rFonts w:hint="eastAsia" w:ascii="宋体" w:hAnsi="宋体" w:eastAsia="宋体" w:cs="宋体"/>
          <w:spacing w:val="6"/>
          <w:sz w:val="24"/>
          <w:highlight w:val="none"/>
        </w:rPr>
        <w:t>，属于</w:t>
      </w:r>
      <w:r>
        <w:rPr>
          <w:rFonts w:hint="eastAsia" w:ascii="宋体" w:hAnsi="宋体" w:eastAsia="宋体" w:cs="宋体"/>
          <w:spacing w:val="6"/>
          <w:sz w:val="24"/>
          <w:highlight w:val="none"/>
          <w:u w:val="single"/>
        </w:rPr>
        <w:t>（采购文件中明确的所属行业）</w:t>
      </w:r>
      <w:r>
        <w:rPr>
          <w:rFonts w:hint="eastAsia" w:ascii="宋体" w:hAnsi="宋体" w:eastAsia="宋体" w:cs="宋体"/>
          <w:spacing w:val="6"/>
          <w:sz w:val="24"/>
          <w:highlight w:val="none"/>
        </w:rPr>
        <w:t>行业；制造商为</w:t>
      </w:r>
      <w:r>
        <w:rPr>
          <w:rFonts w:hint="eastAsia" w:ascii="宋体" w:hAnsi="宋体" w:eastAsia="宋体" w:cs="宋体"/>
          <w:spacing w:val="6"/>
          <w:sz w:val="24"/>
          <w:highlight w:val="none"/>
          <w:u w:val="single"/>
        </w:rPr>
        <w:t>（企业名称）</w:t>
      </w:r>
      <w:r>
        <w:rPr>
          <w:rFonts w:hint="eastAsia" w:ascii="宋体" w:hAnsi="宋体" w:eastAsia="宋体" w:cs="宋体"/>
          <w:spacing w:val="6"/>
          <w:sz w:val="24"/>
          <w:highlight w:val="none"/>
        </w:rPr>
        <w:t>，从业人员______人，营业收入为______万元，资产总额为______万元，属于</w:t>
      </w:r>
      <w:r>
        <w:rPr>
          <w:rFonts w:hint="eastAsia" w:ascii="宋体" w:hAnsi="宋体" w:eastAsia="宋体" w:cs="宋体"/>
          <w:spacing w:val="6"/>
          <w:sz w:val="24"/>
          <w:highlight w:val="none"/>
          <w:u w:val="single"/>
        </w:rPr>
        <w:t>（中型企业、小型企业、微型企业）</w:t>
      </w:r>
      <w:r>
        <w:rPr>
          <w:rFonts w:hint="eastAsia" w:ascii="宋体" w:hAnsi="宋体" w:eastAsia="宋体" w:cs="宋体"/>
          <w:spacing w:val="6"/>
          <w:sz w:val="24"/>
          <w:highlight w:val="none"/>
        </w:rPr>
        <w:t>；</w:t>
      </w:r>
    </w:p>
    <w:p w14:paraId="4173A744">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w:t>
      </w:r>
    </w:p>
    <w:p w14:paraId="0FC4E0DD">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以上企业，不属于大企业的分支机构，不存在控股股东为大企业的情形，也不存在与大企业的负责人为同一人的情形。</w:t>
      </w:r>
    </w:p>
    <w:p w14:paraId="77CC9CFD">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本企业对上述声明内容的真实性负责。如有虚假，将依法承担相应责任。</w:t>
      </w:r>
    </w:p>
    <w:p w14:paraId="57CD1794">
      <w:pPr>
        <w:spacing w:line="360" w:lineRule="auto"/>
        <w:ind w:firstLine="504"/>
        <w:rPr>
          <w:rFonts w:hint="eastAsia" w:ascii="宋体" w:hAnsi="宋体" w:eastAsia="宋体" w:cs="宋体"/>
          <w:spacing w:val="6"/>
          <w:sz w:val="24"/>
          <w:highlight w:val="none"/>
        </w:rPr>
      </w:pPr>
    </w:p>
    <w:p w14:paraId="2D7B5CAD">
      <w:pPr>
        <w:spacing w:line="360" w:lineRule="auto"/>
        <w:ind w:right="360" w:firstLine="480"/>
        <w:jc w:val="right"/>
        <w:rPr>
          <w:rFonts w:hint="eastAsia" w:ascii="宋体" w:hAnsi="宋体" w:eastAsia="宋体" w:cs="宋体"/>
          <w:color w:val="000000"/>
          <w:sz w:val="24"/>
          <w:highlight w:val="none"/>
        </w:rPr>
      </w:pPr>
      <w:r>
        <w:rPr>
          <w:rFonts w:hint="eastAsia" w:ascii="宋体" w:hAnsi="宋体" w:eastAsia="宋体" w:cs="宋体"/>
          <w:color w:val="000000"/>
          <w:sz w:val="24"/>
          <w:highlight w:val="none"/>
        </w:rPr>
        <w:t>企业名称（盖章）：________</w:t>
      </w:r>
    </w:p>
    <w:p w14:paraId="08CB2022">
      <w:pPr>
        <w:spacing w:line="360" w:lineRule="auto"/>
        <w:ind w:right="360" w:firstLine="480"/>
        <w:jc w:val="right"/>
        <w:rPr>
          <w:rFonts w:hint="eastAsia" w:ascii="宋体" w:hAnsi="宋体" w:eastAsia="宋体" w:cs="宋体"/>
          <w:color w:val="000000"/>
          <w:sz w:val="24"/>
          <w:highlight w:val="none"/>
        </w:rPr>
      </w:pPr>
      <w:r>
        <w:rPr>
          <w:rFonts w:hint="eastAsia" w:ascii="宋体" w:hAnsi="宋体" w:eastAsia="宋体" w:cs="宋体"/>
          <w:color w:val="000000"/>
          <w:sz w:val="24"/>
          <w:highlight w:val="none"/>
        </w:rPr>
        <w:t>日 期：________</w:t>
      </w:r>
    </w:p>
    <w:p w14:paraId="4252C245">
      <w:pPr>
        <w:spacing w:line="360" w:lineRule="auto"/>
        <w:ind w:right="360" w:firstLine="480"/>
        <w:jc w:val="right"/>
        <w:rPr>
          <w:rFonts w:hint="eastAsia" w:ascii="宋体" w:hAnsi="宋体" w:eastAsia="宋体" w:cs="宋体"/>
          <w:color w:val="000000"/>
          <w:sz w:val="24"/>
          <w:highlight w:val="none"/>
        </w:rPr>
      </w:pPr>
    </w:p>
    <w:p w14:paraId="2372E032">
      <w:pPr>
        <w:widowControl/>
        <w:jc w:val="left"/>
        <w:rPr>
          <w:rFonts w:hint="eastAsia" w:ascii="宋体" w:hAnsi="宋体" w:eastAsia="宋体" w:cs="宋体"/>
          <w:spacing w:val="6"/>
          <w:kern w:val="2"/>
          <w:sz w:val="24"/>
          <w:szCs w:val="24"/>
          <w:highlight w:val="none"/>
          <w:lang w:val="en-US" w:eastAsia="zh-CN" w:bidi="ar-SA"/>
        </w:rPr>
      </w:pPr>
    </w:p>
    <w:p w14:paraId="11E28D61">
      <w:pPr>
        <w:widowControl/>
        <w:jc w:val="left"/>
        <w:rPr>
          <w:rFonts w:hint="eastAsia" w:ascii="宋体" w:hAnsi="宋体" w:eastAsia="宋体" w:cs="宋体"/>
          <w:spacing w:val="6"/>
          <w:kern w:val="2"/>
          <w:sz w:val="24"/>
          <w:szCs w:val="24"/>
          <w:highlight w:val="none"/>
          <w:lang w:val="en-US" w:eastAsia="zh-CN" w:bidi="ar-SA"/>
        </w:rPr>
      </w:pPr>
    </w:p>
    <w:p w14:paraId="78BAE8AD">
      <w:pPr>
        <w:pStyle w:val="4"/>
        <w:rPr>
          <w:rFonts w:hint="eastAsia"/>
          <w:highlight w:val="none"/>
          <w:lang w:val="en-US" w:eastAsia="zh-CN"/>
        </w:rPr>
      </w:pPr>
    </w:p>
    <w:tbl>
      <w:tblPr>
        <w:tblStyle w:val="72"/>
        <w:tblW w:w="0" w:type="auto"/>
        <w:tblInd w:w="0"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46"/>
      </w:tblGrid>
      <w:tr w14:paraId="578141B2">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6" w:type="dxa"/>
            <w:noWrap w:val="0"/>
            <w:vAlign w:val="top"/>
          </w:tcPr>
          <w:p w14:paraId="63184C4C">
            <w:pPr>
              <w:adjustRightInd w:val="0"/>
              <w:snapToGrid w:val="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vertAlign w:val="superscript"/>
              </w:rPr>
              <w:t>1</w:t>
            </w:r>
            <w:r>
              <w:rPr>
                <w:rFonts w:hint="eastAsia" w:ascii="宋体" w:hAnsi="宋体" w:eastAsia="宋体" w:cs="宋体"/>
                <w:color w:val="000000"/>
                <w:szCs w:val="21"/>
                <w:highlight w:val="none"/>
              </w:rPr>
              <w:t>从业人员、营业收入、资产总额填报上一年度数据，无上一年度数据的新成立企业可不填报。</w:t>
            </w:r>
          </w:p>
        </w:tc>
      </w:tr>
    </w:tbl>
    <w:p w14:paraId="3D67BFB8">
      <w:pPr>
        <w:pStyle w:val="17"/>
        <w:rPr>
          <w:rFonts w:hint="eastAsia" w:ascii="宋体" w:hAnsi="宋体" w:eastAsia="宋体" w:cs="宋体"/>
          <w:highlight w:val="none"/>
        </w:rPr>
      </w:pPr>
    </w:p>
    <w:p w14:paraId="4D13B047">
      <w:pPr>
        <w:snapToGrid w:val="0"/>
        <w:spacing w:line="360" w:lineRule="auto"/>
        <w:ind w:left="0" w:leftChars="0" w:firstLine="0" w:firstLineChars="0"/>
        <w:jc w:val="center"/>
        <w:rPr>
          <w:rStyle w:val="82"/>
          <w:rFonts w:hint="eastAsia" w:ascii="宋体" w:hAnsi="宋体" w:eastAsia="宋体" w:cs="宋体"/>
          <w:bCs w:val="0"/>
          <w:color w:val="auto"/>
          <w:kern w:val="2"/>
          <w:sz w:val="28"/>
          <w:szCs w:val="28"/>
          <w:highlight w:val="none"/>
          <w:lang w:val="en-US" w:eastAsia="zh-CN" w:bidi="ar-SA"/>
        </w:rPr>
      </w:pPr>
      <w:r>
        <w:rPr>
          <w:rStyle w:val="82"/>
          <w:rFonts w:hint="eastAsia" w:ascii="宋体" w:hAnsi="宋体" w:eastAsia="宋体" w:cs="宋体"/>
          <w:bCs w:val="0"/>
          <w:color w:val="auto"/>
          <w:kern w:val="2"/>
          <w:sz w:val="28"/>
          <w:szCs w:val="28"/>
          <w:highlight w:val="none"/>
          <w:lang w:val="en-US" w:eastAsia="zh-CN" w:bidi="ar-SA"/>
        </w:rPr>
        <w:t>监狱企业声明函</w:t>
      </w:r>
    </w:p>
    <w:p w14:paraId="177AE546">
      <w:pPr>
        <w:spacing w:line="480" w:lineRule="auto"/>
        <w:ind w:firstLine="420" w:firstLineChars="200"/>
        <w:outlineLvl w:val="1"/>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【不属于监狱企业的无需填写、递交】</w:t>
      </w:r>
    </w:p>
    <w:p w14:paraId="5C8ADE6D">
      <w:pPr>
        <w:widowControl/>
        <w:shd w:val="clear" w:color="auto" w:fill="auto"/>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本单位郑重声明，本单位在参加</w:t>
      </w:r>
      <w:r>
        <w:rPr>
          <w:rFonts w:hint="eastAsia" w:ascii="宋体" w:hAnsi="宋体" w:eastAsia="宋体" w:cs="宋体"/>
          <w:color w:val="auto"/>
          <w:kern w:val="0"/>
          <w:sz w:val="24"/>
          <w:highlight w:val="none"/>
          <w:u w:val="single"/>
        </w:rPr>
        <w:t>（采购人名称）</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u w:val="single"/>
        </w:rPr>
        <w:t>（招标项目名称）</w:t>
      </w:r>
      <w:r>
        <w:rPr>
          <w:rFonts w:hint="eastAsia" w:ascii="宋体" w:hAnsi="宋体" w:eastAsia="宋体" w:cs="宋体"/>
          <w:color w:val="auto"/>
          <w:kern w:val="0"/>
          <w:sz w:val="24"/>
          <w:highlight w:val="none"/>
        </w:rPr>
        <w:t>项目采购活动提供以下监狱企业制造的货物（或监狱企业承担的工程</w:t>
      </w:r>
      <w:r>
        <w:rPr>
          <w:rFonts w:hint="eastAsia" w:ascii="宋体" w:hAnsi="宋体" w:cs="宋体"/>
          <w:color w:val="auto"/>
          <w:kern w:val="0"/>
          <w:sz w:val="24"/>
          <w:highlight w:val="none"/>
          <w:lang w:eastAsia="zh-CN"/>
        </w:rPr>
        <w:t>或</w:t>
      </w:r>
      <w:r>
        <w:rPr>
          <w:rFonts w:hint="eastAsia" w:ascii="宋体" w:hAnsi="宋体" w:eastAsia="宋体" w:cs="宋体"/>
          <w:color w:val="auto"/>
          <w:kern w:val="0"/>
          <w:sz w:val="24"/>
          <w:highlight w:val="none"/>
        </w:rPr>
        <w:t>监狱企业承接的服务），具体情况如下：（按照实际情况勾选或填空）</w:t>
      </w:r>
    </w:p>
    <w:p w14:paraId="2E59CF0E">
      <w:pPr>
        <w:widowControl/>
        <w:shd w:val="clear" w:color="auto" w:fill="auto"/>
        <w:adjustRightInd w:val="0"/>
        <w:snapToGrid w:val="0"/>
        <w:spacing w:line="360" w:lineRule="auto"/>
        <w:ind w:firstLine="360" w:firstLineChars="1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属于监狱企业，后附省级以上监狱管理局、戒毒管理局（含新疆生产建设兵团）出具的属于监狱企业的证明文件。</w:t>
      </w:r>
    </w:p>
    <w:p w14:paraId="334CF061">
      <w:pPr>
        <w:widowControl/>
        <w:shd w:val="clear" w:color="auto" w:fill="auto"/>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属于监狱企业并作为联合体一方，其提供协议合同金额占到共同投标协议合同总金额的比例为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。后附省级以上监狱管理局、戒毒管理局（含新疆生产建设兵团）出具的属于监狱企业的证明文件。</w:t>
      </w:r>
    </w:p>
    <w:p w14:paraId="5613AE16">
      <w:pPr>
        <w:widowControl/>
        <w:shd w:val="clear" w:color="auto" w:fill="auto"/>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属于监狱企业并作为分包方，其提供协议合同金额占到分包意向协议合同总金额的比例为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。后附省级以上监狱管理局、戒毒管理局（含新疆生产建设兵团）出具的属于监狱企业的证明文件。</w:t>
      </w:r>
    </w:p>
    <w:p w14:paraId="773973E1">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本单位对上述声明的真实性负责。如有虚假，将依法承担相应责任。</w:t>
      </w:r>
    </w:p>
    <w:p w14:paraId="4AD0728C">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w:t>
      </w:r>
    </w:p>
    <w:p w14:paraId="24B7A547">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p>
    <w:p w14:paraId="597302D5">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p>
    <w:p w14:paraId="5C4F63AE">
      <w:pPr>
        <w:shd w:val="clear" w:color="auto" w:fill="auto"/>
        <w:adjustRightInd w:val="0"/>
        <w:snapToGrid w:val="0"/>
        <w:spacing w:line="360" w:lineRule="auto"/>
        <w:ind w:hanging="540"/>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　</w:t>
      </w:r>
    </w:p>
    <w:p w14:paraId="231F4D11">
      <w:pPr>
        <w:shd w:val="clear" w:color="auto" w:fill="auto"/>
        <w:adjustRightInd w:val="0"/>
        <w:snapToGrid w:val="0"/>
        <w:spacing w:line="360" w:lineRule="auto"/>
        <w:ind w:firstLine="5280" w:firstLineChars="2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单位名称（盖章）：</w:t>
      </w:r>
    </w:p>
    <w:p w14:paraId="704A1185">
      <w:pPr>
        <w:widowControl/>
        <w:shd w:val="clear" w:color="auto" w:fill="auto"/>
        <w:adjustRightInd w:val="0"/>
        <w:snapToGrid w:val="0"/>
        <w:spacing w:line="360" w:lineRule="auto"/>
        <w:ind w:firstLine="5280" w:firstLineChars="2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日  期：</w:t>
      </w:r>
    </w:p>
    <w:p w14:paraId="37AF9D5C">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3E11185E">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1EB92E28">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1988F449">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45B59CF1">
      <w:pPr>
        <w:pStyle w:val="71"/>
        <w:rPr>
          <w:rFonts w:hint="eastAsia" w:ascii="宋体" w:hAnsi="宋体" w:eastAsia="宋体" w:cs="宋体"/>
          <w:color w:val="auto"/>
          <w:kern w:val="0"/>
          <w:sz w:val="24"/>
          <w:szCs w:val="20"/>
          <w:highlight w:val="none"/>
          <w:lang w:val="en-US" w:eastAsia="zh-CN" w:bidi="ar-SA"/>
        </w:rPr>
      </w:pPr>
    </w:p>
    <w:p w14:paraId="041DFDB6">
      <w:pPr>
        <w:rPr>
          <w:rFonts w:hint="eastAsia" w:ascii="宋体" w:hAnsi="宋体" w:eastAsia="宋体" w:cs="宋体"/>
          <w:color w:val="auto"/>
          <w:kern w:val="0"/>
          <w:sz w:val="24"/>
          <w:szCs w:val="20"/>
          <w:highlight w:val="none"/>
          <w:lang w:val="en-US" w:eastAsia="zh-CN" w:bidi="ar-SA"/>
        </w:rPr>
      </w:pPr>
    </w:p>
    <w:p w14:paraId="608FE117">
      <w:pPr>
        <w:pStyle w:val="71"/>
        <w:rPr>
          <w:rFonts w:hint="eastAsia" w:ascii="宋体" w:hAnsi="宋体" w:eastAsia="宋体" w:cs="宋体"/>
          <w:color w:val="auto"/>
          <w:kern w:val="0"/>
          <w:sz w:val="24"/>
          <w:szCs w:val="20"/>
          <w:highlight w:val="none"/>
          <w:lang w:val="en-US" w:eastAsia="zh-CN" w:bidi="ar-SA"/>
        </w:rPr>
      </w:pPr>
    </w:p>
    <w:p w14:paraId="66A790F6">
      <w:pPr>
        <w:rPr>
          <w:rFonts w:hint="eastAsia" w:ascii="宋体" w:hAnsi="宋体" w:eastAsia="宋体" w:cs="宋体"/>
          <w:color w:val="auto"/>
          <w:kern w:val="0"/>
          <w:sz w:val="24"/>
          <w:szCs w:val="20"/>
          <w:highlight w:val="none"/>
          <w:lang w:val="en-US" w:eastAsia="zh-CN" w:bidi="ar-SA"/>
        </w:rPr>
      </w:pPr>
    </w:p>
    <w:p w14:paraId="3BA63FD9">
      <w:pPr>
        <w:pStyle w:val="71"/>
        <w:rPr>
          <w:rFonts w:hint="eastAsia" w:ascii="宋体" w:hAnsi="宋体" w:eastAsia="宋体" w:cs="宋体"/>
          <w:color w:val="auto"/>
          <w:kern w:val="0"/>
          <w:sz w:val="24"/>
          <w:szCs w:val="20"/>
          <w:highlight w:val="none"/>
          <w:lang w:val="en-US" w:eastAsia="zh-CN" w:bidi="ar-SA"/>
        </w:rPr>
      </w:pPr>
    </w:p>
    <w:p w14:paraId="565CEFDD">
      <w:pPr>
        <w:snapToGrid w:val="0"/>
        <w:spacing w:line="360" w:lineRule="auto"/>
        <w:ind w:left="0" w:leftChars="0" w:firstLine="0" w:firstLineChars="0"/>
        <w:jc w:val="both"/>
        <w:rPr>
          <w:rFonts w:hint="eastAsia" w:ascii="宋体" w:hAnsi="宋体" w:eastAsia="宋体" w:cs="宋体"/>
          <w:b/>
          <w:color w:val="auto"/>
          <w:spacing w:val="6"/>
          <w:highlight w:val="none"/>
        </w:rPr>
      </w:pPr>
    </w:p>
    <w:p w14:paraId="76303628">
      <w:pPr>
        <w:snapToGrid w:val="0"/>
        <w:spacing w:line="360" w:lineRule="auto"/>
        <w:jc w:val="center"/>
        <w:rPr>
          <w:rStyle w:val="82"/>
          <w:rFonts w:hint="eastAsia" w:ascii="宋体" w:hAnsi="宋体" w:eastAsia="宋体" w:cs="宋体"/>
          <w:bCs w:val="0"/>
          <w:color w:val="auto"/>
          <w:kern w:val="2"/>
          <w:sz w:val="28"/>
          <w:szCs w:val="28"/>
          <w:highlight w:val="none"/>
          <w:lang w:val="en-US" w:eastAsia="zh-CN" w:bidi="ar-SA"/>
        </w:rPr>
      </w:pPr>
      <w:r>
        <w:rPr>
          <w:rStyle w:val="82"/>
          <w:rFonts w:hint="eastAsia" w:ascii="宋体" w:hAnsi="宋体" w:eastAsia="宋体" w:cs="宋体"/>
          <w:bCs w:val="0"/>
          <w:color w:val="auto"/>
          <w:kern w:val="2"/>
          <w:sz w:val="28"/>
          <w:szCs w:val="28"/>
          <w:highlight w:val="none"/>
          <w:lang w:val="en-US" w:eastAsia="zh-CN" w:bidi="ar-SA"/>
        </w:rPr>
        <w:t>残疾人福利性单位声明函</w:t>
      </w:r>
    </w:p>
    <w:p w14:paraId="49DD66D4">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A55AEBC">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本单位对上述声明的真实性负责。如有虚假，将依法承担相应责任。</w:t>
      </w:r>
    </w:p>
    <w:p w14:paraId="0B3E7C4E">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p>
    <w:p w14:paraId="10381016">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p>
    <w:p w14:paraId="04F86399">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 xml:space="preserve">       单位名称（盖章）：</w:t>
      </w:r>
    </w:p>
    <w:p w14:paraId="6E7332FD">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 xml:space="preserve">       日  期：</w:t>
      </w:r>
    </w:p>
    <w:p w14:paraId="582B5924">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扶持政策说明：</w:t>
      </w:r>
    </w:p>
    <w:p w14:paraId="0DEAF7C5">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p>
    <w:p w14:paraId="6C05FA75">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2、监狱企业视同小微企业，参加本项目投标的，享受小微企业同等的价格扣除。【注：提供《监狱企业声明函》及其相关的充分的证明材料】。</w:t>
      </w:r>
    </w:p>
    <w:p w14:paraId="04774FBE">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color w:val="auto"/>
          <w:kern w:val="0"/>
          <w:sz w:val="24"/>
          <w:highlight w:val="none"/>
          <w:lang w:val="en-US" w:eastAsia="zh-CN"/>
        </w:rPr>
        <w:t>3、残疾人福利性单位参加投标【提供《残疾人福利性单位声明函》】，视为小型、微型企业，享受小微企业政策扶持。</w:t>
      </w:r>
    </w:p>
    <w:p w14:paraId="23228067">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03789E2D">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524D62A2">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55BC0B24">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1CC64D22">
      <w:pPr>
        <w:rPr>
          <w:rFonts w:hint="eastAsia" w:ascii="宋体" w:hAnsi="宋体" w:eastAsia="宋体" w:cs="宋体"/>
          <w:b/>
          <w:color w:val="auto"/>
          <w:spacing w:val="6"/>
          <w:kern w:val="2"/>
          <w:sz w:val="28"/>
          <w:szCs w:val="28"/>
          <w:highlight w:val="none"/>
          <w:lang w:val="en-US" w:eastAsia="zh-CN" w:bidi="ar-SA"/>
        </w:rPr>
      </w:pPr>
      <w:r>
        <w:rPr>
          <w:rFonts w:hint="eastAsia" w:ascii="宋体" w:hAnsi="宋体" w:eastAsia="宋体" w:cs="宋体"/>
          <w:b/>
          <w:color w:val="auto"/>
          <w:spacing w:val="6"/>
          <w:kern w:val="2"/>
          <w:sz w:val="28"/>
          <w:szCs w:val="28"/>
          <w:highlight w:val="none"/>
          <w:lang w:val="en-US" w:eastAsia="zh-CN" w:bidi="ar-SA"/>
        </w:rPr>
        <w:br w:type="page"/>
      </w:r>
    </w:p>
    <w:p w14:paraId="6D234C31">
      <w:pPr>
        <w:numPr>
          <w:ilvl w:val="0"/>
          <w:numId w:val="0"/>
        </w:numPr>
        <w:spacing w:line="588" w:lineRule="exact"/>
        <w:jc w:val="center"/>
        <w:rPr>
          <w:rFonts w:hint="eastAsia" w:ascii="宋体" w:hAnsi="宋体" w:eastAsia="宋体" w:cs="宋体"/>
          <w:highlight w:val="none"/>
          <w:lang w:val="en-US" w:eastAsia="zh-CN"/>
        </w:rPr>
      </w:pPr>
      <w:r>
        <w:rPr>
          <w:rFonts w:hint="eastAsia" w:ascii="宋体" w:hAnsi="宋体" w:eastAsia="宋体" w:cs="宋体"/>
          <w:b/>
          <w:color w:val="auto"/>
          <w:spacing w:val="6"/>
          <w:kern w:val="2"/>
          <w:sz w:val="28"/>
          <w:szCs w:val="28"/>
          <w:highlight w:val="none"/>
          <w:lang w:val="en-US" w:eastAsia="zh-CN" w:bidi="ar-SA"/>
        </w:rPr>
        <w:t>节能、环保产品证明（如有）</w:t>
      </w:r>
    </w:p>
    <w:p w14:paraId="4E903649">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采购人名称 </w:t>
      </w:r>
      <w:r>
        <w:rPr>
          <w:rFonts w:hint="eastAsia" w:ascii="宋体" w:hAnsi="宋体" w:eastAsia="宋体" w:cs="宋体"/>
          <w:color w:val="auto"/>
          <w:sz w:val="24"/>
          <w:highlight w:val="none"/>
        </w:rPr>
        <w:t>：</w:t>
      </w:r>
    </w:p>
    <w:p w14:paraId="239366D4">
      <w:pPr>
        <w:pStyle w:val="8"/>
        <w:rPr>
          <w:rFonts w:hint="eastAsia" w:ascii="宋体" w:hAnsi="宋体" w:eastAsia="宋体" w:cs="宋体"/>
          <w:highlight w:val="none"/>
          <w:lang w:eastAsia="zh-CN"/>
        </w:rPr>
      </w:pPr>
    </w:p>
    <w:p w14:paraId="57A2EF16">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现附上</w:t>
      </w:r>
      <w:r>
        <w:rPr>
          <w:rFonts w:hint="eastAsia" w:ascii="宋体" w:hAnsi="宋体" w:eastAsia="宋体" w:cs="宋体"/>
          <w:color w:val="auto"/>
          <w:sz w:val="24"/>
          <w:highlight w:val="none"/>
          <w:u w:val="single"/>
        </w:rPr>
        <w:t>  （节能、环保产品产品目录）    </w:t>
      </w:r>
      <w:r>
        <w:rPr>
          <w:rFonts w:hint="eastAsia" w:ascii="宋体" w:hAnsi="宋体" w:eastAsia="宋体" w:cs="宋体"/>
          <w:color w:val="auto"/>
          <w:sz w:val="24"/>
          <w:highlight w:val="none"/>
        </w:rPr>
        <w:t> 证明文件（可在 网站名称 网站进行查询）复印件，该证件真实有效。</w:t>
      </w:r>
    </w:p>
    <w:p w14:paraId="4E42E1B0">
      <w:pPr>
        <w:pStyle w:val="8"/>
        <w:rPr>
          <w:rFonts w:hint="eastAsia" w:ascii="宋体" w:hAnsi="宋体" w:eastAsia="宋体" w:cs="宋体"/>
          <w:highlight w:val="none"/>
          <w:lang w:eastAsia="zh-CN"/>
        </w:rPr>
      </w:pPr>
    </w:p>
    <w:p w14:paraId="5DF76B92">
      <w:pPr>
        <w:pStyle w:val="8"/>
        <w:rPr>
          <w:rFonts w:hint="eastAsia" w:ascii="宋体" w:hAnsi="宋体" w:eastAsia="宋体" w:cs="宋体"/>
          <w:highlight w:val="none"/>
          <w:lang w:eastAsia="zh-CN"/>
        </w:rPr>
      </w:pPr>
    </w:p>
    <w:p w14:paraId="7453B5C1">
      <w:pPr>
        <w:pStyle w:val="8"/>
        <w:rPr>
          <w:rFonts w:hint="eastAsia" w:ascii="宋体" w:hAnsi="宋体" w:eastAsia="宋体" w:cs="宋体"/>
          <w:highlight w:val="none"/>
          <w:lang w:eastAsia="zh-CN"/>
        </w:rPr>
      </w:pPr>
    </w:p>
    <w:p w14:paraId="1EE73390">
      <w:pPr>
        <w:pStyle w:val="8"/>
        <w:rPr>
          <w:rFonts w:hint="eastAsia" w:ascii="宋体" w:hAnsi="宋体" w:eastAsia="宋体" w:cs="宋体"/>
          <w:highlight w:val="none"/>
          <w:lang w:eastAsia="zh-CN"/>
        </w:rPr>
      </w:pPr>
    </w:p>
    <w:p w14:paraId="3594A68A">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注：节能、环保产品须提供“财政部、国家发展改革委公布的节能、环保产品清单目录”并在有效期内的复印件或影印件，并能在投标人提供的网站上查询到相关内容（未提供查询网站，或在其提供的查询网站上查询不到相关内容的，将不予认可），由投标人加盖公章并注明“与原件一致”。</w:t>
      </w:r>
    </w:p>
    <w:p w14:paraId="0F50B766">
      <w:pPr>
        <w:pStyle w:val="8"/>
        <w:rPr>
          <w:rFonts w:hint="eastAsia" w:ascii="宋体" w:hAnsi="宋体" w:eastAsia="宋体" w:cs="宋体"/>
          <w:highlight w:val="none"/>
          <w:lang w:eastAsia="zh-CN"/>
        </w:rPr>
      </w:pPr>
    </w:p>
    <w:p w14:paraId="6807E9CF">
      <w:pPr>
        <w:pStyle w:val="8"/>
        <w:rPr>
          <w:rFonts w:hint="eastAsia" w:ascii="宋体" w:hAnsi="宋体" w:eastAsia="宋体" w:cs="宋体"/>
          <w:highlight w:val="none"/>
          <w:lang w:eastAsia="zh-CN"/>
        </w:rPr>
      </w:pPr>
    </w:p>
    <w:p w14:paraId="5BDE2A8F">
      <w:pPr>
        <w:pStyle w:val="8"/>
        <w:rPr>
          <w:rFonts w:hint="eastAsia" w:ascii="宋体" w:hAnsi="宋体" w:eastAsia="宋体" w:cs="宋体"/>
          <w:highlight w:val="none"/>
          <w:lang w:eastAsia="zh-CN"/>
        </w:rPr>
      </w:pPr>
    </w:p>
    <w:p w14:paraId="41D950F7">
      <w:pPr>
        <w:pStyle w:val="8"/>
        <w:rPr>
          <w:rFonts w:hint="eastAsia" w:ascii="宋体" w:hAnsi="宋体" w:eastAsia="宋体" w:cs="宋体"/>
          <w:highlight w:val="none"/>
          <w:lang w:eastAsia="zh-CN"/>
        </w:rPr>
      </w:pPr>
    </w:p>
    <w:p w14:paraId="744FD33E">
      <w:pPr>
        <w:pStyle w:val="8"/>
        <w:rPr>
          <w:rFonts w:hint="eastAsia" w:ascii="宋体" w:hAnsi="宋体" w:eastAsia="宋体" w:cs="宋体"/>
          <w:highlight w:val="none"/>
          <w:lang w:eastAsia="zh-CN"/>
        </w:rPr>
      </w:pPr>
    </w:p>
    <w:p w14:paraId="4AFCA5F7">
      <w:pPr>
        <w:pStyle w:val="8"/>
        <w:rPr>
          <w:rFonts w:hint="eastAsia" w:ascii="宋体" w:hAnsi="宋体" w:eastAsia="宋体" w:cs="宋体"/>
          <w:highlight w:val="none"/>
          <w:lang w:eastAsia="zh-CN"/>
        </w:rPr>
      </w:pPr>
    </w:p>
    <w:p w14:paraId="2B406F9C">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投标人（加盖公章）：                         </w:t>
      </w:r>
    </w:p>
    <w:p w14:paraId="42247120">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w:t>
      </w:r>
    </w:p>
    <w:p w14:paraId="01F072EF">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投标人代表（签字）：                         </w:t>
      </w:r>
    </w:p>
    <w:p w14:paraId="38CCA90A">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w:t>
      </w:r>
    </w:p>
    <w:p w14:paraId="708533CB">
      <w:pPr>
        <w:rPr>
          <w:rFonts w:hint="eastAsia" w:ascii="宋体" w:hAnsi="宋体" w:eastAsia="宋体" w:cs="宋体"/>
          <w:color w:val="auto"/>
          <w:sz w:val="24"/>
          <w:highlight w:val="none"/>
        </w:rPr>
      </w:pPr>
      <w:r>
        <w:rPr>
          <w:rFonts w:hint="eastAsia" w:ascii="宋体" w:hAnsi="宋体" w:eastAsia="宋体" w:cs="宋体"/>
          <w:color w:val="auto"/>
          <w:sz w:val="24"/>
          <w:highlight w:val="none"/>
        </w:rPr>
        <w:t>                                         日          期：    年   月  日</w:t>
      </w:r>
    </w:p>
    <w:p w14:paraId="66E66492">
      <w:pPr>
        <w:pStyle w:val="20"/>
        <w:numPr>
          <w:ilvl w:val="0"/>
          <w:numId w:val="0"/>
        </w:numPr>
        <w:overflowPunct w:val="0"/>
        <w:snapToGrid w:val="0"/>
        <w:spacing w:line="360" w:lineRule="auto"/>
        <w:jc w:val="right"/>
        <w:rPr>
          <w:rFonts w:hint="eastAsia" w:ascii="宋体" w:hAnsi="宋体" w:eastAsia="宋体" w:cs="宋体"/>
          <w:b/>
          <w:bCs w:val="0"/>
          <w:color w:val="auto"/>
          <w:kern w:val="2"/>
          <w:sz w:val="21"/>
          <w:szCs w:val="21"/>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p>
    <w:p w14:paraId="39FCFD26">
      <w:pPr>
        <w:pStyle w:val="180"/>
        <w:shd w:val="clear" w:color="auto" w:fill="auto"/>
        <w:spacing w:line="360" w:lineRule="auto"/>
        <w:jc w:val="both"/>
        <w:outlineLvl w:val="2"/>
        <w:rPr>
          <w:rFonts w:hint="eastAsia" w:ascii="宋体" w:hAnsi="宋体" w:eastAsia="宋体" w:cs="宋体"/>
          <w:b/>
          <w:color w:val="auto"/>
          <w:sz w:val="24"/>
          <w:szCs w:val="24"/>
          <w:highlight w:val="none"/>
        </w:rPr>
      </w:pPr>
      <w:bookmarkStart w:id="309" w:name="_Toc312"/>
      <w:bookmarkStart w:id="310" w:name="_Toc115436122"/>
      <w:bookmarkStart w:id="311" w:name="_Toc15028"/>
      <w:bookmarkStart w:id="312" w:name="_Toc114589529"/>
      <w:bookmarkStart w:id="313" w:name="_Toc23406"/>
    </w:p>
    <w:p w14:paraId="6114972E">
      <w:pPr>
        <w:pStyle w:val="180"/>
        <w:shd w:val="clear" w:color="auto" w:fill="auto"/>
        <w:spacing w:line="360" w:lineRule="auto"/>
        <w:jc w:val="both"/>
        <w:outlineLvl w:val="2"/>
        <w:rPr>
          <w:rFonts w:hint="eastAsia" w:ascii="宋体" w:hAnsi="宋体" w:eastAsia="宋体" w:cs="宋体"/>
          <w:b/>
          <w:color w:val="auto"/>
          <w:sz w:val="24"/>
          <w:szCs w:val="24"/>
          <w:highlight w:val="none"/>
        </w:rPr>
      </w:pPr>
    </w:p>
    <w:p w14:paraId="295C40EE">
      <w:pPr>
        <w:pStyle w:val="180"/>
        <w:shd w:val="clear" w:color="auto" w:fill="auto"/>
        <w:spacing w:line="360" w:lineRule="auto"/>
        <w:jc w:val="both"/>
        <w:outlineLvl w:val="2"/>
        <w:rPr>
          <w:rFonts w:hint="eastAsia" w:ascii="宋体" w:hAnsi="宋体" w:eastAsia="宋体" w:cs="宋体"/>
          <w:b/>
          <w:color w:val="auto"/>
          <w:sz w:val="24"/>
          <w:szCs w:val="24"/>
          <w:highlight w:val="none"/>
        </w:rPr>
      </w:pPr>
    </w:p>
    <w:p w14:paraId="106141AB">
      <w:pPr>
        <w:pStyle w:val="180"/>
        <w:shd w:val="clear" w:color="auto" w:fill="auto"/>
        <w:spacing w:line="360" w:lineRule="auto"/>
        <w:jc w:val="both"/>
        <w:outlineLvl w:val="2"/>
        <w:rPr>
          <w:rFonts w:hint="eastAsia" w:ascii="宋体" w:hAnsi="宋体" w:eastAsia="宋体" w:cs="宋体"/>
          <w:b/>
          <w:color w:val="auto"/>
          <w:sz w:val="24"/>
          <w:szCs w:val="24"/>
          <w:highlight w:val="none"/>
        </w:rPr>
      </w:pPr>
    </w:p>
    <w:p w14:paraId="3D1E9B3C">
      <w:pPr>
        <w:pStyle w:val="180"/>
        <w:shd w:val="clear" w:color="auto" w:fill="auto"/>
        <w:spacing w:line="360" w:lineRule="auto"/>
        <w:jc w:val="both"/>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附件 虚假应标承担责任声明（统一格式）</w:t>
      </w:r>
      <w:bookmarkEnd w:id="309"/>
      <w:bookmarkEnd w:id="310"/>
      <w:bookmarkEnd w:id="311"/>
      <w:bookmarkEnd w:id="312"/>
      <w:bookmarkEnd w:id="313"/>
    </w:p>
    <w:p w14:paraId="60218356">
      <w:pPr>
        <w:pStyle w:val="8"/>
        <w:shd w:val="clear" w:color="auto" w:fill="auto"/>
        <w:tabs>
          <w:tab w:val="left" w:pos="9214"/>
        </w:tabs>
        <w:spacing w:before="2"/>
        <w:ind w:left="0" w:leftChars="0" w:right="-92" w:rightChars="-44" w:firstLine="0" w:firstLineChars="0"/>
        <w:rPr>
          <w:rFonts w:hint="eastAsia" w:ascii="宋体" w:hAnsi="宋体" w:eastAsia="宋体" w:cs="宋体"/>
          <w:b/>
          <w:color w:val="auto"/>
          <w:sz w:val="21"/>
          <w:szCs w:val="21"/>
          <w:highlight w:val="none"/>
        </w:rPr>
      </w:pPr>
    </w:p>
    <w:p w14:paraId="5E514CCC">
      <w:pPr>
        <w:shd w:val="clear" w:color="auto" w:fill="auto"/>
        <w:ind w:right="-92" w:rightChars="-44"/>
        <w:rPr>
          <w:rFonts w:hint="eastAsia" w:ascii="宋体" w:hAnsi="宋体" w:eastAsia="宋体" w:cs="宋体"/>
          <w:color w:val="auto"/>
          <w:highlight w:val="none"/>
        </w:rPr>
      </w:pPr>
      <w:r>
        <w:rPr>
          <w:rFonts w:hint="eastAsia" w:ascii="宋体" w:hAnsi="宋体" w:eastAsia="宋体" w:cs="宋体"/>
          <w:color w:val="auto"/>
          <w:highlight w:val="none"/>
        </w:rPr>
        <w:t>致：</w:t>
      </w:r>
      <w:r>
        <w:rPr>
          <w:rFonts w:hint="eastAsia" w:ascii="宋体" w:hAnsi="宋体" w:eastAsia="宋体" w:cs="宋体"/>
          <w:color w:val="auto"/>
          <w:highlight w:val="none"/>
          <w:u w:val="single"/>
        </w:rPr>
        <w:t>采购人/采购代理机构</w:t>
      </w:r>
    </w:p>
    <w:p w14:paraId="60C38442">
      <w:pPr>
        <w:pStyle w:val="8"/>
        <w:shd w:val="clear" w:color="auto" w:fill="auto"/>
        <w:tabs>
          <w:tab w:val="left" w:pos="9214"/>
        </w:tabs>
        <w:spacing w:before="9"/>
        <w:ind w:right="-92" w:rightChars="-44"/>
        <w:rPr>
          <w:rFonts w:hint="eastAsia" w:ascii="宋体" w:hAnsi="宋体" w:eastAsia="宋体" w:cs="宋体"/>
          <w:b/>
          <w:color w:val="auto"/>
          <w:highlight w:val="none"/>
        </w:rPr>
      </w:pPr>
    </w:p>
    <w:p w14:paraId="433429D9">
      <w:pPr>
        <w:pStyle w:val="8"/>
        <w:shd w:val="clear" w:color="auto" w:fill="auto"/>
        <w:tabs>
          <w:tab w:val="left" w:pos="9214"/>
        </w:tabs>
        <w:spacing w:before="67" w:line="360" w:lineRule="auto"/>
        <w:ind w:right="-92" w:rightChars="-44"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我公司</w:t>
      </w:r>
      <w:r>
        <w:rPr>
          <w:rFonts w:hint="eastAsia" w:ascii="宋体" w:hAnsi="宋体" w:eastAsia="宋体" w:cs="宋体"/>
          <w:color w:val="auto"/>
          <w:spacing w:val="-7"/>
          <w:highlight w:val="none"/>
        </w:rPr>
        <w:t>承诺：</w:t>
      </w:r>
      <w:r>
        <w:rPr>
          <w:rFonts w:hint="eastAsia" w:ascii="宋体" w:hAnsi="宋体" w:eastAsia="宋体" w:cs="宋体"/>
          <w:color w:val="auto"/>
          <w:spacing w:val="-3"/>
          <w:highlight w:val="none"/>
        </w:rPr>
        <w:t>所提供的投标文件</w:t>
      </w:r>
      <w:r>
        <w:rPr>
          <w:rFonts w:hint="eastAsia" w:ascii="宋体" w:hAnsi="宋体" w:eastAsia="宋体" w:cs="宋体"/>
          <w:color w:val="auto"/>
          <w:highlight w:val="none"/>
        </w:rPr>
        <w:t>（</w:t>
      </w:r>
      <w:r>
        <w:rPr>
          <w:rFonts w:hint="eastAsia" w:ascii="宋体" w:hAnsi="宋体" w:eastAsia="宋体" w:cs="宋体"/>
          <w:color w:val="auto"/>
          <w:spacing w:val="-5"/>
          <w:highlight w:val="none"/>
        </w:rPr>
        <w:t>包括一切技术资料、技术承诺、商务承诺等</w:t>
      </w:r>
      <w:r>
        <w:rPr>
          <w:rFonts w:hint="eastAsia" w:ascii="宋体" w:hAnsi="宋体" w:eastAsia="宋体" w:cs="宋体"/>
          <w:color w:val="auto"/>
          <w:spacing w:val="-20"/>
          <w:highlight w:val="none"/>
        </w:rPr>
        <w:t>）</w:t>
      </w:r>
      <w:r>
        <w:rPr>
          <w:rFonts w:hint="eastAsia" w:ascii="宋体" w:hAnsi="宋体" w:eastAsia="宋体" w:cs="宋体"/>
          <w:color w:val="auto"/>
          <w:spacing w:val="-12"/>
          <w:highlight w:val="none"/>
        </w:rPr>
        <w:t>均</w:t>
      </w:r>
      <w:r>
        <w:rPr>
          <w:rFonts w:hint="eastAsia" w:ascii="宋体" w:hAnsi="宋体" w:eastAsia="宋体" w:cs="宋体"/>
          <w:color w:val="auto"/>
          <w:spacing w:val="-6"/>
          <w:highlight w:val="none"/>
        </w:rPr>
        <w:t>真实有效，若在项目招标过程中</w:t>
      </w:r>
      <w:r>
        <w:rPr>
          <w:rFonts w:hint="eastAsia" w:ascii="宋体" w:hAnsi="宋体" w:eastAsia="宋体" w:cs="宋体"/>
          <w:color w:val="auto"/>
          <w:highlight w:val="none"/>
        </w:rPr>
        <w:t>（</w:t>
      </w:r>
      <w:r>
        <w:rPr>
          <w:rFonts w:hint="eastAsia" w:ascii="宋体" w:hAnsi="宋体" w:eastAsia="宋体" w:cs="宋体"/>
          <w:color w:val="auto"/>
          <w:spacing w:val="-6"/>
          <w:highlight w:val="none"/>
        </w:rPr>
        <w:t>包括开评审、中标公示过程</w:t>
      </w:r>
      <w:r>
        <w:rPr>
          <w:rFonts w:hint="eastAsia" w:ascii="宋体" w:hAnsi="宋体" w:eastAsia="宋体" w:cs="宋体"/>
          <w:color w:val="auto"/>
          <w:spacing w:val="-20"/>
          <w:highlight w:val="none"/>
        </w:rPr>
        <w:t>）</w:t>
      </w:r>
      <w:r>
        <w:rPr>
          <w:rFonts w:hint="eastAsia" w:ascii="宋体" w:hAnsi="宋体" w:eastAsia="宋体" w:cs="宋体"/>
          <w:color w:val="auto"/>
          <w:spacing w:val="-2"/>
          <w:highlight w:val="none"/>
        </w:rPr>
        <w:t>及履行合同期间</w:t>
      </w:r>
      <w:r>
        <w:rPr>
          <w:rFonts w:hint="eastAsia" w:ascii="宋体" w:hAnsi="宋体" w:eastAsia="宋体" w:cs="宋体"/>
          <w:color w:val="auto"/>
          <w:highlight w:val="none"/>
        </w:rPr>
        <w:t>（包括验收过程</w:t>
      </w:r>
      <w:r>
        <w:rPr>
          <w:rFonts w:hint="eastAsia" w:ascii="宋体" w:hAnsi="宋体" w:eastAsia="宋体" w:cs="宋体"/>
          <w:color w:val="auto"/>
          <w:spacing w:val="-15"/>
          <w:highlight w:val="none"/>
        </w:rPr>
        <w:t>）</w:t>
      </w:r>
      <w:r>
        <w:rPr>
          <w:rFonts w:hint="eastAsia" w:ascii="宋体" w:hAnsi="宋体" w:eastAsia="宋体" w:cs="宋体"/>
          <w:color w:val="auto"/>
          <w:spacing w:val="-2"/>
          <w:highlight w:val="none"/>
        </w:rPr>
        <w:t>发现我公司提供的货物</w:t>
      </w:r>
      <w:r>
        <w:rPr>
          <w:rFonts w:hint="eastAsia" w:ascii="宋体" w:hAnsi="宋体" w:eastAsia="宋体" w:cs="宋体"/>
          <w:color w:val="auto"/>
          <w:highlight w:val="none"/>
        </w:rPr>
        <w:t>（或产品</w:t>
      </w:r>
      <w:r>
        <w:rPr>
          <w:rFonts w:hint="eastAsia" w:ascii="宋体" w:hAnsi="宋体" w:eastAsia="宋体" w:cs="宋体"/>
          <w:color w:val="auto"/>
          <w:spacing w:val="-15"/>
          <w:highlight w:val="none"/>
        </w:rPr>
        <w:t>）</w:t>
      </w:r>
      <w:r>
        <w:rPr>
          <w:rFonts w:hint="eastAsia" w:ascii="宋体" w:hAnsi="宋体" w:eastAsia="宋体" w:cs="宋体"/>
          <w:color w:val="auto"/>
          <w:spacing w:val="-5"/>
          <w:highlight w:val="none"/>
        </w:rPr>
        <w:t>与投标</w:t>
      </w:r>
      <w:r>
        <w:rPr>
          <w:rFonts w:hint="eastAsia" w:ascii="宋体" w:hAnsi="宋体" w:eastAsia="宋体" w:cs="宋体"/>
          <w:color w:val="auto"/>
          <w:highlight w:val="none"/>
        </w:rPr>
        <w:t>文件</w:t>
      </w:r>
      <w:r>
        <w:rPr>
          <w:rFonts w:hint="eastAsia" w:ascii="宋体" w:hAnsi="宋体" w:eastAsia="宋体" w:cs="宋体"/>
          <w:color w:val="auto"/>
          <w:spacing w:val="-6"/>
          <w:highlight w:val="none"/>
        </w:rPr>
        <w:t>不一致，或发现我</w:t>
      </w:r>
      <w:r>
        <w:rPr>
          <w:rFonts w:hint="eastAsia" w:ascii="宋体" w:hAnsi="宋体" w:eastAsia="宋体" w:cs="宋体"/>
          <w:color w:val="auto"/>
          <w:highlight w:val="none"/>
        </w:rPr>
        <w:t>公司提供了不真实的投标文件（虚假材料</w:t>
      </w:r>
      <w:r>
        <w:rPr>
          <w:rFonts w:hint="eastAsia" w:ascii="宋体" w:hAnsi="宋体" w:eastAsia="宋体" w:cs="宋体"/>
          <w:color w:val="auto"/>
          <w:spacing w:val="-120"/>
          <w:highlight w:val="none"/>
        </w:rPr>
        <w:t>）   ）</w:t>
      </w:r>
      <w:r>
        <w:rPr>
          <w:rFonts w:hint="eastAsia" w:ascii="宋体" w:hAnsi="宋体" w:eastAsia="宋体" w:cs="宋体"/>
          <w:color w:val="auto"/>
          <w:highlight w:val="none"/>
        </w:rPr>
        <w:t>），我公司愿意承担一切法律责任并认可采购人或采购代理机构作出的取消中标资格、罚没保证金等决定。</w:t>
      </w:r>
    </w:p>
    <w:p w14:paraId="02FE8A9E">
      <w:pPr>
        <w:pStyle w:val="8"/>
        <w:shd w:val="clear" w:color="auto" w:fill="auto"/>
        <w:tabs>
          <w:tab w:val="left" w:pos="9214"/>
        </w:tabs>
        <w:spacing w:line="360" w:lineRule="auto"/>
        <w:ind w:right="-92" w:rightChars="-44"/>
        <w:rPr>
          <w:rFonts w:hint="eastAsia" w:ascii="宋体" w:hAnsi="宋体" w:eastAsia="宋体" w:cs="宋体"/>
          <w:color w:val="auto"/>
          <w:highlight w:val="none"/>
        </w:rPr>
      </w:pPr>
      <w:r>
        <w:rPr>
          <w:rFonts w:hint="eastAsia" w:ascii="宋体" w:hAnsi="宋体" w:eastAsia="宋体" w:cs="宋体"/>
          <w:color w:val="auto"/>
          <w:highlight w:val="none"/>
        </w:rPr>
        <w:t>特此声明。</w:t>
      </w:r>
    </w:p>
    <w:p w14:paraId="11B1794D">
      <w:pPr>
        <w:pStyle w:val="8"/>
        <w:shd w:val="clear" w:color="auto" w:fill="auto"/>
        <w:tabs>
          <w:tab w:val="left" w:pos="9214"/>
        </w:tabs>
        <w:spacing w:line="360" w:lineRule="auto"/>
        <w:ind w:right="-92" w:rightChars="-44"/>
        <w:rPr>
          <w:rFonts w:hint="eastAsia" w:ascii="宋体" w:hAnsi="宋体" w:eastAsia="宋体" w:cs="宋体"/>
          <w:color w:val="auto"/>
          <w:sz w:val="21"/>
          <w:szCs w:val="21"/>
          <w:highlight w:val="none"/>
        </w:rPr>
      </w:pPr>
    </w:p>
    <w:p w14:paraId="67971DFA">
      <w:pPr>
        <w:pStyle w:val="8"/>
        <w:shd w:val="clear" w:color="auto" w:fill="auto"/>
        <w:tabs>
          <w:tab w:val="left" w:pos="9214"/>
        </w:tabs>
        <w:ind w:right="-92" w:rightChars="-44"/>
        <w:rPr>
          <w:rFonts w:hint="eastAsia" w:ascii="宋体" w:hAnsi="宋体" w:eastAsia="宋体" w:cs="宋体"/>
          <w:color w:val="auto"/>
          <w:sz w:val="21"/>
          <w:szCs w:val="21"/>
          <w:highlight w:val="none"/>
        </w:rPr>
      </w:pPr>
    </w:p>
    <w:p w14:paraId="0594BCE5">
      <w:pPr>
        <w:pStyle w:val="8"/>
        <w:shd w:val="clear" w:color="auto" w:fill="auto"/>
        <w:tabs>
          <w:tab w:val="left" w:pos="9214"/>
        </w:tabs>
        <w:ind w:right="-92" w:rightChars="-44"/>
        <w:rPr>
          <w:rFonts w:hint="eastAsia" w:ascii="宋体" w:hAnsi="宋体" w:eastAsia="宋体" w:cs="宋体"/>
          <w:color w:val="auto"/>
          <w:sz w:val="21"/>
          <w:szCs w:val="21"/>
          <w:highlight w:val="none"/>
        </w:rPr>
      </w:pPr>
    </w:p>
    <w:p w14:paraId="149DD069">
      <w:pPr>
        <w:pStyle w:val="8"/>
        <w:shd w:val="clear" w:color="auto" w:fill="auto"/>
        <w:tabs>
          <w:tab w:val="left" w:pos="4736"/>
          <w:tab w:val="left" w:pos="9214"/>
        </w:tabs>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投标人名称（盖章）：</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488ED2CD">
      <w:pPr>
        <w:pStyle w:val="8"/>
        <w:shd w:val="clear" w:color="auto" w:fill="auto"/>
        <w:tabs>
          <w:tab w:val="left" w:pos="5521"/>
          <w:tab w:val="left" w:pos="6366"/>
          <w:tab w:val="left" w:pos="9062"/>
          <w:tab w:val="left" w:pos="9214"/>
        </w:tabs>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rPr>
        <w:t>投标人授权代表</w:t>
      </w:r>
      <w:r>
        <w:rPr>
          <w:rFonts w:hint="eastAsia" w:ascii="宋体" w:hAnsi="宋体" w:cs="宋体"/>
          <w:color w:val="auto"/>
          <w:highlight w:val="none"/>
          <w:lang w:eastAsia="zh-CN"/>
        </w:rPr>
        <w:t>（</w:t>
      </w:r>
      <w:r>
        <w:rPr>
          <w:rFonts w:hint="eastAsia" w:ascii="宋体" w:hAnsi="宋体" w:eastAsia="宋体" w:cs="宋体"/>
          <w:color w:val="auto"/>
          <w:highlight w:val="none"/>
        </w:rPr>
        <w:t>签字或签章</w:t>
      </w:r>
      <w:r>
        <w:rPr>
          <w:rFonts w:hint="eastAsia" w:ascii="宋体" w:hAnsi="宋体" w:cs="宋体"/>
          <w:color w:val="auto"/>
          <w:highlight w:val="none"/>
          <w:lang w:eastAsia="zh-CN"/>
        </w:rPr>
        <w:t>）</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076EB0C6">
      <w:pPr>
        <w:pStyle w:val="8"/>
        <w:shd w:val="clear" w:color="auto" w:fill="auto"/>
        <w:tabs>
          <w:tab w:val="left" w:pos="5521"/>
          <w:tab w:val="left" w:pos="6366"/>
          <w:tab w:val="left" w:pos="9062"/>
          <w:tab w:val="left" w:pos="9214"/>
        </w:tabs>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6545A198">
      <w:pPr>
        <w:pStyle w:val="8"/>
        <w:shd w:val="clear" w:color="auto" w:fill="auto"/>
        <w:tabs>
          <w:tab w:val="left" w:pos="9214"/>
        </w:tabs>
        <w:spacing w:line="360" w:lineRule="auto"/>
        <w:rPr>
          <w:rFonts w:hint="eastAsia" w:ascii="宋体" w:hAnsi="宋体" w:eastAsia="宋体" w:cs="宋体"/>
          <w:color w:val="auto"/>
          <w:highlight w:val="none"/>
        </w:rPr>
      </w:pPr>
    </w:p>
    <w:p w14:paraId="40A78C62">
      <w:pPr>
        <w:pStyle w:val="8"/>
        <w:shd w:val="clear" w:color="auto" w:fill="auto"/>
        <w:tabs>
          <w:tab w:val="left" w:pos="9214"/>
        </w:tabs>
        <w:spacing w:line="360" w:lineRule="auto"/>
        <w:rPr>
          <w:rFonts w:hint="eastAsia" w:ascii="宋体" w:hAnsi="宋体" w:eastAsia="宋体" w:cs="宋体"/>
          <w:color w:val="auto"/>
          <w:highlight w:val="none"/>
        </w:rPr>
      </w:pPr>
    </w:p>
    <w:p w14:paraId="070BDBA6">
      <w:pPr>
        <w:pStyle w:val="8"/>
        <w:shd w:val="clear" w:color="auto" w:fill="auto"/>
        <w:tabs>
          <w:tab w:val="left" w:pos="1560"/>
          <w:tab w:val="left" w:pos="2040"/>
          <w:tab w:val="left" w:pos="9214"/>
        </w:tabs>
        <w:spacing w:before="66"/>
        <w:ind w:right="-92" w:rightChars="-44"/>
        <w:rPr>
          <w:rFonts w:hint="eastAsia" w:ascii="宋体" w:hAnsi="宋体" w:eastAsia="宋体" w:cs="宋体"/>
          <w:color w:val="auto"/>
          <w:sz w:val="21"/>
          <w:szCs w:val="21"/>
          <w:highlight w:val="none"/>
        </w:rPr>
      </w:pPr>
    </w:p>
    <w:p w14:paraId="48C036F9">
      <w:pPr>
        <w:pStyle w:val="180"/>
        <w:shd w:val="clear" w:color="auto" w:fill="auto"/>
        <w:spacing w:line="360" w:lineRule="auto"/>
        <w:ind w:right="-92" w:rightChars="-44"/>
        <w:jc w:val="both"/>
        <w:rPr>
          <w:rFonts w:hint="eastAsia" w:ascii="宋体" w:hAnsi="宋体" w:eastAsia="宋体" w:cs="宋体"/>
          <w:b/>
          <w:color w:val="auto"/>
          <w:sz w:val="24"/>
          <w:szCs w:val="24"/>
          <w:highlight w:val="none"/>
        </w:rPr>
        <w:sectPr>
          <w:type w:val="continuous"/>
          <w:pgSz w:w="11905" w:h="16838"/>
          <w:pgMar w:top="1304" w:right="964" w:bottom="1020" w:left="1191" w:header="567" w:footer="454" w:gutter="0"/>
          <w:cols w:space="720" w:num="1"/>
          <w:rtlGutter w:val="0"/>
          <w:docGrid w:type="lines" w:linePitch="317" w:charSpace="0"/>
        </w:sectPr>
      </w:pPr>
    </w:p>
    <w:p w14:paraId="4FDF40B1">
      <w:pPr>
        <w:pStyle w:val="180"/>
        <w:shd w:val="clear" w:color="auto" w:fill="auto"/>
        <w:spacing w:line="360" w:lineRule="auto"/>
        <w:jc w:val="both"/>
        <w:outlineLvl w:val="1"/>
        <w:rPr>
          <w:rFonts w:hint="eastAsia" w:ascii="宋体" w:hAnsi="宋体" w:eastAsia="宋体" w:cs="宋体"/>
          <w:b/>
          <w:color w:val="auto"/>
          <w:sz w:val="24"/>
          <w:szCs w:val="24"/>
          <w:highlight w:val="none"/>
        </w:rPr>
      </w:pPr>
      <w:bookmarkStart w:id="314" w:name="_Ref467988543"/>
      <w:bookmarkStart w:id="315" w:name="_Toc480942355"/>
      <w:bookmarkStart w:id="316" w:name="_Toc216582819"/>
      <w:bookmarkStart w:id="317" w:name="_Toc520356224"/>
      <w:bookmarkStart w:id="318" w:name="_Toc507399535"/>
      <w:bookmarkStart w:id="319" w:name="_Toc9592"/>
      <w:bookmarkStart w:id="320" w:name="_Toc115436133"/>
      <w:bookmarkStart w:id="321" w:name="_Toc114589541"/>
      <w:bookmarkStart w:id="322" w:name="_Toc32489"/>
      <w:bookmarkStart w:id="323" w:name="_Toc20238"/>
    </w:p>
    <w:p w14:paraId="5D43B29A">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36E89DD2">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0D7D6851">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528A8D2F">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6E2F1FD7">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4A4D0A1D">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412B1B5C">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252BE53C">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02DBC653">
      <w:pPr>
        <w:pStyle w:val="180"/>
        <w:shd w:val="clear" w:color="auto" w:fill="auto"/>
        <w:spacing w:line="360" w:lineRule="auto"/>
        <w:jc w:val="both"/>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附件9  关于对本投标文件中资料真实性的承诺</w:t>
      </w:r>
      <w:bookmarkEnd w:id="314"/>
      <w:bookmarkEnd w:id="315"/>
      <w:bookmarkEnd w:id="316"/>
      <w:bookmarkEnd w:id="317"/>
      <w:bookmarkStart w:id="324" w:name="_Hlt520350918"/>
      <w:bookmarkEnd w:id="324"/>
      <w:bookmarkStart w:id="325" w:name="_Hlt520343000"/>
      <w:bookmarkEnd w:id="325"/>
      <w:bookmarkStart w:id="326" w:name="_Hlt520271212"/>
      <w:bookmarkEnd w:id="326"/>
      <w:bookmarkStart w:id="327" w:name="_Hlt520273973"/>
      <w:bookmarkEnd w:id="327"/>
      <w:bookmarkStart w:id="328" w:name="_Hlt520343392"/>
      <w:bookmarkEnd w:id="328"/>
      <w:bookmarkStart w:id="329" w:name="_Hlt520274065"/>
      <w:bookmarkEnd w:id="329"/>
      <w:bookmarkStart w:id="330" w:name="_Hlt520274393"/>
      <w:bookmarkEnd w:id="330"/>
      <w:bookmarkStart w:id="331" w:name="_Hlt520274407"/>
      <w:bookmarkEnd w:id="331"/>
      <w:bookmarkStart w:id="332" w:name="_Hlt520274911"/>
      <w:bookmarkEnd w:id="332"/>
      <w:bookmarkStart w:id="333" w:name="_Hlt520273711"/>
      <w:bookmarkEnd w:id="333"/>
      <w:bookmarkStart w:id="334" w:name="_Hlt520350957"/>
      <w:bookmarkEnd w:id="334"/>
      <w:bookmarkStart w:id="335" w:name="_Toc216513801"/>
      <w:bookmarkStart w:id="336" w:name="_Toc216582821"/>
      <w:r>
        <w:rPr>
          <w:rFonts w:hint="eastAsia" w:ascii="宋体" w:hAnsi="宋体" w:eastAsia="宋体" w:cs="宋体"/>
          <w:b/>
          <w:color w:val="auto"/>
          <w:sz w:val="24"/>
          <w:szCs w:val="24"/>
          <w:highlight w:val="none"/>
        </w:rPr>
        <w:t>书</w:t>
      </w:r>
      <w:bookmarkEnd w:id="318"/>
      <w:bookmarkEnd w:id="319"/>
      <w:bookmarkEnd w:id="320"/>
      <w:bookmarkEnd w:id="321"/>
      <w:bookmarkEnd w:id="322"/>
      <w:bookmarkEnd w:id="323"/>
    </w:p>
    <w:p w14:paraId="4A36D694">
      <w:pPr>
        <w:shd w:val="clear" w:color="auto" w:fill="auto"/>
        <w:spacing w:line="240" w:lineRule="atLeast"/>
        <w:ind w:left="660" w:leftChars="257" w:hanging="540"/>
        <w:rPr>
          <w:rFonts w:hint="eastAsia" w:ascii="宋体" w:hAnsi="宋体" w:eastAsia="宋体" w:cs="宋体"/>
          <w:b/>
          <w:color w:val="auto"/>
          <w:sz w:val="24"/>
          <w:highlight w:val="none"/>
        </w:rPr>
      </w:pPr>
    </w:p>
    <w:bookmarkEnd w:id="335"/>
    <w:bookmarkEnd w:id="336"/>
    <w:p w14:paraId="74E307C0">
      <w:pPr>
        <w:shd w:val="clear" w:color="auto" w:fill="auto"/>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关于对本投标文件中资料真实性的承诺</w:t>
      </w:r>
    </w:p>
    <w:p w14:paraId="533D5DC6">
      <w:pPr>
        <w:shd w:val="clear" w:color="auto" w:fill="auto"/>
        <w:rPr>
          <w:rFonts w:hint="eastAsia" w:ascii="宋体" w:hAnsi="宋体" w:eastAsia="宋体" w:cs="宋体"/>
          <w:b/>
          <w:color w:val="auto"/>
          <w:kern w:val="0"/>
          <w:szCs w:val="21"/>
          <w:highlight w:val="none"/>
        </w:rPr>
      </w:pPr>
    </w:p>
    <w:p w14:paraId="334D9022">
      <w:pPr>
        <w:shd w:val="clear" w:color="auto" w:fill="auto"/>
        <w:spacing w:line="360" w:lineRule="auto"/>
        <w:rPr>
          <w:rFonts w:hint="eastAsia" w:ascii="宋体" w:hAnsi="宋体" w:eastAsia="宋体" w:cs="宋体"/>
          <w:b/>
          <w:color w:val="auto"/>
          <w:kern w:val="0"/>
          <w:szCs w:val="21"/>
          <w:highlight w:val="none"/>
          <w:u w:val="single"/>
        </w:rPr>
      </w:pPr>
      <w:r>
        <w:rPr>
          <w:rFonts w:hint="eastAsia" w:ascii="宋体" w:hAnsi="宋体" w:eastAsia="宋体" w:cs="宋体"/>
          <w:b/>
          <w:color w:val="auto"/>
          <w:kern w:val="0"/>
          <w:szCs w:val="21"/>
          <w:highlight w:val="none"/>
        </w:rPr>
        <w:t>至：</w:t>
      </w:r>
      <w:r>
        <w:rPr>
          <w:rFonts w:hint="eastAsia" w:ascii="宋体" w:hAnsi="宋体" w:eastAsia="宋体" w:cs="宋体"/>
          <w:b/>
          <w:color w:val="auto"/>
          <w:kern w:val="0"/>
          <w:szCs w:val="21"/>
          <w:highlight w:val="none"/>
          <w:u w:val="single"/>
        </w:rPr>
        <w:t xml:space="preserve"> （项目、包段名称）评标委员会  </w:t>
      </w:r>
    </w:p>
    <w:p w14:paraId="11C2C66D">
      <w:pPr>
        <w:shd w:val="clear" w:color="auto" w:fill="auto"/>
        <w:spacing w:line="360" w:lineRule="auto"/>
        <w:ind w:firstLine="630" w:firstLineChars="3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根据《中华人民共和国政府采购法</w:t>
      </w:r>
      <w:r>
        <w:rPr>
          <w:rFonts w:hint="eastAsia" w:ascii="宋体" w:hAnsi="宋体" w:cs="宋体"/>
          <w:color w:val="auto"/>
          <w:kern w:val="0"/>
          <w:szCs w:val="21"/>
          <w:highlight w:val="none"/>
          <w:lang w:eastAsia="zh-CN"/>
        </w:rPr>
        <w:t>》《</w:t>
      </w:r>
      <w:r>
        <w:rPr>
          <w:rFonts w:hint="eastAsia" w:ascii="宋体" w:hAnsi="宋体" w:eastAsia="宋体" w:cs="宋体"/>
          <w:color w:val="auto"/>
          <w:kern w:val="0"/>
          <w:szCs w:val="21"/>
          <w:highlight w:val="none"/>
        </w:rPr>
        <w:t>中华人民共和国政府采购法实施条例》等有关</w:t>
      </w:r>
      <w:r>
        <w:rPr>
          <w:rFonts w:hint="eastAsia" w:ascii="宋体" w:hAnsi="宋体" w:cs="宋体"/>
          <w:color w:val="auto"/>
          <w:kern w:val="0"/>
          <w:szCs w:val="21"/>
          <w:highlight w:val="none"/>
          <w:lang w:eastAsia="zh-CN"/>
        </w:rPr>
        <w:t>法律法规</w:t>
      </w:r>
      <w:r>
        <w:rPr>
          <w:rFonts w:hint="eastAsia" w:ascii="宋体" w:hAnsi="宋体" w:eastAsia="宋体" w:cs="宋体"/>
          <w:color w:val="auto"/>
          <w:kern w:val="0"/>
          <w:szCs w:val="21"/>
          <w:highlight w:val="none"/>
        </w:rPr>
        <w:t>的规定和</w:t>
      </w:r>
      <w:r>
        <w:rPr>
          <w:rFonts w:hint="eastAsia" w:ascii="宋体" w:hAnsi="宋体" w:eastAsia="宋体" w:cs="宋体"/>
          <w:color w:val="auto"/>
          <w:kern w:val="0"/>
          <w:szCs w:val="21"/>
          <w:highlight w:val="none"/>
          <w:u w:val="single"/>
        </w:rPr>
        <w:t>        （项目、包段名称）         </w:t>
      </w:r>
      <w:r>
        <w:rPr>
          <w:rFonts w:hint="eastAsia" w:ascii="宋体" w:hAnsi="宋体" w:eastAsia="宋体" w:cs="宋体"/>
          <w:color w:val="auto"/>
          <w:kern w:val="0"/>
          <w:szCs w:val="21"/>
          <w:highlight w:val="none"/>
        </w:rPr>
        <w:t>的招标文件的要求，我公司在</w:t>
      </w:r>
      <w:r>
        <w:rPr>
          <w:rFonts w:hint="eastAsia" w:ascii="宋体" w:hAnsi="宋体" w:eastAsia="宋体" w:cs="宋体"/>
          <w:color w:val="auto"/>
          <w:kern w:val="0"/>
          <w:szCs w:val="21"/>
          <w:highlight w:val="none"/>
          <w:u w:val="single"/>
        </w:rPr>
        <w:t>   （项目、包段名称）   </w:t>
      </w:r>
      <w:r>
        <w:rPr>
          <w:rFonts w:hint="eastAsia" w:ascii="宋体" w:hAnsi="宋体" w:eastAsia="宋体" w:cs="宋体"/>
          <w:color w:val="auto"/>
          <w:kern w:val="0"/>
          <w:szCs w:val="21"/>
          <w:highlight w:val="none"/>
        </w:rPr>
        <w:t>投标文件中所提供资料真实性作如下承诺：</w:t>
      </w:r>
    </w:p>
    <w:p w14:paraId="1EAEC414">
      <w:pPr>
        <w:shd w:val="clear" w:color="auto" w:fill="auto"/>
        <w:spacing w:line="360" w:lineRule="auto"/>
        <w:ind w:firstLine="630" w:firstLineChars="3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我公司将严格按招标文件要求，在编制本投标文件时，对投标文件中所提供的资料全部真实和正确，并对提供的所有资料（资格、业绩、其他材料等）的真实性负责！ </w:t>
      </w:r>
    </w:p>
    <w:p w14:paraId="41DA8C3B">
      <w:pPr>
        <w:shd w:val="clear" w:color="auto" w:fill="auto"/>
        <w:spacing w:line="360" w:lineRule="auto"/>
        <w:ind w:firstLine="630" w:firstLineChars="3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对提供的全部资料中有存在不真实（伪造或租借等虚假资料）情形，将无条件接受任何处罚，自行承担由此引起的一切责任！</w:t>
      </w:r>
    </w:p>
    <w:p w14:paraId="52B9F042">
      <w:pPr>
        <w:shd w:val="clear" w:color="auto" w:fill="auto"/>
        <w:spacing w:line="360" w:lineRule="auto"/>
        <w:ind w:firstLine="632" w:firstLineChars="300"/>
        <w:rPr>
          <w:rFonts w:hint="eastAsia" w:ascii="宋体" w:hAnsi="宋体" w:eastAsia="宋体" w:cs="宋体"/>
          <w:b/>
          <w:color w:val="auto"/>
          <w:kern w:val="0"/>
          <w:szCs w:val="21"/>
          <w:highlight w:val="none"/>
        </w:rPr>
      </w:pPr>
    </w:p>
    <w:p w14:paraId="2B7301C0">
      <w:pPr>
        <w:shd w:val="clear" w:color="auto" w:fill="auto"/>
        <w:spacing w:line="360" w:lineRule="auto"/>
        <w:ind w:firstLine="632" w:firstLineChars="3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特此承诺</w:t>
      </w:r>
    </w:p>
    <w:p w14:paraId="1E75BB1A">
      <w:pPr>
        <w:shd w:val="clear" w:color="auto" w:fill="auto"/>
        <w:spacing w:line="360" w:lineRule="auto"/>
        <w:ind w:firstLine="632" w:firstLineChars="300"/>
        <w:rPr>
          <w:rFonts w:hint="eastAsia" w:ascii="宋体" w:hAnsi="宋体" w:eastAsia="宋体" w:cs="宋体"/>
          <w:b/>
          <w:color w:val="auto"/>
          <w:kern w:val="0"/>
          <w:szCs w:val="21"/>
          <w:highlight w:val="none"/>
        </w:rPr>
      </w:pPr>
    </w:p>
    <w:p w14:paraId="77EE3631">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供应商（全称）：</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（盖单位章）</w:t>
      </w:r>
    </w:p>
    <w:p w14:paraId="26B8E129">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法定代表人：</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（签字）</w:t>
      </w:r>
    </w:p>
    <w:p w14:paraId="49749C47">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有效的联系方式：</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（手机号）</w:t>
      </w:r>
    </w:p>
    <w:p w14:paraId="1C3596C4">
      <w:pPr>
        <w:shd w:val="clear" w:color="auto" w:fill="auto"/>
        <w:spacing w:line="360" w:lineRule="auto"/>
        <w:ind w:firstLine="3795" w:firstLineChars="1800"/>
        <w:rPr>
          <w:rFonts w:hint="eastAsia" w:ascii="宋体" w:hAnsi="宋体" w:eastAsia="宋体" w:cs="宋体"/>
          <w:b/>
          <w:color w:val="auto"/>
          <w:kern w:val="0"/>
          <w:szCs w:val="21"/>
          <w:highlight w:val="none"/>
        </w:rPr>
      </w:pPr>
    </w:p>
    <w:p w14:paraId="1BF610F6">
      <w:pPr>
        <w:shd w:val="clear" w:color="auto" w:fill="auto"/>
        <w:spacing w:line="360" w:lineRule="auto"/>
        <w:ind w:firstLine="5271" w:firstLineChars="25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年      月       日</w:t>
      </w:r>
    </w:p>
    <w:p w14:paraId="667054FD">
      <w:pPr>
        <w:shd w:val="clear" w:color="auto" w:fill="auto"/>
        <w:spacing w:line="360" w:lineRule="auto"/>
        <w:rPr>
          <w:rFonts w:hint="eastAsia" w:ascii="宋体" w:hAnsi="宋体" w:eastAsia="宋体" w:cs="宋体"/>
          <w:b/>
          <w:color w:val="auto"/>
          <w:kern w:val="0"/>
          <w:szCs w:val="21"/>
          <w:highlight w:val="none"/>
        </w:rPr>
      </w:pPr>
    </w:p>
    <w:p w14:paraId="683444D5">
      <w:pPr>
        <w:shd w:val="clear" w:color="auto" w:fill="auto"/>
        <w:spacing w:line="360" w:lineRule="auto"/>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说明：投标供应商应按上述要求将内容填写完整，未提供此承诺的其投标将被拒绝！</w:t>
      </w:r>
    </w:p>
    <w:p w14:paraId="1CA12074">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color w:val="auto"/>
          <w:highlight w:val="none"/>
        </w:rPr>
        <w:br w:type="page"/>
      </w:r>
    </w:p>
    <w:p w14:paraId="0B6B2519">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附件十七</w:t>
      </w:r>
    </w:p>
    <w:p w14:paraId="3D96403E">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p>
    <w:p w14:paraId="45C192B0">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投标人认为有必要提供的声明及文件资料</w:t>
      </w:r>
    </w:p>
    <w:p w14:paraId="213CA929">
      <w:pPr>
        <w:rPr>
          <w:rFonts w:hint="eastAsia" w:ascii="宋体" w:hAnsi="宋体" w:eastAsia="宋体" w:cs="宋体"/>
          <w:highlight w:val="none"/>
          <w:lang w:val="en-US" w:eastAsia="zh-CN"/>
        </w:rPr>
        <w:sectPr>
          <w:type w:val="continuous"/>
          <w:pgSz w:w="11905" w:h="16838"/>
          <w:pgMar w:top="1304" w:right="964" w:bottom="1020" w:left="1191" w:header="567" w:footer="454" w:gutter="0"/>
          <w:pgNumType w:fmt="decimal"/>
          <w:cols w:space="720" w:num="1"/>
          <w:rtlGutter w:val="0"/>
          <w:docGrid w:type="lines" w:linePitch="317" w:charSpace="0"/>
        </w:sectPr>
      </w:pPr>
    </w:p>
    <w:p w14:paraId="22983796">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3610DC12">
      <w:pPr>
        <w:rPr>
          <w:rFonts w:hint="eastAsia" w:ascii="宋体" w:hAnsi="宋体" w:eastAsia="宋体" w:cs="宋体"/>
          <w:highlight w:val="none"/>
          <w:lang w:val="en-US" w:eastAsia="zh-CN"/>
        </w:rPr>
      </w:pPr>
    </w:p>
    <w:p w14:paraId="2DB23924">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676DCF6C">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附件十八</w:t>
      </w:r>
    </w:p>
    <w:p w14:paraId="59314831">
      <w:pPr>
        <w:widowControl/>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技术方案</w:t>
      </w:r>
    </w:p>
    <w:p w14:paraId="5CD4D361">
      <w:pPr>
        <w:spacing w:line="440" w:lineRule="exact"/>
        <w:jc w:val="center"/>
        <w:rPr>
          <w:rFonts w:hint="eastAsia" w:ascii="宋体" w:hAnsi="宋体" w:eastAsia="宋体" w:cs="宋体"/>
          <w:b/>
          <w:bCs/>
          <w:color w:val="auto"/>
          <w:sz w:val="32"/>
          <w:szCs w:val="22"/>
          <w:highlight w:val="none"/>
        </w:rPr>
      </w:pPr>
      <w:r>
        <w:rPr>
          <w:rFonts w:hint="eastAsia" w:ascii="宋体" w:hAnsi="宋体" w:eastAsia="宋体" w:cs="宋体"/>
          <w:b/>
          <w:bCs/>
          <w:color w:val="auto"/>
          <w:sz w:val="32"/>
          <w:szCs w:val="22"/>
          <w:highlight w:val="none"/>
        </w:rPr>
        <w:t>（根据需要编写，格式自制）</w:t>
      </w:r>
    </w:p>
    <w:p w14:paraId="1DCE4646">
      <w:pPr>
        <w:spacing w:line="440" w:lineRule="exact"/>
        <w:ind w:firstLine="480" w:firstLineChars="200"/>
        <w:rPr>
          <w:rFonts w:hint="eastAsia" w:ascii="宋体" w:hAnsi="宋体" w:eastAsia="宋体" w:cs="宋体"/>
          <w:color w:val="auto"/>
          <w:sz w:val="24"/>
          <w:highlight w:val="none"/>
        </w:rPr>
      </w:pPr>
    </w:p>
    <w:p w14:paraId="42D5C37E">
      <w:pPr>
        <w:spacing w:line="440" w:lineRule="exact"/>
        <w:ind w:firstLine="420" w:firstLineChars="200"/>
        <w:jc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不得直接采用招标文件技术要求，否则所有有关技术分均不得分</w:t>
      </w:r>
      <w:r>
        <w:rPr>
          <w:rFonts w:hint="eastAsia" w:ascii="宋体" w:hAnsi="宋体" w:eastAsia="宋体" w:cs="宋体"/>
          <w:color w:val="auto"/>
          <w:sz w:val="21"/>
          <w:szCs w:val="21"/>
          <w:highlight w:val="none"/>
        </w:rPr>
        <w:t>。</w:t>
      </w:r>
    </w:p>
    <w:p w14:paraId="72057141">
      <w:pPr>
        <w:pStyle w:val="71"/>
        <w:rPr>
          <w:rFonts w:hint="eastAsia" w:ascii="宋体" w:hAnsi="宋体" w:eastAsia="宋体" w:cs="宋体"/>
          <w:b/>
          <w:bCs w:val="0"/>
          <w:color w:val="auto"/>
          <w:kern w:val="2"/>
          <w:sz w:val="24"/>
          <w:szCs w:val="22"/>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p>
    <w:p w14:paraId="3D9CA425">
      <w:pPr>
        <w:jc w:val="both"/>
        <w:rPr>
          <w:rFonts w:hint="eastAsia" w:ascii="宋体" w:hAnsi="宋体" w:eastAsia="宋体" w:cs="宋体"/>
          <w:b/>
          <w:bCs w:val="0"/>
          <w:color w:val="auto"/>
          <w:kern w:val="2"/>
          <w:sz w:val="28"/>
          <w:szCs w:val="24"/>
          <w:highlight w:val="none"/>
          <w:lang w:val="en-US" w:eastAsia="zh-CN" w:bidi="ar-SA"/>
        </w:rPr>
      </w:pPr>
    </w:p>
    <w:p w14:paraId="5EB2659A">
      <w:pPr>
        <w:jc w:val="both"/>
        <w:outlineLvl w:val="1"/>
        <w:rPr>
          <w:rFonts w:hint="eastAsia" w:ascii="宋体" w:hAnsi="宋体" w:eastAsia="宋体" w:cs="宋体"/>
          <w:b/>
          <w:bCs w:val="0"/>
          <w:color w:val="auto"/>
          <w:kern w:val="2"/>
          <w:sz w:val="28"/>
          <w:szCs w:val="24"/>
          <w:highlight w:val="none"/>
          <w:lang w:val="en-US" w:eastAsia="zh-CN" w:bidi="ar-SA"/>
        </w:rPr>
      </w:pPr>
      <w:bookmarkStart w:id="337" w:name="_Toc31589"/>
    </w:p>
    <w:p w14:paraId="1AEC31D1">
      <w:pPr>
        <w:jc w:val="both"/>
        <w:outlineLvl w:val="1"/>
        <w:rPr>
          <w:rFonts w:hint="eastAsia" w:ascii="宋体" w:hAnsi="宋体" w:eastAsia="宋体" w:cs="宋体"/>
          <w:b/>
          <w:bCs w:val="0"/>
          <w:color w:val="auto"/>
          <w:kern w:val="2"/>
          <w:sz w:val="28"/>
          <w:szCs w:val="24"/>
          <w:highlight w:val="none"/>
          <w:lang w:val="en-US" w:eastAsia="zh-CN" w:bidi="ar-SA"/>
        </w:rPr>
      </w:pPr>
    </w:p>
    <w:p w14:paraId="2DEBC18D">
      <w:pPr>
        <w:jc w:val="both"/>
        <w:outlineLvl w:val="1"/>
        <w:rPr>
          <w:rFonts w:hint="eastAsia" w:ascii="宋体" w:hAnsi="宋体" w:eastAsia="宋体" w:cs="宋体"/>
          <w:b/>
          <w:bCs w:val="0"/>
          <w:color w:val="auto"/>
          <w:kern w:val="2"/>
          <w:sz w:val="28"/>
          <w:szCs w:val="24"/>
          <w:highlight w:val="none"/>
          <w:lang w:val="en-US" w:eastAsia="zh-CN" w:bidi="ar-SA"/>
        </w:rPr>
      </w:pPr>
    </w:p>
    <w:p w14:paraId="61C09DBC">
      <w:pPr>
        <w:jc w:val="both"/>
        <w:outlineLvl w:val="1"/>
        <w:rPr>
          <w:rFonts w:hint="eastAsia" w:ascii="宋体" w:hAnsi="宋体" w:eastAsia="宋体" w:cs="宋体"/>
          <w:b/>
          <w:bCs w:val="0"/>
          <w:color w:val="auto"/>
          <w:kern w:val="2"/>
          <w:sz w:val="28"/>
          <w:szCs w:val="24"/>
          <w:highlight w:val="none"/>
          <w:lang w:val="en-US" w:eastAsia="zh-CN" w:bidi="ar-SA"/>
        </w:rPr>
      </w:pPr>
    </w:p>
    <w:p w14:paraId="3AF655C5">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17F55918">
      <w:pPr>
        <w:jc w:val="both"/>
        <w:outlineLvl w:val="1"/>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w:t>
      </w:r>
      <w:bookmarkEnd w:id="337"/>
      <w:r>
        <w:rPr>
          <w:rFonts w:hint="eastAsia" w:ascii="宋体" w:hAnsi="宋体" w:eastAsia="宋体" w:cs="宋体"/>
          <w:b/>
          <w:bCs w:val="0"/>
          <w:color w:val="auto"/>
          <w:kern w:val="2"/>
          <w:sz w:val="28"/>
          <w:szCs w:val="24"/>
          <w:highlight w:val="none"/>
          <w:lang w:val="en-US" w:eastAsia="zh-CN" w:bidi="ar-SA"/>
        </w:rPr>
        <w:t>十九</w:t>
      </w:r>
    </w:p>
    <w:p w14:paraId="7C59A8A9">
      <w:pPr>
        <w:jc w:val="center"/>
        <w:outlineLvl w:val="9"/>
        <w:rPr>
          <w:rFonts w:hint="eastAsia" w:ascii="宋体" w:hAnsi="宋体" w:eastAsia="宋体" w:cs="宋体"/>
          <w:b/>
          <w:sz w:val="30"/>
          <w:szCs w:val="30"/>
          <w:highlight w:val="none"/>
        </w:rPr>
      </w:pPr>
    </w:p>
    <w:p w14:paraId="77763A6B">
      <w:pPr>
        <w:jc w:val="center"/>
        <w:outlineLvl w:val="0"/>
        <w:rPr>
          <w:rFonts w:hint="eastAsia" w:ascii="宋体" w:hAnsi="宋体" w:eastAsia="宋体" w:cs="宋体"/>
          <w:b/>
          <w:sz w:val="30"/>
          <w:szCs w:val="30"/>
          <w:highlight w:val="none"/>
        </w:rPr>
      </w:pPr>
      <w:bookmarkStart w:id="338" w:name="_Toc29985"/>
      <w:bookmarkStart w:id="339" w:name="_Toc2648"/>
      <w:bookmarkStart w:id="340" w:name="_Toc29685"/>
      <w:r>
        <w:rPr>
          <w:rFonts w:hint="eastAsia" w:ascii="宋体" w:hAnsi="宋体" w:eastAsia="宋体" w:cs="宋体"/>
          <w:b/>
          <w:sz w:val="30"/>
          <w:szCs w:val="30"/>
          <w:highlight w:val="none"/>
        </w:rPr>
        <w:t>其他有利于投标人的资料（如有）</w:t>
      </w:r>
      <w:bookmarkEnd w:id="338"/>
      <w:bookmarkEnd w:id="339"/>
      <w:bookmarkEnd w:id="340"/>
    </w:p>
    <w:p w14:paraId="6037F864">
      <w:pPr>
        <w:rPr>
          <w:rFonts w:hint="eastAsia" w:ascii="宋体" w:hAnsi="宋体" w:eastAsia="宋体" w:cs="宋体"/>
          <w:b/>
          <w:sz w:val="28"/>
          <w:szCs w:val="28"/>
          <w:highlight w:val="none"/>
        </w:rPr>
      </w:pPr>
    </w:p>
    <w:p w14:paraId="30059710">
      <w:pPr>
        <w:rPr>
          <w:rFonts w:hint="eastAsia" w:ascii="宋体" w:hAnsi="宋体" w:eastAsia="宋体" w:cs="宋体"/>
          <w:b/>
          <w:sz w:val="28"/>
          <w:szCs w:val="28"/>
          <w:highlight w:val="none"/>
        </w:rPr>
      </w:pPr>
    </w:p>
    <w:p w14:paraId="7628A0B5">
      <w:pPr>
        <w:rPr>
          <w:rFonts w:hint="eastAsia" w:ascii="宋体" w:hAnsi="宋体" w:eastAsia="宋体" w:cs="宋体"/>
          <w:b/>
          <w:sz w:val="28"/>
          <w:szCs w:val="28"/>
          <w:highlight w:val="none"/>
        </w:rPr>
      </w:pPr>
    </w:p>
    <w:p w14:paraId="1D2F6822">
      <w:pPr>
        <w:rPr>
          <w:rFonts w:hint="eastAsia" w:ascii="宋体" w:hAnsi="宋体" w:eastAsia="宋体" w:cs="宋体"/>
          <w:b/>
          <w:sz w:val="28"/>
          <w:szCs w:val="28"/>
          <w:highlight w:val="none"/>
        </w:rPr>
      </w:pPr>
    </w:p>
    <w:p w14:paraId="425E31C7">
      <w:pPr>
        <w:rPr>
          <w:rFonts w:hint="eastAsia" w:ascii="宋体" w:hAnsi="宋体" w:eastAsia="宋体" w:cs="宋体"/>
          <w:b/>
          <w:sz w:val="28"/>
          <w:szCs w:val="28"/>
          <w:highlight w:val="none"/>
        </w:rPr>
      </w:pPr>
    </w:p>
    <w:p w14:paraId="1985A1E2">
      <w:pPr>
        <w:rPr>
          <w:rFonts w:hint="eastAsia" w:ascii="宋体" w:hAnsi="宋体" w:eastAsia="宋体" w:cs="宋体"/>
          <w:b/>
          <w:sz w:val="28"/>
          <w:szCs w:val="28"/>
          <w:highlight w:val="none"/>
        </w:rPr>
      </w:pPr>
    </w:p>
    <w:p w14:paraId="4B19F1D7">
      <w:pPr>
        <w:rPr>
          <w:rFonts w:hint="eastAsia" w:ascii="宋体" w:hAnsi="宋体" w:eastAsia="宋体" w:cs="宋体"/>
          <w:b/>
          <w:sz w:val="28"/>
          <w:szCs w:val="28"/>
          <w:highlight w:val="none"/>
        </w:rPr>
      </w:pPr>
    </w:p>
    <w:p w14:paraId="17D686AB">
      <w:pPr>
        <w:rPr>
          <w:rFonts w:hint="eastAsia" w:ascii="宋体" w:hAnsi="宋体" w:eastAsia="宋体" w:cs="宋体"/>
          <w:b/>
          <w:sz w:val="28"/>
          <w:szCs w:val="28"/>
          <w:highlight w:val="none"/>
        </w:rPr>
      </w:pPr>
    </w:p>
    <w:p w14:paraId="2B5402F2">
      <w:pPr>
        <w:rPr>
          <w:rFonts w:hint="eastAsia" w:ascii="宋体" w:hAnsi="宋体" w:eastAsia="宋体" w:cs="宋体"/>
          <w:b/>
          <w:sz w:val="28"/>
          <w:szCs w:val="28"/>
          <w:highlight w:val="none"/>
        </w:rPr>
      </w:pPr>
    </w:p>
    <w:p w14:paraId="020E26ED">
      <w:pPr>
        <w:rPr>
          <w:rFonts w:hint="eastAsia" w:ascii="宋体" w:hAnsi="宋体" w:eastAsia="宋体" w:cs="宋体"/>
          <w:b/>
          <w:sz w:val="28"/>
          <w:szCs w:val="28"/>
          <w:highlight w:val="none"/>
        </w:rPr>
      </w:pPr>
    </w:p>
    <w:p w14:paraId="786631C2">
      <w:pPr>
        <w:rPr>
          <w:rFonts w:hint="eastAsia" w:ascii="宋体" w:hAnsi="宋体" w:eastAsia="宋体" w:cs="宋体"/>
          <w:b/>
          <w:sz w:val="28"/>
          <w:szCs w:val="28"/>
          <w:highlight w:val="none"/>
        </w:rPr>
      </w:pPr>
    </w:p>
    <w:p w14:paraId="3C0D9E01">
      <w:pPr>
        <w:rPr>
          <w:rFonts w:hint="eastAsia" w:ascii="宋体" w:hAnsi="宋体" w:eastAsia="宋体" w:cs="宋体"/>
          <w:b/>
          <w:sz w:val="28"/>
          <w:szCs w:val="28"/>
          <w:highlight w:val="none"/>
        </w:rPr>
      </w:pPr>
    </w:p>
    <w:p w14:paraId="494FC1DA">
      <w:pPr>
        <w:rPr>
          <w:rFonts w:hint="eastAsia" w:ascii="宋体" w:hAnsi="宋体" w:eastAsia="宋体" w:cs="宋体"/>
          <w:b/>
          <w:sz w:val="28"/>
          <w:szCs w:val="28"/>
          <w:highlight w:val="none"/>
        </w:rPr>
      </w:pPr>
    </w:p>
    <w:p w14:paraId="43FF464F">
      <w:pPr>
        <w:rPr>
          <w:rFonts w:hint="eastAsia" w:ascii="宋体" w:hAnsi="宋体" w:eastAsia="宋体" w:cs="宋体"/>
          <w:b/>
          <w:sz w:val="28"/>
          <w:szCs w:val="28"/>
          <w:highlight w:val="none"/>
        </w:rPr>
      </w:pPr>
    </w:p>
    <w:p w14:paraId="48CA43DF">
      <w:pPr>
        <w:rPr>
          <w:rFonts w:hint="eastAsia" w:ascii="宋体" w:hAnsi="宋体" w:eastAsia="宋体" w:cs="宋体"/>
          <w:b/>
          <w:sz w:val="28"/>
          <w:szCs w:val="28"/>
          <w:highlight w:val="none"/>
        </w:rPr>
      </w:pPr>
    </w:p>
    <w:p w14:paraId="28C19A45">
      <w:pPr>
        <w:rPr>
          <w:rFonts w:hint="eastAsia" w:ascii="宋体" w:hAnsi="宋体" w:eastAsia="宋体" w:cs="宋体"/>
          <w:b/>
          <w:sz w:val="28"/>
          <w:szCs w:val="28"/>
          <w:highlight w:val="none"/>
        </w:rPr>
      </w:pPr>
    </w:p>
    <w:p w14:paraId="3E2B0AF3">
      <w:pPr>
        <w:rPr>
          <w:rFonts w:hint="eastAsia" w:ascii="宋体" w:hAnsi="宋体" w:eastAsia="宋体" w:cs="宋体"/>
          <w:b/>
          <w:sz w:val="28"/>
          <w:szCs w:val="28"/>
          <w:highlight w:val="none"/>
        </w:rPr>
      </w:pPr>
    </w:p>
    <w:p w14:paraId="04CA274F">
      <w:pPr>
        <w:rPr>
          <w:rFonts w:hint="eastAsia" w:ascii="宋体" w:hAnsi="宋体" w:eastAsia="宋体" w:cs="宋体"/>
          <w:b/>
          <w:sz w:val="28"/>
          <w:szCs w:val="28"/>
          <w:highlight w:val="none"/>
        </w:rPr>
      </w:pPr>
    </w:p>
    <w:p w14:paraId="4717E630">
      <w:pPr>
        <w:spacing w:line="400" w:lineRule="exact"/>
        <w:rPr>
          <w:rFonts w:hint="eastAsia" w:ascii="宋体" w:hAnsi="宋体" w:eastAsia="宋体" w:cs="宋体"/>
          <w:b/>
          <w:bCs/>
          <w:sz w:val="32"/>
          <w:highlight w:val="none"/>
        </w:rPr>
      </w:pPr>
      <w:r>
        <w:rPr>
          <w:rFonts w:hint="eastAsia" w:ascii="宋体" w:hAnsi="宋体" w:eastAsia="宋体" w:cs="宋体"/>
          <w:b/>
          <w:bCs/>
          <w:sz w:val="32"/>
          <w:highlight w:val="none"/>
        </w:rPr>
        <w:t xml:space="preserve">            </w:t>
      </w:r>
    </w:p>
    <w:p w14:paraId="44CD3FCE">
      <w:pPr>
        <w:pStyle w:val="4"/>
        <w:shd w:val="clear" w:color="auto" w:fill="auto"/>
        <w:jc w:val="center"/>
        <w:rPr>
          <w:rFonts w:hint="eastAsia" w:ascii="宋体" w:hAnsi="宋体" w:eastAsia="宋体" w:cs="宋体"/>
          <w:color w:val="auto"/>
          <w:highlight w:val="none"/>
        </w:rPr>
      </w:pPr>
      <w:bookmarkStart w:id="341" w:name="_Toc23573"/>
      <w:bookmarkStart w:id="342" w:name="_Toc29473"/>
      <w:r>
        <w:rPr>
          <w:rFonts w:hint="eastAsia" w:ascii="宋体" w:hAnsi="宋体" w:eastAsia="宋体" w:cs="宋体"/>
          <w:color w:val="auto"/>
          <w:sz w:val="28"/>
          <w:szCs w:val="28"/>
          <w:highlight w:val="none"/>
        </w:rPr>
        <w:t>中小企业划分标准</w:t>
      </w:r>
      <w:bookmarkEnd w:id="341"/>
      <w:bookmarkEnd w:id="342"/>
    </w:p>
    <w:p w14:paraId="33119EA7">
      <w:pPr>
        <w:shd w:val="clear" w:color="auto" w:fill="auto"/>
        <w:ind w:firstLine="480" w:firstLineChars="200"/>
        <w:rPr>
          <w:rFonts w:hint="eastAsia" w:ascii="宋体" w:hAnsi="宋体" w:eastAsia="宋体" w:cs="宋体"/>
          <w:color w:val="auto"/>
          <w:sz w:val="24"/>
          <w:highlight w:val="none"/>
        </w:rPr>
      </w:pPr>
      <w:bookmarkStart w:id="343" w:name="bookmark4"/>
      <w:bookmarkStart w:id="344" w:name="bookmark5"/>
      <w:r>
        <w:rPr>
          <w:rFonts w:hint="eastAsia" w:ascii="宋体" w:hAnsi="宋体" w:eastAsia="宋体" w:cs="宋体"/>
          <w:color w:val="auto"/>
          <w:sz w:val="24"/>
          <w:highlight w:val="none"/>
        </w:rPr>
        <w:t>工业和信息化部、国家统计局、发展改革委、财政部等四部门《关于印发中小企业划型标准规定的通知》（工信部联企业〔2011〕300号）规定中小企业划型标准如表所示：</w:t>
      </w:r>
      <w:bookmarkEnd w:id="343"/>
      <w:bookmarkEnd w:id="344"/>
    </w:p>
    <w:tbl>
      <w:tblPr>
        <w:tblStyle w:val="7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729"/>
        <w:gridCol w:w="1049"/>
        <w:gridCol w:w="6990"/>
      </w:tblGrid>
      <w:tr w14:paraId="06A5E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7CCE76AD">
            <w:pPr>
              <w:pStyle w:val="179"/>
              <w:shd w:val="clear" w:color="auto" w:fill="auto"/>
              <w:spacing w:line="240" w:lineRule="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农、林、牧、渔业</w:t>
            </w:r>
          </w:p>
        </w:tc>
        <w:tc>
          <w:tcPr>
            <w:tcW w:w="4114" w:type="pct"/>
            <w:gridSpan w:val="2"/>
            <w:shd w:val="clear" w:color="auto" w:fill="FFFFFF"/>
            <w:noWrap w:val="0"/>
            <w:vAlign w:val="center"/>
          </w:tcPr>
          <w:p w14:paraId="4414DEA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营业收入20000万元以下的为中小微型企业。</w:t>
            </w:r>
          </w:p>
        </w:tc>
      </w:tr>
      <w:tr w14:paraId="146DA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59C2C2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37B25A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3FC2E55A">
            <w:pPr>
              <w:pStyle w:val="179"/>
              <w:shd w:val="clear" w:color="auto" w:fill="auto"/>
              <w:tabs>
                <w:tab w:val="left" w:pos="1930"/>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20 000万元</w:t>
            </w:r>
          </w:p>
        </w:tc>
      </w:tr>
      <w:tr w14:paraId="475FA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6B6ADF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3C2811F">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52681925">
            <w:pPr>
              <w:pStyle w:val="179"/>
              <w:shd w:val="clear" w:color="auto" w:fill="auto"/>
              <w:tabs>
                <w:tab w:val="left" w:pos="1752"/>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500万元</w:t>
            </w:r>
          </w:p>
        </w:tc>
      </w:tr>
      <w:tr w14:paraId="2680F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CFB7EB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154128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3FC04BFC">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50万元以下</w:t>
            </w:r>
          </w:p>
        </w:tc>
      </w:tr>
      <w:tr w14:paraId="52F7D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6D306B7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工业</w:t>
            </w:r>
          </w:p>
          <w:p w14:paraId="7AB9C41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（包括采矿业，制造业，电力、热力、燃气及水生产和供应</w:t>
            </w:r>
          </w:p>
          <w:p w14:paraId="41C509EB">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业）</w:t>
            </w:r>
          </w:p>
        </w:tc>
        <w:tc>
          <w:tcPr>
            <w:tcW w:w="4114" w:type="pct"/>
            <w:gridSpan w:val="2"/>
            <w:shd w:val="clear" w:color="auto" w:fill="FFFFFF"/>
            <w:noWrap w:val="0"/>
            <w:vAlign w:val="center"/>
          </w:tcPr>
          <w:p w14:paraId="53BC12E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40000万元以下的为中小微型企业。</w:t>
            </w:r>
          </w:p>
        </w:tc>
      </w:tr>
      <w:tr w14:paraId="2B109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271A253">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33276A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15E1A0F4">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2 000万元一40 000万元</w:t>
            </w:r>
          </w:p>
        </w:tc>
      </w:tr>
      <w:tr w14:paraId="1B3BC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85B9491">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D526155">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3ADF019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300万元一2 000万元</w:t>
            </w:r>
          </w:p>
        </w:tc>
      </w:tr>
      <w:tr w14:paraId="5B665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03A1D4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FFC77D5">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0FA3F8D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300万元以下</w:t>
            </w:r>
          </w:p>
        </w:tc>
      </w:tr>
      <w:tr w14:paraId="3B2E1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6362247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建筑业</w:t>
            </w:r>
          </w:p>
        </w:tc>
        <w:tc>
          <w:tcPr>
            <w:tcW w:w="4114" w:type="pct"/>
            <w:gridSpan w:val="2"/>
            <w:shd w:val="clear" w:color="auto" w:fill="FFFFFF"/>
            <w:noWrap w:val="0"/>
            <w:vAlign w:val="center"/>
          </w:tcPr>
          <w:p w14:paraId="1AB9E085">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营业收入80000万元以下或资产总额 80000万元以下的为中小微型企业。</w:t>
            </w:r>
          </w:p>
        </w:tc>
      </w:tr>
      <w:tr w14:paraId="762D6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92F947D">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8D5963E">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56386438">
            <w:pPr>
              <w:pStyle w:val="179"/>
              <w:shd w:val="clear" w:color="auto" w:fill="auto"/>
              <w:spacing w:line="240" w:lineRule="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营业收入6000万元一80000万元，且资产总额 5 000万元一80 000 万元</w:t>
            </w:r>
          </w:p>
        </w:tc>
      </w:tr>
      <w:tr w14:paraId="54AA2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0309D58">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76F471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2A1154EB">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 300万元一6 000万元，且资产总额 300万一5 000万元</w:t>
            </w:r>
          </w:p>
        </w:tc>
      </w:tr>
      <w:tr w14:paraId="6744A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78B87D7">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1ADD34C">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03E782F4">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营业收入300万元以下或资产总额 300万元以下</w:t>
            </w:r>
          </w:p>
        </w:tc>
      </w:tr>
      <w:tr w14:paraId="2758E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45EF2C46">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批发业</w:t>
            </w:r>
          </w:p>
        </w:tc>
        <w:tc>
          <w:tcPr>
            <w:tcW w:w="4114" w:type="pct"/>
            <w:gridSpan w:val="2"/>
            <w:shd w:val="clear" w:color="auto" w:fill="FFFFFF"/>
            <w:noWrap w:val="0"/>
            <w:vAlign w:val="center"/>
          </w:tcPr>
          <w:p w14:paraId="48FC0E6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40 000万元以下的为中小微型企业。</w:t>
            </w:r>
          </w:p>
        </w:tc>
      </w:tr>
      <w:tr w14:paraId="4ACBA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B21D6D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8CE47B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3314E0D7">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从业人员20人一200人，且营业收入 5 000万元一40 000万元</w:t>
            </w:r>
          </w:p>
        </w:tc>
      </w:tr>
      <w:tr w14:paraId="76361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C3B90DA">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BF77EA9">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674C1AA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从业人员5人一20人，且营业收入 1 000万元一5 000万元</w:t>
            </w:r>
          </w:p>
        </w:tc>
      </w:tr>
      <w:tr w14:paraId="794B6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DBAB7D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5BEBDA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6F53B031">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从业人员5人以下或营业收入 1 000万元以下</w:t>
            </w:r>
          </w:p>
        </w:tc>
      </w:tr>
      <w:tr w14:paraId="6CCD3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2E26A37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零售业</w:t>
            </w:r>
          </w:p>
        </w:tc>
        <w:tc>
          <w:tcPr>
            <w:tcW w:w="4114" w:type="pct"/>
            <w:gridSpan w:val="2"/>
            <w:shd w:val="clear" w:color="auto" w:fill="FFFFFF"/>
            <w:noWrap w:val="0"/>
            <w:vAlign w:val="center"/>
          </w:tcPr>
          <w:p w14:paraId="33D0412C">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20 000万元以下的为中小微型企业。</w:t>
            </w:r>
          </w:p>
        </w:tc>
      </w:tr>
      <w:tr w14:paraId="55F99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088A0B1">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ACE831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1C11078B">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50人一300人，且营业收入 500万元一20 000万元</w:t>
            </w:r>
          </w:p>
        </w:tc>
      </w:tr>
      <w:tr w14:paraId="56E8F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4AACB2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42E512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26EF7B2C">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从业人员10人一50人，且营业收入 100万元一500万元</w:t>
            </w:r>
          </w:p>
        </w:tc>
      </w:tr>
      <w:tr w14:paraId="062EB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D832E0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125FB18">
            <w:pPr>
              <w:pStyle w:val="179"/>
              <w:shd w:val="clear" w:color="auto" w:fill="auto"/>
              <w:spacing w:before="80"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63D096E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55D3D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05DF0138">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交通运输业 （不含铁路运输业）</w:t>
            </w:r>
          </w:p>
        </w:tc>
        <w:tc>
          <w:tcPr>
            <w:tcW w:w="4114" w:type="pct"/>
            <w:gridSpan w:val="2"/>
            <w:shd w:val="clear" w:color="auto" w:fill="FFFFFF"/>
            <w:noWrap w:val="0"/>
            <w:vAlign w:val="center"/>
          </w:tcPr>
          <w:p w14:paraId="14E53D48">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42CA9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917EAD7">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7775728">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7C5A28D8">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3 000万元一30 000万元</w:t>
            </w:r>
          </w:p>
        </w:tc>
      </w:tr>
      <w:tr w14:paraId="3A57B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69860A4">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A97560C">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8EABE37">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200万元一3 000万元</w:t>
            </w:r>
          </w:p>
        </w:tc>
      </w:tr>
      <w:tr w14:paraId="7B0A3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4C1CE7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2CD92AE">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2FFF6538">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200万元以下</w:t>
            </w:r>
          </w:p>
        </w:tc>
      </w:tr>
      <w:tr w14:paraId="29CE4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1BFE6CF5">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仓储业</w:t>
            </w:r>
          </w:p>
        </w:tc>
        <w:tc>
          <w:tcPr>
            <w:tcW w:w="4114" w:type="pct"/>
            <w:gridSpan w:val="2"/>
            <w:shd w:val="clear" w:color="auto" w:fill="FFFFFF"/>
            <w:noWrap w:val="0"/>
            <w:vAlign w:val="center"/>
          </w:tcPr>
          <w:p w14:paraId="7962DD57">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30 000万元以下的为中小微型企业。</w:t>
            </w:r>
          </w:p>
        </w:tc>
      </w:tr>
      <w:tr w14:paraId="36B2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142515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34D386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4FAE109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从业人员100人一200人，且营业收入 1 000万元一30 000万元</w:t>
            </w:r>
          </w:p>
        </w:tc>
      </w:tr>
      <w:tr w14:paraId="09B0E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5021B7C">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1E1A84E">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98FF9A7">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从业人员20人一100人，且营业收入 100万元一1 000万元</w:t>
            </w:r>
          </w:p>
        </w:tc>
      </w:tr>
      <w:tr w14:paraId="0DBDB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6725814">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E18E67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2A3F2779">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r w14:paraId="4E71F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646AEDA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邮政业</w:t>
            </w:r>
          </w:p>
        </w:tc>
        <w:tc>
          <w:tcPr>
            <w:tcW w:w="4114" w:type="pct"/>
            <w:gridSpan w:val="2"/>
            <w:shd w:val="clear" w:color="auto" w:fill="FFFFFF"/>
            <w:noWrap w:val="0"/>
            <w:vAlign w:val="center"/>
          </w:tcPr>
          <w:p w14:paraId="34A426A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73F0A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E820A6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FAC7C39">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5406B61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2 000万元一30 000万元</w:t>
            </w:r>
          </w:p>
        </w:tc>
      </w:tr>
      <w:tr w14:paraId="3E8DB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457E13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A203426">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7300A567">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100万元一2 000万元</w:t>
            </w:r>
          </w:p>
        </w:tc>
      </w:tr>
      <w:tr w14:paraId="537CA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DD480A8">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B16FF1F">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462EC79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bl>
    <w:p w14:paraId="353B7E90">
      <w:pPr>
        <w:shd w:val="clear" w:color="auto" w:fill="auto"/>
        <w:spacing w:line="1" w:lineRule="exact"/>
        <w:jc w:val="center"/>
        <w:rPr>
          <w:rFonts w:hint="eastAsia" w:ascii="宋体" w:hAnsi="宋体" w:eastAsia="宋体" w:cs="宋体"/>
          <w:color w:val="auto"/>
          <w:sz w:val="18"/>
          <w:szCs w:val="18"/>
          <w:highlight w:val="none"/>
        </w:rPr>
      </w:pPr>
    </w:p>
    <w:tbl>
      <w:tblPr>
        <w:tblStyle w:val="7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693"/>
        <w:gridCol w:w="769"/>
        <w:gridCol w:w="7308"/>
      </w:tblGrid>
      <w:tr w14:paraId="7BBAC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6AE6C5C3">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住宿业</w:t>
            </w:r>
          </w:p>
        </w:tc>
        <w:tc>
          <w:tcPr>
            <w:tcW w:w="0" w:type="auto"/>
            <w:gridSpan w:val="2"/>
            <w:shd w:val="clear" w:color="auto" w:fill="FFFFFF"/>
            <w:noWrap w:val="0"/>
            <w:vAlign w:val="center"/>
          </w:tcPr>
          <w:p w14:paraId="74CAEAEA">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16DDD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87DF08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27BEA0C">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33E8EADF">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2 000万元一10 000万元</w:t>
            </w:r>
          </w:p>
        </w:tc>
      </w:tr>
      <w:tr w14:paraId="1F886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3395C3B5">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EED7195">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54C33EA">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76010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6B3432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8BE4930">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3239D8B4">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4100B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3605C9D">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餐饮业</w:t>
            </w:r>
          </w:p>
        </w:tc>
        <w:tc>
          <w:tcPr>
            <w:tcW w:w="0" w:type="auto"/>
            <w:gridSpan w:val="2"/>
            <w:shd w:val="clear" w:color="auto" w:fill="FFFFFF"/>
            <w:noWrap w:val="0"/>
            <w:vAlign w:val="center"/>
          </w:tcPr>
          <w:p w14:paraId="6B86782F">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10 000万元以下的为中小微型企业。</w:t>
            </w:r>
          </w:p>
        </w:tc>
      </w:tr>
      <w:tr w14:paraId="48D6B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C54C0BC">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231EFFA">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4AF6E97B">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2 000万元一10 000万元</w:t>
            </w:r>
          </w:p>
        </w:tc>
      </w:tr>
      <w:tr w14:paraId="45CFB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26FB9A7">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EE30202">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0FB71CFA">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77CC2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0264AD9">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078C7431">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59898844">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31EA4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7A6A7097">
            <w:pPr>
              <w:pStyle w:val="179"/>
              <w:shd w:val="clear" w:color="auto" w:fill="auto"/>
              <w:spacing w:line="492"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信息传输业 （包括电信、互联网 和相关服务）</w:t>
            </w:r>
          </w:p>
        </w:tc>
        <w:tc>
          <w:tcPr>
            <w:tcW w:w="0" w:type="auto"/>
            <w:gridSpan w:val="2"/>
            <w:shd w:val="clear" w:color="auto" w:fill="FFFFFF"/>
            <w:noWrap w:val="0"/>
            <w:vAlign w:val="center"/>
          </w:tcPr>
          <w:p w14:paraId="6864EFF0">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从业人员2 000人以下或营业收入 100 000万元以下的为中小微型企业。</w:t>
            </w:r>
          </w:p>
        </w:tc>
      </w:tr>
      <w:tr w14:paraId="2A7D8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D1A183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4748A12">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1C056307">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从业人员100人一2 000人，且营业收入 1 000万元一10 000万元</w:t>
            </w:r>
          </w:p>
        </w:tc>
      </w:tr>
      <w:tr w14:paraId="7A12A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4A90B411">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6AD746A">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A45DC0E">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100万元一1 000万元</w:t>
            </w:r>
          </w:p>
        </w:tc>
      </w:tr>
      <w:tr w14:paraId="241A2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6B6A12C">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CBE65D1">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2EA195A0">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4F067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1DA55C69">
            <w:pPr>
              <w:pStyle w:val="179"/>
              <w:shd w:val="clear" w:color="auto" w:fill="auto"/>
              <w:spacing w:line="509"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软件和信息技术服务业</w:t>
            </w:r>
          </w:p>
        </w:tc>
        <w:tc>
          <w:tcPr>
            <w:tcW w:w="0" w:type="auto"/>
            <w:gridSpan w:val="2"/>
            <w:shd w:val="clear" w:color="auto" w:fill="FFFFFF"/>
            <w:noWrap w:val="0"/>
            <w:vAlign w:val="center"/>
          </w:tcPr>
          <w:p w14:paraId="36B4DD9B">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43B4E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BF4D4E3">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407E236">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3C5E79EB">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1 000万元一10 000万元</w:t>
            </w:r>
          </w:p>
        </w:tc>
      </w:tr>
      <w:tr w14:paraId="4C286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FCBCAD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B798F4F">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372F3247">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50万元一1 000万元</w:t>
            </w:r>
          </w:p>
        </w:tc>
      </w:tr>
      <w:tr w14:paraId="06C6A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4C29E46">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D7D2DD1">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70E1A6E0">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50万元以下</w:t>
            </w:r>
          </w:p>
        </w:tc>
      </w:tr>
      <w:tr w14:paraId="29FD7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52357550">
            <w:pPr>
              <w:pStyle w:val="179"/>
              <w:shd w:val="clear" w:color="auto" w:fil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房地产开发经营</w:t>
            </w:r>
          </w:p>
        </w:tc>
        <w:tc>
          <w:tcPr>
            <w:tcW w:w="0" w:type="auto"/>
            <w:gridSpan w:val="2"/>
            <w:shd w:val="clear" w:color="auto" w:fill="FFFFFF"/>
            <w:noWrap w:val="0"/>
            <w:vAlign w:val="center"/>
          </w:tcPr>
          <w:p w14:paraId="560B79DD">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营业收入200 000万元以下或资产总额 10 000万元以下的为中小微型企业。</w:t>
            </w:r>
          </w:p>
        </w:tc>
      </w:tr>
      <w:tr w14:paraId="35FD0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7A0E6F7">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57830086">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2B6C2A61">
            <w:pPr>
              <w:pStyle w:val="179"/>
              <w:shd w:val="clear" w:color="auto" w:fill="auto"/>
              <w:spacing w:after="120"/>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营业收入1 000万元一200 000万元，且资产总额 5 000万元一10000万元</w:t>
            </w:r>
          </w:p>
        </w:tc>
      </w:tr>
      <w:tr w14:paraId="1F3D7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58E65C4">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3857E2A">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7AF197D">
            <w:pPr>
              <w:pStyle w:val="179"/>
              <w:shd w:val="clear" w:color="auto" w:fill="auto"/>
              <w:spacing w:line="240" w:lineRule="auto"/>
              <w:ind w:left="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营业收入100万元一1 000万元，且资产总额 2 000万元一5 000 万元</w:t>
            </w:r>
          </w:p>
        </w:tc>
      </w:tr>
      <w:tr w14:paraId="4C66B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A9CE219">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546D2C1A">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02874FE6">
            <w:pPr>
              <w:pStyle w:val="179"/>
              <w:shd w:val="clear" w:color="auto" w:fill="auto"/>
              <w:tabs>
                <w:tab w:val="left" w:pos="525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营业收入100万元以下或资产总额2 000万元以下的为微型企业</w:t>
            </w:r>
          </w:p>
        </w:tc>
      </w:tr>
      <w:tr w14:paraId="0C193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28324105">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物业管理</w:t>
            </w:r>
          </w:p>
        </w:tc>
        <w:tc>
          <w:tcPr>
            <w:tcW w:w="0" w:type="auto"/>
            <w:gridSpan w:val="2"/>
            <w:shd w:val="clear" w:color="auto" w:fill="FFFFFF"/>
            <w:noWrap w:val="0"/>
            <w:vAlign w:val="center"/>
          </w:tcPr>
          <w:p w14:paraId="03696FFB">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5 000万元以下的为中小微型企业。</w:t>
            </w:r>
          </w:p>
        </w:tc>
      </w:tr>
      <w:tr w14:paraId="23DE6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CC9D735">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D71B416">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453B8C61">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1000万元一5 000万元</w:t>
            </w:r>
          </w:p>
        </w:tc>
      </w:tr>
      <w:tr w14:paraId="45539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1F68FB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195F9CF">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74E4AB53">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500万元一1 000万元</w:t>
            </w:r>
          </w:p>
        </w:tc>
      </w:tr>
      <w:tr w14:paraId="2155C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58D5DE0">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EA68D38">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6BD90E20">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从业人员100人以下或营业收入 500万元以下</w:t>
            </w:r>
          </w:p>
        </w:tc>
      </w:tr>
      <w:tr w14:paraId="3D5AC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2A3B3C86">
            <w:pPr>
              <w:pStyle w:val="179"/>
              <w:shd w:val="clear" w:color="auto" w:fill="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租赁和商务服务业</w:t>
            </w:r>
          </w:p>
        </w:tc>
        <w:tc>
          <w:tcPr>
            <w:tcW w:w="0" w:type="auto"/>
            <w:gridSpan w:val="2"/>
            <w:shd w:val="clear" w:color="auto" w:fill="FFFFFF"/>
            <w:noWrap w:val="0"/>
            <w:vAlign w:val="center"/>
          </w:tcPr>
          <w:p w14:paraId="377C6227">
            <w:pPr>
              <w:pStyle w:val="179"/>
              <w:shd w:val="clear" w:color="auto" w:fill="auto"/>
              <w:tabs>
                <w:tab w:val="left" w:pos="10666"/>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auto"/>
                <w:sz w:val="21"/>
                <w:szCs w:val="21"/>
                <w:highlight w:val="none"/>
                <w:lang w:val="en-US"/>
              </w:rPr>
              <w:t>10</w:t>
            </w:r>
            <w:r>
              <w:rPr>
                <w:rFonts w:hint="eastAsia" w:ascii="宋体" w:hAnsi="宋体" w:eastAsia="宋体" w:cs="宋体"/>
                <w:color w:val="auto"/>
                <w:sz w:val="21"/>
                <w:szCs w:val="21"/>
                <w:highlight w:val="none"/>
              </w:rPr>
              <w:t>人以下或资产总额 100万元以下的为微型企业。</w:t>
            </w:r>
          </w:p>
        </w:tc>
      </w:tr>
      <w:tr w14:paraId="65FE1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4B50F6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797C89D">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7E9D3911">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从业人员100人一300人，且资产总额 8 000万元一120 000万元</w:t>
            </w:r>
          </w:p>
        </w:tc>
      </w:tr>
      <w:tr w14:paraId="04153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952C72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7BDF344">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3FEEA3EE">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从业人员10人一100人，且资产总额 100万元一8 000万元</w:t>
            </w:r>
          </w:p>
        </w:tc>
      </w:tr>
      <w:tr w14:paraId="3D986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F6F5F7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D7E2878">
            <w:pPr>
              <w:pStyle w:val="179"/>
              <w:shd w:val="clear" w:color="auto" w:fill="auto"/>
              <w:spacing w:before="10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31DFD67C">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从业人员10人以下或资产总额 100万元以下</w:t>
            </w:r>
          </w:p>
        </w:tc>
      </w:tr>
      <w:tr w14:paraId="36ECA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9C9271B">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其他未列明行业</w:t>
            </w:r>
          </w:p>
        </w:tc>
        <w:tc>
          <w:tcPr>
            <w:tcW w:w="0" w:type="auto"/>
            <w:gridSpan w:val="2"/>
            <w:shd w:val="clear" w:color="auto" w:fill="FFFFFF"/>
            <w:noWrap w:val="0"/>
            <w:vAlign w:val="center"/>
          </w:tcPr>
          <w:p w14:paraId="1BDC5B0F">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从业人员300人以下的为中小微型企业。</w:t>
            </w:r>
          </w:p>
        </w:tc>
      </w:tr>
      <w:tr w14:paraId="4A661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113A45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D9CE2C6">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15A601B4">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w:t>
            </w:r>
          </w:p>
        </w:tc>
      </w:tr>
      <w:tr w14:paraId="3F044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1AD5F31">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0CC93FF">
            <w:pPr>
              <w:pStyle w:val="179"/>
              <w:shd w:val="clear" w:color="auto" w:fill="auto"/>
              <w:spacing w:before="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0BE264AC">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w:t>
            </w:r>
          </w:p>
        </w:tc>
      </w:tr>
      <w:tr w14:paraId="3F80B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3829E0B">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2CB01DB">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1EC2DEB0">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w:t>
            </w:r>
          </w:p>
        </w:tc>
      </w:tr>
    </w:tbl>
    <w:p w14:paraId="296C98B2">
      <w:pPr>
        <w:shd w:val="clear" w:color="auto" w:fill="auto"/>
        <w:spacing w:line="240" w:lineRule="atLeast"/>
        <w:rPr>
          <w:rFonts w:hint="eastAsia" w:ascii="宋体" w:hAnsi="宋体" w:eastAsia="宋体" w:cs="宋体"/>
          <w:color w:val="auto"/>
          <w:sz w:val="24"/>
          <w:highlight w:val="none"/>
        </w:rPr>
        <w:sectPr>
          <w:headerReference r:id="rId20" w:type="default"/>
          <w:headerReference r:id="rId21" w:type="even"/>
          <w:footerReference r:id="rId22" w:type="even"/>
          <w:type w:val="continuous"/>
          <w:pgSz w:w="11905" w:h="16838"/>
          <w:pgMar w:top="1304" w:right="964" w:bottom="1020" w:left="1191" w:header="567" w:footer="454" w:gutter="0"/>
          <w:cols w:space="720" w:num="1"/>
          <w:rtlGutter w:val="0"/>
          <w:docGrid w:type="lines" w:linePitch="317" w:charSpace="0"/>
        </w:sectPr>
      </w:pPr>
    </w:p>
    <w:p w14:paraId="5A341113">
      <w:pPr>
        <w:pStyle w:val="90"/>
        <w:rPr>
          <w:rFonts w:hint="eastAsia" w:ascii="宋体" w:hAnsi="宋体" w:eastAsia="宋体" w:cs="宋体"/>
          <w:color w:val="000000"/>
          <w:highlight w:val="none"/>
          <w:lang w:val="en-US" w:eastAsia="zh-CN"/>
        </w:rPr>
      </w:pPr>
    </w:p>
    <w:p w14:paraId="307DDC2A">
      <w:pPr>
        <w:pStyle w:val="90"/>
        <w:rPr>
          <w:rFonts w:hint="eastAsia" w:ascii="宋体" w:hAnsi="宋体" w:eastAsia="宋体" w:cs="宋体"/>
          <w:color w:val="000000"/>
          <w:highlight w:val="none"/>
          <w:lang w:val="en-US" w:eastAsia="zh-CN"/>
        </w:rPr>
      </w:pPr>
    </w:p>
    <w:sectPr>
      <w:headerReference r:id="rId23" w:type="default"/>
      <w:footerReference r:id="rId24" w:type="default"/>
      <w:type w:val="continuous"/>
      <w:pgSz w:w="11905" w:h="16838"/>
      <w:pgMar w:top="1304" w:right="964" w:bottom="1020" w:left="1191" w:header="567" w:footer="454" w:gutter="0"/>
      <w:pgNumType w:fmt="decimal"/>
      <w:cols w:space="720" w:num="1"/>
      <w:rtlGutter w:val="0"/>
      <w:docGrid w:type="lines" w:linePitch="31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hanging="105"/>
      </w:pPr>
      <w:r>
        <w:separator/>
      </w:r>
    </w:p>
  </w:endnote>
  <w:endnote w:type="continuationSeparator" w:id="1">
    <w:p>
      <w:pPr>
        <w:spacing w:line="240" w:lineRule="auto"/>
        <w:ind w:hanging="105"/>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Garamond">
    <w:altName w:val="PMingLiU-ExtB"/>
    <w:panose1 w:val="02020404030301010803"/>
    <w:charset w:val="00"/>
    <w:family w:val="roman"/>
    <w:pitch w:val="default"/>
    <w:sig w:usb0="00000000" w:usb1="00000000" w:usb2="00000000" w:usb3="00000000" w:csb0="0000009F" w:csb1="DFD70000"/>
  </w:font>
  <w:font w:name="隶书">
    <w:altName w:val="微软雅黑"/>
    <w:panose1 w:val="0201050906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Times">
    <w:altName w:val="Times New Roman"/>
    <w:panose1 w:val="02020603050405020304"/>
    <w:charset w:val="00"/>
    <w:family w:val="auto"/>
    <w:pitch w:val="default"/>
    <w:sig w:usb0="00000000" w:usb1="00000000" w:usb2="00000009" w:usb3="00000000" w:csb0="000001FF" w:csb1="00000000"/>
  </w:font>
  <w:font w:name="TKTypeRegular">
    <w:altName w:val="Segoe Print"/>
    <w:panose1 w:val="00000000000000000000"/>
    <w:charset w:val="00"/>
    <w:family w:val="auto"/>
    <w:pitch w:val="default"/>
    <w:sig w:usb0="00000000" w:usb1="00000000" w:usb2="00000000" w:usb3="00000000" w:csb0="00000001" w:csb1="0000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PMingLiU-ExtB">
    <w:panose1 w:val="02020500000000000000"/>
    <w:charset w:val="88"/>
    <w:family w:val="auto"/>
    <w:pitch w:val="default"/>
    <w:sig w:usb0="8000002F" w:usb1="02000008" w:usb2="00000000" w:usb3="00000000" w:csb0="00100001" w:csb1="00000000"/>
  </w:font>
  <w:font w:name="Kingsoft Symbol">
    <w:panose1 w:val="05000100010000000000"/>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D8E80">
    <w:pPr>
      <w:pStyle w:val="51"/>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8AB10">
    <w:pPr>
      <w:pStyle w:val="51"/>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CEDA247">
                          <w:pPr>
                            <w:pStyle w:val="51"/>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xm18iOIBAADMAwAADgAA&#10;AAAAAAABACAAAAAeAQAAZHJzL2Uyb0RvYy54bWxQSwUGAAAAAAYABgBZAQAAcgUAAAAA&#10;">
              <v:fill on="f" focussize="0,0"/>
              <v:stroke on="f"/>
              <v:imagedata o:title=""/>
              <o:lock v:ext="edit" aspectratio="f"/>
              <v:textbox inset="0mm,0mm,0mm,0mm" style="mso-fit-shape-to-text:t;">
                <w:txbxContent>
                  <w:p w14:paraId="5CEDA247">
                    <w:pPr>
                      <w:pStyle w:val="51"/>
                    </w:pPr>
                    <w:r>
                      <w:fldChar w:fldCharType="begin"/>
                    </w:r>
                    <w:r>
                      <w:instrText xml:space="preserve"> PAGE  \* MERGEFORMAT </w:instrText>
                    </w:r>
                    <w:r>
                      <w:fldChar w:fldCharType="separate"/>
                    </w:r>
                    <w:r>
                      <w:t>1</w:t>
                    </w:r>
                    <w:r>
                      <w:fldChar w:fldCharType="end"/>
                    </w:r>
                  </w:p>
                </w:txbxContent>
              </v:textbox>
            </v:shape>
          </w:pict>
        </mc:Fallback>
      </mc:AlternateContent>
    </w:r>
  </w:p>
  <w:p w14:paraId="0E531CDE">
    <w:pPr>
      <w:spacing w:line="188" w:lineRule="auto"/>
      <w:ind w:left="4084"/>
      <w:rPr>
        <w:rFonts w:ascii="Calibri" w:hAnsi="Calibri" w:eastAsia="Calibri" w:cs="Calibri"/>
        <w:sz w:val="17"/>
        <w:szCs w:val="17"/>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1326E9">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F6402B0">
                          <w:pPr>
                            <w:pStyle w:val="51"/>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6QcO7+IBAADMAwAADgAA&#10;AAAAAAABACAAAAAeAQAAZHJzL2Uyb0RvYy54bWxQSwUGAAAAAAYABgBZAQAAcgUAAAAA&#10;">
              <v:fill on="f" focussize="0,0"/>
              <v:stroke on="f"/>
              <v:imagedata o:title=""/>
              <o:lock v:ext="edit" aspectratio="f"/>
              <v:textbox inset="0mm,0mm,0mm,0mm" style="mso-fit-shape-to-text:t;">
                <w:txbxContent>
                  <w:p w14:paraId="7F6402B0">
                    <w:pPr>
                      <w:pStyle w:val="51"/>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EE16E">
    <w:pPr>
      <w:pStyle w:val="51"/>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0ECBBA9">
                          <w:pPr>
                            <w:pStyle w:val="51"/>
                          </w:pPr>
                          <w:r>
                            <w:rPr>
                              <w:rFonts w:hint="eastAsia"/>
                            </w:rPr>
                            <w:fldChar w:fldCharType="begin"/>
                          </w:r>
                          <w:r>
                            <w:rPr>
                              <w:rFonts w:hint="eastAsia"/>
                            </w:rPr>
                            <w:instrText xml:space="preserve"> PAGE  \* MERGEFORMAT </w:instrText>
                          </w:r>
                          <w:r>
                            <w:rPr>
                              <w:rFonts w:hint="eastAsia"/>
                            </w:rPr>
                            <w:fldChar w:fldCharType="separate"/>
                          </w:r>
                          <w:r>
                            <w:t>65</w:t>
                          </w:r>
                          <w:r>
                            <w:rPr>
                              <w:rFonts w:hint="eastAsia"/>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2owIX+IBAADOAwAADgAA&#10;AAAAAAABACAAAAAeAQAAZHJzL2Uyb0RvYy54bWxQSwUGAAAAAAYABgBZAQAAcgUAAAAA&#10;">
              <v:fill on="f" focussize="0,0"/>
              <v:stroke on="f"/>
              <v:imagedata o:title=""/>
              <o:lock v:ext="edit" aspectratio="f"/>
              <v:textbox inset="0mm,0mm,0mm,0mm" style="mso-fit-shape-to-text:t;">
                <w:txbxContent>
                  <w:p w14:paraId="70ECBBA9">
                    <w:pPr>
                      <w:pStyle w:val="51"/>
                    </w:pPr>
                    <w:r>
                      <w:rPr>
                        <w:rFonts w:hint="eastAsia"/>
                      </w:rPr>
                      <w:fldChar w:fldCharType="begin"/>
                    </w:r>
                    <w:r>
                      <w:rPr>
                        <w:rFonts w:hint="eastAsia"/>
                      </w:rPr>
                      <w:instrText xml:space="preserve"> PAGE  \* MERGEFORMAT </w:instrText>
                    </w:r>
                    <w:r>
                      <w:rPr>
                        <w:rFonts w:hint="eastAsia"/>
                      </w:rPr>
                      <w:fldChar w:fldCharType="separate"/>
                    </w:r>
                    <w:r>
                      <w:t>65</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3DE038">
    <w:pPr>
      <w:pStyle w:val="51"/>
      <w:pBdr>
        <w:top w:val="single" w:color="auto" w:sz="4" w:space="1"/>
      </w:pBdr>
      <w:rPr>
        <w:rFonts w:ascii="宋体"/>
      </w:rPr>
    </w:pPr>
    <w:r>
      <w:rPr>
        <w:sz w:val="18"/>
      </w:rPr>
      <mc:AlternateContent>
        <mc:Choice Requires="wps">
          <w:drawing>
            <wp:anchor distT="0" distB="0" distL="0" distR="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2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7DDE69E">
                          <w:pPr>
                            <w:pStyle w:val="51"/>
                            <w:pBdr>
                              <w:top w:val="single" w:color="auto" w:sz="4" w:space="1"/>
                            </w:pBdr>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26" o:spid="_x0000_s1026" o:spt="1"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obMHY9IBAACfAwAADgAAAAAAAAABACAAAAAfAQAA&#10;ZHJzL2Uyb0RvYy54bWxQSwUGAAAAAAYABgBZAQAAYwUAAAAA&#10;">
              <v:fill on="f" focussize="0,0"/>
              <v:stroke on="f"/>
              <v:imagedata o:title=""/>
              <o:lock v:ext="edit" aspectratio="f"/>
              <v:textbox inset="0mm,0mm,0mm,0mm" style="mso-fit-shape-to-text:t;">
                <w:txbxContent>
                  <w:p w14:paraId="47DDE69E">
                    <w:pPr>
                      <w:pStyle w:val="51"/>
                      <w:pBdr>
                        <w:top w:val="single" w:color="auto" w:sz="4" w:space="1"/>
                      </w:pBdr>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9BB67">
    <w:pPr>
      <w:pStyle w:val="51"/>
      <w:tabs>
        <w:tab w:val="left" w:pos="252"/>
        <w:tab w:val="center" w:pos="4932"/>
      </w:tabs>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CAEFE9">
                          <w:pPr>
                            <w:pStyle w:val="51"/>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85</w:t>
                          </w:r>
                          <w:r>
                            <w:fldChar w:fldCharType="end"/>
                          </w:r>
                          <w:r>
                            <w:t>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CCAEFE9">
                    <w:pPr>
                      <w:pStyle w:val="51"/>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85</w:t>
                    </w:r>
                    <w:r>
                      <w:fldChar w:fldCharType="end"/>
                    </w:r>
                    <w:r>
                      <w:t>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A7C9A4">
    <w:pPr>
      <w:pStyle w:val="51"/>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5FCC0">
    <w:pPr>
      <w:pStyle w:val="51"/>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8E1956">
    <w:pPr>
      <w:spacing w:line="209" w:lineRule="auto"/>
      <w:ind w:left="4315"/>
      <w:rPr>
        <w:rFonts w:ascii="宋体" w:hAnsi="宋体" w:eastAsia="宋体" w:cs="宋体"/>
        <w:sz w:val="18"/>
        <w:szCs w:val="18"/>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B2D1ED">
    <w:pPr>
      <w:spacing w:line="124" w:lineRule="exact"/>
      <w:ind w:firstLine="4435"/>
      <w:rPr>
        <w:rFonts w:ascii="Times New Roman" w:hAnsi="Times New Roman" w:eastAsia="Times New Roman" w:cs="Times New Roman"/>
        <w:sz w:val="18"/>
        <w:szCs w:val="18"/>
      </w:rPr>
    </w:pPr>
    <w:r>
      <w:rPr>
        <w:rFonts w:ascii="Times New Roman" w:hAnsi="Times New Roman" w:eastAsia="Times New Roman" w:cs="Times New Roman"/>
        <w:spacing w:val="-2"/>
        <w:position w:val="-2"/>
        <w:sz w:val="18"/>
        <w:szCs w:val="18"/>
        <w:shd w:val="clear" w:color="auto" w:fill="FFFFFE"/>
      </w:rPr>
      <w:t>79</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AF33A6">
    <w:pPr>
      <w:spacing w:line="123" w:lineRule="exact"/>
      <w:rPr>
        <w:rFonts w:ascii="Times New Roman" w:hAnsi="Times New Roman" w:eastAsia="Times New Roman" w:cs="Times New Roman"/>
        <w:sz w:val="18"/>
        <w:szCs w:val="18"/>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43ED7">
    <w:pPr>
      <w:pStyle w:val="51"/>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7CD5AD4">
                          <w:pPr>
                            <w:pStyle w:val="51"/>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6pebnPAAAABQEAAA8AAAAAAAAA&#10;AQAgAAAAIgAAAGRycy9kb3ducmV2LnhtbFBLAQIUABQAAAAIAIdO4kDesQ8x4QEAAMwDAAAOAAAA&#10;AAAAAAEAIAAAAB4BAABkcnMvZTJvRG9jLnhtbFBLBQYAAAAABgAGAFkBAABxBQAAAAA=&#10;">
              <v:fill on="f" focussize="0,0"/>
              <v:stroke on="f"/>
              <v:imagedata o:title=""/>
              <o:lock v:ext="edit" aspectratio="f"/>
              <v:textbox inset="0mm,0mm,0mm,0mm" style="mso-fit-shape-to-text:t;">
                <w:txbxContent>
                  <w:p w14:paraId="27CD5AD4">
                    <w:pPr>
                      <w:pStyle w:val="51"/>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9B603">
    <w:pPr>
      <w:pStyle w:val="51"/>
      <w:ind w:left="90" w:right="360" w:hanging="9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A8DD908">
                          <w:pPr>
                            <w:pStyle w:val="51"/>
                            <w:ind w:left="90" w:right="360" w:hanging="90"/>
                            <w:jc w:val="center"/>
                          </w:pPr>
                          <w:r>
                            <w:rPr>
                              <w:rFonts w:ascii="宋体" w:hAnsi="宋体"/>
                              <w:szCs w:val="21"/>
                            </w:rPr>
                            <w:t>-</w:t>
                          </w:r>
                          <w:r>
                            <w:rPr>
                              <w:rFonts w:ascii="宋体" w:hAnsi="宋体"/>
                              <w:szCs w:val="21"/>
                            </w:rPr>
                            <w:fldChar w:fldCharType="begin"/>
                          </w:r>
                          <w:r>
                            <w:rPr>
                              <w:rFonts w:ascii="宋体" w:hAnsi="宋体"/>
                              <w:szCs w:val="21"/>
                            </w:rPr>
                            <w:instrText xml:space="preserve"> PAGE </w:instrText>
                          </w:r>
                          <w:r>
                            <w:rPr>
                              <w:rFonts w:ascii="宋体" w:hAnsi="宋体"/>
                              <w:szCs w:val="21"/>
                            </w:rPr>
                            <w:fldChar w:fldCharType="separate"/>
                          </w:r>
                          <w:r>
                            <w:rPr>
                              <w:rFonts w:ascii="宋体" w:hAnsi="宋体"/>
                              <w:szCs w:val="21"/>
                            </w:rPr>
                            <w:t>47</w:t>
                          </w:r>
                          <w:r>
                            <w:rPr>
                              <w:rFonts w:ascii="宋体" w:hAnsi="宋体"/>
                              <w:szCs w:val="21"/>
                            </w:rPr>
                            <w:fldChar w:fldCharType="end"/>
                          </w:r>
                          <w:r>
                            <w:rPr>
                              <w:rFonts w:ascii="宋体" w:hAnsi="宋体"/>
                              <w:szCs w:val="21"/>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7A8DD908">
                    <w:pPr>
                      <w:pStyle w:val="51"/>
                      <w:ind w:left="90" w:right="360" w:hanging="90"/>
                      <w:jc w:val="center"/>
                    </w:pPr>
                    <w:r>
                      <w:rPr>
                        <w:rFonts w:ascii="宋体" w:hAnsi="宋体"/>
                        <w:szCs w:val="21"/>
                      </w:rPr>
                      <w:t>-</w:t>
                    </w:r>
                    <w:r>
                      <w:rPr>
                        <w:rFonts w:ascii="宋体" w:hAnsi="宋体"/>
                        <w:szCs w:val="21"/>
                      </w:rPr>
                      <w:fldChar w:fldCharType="begin"/>
                    </w:r>
                    <w:r>
                      <w:rPr>
                        <w:rFonts w:ascii="宋体" w:hAnsi="宋体"/>
                        <w:szCs w:val="21"/>
                      </w:rPr>
                      <w:instrText xml:space="preserve"> PAGE </w:instrText>
                    </w:r>
                    <w:r>
                      <w:rPr>
                        <w:rFonts w:ascii="宋体" w:hAnsi="宋体"/>
                        <w:szCs w:val="21"/>
                      </w:rPr>
                      <w:fldChar w:fldCharType="separate"/>
                    </w:r>
                    <w:r>
                      <w:rPr>
                        <w:rFonts w:ascii="宋体" w:hAnsi="宋体"/>
                        <w:szCs w:val="21"/>
                      </w:rPr>
                      <w:t>47</w:t>
                    </w:r>
                    <w:r>
                      <w:rPr>
                        <w:rFonts w:ascii="宋体" w:hAnsi="宋体"/>
                        <w:szCs w:val="21"/>
                      </w:rPr>
                      <w:fldChar w:fldCharType="end"/>
                    </w:r>
                    <w:r>
                      <w:rPr>
                        <w:rFonts w:ascii="宋体" w:hAnsi="宋体"/>
                        <w:szCs w:val="21"/>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hanging="105"/>
      </w:pPr>
      <w:r>
        <w:separator/>
      </w:r>
    </w:p>
  </w:footnote>
  <w:footnote w:type="continuationSeparator" w:id="1">
    <w:p>
      <w:pPr>
        <w:spacing w:line="360" w:lineRule="auto"/>
        <w:ind w:hanging="105"/>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9D50DC">
    <w:pPr>
      <w:pStyle w:val="53"/>
      <w:pBdr>
        <w:bottom w:val="none" w:color="auto" w:sz="0" w:space="1"/>
      </w:pBdr>
      <w:jc w:val="left"/>
      <w:rPr>
        <w:rFonts w:hint="eastAsia" w:ascii="仿宋" w:hAnsi="仿宋" w:eastAsia="仿宋" w:cs="仿宋"/>
        <w:b/>
        <w:bC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3C0A7">
    <w:pPr>
      <w:pStyle w:val="30"/>
      <w:pBdr>
        <w:bottom w:val="none" w:color="auto" w:sz="0" w:space="0"/>
      </w:pBdr>
      <w:bidi w:val="0"/>
      <w:ind w:left="0" w:leftChars="0" w:firstLine="0" w:firstLineChars="0"/>
      <w:jc w:val="center"/>
      <w:rPr>
        <w:rFonts w:hint="eastAsia"/>
        <w:lang w:val="en-US"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A56CE">
    <w:pPr>
      <w:spacing w:line="14" w:lineRule="auto"/>
      <w:rPr>
        <w:rFonts w:ascii="Arial"/>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506F6">
    <w:pPr>
      <w:pStyle w:val="53"/>
      <w:jc w:val="both"/>
      <w:rPr>
        <w:rFonts w:hint="eastAsia" w:ascii="宋体"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ABB83">
    <w:pPr>
      <w:pStyle w:val="53"/>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B729C">
    <w:pPr>
      <w:pStyle w:val="53"/>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E05EB">
    <w:pPr>
      <w:pStyle w:val="53"/>
      <w:rPr>
        <w:rFonts w:hint="eastAsia"/>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7E6920"/>
    <w:multiLevelType w:val="singleLevel"/>
    <w:tmpl w:val="947E6920"/>
    <w:lvl w:ilvl="0" w:tentative="0">
      <w:start w:val="1"/>
      <w:numFmt w:val="chineseCounting"/>
      <w:suff w:val="nothing"/>
      <w:lvlText w:val="（%1）"/>
      <w:lvlJc w:val="left"/>
      <w:pPr>
        <w:ind w:left="0" w:firstLine="420"/>
      </w:pPr>
      <w:rPr>
        <w:rFonts w:hint="eastAsia"/>
      </w:rPr>
    </w:lvl>
  </w:abstractNum>
  <w:abstractNum w:abstractNumId="1">
    <w:nsid w:val="AE83B5D4"/>
    <w:multiLevelType w:val="singleLevel"/>
    <w:tmpl w:val="AE83B5D4"/>
    <w:lvl w:ilvl="0" w:tentative="0">
      <w:start w:val="1"/>
      <w:numFmt w:val="decimal"/>
      <w:suff w:val="nothing"/>
      <w:lvlText w:val="%1、"/>
      <w:lvlJc w:val="left"/>
    </w:lvl>
  </w:abstractNum>
  <w:abstractNum w:abstractNumId="2">
    <w:nsid w:val="FD756BF6"/>
    <w:multiLevelType w:val="singleLevel"/>
    <w:tmpl w:val="FD756BF6"/>
    <w:lvl w:ilvl="0" w:tentative="0">
      <w:start w:val="2"/>
      <w:numFmt w:val="chineseCounting"/>
      <w:suff w:val="nothing"/>
      <w:lvlText w:val="（%1）"/>
      <w:lvlJc w:val="left"/>
      <w:rPr>
        <w:rFonts w:hint="eastAsia"/>
      </w:rPr>
    </w:lvl>
  </w:abstractNum>
  <w:abstractNum w:abstractNumId="3">
    <w:nsid w:val="09FD638A"/>
    <w:multiLevelType w:val="multilevel"/>
    <w:tmpl w:val="09FD638A"/>
    <w:lvl w:ilvl="0" w:tentative="0">
      <w:start w:val="1"/>
      <w:numFmt w:val="japaneseCounting"/>
      <w:pStyle w:val="141"/>
      <w:lvlText w:val="%1、"/>
      <w:lvlJc w:val="left"/>
      <w:pPr>
        <w:tabs>
          <w:tab w:val="left" w:pos="420"/>
        </w:tabs>
        <w:ind w:left="420" w:hanging="420"/>
      </w:pPr>
      <w:rPr>
        <w:rFonts w:hint="default"/>
      </w:rPr>
    </w:lvl>
    <w:lvl w:ilvl="1" w:tentative="0">
      <w:start w:val="1"/>
      <w:numFmt w:val="decimal"/>
      <w:lvlText w:val="%2、"/>
      <w:lvlJc w:val="left"/>
      <w:pPr>
        <w:tabs>
          <w:tab w:val="left" w:pos="644"/>
        </w:tabs>
        <w:ind w:left="644" w:hanging="360"/>
      </w:pPr>
      <w:rPr>
        <w:rFonts w:ascii="宋体" w:hAnsi="宋体" w:eastAsia="宋体" w:cs="Times New Roman"/>
      </w:rPr>
    </w:lvl>
    <w:lvl w:ilvl="2" w:tentative="0">
      <w:start w:val="2"/>
      <w:numFmt w:val="decimal"/>
      <w:lvlText w:val="%3．"/>
      <w:lvlJc w:val="left"/>
      <w:pPr>
        <w:tabs>
          <w:tab w:val="left" w:pos="1200"/>
        </w:tabs>
        <w:ind w:left="1200" w:hanging="36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18925ABF"/>
    <w:multiLevelType w:val="multilevel"/>
    <w:tmpl w:val="18925ABF"/>
    <w:lvl w:ilvl="0" w:tentative="0">
      <w:start w:val="1"/>
      <w:numFmt w:val="chineseCountingThousand"/>
      <w:lvlText w:val="(%1)"/>
      <w:lvlJc w:val="left"/>
      <w:pPr>
        <w:tabs>
          <w:tab w:val="left" w:pos="420"/>
        </w:tabs>
        <w:ind w:left="420" w:hanging="420"/>
      </w:pPr>
      <w:rPr>
        <w:color w:val="auto"/>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250D2173"/>
    <w:multiLevelType w:val="multilevel"/>
    <w:tmpl w:val="250D217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250DCFCA"/>
    <w:multiLevelType w:val="multilevel"/>
    <w:tmpl w:val="250DCFCA"/>
    <w:lvl w:ilvl="0" w:tentative="0">
      <w:start w:val="1"/>
      <w:numFmt w:val="decimal"/>
      <w:lvlText w:val="%1"/>
      <w:lvlJc w:val="left"/>
      <w:pPr>
        <w:tabs>
          <w:tab w:val="left" w:pos="900"/>
        </w:tabs>
        <w:ind w:left="900" w:hanging="900"/>
      </w:pPr>
      <w:rPr>
        <w:rFonts w:hint="eastAsia"/>
      </w:rPr>
    </w:lvl>
    <w:lvl w:ilvl="1" w:tentative="0">
      <w:start w:val="1"/>
      <w:numFmt w:val="decimal"/>
      <w:suff w:val="nothing"/>
      <w:lvlText w:val="%1.%2"/>
      <w:lvlJc w:val="left"/>
      <w:pPr>
        <w:ind w:left="1468" w:hanging="900"/>
      </w:pPr>
      <w:rPr>
        <w:rFonts w:hint="default" w:ascii="Times New Roman" w:hAnsi="Times New Roman" w:cs="Times New Roman"/>
        <w:sz w:val="24"/>
        <w:szCs w:val="24"/>
      </w:rPr>
    </w:lvl>
    <w:lvl w:ilvl="2" w:tentative="0">
      <w:start w:val="1"/>
      <w:numFmt w:val="decimal"/>
      <w:suff w:val="nothing"/>
      <w:lvlText w:val="%1.%2.%3"/>
      <w:lvlJc w:val="left"/>
      <w:pPr>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7">
    <w:nsid w:val="25AC778E"/>
    <w:multiLevelType w:val="multilevel"/>
    <w:tmpl w:val="25AC778E"/>
    <w:lvl w:ilvl="0" w:tentative="0">
      <w:start w:val="1"/>
      <w:numFmt w:val="japaneseCounting"/>
      <w:lvlText w:val="%1、"/>
      <w:lvlJc w:val="left"/>
      <w:pPr>
        <w:tabs>
          <w:tab w:val="left" w:pos="420"/>
        </w:tabs>
        <w:ind w:left="420" w:hanging="420"/>
      </w:pPr>
      <w:rPr>
        <w:rFonts w:ascii="宋体" w:hAnsi="宋体" w:eastAsia="宋体" w:cs="Courier New"/>
        <w:color w:val="auto"/>
      </w:rPr>
    </w:lvl>
    <w:lvl w:ilvl="1" w:tentative="0">
      <w:start w:val="1"/>
      <w:numFmt w:val="decimal"/>
      <w:lvlText w:val="%2、"/>
      <w:lvlJc w:val="left"/>
      <w:pPr>
        <w:tabs>
          <w:tab w:val="left" w:pos="780"/>
        </w:tabs>
        <w:ind w:left="780" w:hanging="360"/>
      </w:pPr>
      <w:rPr>
        <w:rFonts w:hint="default"/>
        <w:b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36D4198A"/>
    <w:multiLevelType w:val="multilevel"/>
    <w:tmpl w:val="36D4198A"/>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none"/>
      <w:lvlRestart w:val="0"/>
      <w:pStyle w:val="5"/>
      <w:isLgl/>
      <w:lvlText w:val="4.1.1.1"/>
      <w:lvlJc w:val="left"/>
      <w:pPr>
        <w:tabs>
          <w:tab w:val="left" w:pos="1751"/>
        </w:tabs>
        <w:ind w:left="17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9">
    <w:nsid w:val="3C7D36E3"/>
    <w:multiLevelType w:val="multilevel"/>
    <w:tmpl w:val="3C7D36E3"/>
    <w:lvl w:ilvl="0" w:tentative="0">
      <w:start w:val="1"/>
      <w:numFmt w:val="japaneseCounting"/>
      <w:pStyle w:val="2"/>
      <w:lvlText w:val="%1．"/>
      <w:lvlJc w:val="left"/>
      <w:pPr>
        <w:tabs>
          <w:tab w:val="left" w:pos="3060"/>
        </w:tabs>
        <w:ind w:left="3060" w:hanging="720"/>
      </w:pPr>
      <w:rPr>
        <w:b/>
        <w:sz w:val="36"/>
        <w:szCs w:val="36"/>
      </w:rPr>
    </w:lvl>
    <w:lvl w:ilvl="1" w:tentative="0">
      <w:start w:val="6"/>
      <w:numFmt w:val="decimal"/>
      <w:lvlText w:val="%2、"/>
      <w:lvlJc w:val="left"/>
      <w:pPr>
        <w:tabs>
          <w:tab w:val="left" w:pos="3160"/>
        </w:tabs>
        <w:ind w:left="3160" w:hanging="825"/>
      </w:pPr>
    </w:lvl>
    <w:lvl w:ilvl="2" w:tentative="0">
      <w:start w:val="2"/>
      <w:numFmt w:val="japaneseCounting"/>
      <w:lvlText w:val="%3、"/>
      <w:lvlJc w:val="left"/>
      <w:pPr>
        <w:tabs>
          <w:tab w:val="left" w:pos="3475"/>
        </w:tabs>
        <w:ind w:left="3475" w:hanging="720"/>
      </w:pPr>
      <w:rPr>
        <w:b/>
      </w:r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3E487E37"/>
    <w:multiLevelType w:val="multilevel"/>
    <w:tmpl w:val="3E487E37"/>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1">
    <w:nsid w:val="4E666D7F"/>
    <w:multiLevelType w:val="singleLevel"/>
    <w:tmpl w:val="4E666D7F"/>
    <w:lvl w:ilvl="0" w:tentative="0">
      <w:start w:val="1"/>
      <w:numFmt w:val="chineseCounting"/>
      <w:suff w:val="nothing"/>
      <w:lvlText w:val="（%1）"/>
      <w:lvlJc w:val="left"/>
      <w:rPr>
        <w:rFonts w:hint="eastAsia"/>
      </w:rPr>
    </w:lvl>
  </w:abstractNum>
  <w:abstractNum w:abstractNumId="12">
    <w:nsid w:val="53DF6434"/>
    <w:multiLevelType w:val="multilevel"/>
    <w:tmpl w:val="53DF6434"/>
    <w:lvl w:ilvl="0" w:tentative="0">
      <w:start w:val="1"/>
      <w:numFmt w:val="decimal"/>
      <w:lvlText w:val="%1"/>
      <w:lvlJc w:val="center"/>
      <w:pPr>
        <w:tabs>
          <w:tab w:val="left" w:pos="142"/>
        </w:tabs>
        <w:ind w:left="142" w:firstLine="38"/>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9"/>
  </w:num>
  <w:num w:numId="2">
    <w:abstractNumId w:val="8"/>
  </w:num>
  <w:num w:numId="3">
    <w:abstractNumId w:val="3"/>
  </w:num>
  <w:num w:numId="4">
    <w:abstractNumId w:val="2"/>
  </w:num>
  <w:num w:numId="5">
    <w:abstractNumId w:val="10"/>
  </w:num>
  <w:num w:numId="6">
    <w:abstractNumId w:val="6"/>
  </w:num>
  <w:num w:numId="7">
    <w:abstractNumId w:val="7"/>
  </w:num>
  <w:num w:numId="8">
    <w:abstractNumId w:val="4"/>
  </w:num>
  <w:num w:numId="9">
    <w:abstractNumId w:val="11"/>
  </w:num>
  <w:num w:numId="10">
    <w:abstractNumId w:val="0"/>
  </w:num>
  <w:num w:numId="11">
    <w:abstractNumId w:val="1"/>
  </w:num>
  <w:num w:numId="12">
    <w:abstractNumId w:val="5"/>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420"/>
  <w:hyphenationZone w:val="360"/>
  <w:drawingGridHorizontalSpacing w:val="210"/>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ZhOWIyOWU3NTgwZjZlZDQ2YzNlZDNjNzZlZTNiOWEifQ=="/>
    <w:docVar w:name="KSO_WPS_MARK_KEY" w:val="1fbe5ccf-db38-4a25-aaa2-68737bb3dcd4"/>
  </w:docVars>
  <w:rsids>
    <w:rsidRoot w:val="00172A27"/>
    <w:rsid w:val="0000017A"/>
    <w:rsid w:val="00001114"/>
    <w:rsid w:val="000015C3"/>
    <w:rsid w:val="000022DA"/>
    <w:rsid w:val="00002548"/>
    <w:rsid w:val="00002650"/>
    <w:rsid w:val="00002EB5"/>
    <w:rsid w:val="000047A6"/>
    <w:rsid w:val="00005531"/>
    <w:rsid w:val="0000598D"/>
    <w:rsid w:val="0000642A"/>
    <w:rsid w:val="00010945"/>
    <w:rsid w:val="00010D6A"/>
    <w:rsid w:val="00010DE7"/>
    <w:rsid w:val="000114C6"/>
    <w:rsid w:val="0001150B"/>
    <w:rsid w:val="000119F6"/>
    <w:rsid w:val="00011ACB"/>
    <w:rsid w:val="0001305F"/>
    <w:rsid w:val="0001321B"/>
    <w:rsid w:val="00013CD2"/>
    <w:rsid w:val="00014A81"/>
    <w:rsid w:val="000153DC"/>
    <w:rsid w:val="00015A0D"/>
    <w:rsid w:val="00015EFC"/>
    <w:rsid w:val="00017574"/>
    <w:rsid w:val="00021ABA"/>
    <w:rsid w:val="00021B8D"/>
    <w:rsid w:val="00023BA4"/>
    <w:rsid w:val="00023E15"/>
    <w:rsid w:val="00023EAB"/>
    <w:rsid w:val="00024218"/>
    <w:rsid w:val="000249A0"/>
    <w:rsid w:val="000249C0"/>
    <w:rsid w:val="00024AFD"/>
    <w:rsid w:val="0002736B"/>
    <w:rsid w:val="00027C9F"/>
    <w:rsid w:val="00027D10"/>
    <w:rsid w:val="000304EB"/>
    <w:rsid w:val="00030E3D"/>
    <w:rsid w:val="000310D4"/>
    <w:rsid w:val="000313F5"/>
    <w:rsid w:val="00031D85"/>
    <w:rsid w:val="00032314"/>
    <w:rsid w:val="000331FC"/>
    <w:rsid w:val="00033F3F"/>
    <w:rsid w:val="00034325"/>
    <w:rsid w:val="00034591"/>
    <w:rsid w:val="00034620"/>
    <w:rsid w:val="00035933"/>
    <w:rsid w:val="000402B7"/>
    <w:rsid w:val="000419EE"/>
    <w:rsid w:val="00042652"/>
    <w:rsid w:val="00042AD1"/>
    <w:rsid w:val="00043140"/>
    <w:rsid w:val="00043B2F"/>
    <w:rsid w:val="00044301"/>
    <w:rsid w:val="00044550"/>
    <w:rsid w:val="00046295"/>
    <w:rsid w:val="000468CA"/>
    <w:rsid w:val="000503CE"/>
    <w:rsid w:val="00051B8A"/>
    <w:rsid w:val="000529BE"/>
    <w:rsid w:val="00052CBC"/>
    <w:rsid w:val="00052DB3"/>
    <w:rsid w:val="00052F6D"/>
    <w:rsid w:val="0005368B"/>
    <w:rsid w:val="00053C23"/>
    <w:rsid w:val="00053CFF"/>
    <w:rsid w:val="00053E1F"/>
    <w:rsid w:val="00053E58"/>
    <w:rsid w:val="00054F1F"/>
    <w:rsid w:val="00055868"/>
    <w:rsid w:val="00055CAE"/>
    <w:rsid w:val="00056A9F"/>
    <w:rsid w:val="00062622"/>
    <w:rsid w:val="000626D5"/>
    <w:rsid w:val="00062F9B"/>
    <w:rsid w:val="000638E6"/>
    <w:rsid w:val="00065C00"/>
    <w:rsid w:val="00065C0F"/>
    <w:rsid w:val="000669E3"/>
    <w:rsid w:val="0006748A"/>
    <w:rsid w:val="00067FC5"/>
    <w:rsid w:val="0007065D"/>
    <w:rsid w:val="00070921"/>
    <w:rsid w:val="0007118D"/>
    <w:rsid w:val="0007251F"/>
    <w:rsid w:val="00072667"/>
    <w:rsid w:val="00072A12"/>
    <w:rsid w:val="000740C5"/>
    <w:rsid w:val="000759C0"/>
    <w:rsid w:val="0007642E"/>
    <w:rsid w:val="00076B8F"/>
    <w:rsid w:val="000773C9"/>
    <w:rsid w:val="000807F9"/>
    <w:rsid w:val="000809ED"/>
    <w:rsid w:val="00080BDF"/>
    <w:rsid w:val="00080D57"/>
    <w:rsid w:val="00080EFF"/>
    <w:rsid w:val="00081459"/>
    <w:rsid w:val="000814B9"/>
    <w:rsid w:val="00081F12"/>
    <w:rsid w:val="000823DF"/>
    <w:rsid w:val="000827B7"/>
    <w:rsid w:val="0008305D"/>
    <w:rsid w:val="0008316E"/>
    <w:rsid w:val="0008364F"/>
    <w:rsid w:val="00084DF5"/>
    <w:rsid w:val="00084E6B"/>
    <w:rsid w:val="000853FA"/>
    <w:rsid w:val="0008688C"/>
    <w:rsid w:val="00087211"/>
    <w:rsid w:val="0009027E"/>
    <w:rsid w:val="000911EB"/>
    <w:rsid w:val="00091957"/>
    <w:rsid w:val="00094282"/>
    <w:rsid w:val="00095C12"/>
    <w:rsid w:val="00096651"/>
    <w:rsid w:val="00097124"/>
    <w:rsid w:val="000978D2"/>
    <w:rsid w:val="000A00AB"/>
    <w:rsid w:val="000A0A41"/>
    <w:rsid w:val="000A17B6"/>
    <w:rsid w:val="000A2663"/>
    <w:rsid w:val="000A28E5"/>
    <w:rsid w:val="000A3084"/>
    <w:rsid w:val="000A3430"/>
    <w:rsid w:val="000A3489"/>
    <w:rsid w:val="000A4486"/>
    <w:rsid w:val="000A54E2"/>
    <w:rsid w:val="000A5A93"/>
    <w:rsid w:val="000A637F"/>
    <w:rsid w:val="000A656C"/>
    <w:rsid w:val="000A6BCB"/>
    <w:rsid w:val="000A6DE4"/>
    <w:rsid w:val="000A7182"/>
    <w:rsid w:val="000A75D6"/>
    <w:rsid w:val="000A7DC8"/>
    <w:rsid w:val="000B09E9"/>
    <w:rsid w:val="000B13CF"/>
    <w:rsid w:val="000B215B"/>
    <w:rsid w:val="000B2B45"/>
    <w:rsid w:val="000B2F20"/>
    <w:rsid w:val="000B4C14"/>
    <w:rsid w:val="000B58F9"/>
    <w:rsid w:val="000B716F"/>
    <w:rsid w:val="000C0145"/>
    <w:rsid w:val="000C08E5"/>
    <w:rsid w:val="000C0BCC"/>
    <w:rsid w:val="000C0C52"/>
    <w:rsid w:val="000C151F"/>
    <w:rsid w:val="000C1B22"/>
    <w:rsid w:val="000C300F"/>
    <w:rsid w:val="000C3573"/>
    <w:rsid w:val="000C44B1"/>
    <w:rsid w:val="000C48E5"/>
    <w:rsid w:val="000C49E3"/>
    <w:rsid w:val="000C4EB1"/>
    <w:rsid w:val="000C503A"/>
    <w:rsid w:val="000C5544"/>
    <w:rsid w:val="000C589D"/>
    <w:rsid w:val="000C5B1C"/>
    <w:rsid w:val="000D0CFC"/>
    <w:rsid w:val="000D1AB0"/>
    <w:rsid w:val="000D1CDF"/>
    <w:rsid w:val="000D25FE"/>
    <w:rsid w:val="000D47D6"/>
    <w:rsid w:val="000D67EF"/>
    <w:rsid w:val="000D6CB9"/>
    <w:rsid w:val="000D6D98"/>
    <w:rsid w:val="000D74DC"/>
    <w:rsid w:val="000D7AAD"/>
    <w:rsid w:val="000D7ED7"/>
    <w:rsid w:val="000E0613"/>
    <w:rsid w:val="000E0653"/>
    <w:rsid w:val="000E1B78"/>
    <w:rsid w:val="000E2252"/>
    <w:rsid w:val="000E2C6C"/>
    <w:rsid w:val="000E3A28"/>
    <w:rsid w:val="000E4029"/>
    <w:rsid w:val="000E46AE"/>
    <w:rsid w:val="000E7122"/>
    <w:rsid w:val="000E73E6"/>
    <w:rsid w:val="000F0270"/>
    <w:rsid w:val="000F0EA1"/>
    <w:rsid w:val="000F2007"/>
    <w:rsid w:val="000F2BD0"/>
    <w:rsid w:val="000F2D7A"/>
    <w:rsid w:val="000F5A7D"/>
    <w:rsid w:val="000F5BB0"/>
    <w:rsid w:val="000F761E"/>
    <w:rsid w:val="00100687"/>
    <w:rsid w:val="001010CA"/>
    <w:rsid w:val="001019D2"/>
    <w:rsid w:val="0010264D"/>
    <w:rsid w:val="00103CA2"/>
    <w:rsid w:val="00104E91"/>
    <w:rsid w:val="0010533E"/>
    <w:rsid w:val="0010584C"/>
    <w:rsid w:val="00106A4E"/>
    <w:rsid w:val="001075E1"/>
    <w:rsid w:val="00112154"/>
    <w:rsid w:val="001125E0"/>
    <w:rsid w:val="00112EDF"/>
    <w:rsid w:val="001143F1"/>
    <w:rsid w:val="00116422"/>
    <w:rsid w:val="00117B8A"/>
    <w:rsid w:val="00120B86"/>
    <w:rsid w:val="00122A99"/>
    <w:rsid w:val="00122ED8"/>
    <w:rsid w:val="00124803"/>
    <w:rsid w:val="00126D9E"/>
    <w:rsid w:val="001272CC"/>
    <w:rsid w:val="00130228"/>
    <w:rsid w:val="0013032D"/>
    <w:rsid w:val="00130816"/>
    <w:rsid w:val="00130B51"/>
    <w:rsid w:val="001316AE"/>
    <w:rsid w:val="0013181B"/>
    <w:rsid w:val="00131BC1"/>
    <w:rsid w:val="001329D2"/>
    <w:rsid w:val="00133E1A"/>
    <w:rsid w:val="00134D40"/>
    <w:rsid w:val="00134ED4"/>
    <w:rsid w:val="00136EB6"/>
    <w:rsid w:val="00140763"/>
    <w:rsid w:val="00140EBD"/>
    <w:rsid w:val="00140FA9"/>
    <w:rsid w:val="001420B1"/>
    <w:rsid w:val="0014510E"/>
    <w:rsid w:val="00145DB0"/>
    <w:rsid w:val="00146C42"/>
    <w:rsid w:val="00147DFE"/>
    <w:rsid w:val="001503D3"/>
    <w:rsid w:val="0015071A"/>
    <w:rsid w:val="00150CC4"/>
    <w:rsid w:val="00151386"/>
    <w:rsid w:val="00152CDC"/>
    <w:rsid w:val="0015399B"/>
    <w:rsid w:val="00154A06"/>
    <w:rsid w:val="001554A8"/>
    <w:rsid w:val="001563BC"/>
    <w:rsid w:val="001574CB"/>
    <w:rsid w:val="00157F0D"/>
    <w:rsid w:val="00163FC6"/>
    <w:rsid w:val="00164ADD"/>
    <w:rsid w:val="00164FC3"/>
    <w:rsid w:val="00165654"/>
    <w:rsid w:val="00165E50"/>
    <w:rsid w:val="0016665E"/>
    <w:rsid w:val="0016685F"/>
    <w:rsid w:val="00166E54"/>
    <w:rsid w:val="001673D2"/>
    <w:rsid w:val="001673EE"/>
    <w:rsid w:val="00167E73"/>
    <w:rsid w:val="001703C1"/>
    <w:rsid w:val="00171B01"/>
    <w:rsid w:val="00171FF9"/>
    <w:rsid w:val="00172DBD"/>
    <w:rsid w:val="0017422B"/>
    <w:rsid w:val="001751A7"/>
    <w:rsid w:val="00175F29"/>
    <w:rsid w:val="00176A84"/>
    <w:rsid w:val="00176DF7"/>
    <w:rsid w:val="00177B4D"/>
    <w:rsid w:val="0018036A"/>
    <w:rsid w:val="00180AE6"/>
    <w:rsid w:val="00180B35"/>
    <w:rsid w:val="00181EED"/>
    <w:rsid w:val="00182063"/>
    <w:rsid w:val="001821B8"/>
    <w:rsid w:val="0018225C"/>
    <w:rsid w:val="00182674"/>
    <w:rsid w:val="00182D50"/>
    <w:rsid w:val="001843F4"/>
    <w:rsid w:val="00184498"/>
    <w:rsid w:val="00185EC2"/>
    <w:rsid w:val="00185F02"/>
    <w:rsid w:val="00186104"/>
    <w:rsid w:val="00186890"/>
    <w:rsid w:val="00186C70"/>
    <w:rsid w:val="00187210"/>
    <w:rsid w:val="001876C3"/>
    <w:rsid w:val="001907CD"/>
    <w:rsid w:val="00191F54"/>
    <w:rsid w:val="0019412C"/>
    <w:rsid w:val="001A0274"/>
    <w:rsid w:val="001A0317"/>
    <w:rsid w:val="001A1BE0"/>
    <w:rsid w:val="001A209D"/>
    <w:rsid w:val="001A2183"/>
    <w:rsid w:val="001A31A3"/>
    <w:rsid w:val="001A369C"/>
    <w:rsid w:val="001A445A"/>
    <w:rsid w:val="001A47C4"/>
    <w:rsid w:val="001A4D87"/>
    <w:rsid w:val="001A5E39"/>
    <w:rsid w:val="001A6370"/>
    <w:rsid w:val="001A682D"/>
    <w:rsid w:val="001A68E9"/>
    <w:rsid w:val="001B0C12"/>
    <w:rsid w:val="001B1015"/>
    <w:rsid w:val="001B19E3"/>
    <w:rsid w:val="001B2FCD"/>
    <w:rsid w:val="001B4E3B"/>
    <w:rsid w:val="001B51BA"/>
    <w:rsid w:val="001B5A58"/>
    <w:rsid w:val="001B6088"/>
    <w:rsid w:val="001B6DFC"/>
    <w:rsid w:val="001B77D6"/>
    <w:rsid w:val="001C277F"/>
    <w:rsid w:val="001C34EC"/>
    <w:rsid w:val="001C3636"/>
    <w:rsid w:val="001C4FEE"/>
    <w:rsid w:val="001C54D1"/>
    <w:rsid w:val="001C5A28"/>
    <w:rsid w:val="001C5B8B"/>
    <w:rsid w:val="001C5C24"/>
    <w:rsid w:val="001C78B4"/>
    <w:rsid w:val="001C7A72"/>
    <w:rsid w:val="001C7D0B"/>
    <w:rsid w:val="001D172A"/>
    <w:rsid w:val="001D1A84"/>
    <w:rsid w:val="001D2B44"/>
    <w:rsid w:val="001D307A"/>
    <w:rsid w:val="001D3CB3"/>
    <w:rsid w:val="001D50C9"/>
    <w:rsid w:val="001D648E"/>
    <w:rsid w:val="001D652E"/>
    <w:rsid w:val="001D76F5"/>
    <w:rsid w:val="001D7F5D"/>
    <w:rsid w:val="001E0B3C"/>
    <w:rsid w:val="001E1094"/>
    <w:rsid w:val="001E125F"/>
    <w:rsid w:val="001E1361"/>
    <w:rsid w:val="001E20D3"/>
    <w:rsid w:val="001E2E9F"/>
    <w:rsid w:val="001E34A1"/>
    <w:rsid w:val="001E35F7"/>
    <w:rsid w:val="001E4AC4"/>
    <w:rsid w:val="001F044D"/>
    <w:rsid w:val="001F0914"/>
    <w:rsid w:val="001F0B9A"/>
    <w:rsid w:val="001F1932"/>
    <w:rsid w:val="001F251A"/>
    <w:rsid w:val="001F2F02"/>
    <w:rsid w:val="001F3FE1"/>
    <w:rsid w:val="001F50AA"/>
    <w:rsid w:val="001F5C57"/>
    <w:rsid w:val="001F7016"/>
    <w:rsid w:val="00200EBC"/>
    <w:rsid w:val="00201899"/>
    <w:rsid w:val="002046CE"/>
    <w:rsid w:val="00205775"/>
    <w:rsid w:val="00205C63"/>
    <w:rsid w:val="00206399"/>
    <w:rsid w:val="00206466"/>
    <w:rsid w:val="00206B62"/>
    <w:rsid w:val="00210567"/>
    <w:rsid w:val="002106E5"/>
    <w:rsid w:val="00210735"/>
    <w:rsid w:val="00210779"/>
    <w:rsid w:val="00211D4E"/>
    <w:rsid w:val="00213F35"/>
    <w:rsid w:val="00214516"/>
    <w:rsid w:val="00214BDF"/>
    <w:rsid w:val="00215804"/>
    <w:rsid w:val="00215A2B"/>
    <w:rsid w:val="00215AE9"/>
    <w:rsid w:val="00216F0D"/>
    <w:rsid w:val="00217A2E"/>
    <w:rsid w:val="00217EC2"/>
    <w:rsid w:val="0022055F"/>
    <w:rsid w:val="00220D49"/>
    <w:rsid w:val="0022288C"/>
    <w:rsid w:val="0022312B"/>
    <w:rsid w:val="0022394B"/>
    <w:rsid w:val="00223AF4"/>
    <w:rsid w:val="0022587A"/>
    <w:rsid w:val="00225910"/>
    <w:rsid w:val="00225BED"/>
    <w:rsid w:val="0022731E"/>
    <w:rsid w:val="00227928"/>
    <w:rsid w:val="00227CFB"/>
    <w:rsid w:val="00230046"/>
    <w:rsid w:val="002305CA"/>
    <w:rsid w:val="00230C25"/>
    <w:rsid w:val="002328CF"/>
    <w:rsid w:val="00232932"/>
    <w:rsid w:val="00232FA4"/>
    <w:rsid w:val="00234BD6"/>
    <w:rsid w:val="00234C06"/>
    <w:rsid w:val="00234DD4"/>
    <w:rsid w:val="00234FB7"/>
    <w:rsid w:val="0023754C"/>
    <w:rsid w:val="002375E1"/>
    <w:rsid w:val="00237AB6"/>
    <w:rsid w:val="00237CCF"/>
    <w:rsid w:val="00237E62"/>
    <w:rsid w:val="002401A9"/>
    <w:rsid w:val="00240E9F"/>
    <w:rsid w:val="00241351"/>
    <w:rsid w:val="00242ECA"/>
    <w:rsid w:val="00243621"/>
    <w:rsid w:val="002438B3"/>
    <w:rsid w:val="002448E9"/>
    <w:rsid w:val="00244B0E"/>
    <w:rsid w:val="002458F6"/>
    <w:rsid w:val="002465C5"/>
    <w:rsid w:val="00247AD9"/>
    <w:rsid w:val="002508D9"/>
    <w:rsid w:val="00251C08"/>
    <w:rsid w:val="00252988"/>
    <w:rsid w:val="00252E05"/>
    <w:rsid w:val="0025456F"/>
    <w:rsid w:val="002577F4"/>
    <w:rsid w:val="0026026B"/>
    <w:rsid w:val="00260F9D"/>
    <w:rsid w:val="00261188"/>
    <w:rsid w:val="00261D5A"/>
    <w:rsid w:val="00262BB1"/>
    <w:rsid w:val="00262E8F"/>
    <w:rsid w:val="00264567"/>
    <w:rsid w:val="00265348"/>
    <w:rsid w:val="00265855"/>
    <w:rsid w:val="00265DED"/>
    <w:rsid w:val="0026623D"/>
    <w:rsid w:val="0026630F"/>
    <w:rsid w:val="0026671C"/>
    <w:rsid w:val="00267082"/>
    <w:rsid w:val="002677F0"/>
    <w:rsid w:val="002678AD"/>
    <w:rsid w:val="00267D5B"/>
    <w:rsid w:val="0027056C"/>
    <w:rsid w:val="002708B6"/>
    <w:rsid w:val="0027184E"/>
    <w:rsid w:val="0027516A"/>
    <w:rsid w:val="002755A1"/>
    <w:rsid w:val="00276715"/>
    <w:rsid w:val="00276C41"/>
    <w:rsid w:val="00277C87"/>
    <w:rsid w:val="002800E8"/>
    <w:rsid w:val="0028090B"/>
    <w:rsid w:val="0028183B"/>
    <w:rsid w:val="00281E6C"/>
    <w:rsid w:val="00281F2F"/>
    <w:rsid w:val="0028234E"/>
    <w:rsid w:val="00284FE8"/>
    <w:rsid w:val="0028549A"/>
    <w:rsid w:val="0028661F"/>
    <w:rsid w:val="002870C8"/>
    <w:rsid w:val="00287C0A"/>
    <w:rsid w:val="00287CA0"/>
    <w:rsid w:val="00287EAD"/>
    <w:rsid w:val="00290897"/>
    <w:rsid w:val="0029105E"/>
    <w:rsid w:val="002919A1"/>
    <w:rsid w:val="00294B33"/>
    <w:rsid w:val="0029648F"/>
    <w:rsid w:val="00297917"/>
    <w:rsid w:val="002A0A5F"/>
    <w:rsid w:val="002A0B27"/>
    <w:rsid w:val="002A0F40"/>
    <w:rsid w:val="002A26D8"/>
    <w:rsid w:val="002A2D80"/>
    <w:rsid w:val="002A2FAF"/>
    <w:rsid w:val="002A48FD"/>
    <w:rsid w:val="002A6220"/>
    <w:rsid w:val="002A669B"/>
    <w:rsid w:val="002A7712"/>
    <w:rsid w:val="002A7A8A"/>
    <w:rsid w:val="002A7A9F"/>
    <w:rsid w:val="002B143B"/>
    <w:rsid w:val="002B1871"/>
    <w:rsid w:val="002B2532"/>
    <w:rsid w:val="002B2E65"/>
    <w:rsid w:val="002B5BAB"/>
    <w:rsid w:val="002B6C2B"/>
    <w:rsid w:val="002B73DC"/>
    <w:rsid w:val="002C1816"/>
    <w:rsid w:val="002C275C"/>
    <w:rsid w:val="002C30CE"/>
    <w:rsid w:val="002C4052"/>
    <w:rsid w:val="002C4279"/>
    <w:rsid w:val="002D086B"/>
    <w:rsid w:val="002D1689"/>
    <w:rsid w:val="002D18BE"/>
    <w:rsid w:val="002D3361"/>
    <w:rsid w:val="002D384F"/>
    <w:rsid w:val="002D3D79"/>
    <w:rsid w:val="002D6C2A"/>
    <w:rsid w:val="002D737E"/>
    <w:rsid w:val="002E02EE"/>
    <w:rsid w:val="002E0371"/>
    <w:rsid w:val="002E0BB8"/>
    <w:rsid w:val="002E1A29"/>
    <w:rsid w:val="002E1ABA"/>
    <w:rsid w:val="002E203E"/>
    <w:rsid w:val="002E2D94"/>
    <w:rsid w:val="002E3DD4"/>
    <w:rsid w:val="002E47C4"/>
    <w:rsid w:val="002E4C49"/>
    <w:rsid w:val="002E4E8E"/>
    <w:rsid w:val="002E5294"/>
    <w:rsid w:val="002E6A78"/>
    <w:rsid w:val="002E7075"/>
    <w:rsid w:val="002E725F"/>
    <w:rsid w:val="002E7791"/>
    <w:rsid w:val="002F150F"/>
    <w:rsid w:val="002F1805"/>
    <w:rsid w:val="002F1995"/>
    <w:rsid w:val="002F26A1"/>
    <w:rsid w:val="002F2D76"/>
    <w:rsid w:val="002F3AB0"/>
    <w:rsid w:val="002F413D"/>
    <w:rsid w:val="002F428F"/>
    <w:rsid w:val="002F5045"/>
    <w:rsid w:val="002F51E7"/>
    <w:rsid w:val="002F59D8"/>
    <w:rsid w:val="002F76F0"/>
    <w:rsid w:val="00300E0F"/>
    <w:rsid w:val="00301EF9"/>
    <w:rsid w:val="00302080"/>
    <w:rsid w:val="003020B5"/>
    <w:rsid w:val="00302F74"/>
    <w:rsid w:val="00303055"/>
    <w:rsid w:val="003033A3"/>
    <w:rsid w:val="0030385D"/>
    <w:rsid w:val="00303C2D"/>
    <w:rsid w:val="00303F79"/>
    <w:rsid w:val="003048B3"/>
    <w:rsid w:val="00304A0C"/>
    <w:rsid w:val="0030501A"/>
    <w:rsid w:val="00305368"/>
    <w:rsid w:val="00306817"/>
    <w:rsid w:val="003076A5"/>
    <w:rsid w:val="003078CC"/>
    <w:rsid w:val="0031073E"/>
    <w:rsid w:val="00311745"/>
    <w:rsid w:val="00311FEF"/>
    <w:rsid w:val="00312880"/>
    <w:rsid w:val="00313787"/>
    <w:rsid w:val="00313F38"/>
    <w:rsid w:val="003157FB"/>
    <w:rsid w:val="003166D3"/>
    <w:rsid w:val="003168EE"/>
    <w:rsid w:val="0031702E"/>
    <w:rsid w:val="003179C7"/>
    <w:rsid w:val="00320629"/>
    <w:rsid w:val="0032092B"/>
    <w:rsid w:val="003224E4"/>
    <w:rsid w:val="00323827"/>
    <w:rsid w:val="00324CCA"/>
    <w:rsid w:val="003258EA"/>
    <w:rsid w:val="00325C18"/>
    <w:rsid w:val="0032775D"/>
    <w:rsid w:val="0033022F"/>
    <w:rsid w:val="00330DAC"/>
    <w:rsid w:val="003312E9"/>
    <w:rsid w:val="00333D70"/>
    <w:rsid w:val="00333F2B"/>
    <w:rsid w:val="003346C4"/>
    <w:rsid w:val="003349B6"/>
    <w:rsid w:val="00334DA5"/>
    <w:rsid w:val="00335545"/>
    <w:rsid w:val="00335CE0"/>
    <w:rsid w:val="003371BE"/>
    <w:rsid w:val="003373A0"/>
    <w:rsid w:val="003401CD"/>
    <w:rsid w:val="0034087F"/>
    <w:rsid w:val="00341D70"/>
    <w:rsid w:val="0034229B"/>
    <w:rsid w:val="003429D3"/>
    <w:rsid w:val="00342A81"/>
    <w:rsid w:val="00343A8A"/>
    <w:rsid w:val="00345AB4"/>
    <w:rsid w:val="00346C9C"/>
    <w:rsid w:val="00347A92"/>
    <w:rsid w:val="003507F5"/>
    <w:rsid w:val="00350C32"/>
    <w:rsid w:val="00351FE4"/>
    <w:rsid w:val="00352320"/>
    <w:rsid w:val="0035257D"/>
    <w:rsid w:val="00353954"/>
    <w:rsid w:val="00353C4D"/>
    <w:rsid w:val="003541AE"/>
    <w:rsid w:val="0035479E"/>
    <w:rsid w:val="003548F1"/>
    <w:rsid w:val="003562EB"/>
    <w:rsid w:val="00356E84"/>
    <w:rsid w:val="00357D62"/>
    <w:rsid w:val="0036063A"/>
    <w:rsid w:val="00360A3E"/>
    <w:rsid w:val="00360B9D"/>
    <w:rsid w:val="0036130F"/>
    <w:rsid w:val="0036167B"/>
    <w:rsid w:val="00361684"/>
    <w:rsid w:val="003645AF"/>
    <w:rsid w:val="00364B71"/>
    <w:rsid w:val="00365B7E"/>
    <w:rsid w:val="00365F2D"/>
    <w:rsid w:val="0036642F"/>
    <w:rsid w:val="00366761"/>
    <w:rsid w:val="003670FA"/>
    <w:rsid w:val="003679E4"/>
    <w:rsid w:val="00367A9B"/>
    <w:rsid w:val="00370524"/>
    <w:rsid w:val="00370C6A"/>
    <w:rsid w:val="00371C2E"/>
    <w:rsid w:val="00372B46"/>
    <w:rsid w:val="0037375D"/>
    <w:rsid w:val="00374FED"/>
    <w:rsid w:val="00375107"/>
    <w:rsid w:val="00375573"/>
    <w:rsid w:val="003759A0"/>
    <w:rsid w:val="00375B6D"/>
    <w:rsid w:val="00375C10"/>
    <w:rsid w:val="00376A15"/>
    <w:rsid w:val="003773EB"/>
    <w:rsid w:val="00380A14"/>
    <w:rsid w:val="00381665"/>
    <w:rsid w:val="003823BC"/>
    <w:rsid w:val="003832BE"/>
    <w:rsid w:val="0038369A"/>
    <w:rsid w:val="0038396D"/>
    <w:rsid w:val="00383EE5"/>
    <w:rsid w:val="003848E0"/>
    <w:rsid w:val="00384CBD"/>
    <w:rsid w:val="00384FC5"/>
    <w:rsid w:val="0038525B"/>
    <w:rsid w:val="0038632F"/>
    <w:rsid w:val="00386409"/>
    <w:rsid w:val="0038661C"/>
    <w:rsid w:val="00386ACF"/>
    <w:rsid w:val="003874F2"/>
    <w:rsid w:val="003879C0"/>
    <w:rsid w:val="00387AE0"/>
    <w:rsid w:val="00387DA8"/>
    <w:rsid w:val="00391B2F"/>
    <w:rsid w:val="0039274A"/>
    <w:rsid w:val="003933C9"/>
    <w:rsid w:val="00394ACA"/>
    <w:rsid w:val="0039530C"/>
    <w:rsid w:val="003953D8"/>
    <w:rsid w:val="00395D67"/>
    <w:rsid w:val="00396E06"/>
    <w:rsid w:val="00397958"/>
    <w:rsid w:val="00397F67"/>
    <w:rsid w:val="003A0949"/>
    <w:rsid w:val="003A0DFE"/>
    <w:rsid w:val="003A0F5F"/>
    <w:rsid w:val="003A28FF"/>
    <w:rsid w:val="003A2E0F"/>
    <w:rsid w:val="003A2F6A"/>
    <w:rsid w:val="003A3944"/>
    <w:rsid w:val="003A3ED4"/>
    <w:rsid w:val="003A45E3"/>
    <w:rsid w:val="003A4F1C"/>
    <w:rsid w:val="003A6AAD"/>
    <w:rsid w:val="003A6CD0"/>
    <w:rsid w:val="003A787B"/>
    <w:rsid w:val="003B0244"/>
    <w:rsid w:val="003B040E"/>
    <w:rsid w:val="003B0ED2"/>
    <w:rsid w:val="003B37FF"/>
    <w:rsid w:val="003B3FE2"/>
    <w:rsid w:val="003B47A6"/>
    <w:rsid w:val="003B4F6D"/>
    <w:rsid w:val="003B662F"/>
    <w:rsid w:val="003B6FBA"/>
    <w:rsid w:val="003C2486"/>
    <w:rsid w:val="003C2E48"/>
    <w:rsid w:val="003C344D"/>
    <w:rsid w:val="003C5D48"/>
    <w:rsid w:val="003C6884"/>
    <w:rsid w:val="003C7929"/>
    <w:rsid w:val="003D136A"/>
    <w:rsid w:val="003D34A6"/>
    <w:rsid w:val="003D3E14"/>
    <w:rsid w:val="003D5963"/>
    <w:rsid w:val="003D5D39"/>
    <w:rsid w:val="003D6E2F"/>
    <w:rsid w:val="003D6F18"/>
    <w:rsid w:val="003D7DD3"/>
    <w:rsid w:val="003E0576"/>
    <w:rsid w:val="003E0931"/>
    <w:rsid w:val="003E0BA4"/>
    <w:rsid w:val="003E116A"/>
    <w:rsid w:val="003E1353"/>
    <w:rsid w:val="003E36D7"/>
    <w:rsid w:val="003E3C0B"/>
    <w:rsid w:val="003E4252"/>
    <w:rsid w:val="003E43FB"/>
    <w:rsid w:val="003E497E"/>
    <w:rsid w:val="003E4BEB"/>
    <w:rsid w:val="003E5D43"/>
    <w:rsid w:val="003E6DEC"/>
    <w:rsid w:val="003E704E"/>
    <w:rsid w:val="003F04A8"/>
    <w:rsid w:val="003F04BF"/>
    <w:rsid w:val="003F1067"/>
    <w:rsid w:val="003F1D27"/>
    <w:rsid w:val="003F4481"/>
    <w:rsid w:val="003F5972"/>
    <w:rsid w:val="003F6407"/>
    <w:rsid w:val="003F64F4"/>
    <w:rsid w:val="003F6A6C"/>
    <w:rsid w:val="003F7AB8"/>
    <w:rsid w:val="00400114"/>
    <w:rsid w:val="00400273"/>
    <w:rsid w:val="0040042C"/>
    <w:rsid w:val="00400E85"/>
    <w:rsid w:val="004016B5"/>
    <w:rsid w:val="004025CE"/>
    <w:rsid w:val="00402A63"/>
    <w:rsid w:val="00402AEF"/>
    <w:rsid w:val="004030FD"/>
    <w:rsid w:val="00403E05"/>
    <w:rsid w:val="00404A3F"/>
    <w:rsid w:val="00404B74"/>
    <w:rsid w:val="00404C80"/>
    <w:rsid w:val="00404FCE"/>
    <w:rsid w:val="00405804"/>
    <w:rsid w:val="004067EE"/>
    <w:rsid w:val="00410DA0"/>
    <w:rsid w:val="00411DA4"/>
    <w:rsid w:val="00411DEA"/>
    <w:rsid w:val="004121F7"/>
    <w:rsid w:val="00412589"/>
    <w:rsid w:val="004128D6"/>
    <w:rsid w:val="00413960"/>
    <w:rsid w:val="004139A1"/>
    <w:rsid w:val="00413BA4"/>
    <w:rsid w:val="00413F15"/>
    <w:rsid w:val="004145D5"/>
    <w:rsid w:val="00414BCD"/>
    <w:rsid w:val="00415370"/>
    <w:rsid w:val="00416C8F"/>
    <w:rsid w:val="00416FF4"/>
    <w:rsid w:val="004171BA"/>
    <w:rsid w:val="004176EB"/>
    <w:rsid w:val="00417C7D"/>
    <w:rsid w:val="00420979"/>
    <w:rsid w:val="00420A77"/>
    <w:rsid w:val="00420EA3"/>
    <w:rsid w:val="00420FD7"/>
    <w:rsid w:val="004228E5"/>
    <w:rsid w:val="00422A51"/>
    <w:rsid w:val="00423BEF"/>
    <w:rsid w:val="00423E1B"/>
    <w:rsid w:val="0042407C"/>
    <w:rsid w:val="004243B9"/>
    <w:rsid w:val="004244A2"/>
    <w:rsid w:val="00425033"/>
    <w:rsid w:val="004253E4"/>
    <w:rsid w:val="0042573D"/>
    <w:rsid w:val="00427118"/>
    <w:rsid w:val="0043013B"/>
    <w:rsid w:val="004322F9"/>
    <w:rsid w:val="00432337"/>
    <w:rsid w:val="004327EA"/>
    <w:rsid w:val="00433101"/>
    <w:rsid w:val="00433B0F"/>
    <w:rsid w:val="004344EA"/>
    <w:rsid w:val="00434508"/>
    <w:rsid w:val="0043549A"/>
    <w:rsid w:val="004355D3"/>
    <w:rsid w:val="004356E3"/>
    <w:rsid w:val="0043639E"/>
    <w:rsid w:val="004371E1"/>
    <w:rsid w:val="004375D4"/>
    <w:rsid w:val="004400AB"/>
    <w:rsid w:val="0044017F"/>
    <w:rsid w:val="00440205"/>
    <w:rsid w:val="0044098C"/>
    <w:rsid w:val="004411D9"/>
    <w:rsid w:val="00441C9D"/>
    <w:rsid w:val="004432BF"/>
    <w:rsid w:val="004437A5"/>
    <w:rsid w:val="00443B69"/>
    <w:rsid w:val="00444E18"/>
    <w:rsid w:val="0044548B"/>
    <w:rsid w:val="00445DAF"/>
    <w:rsid w:val="00445E13"/>
    <w:rsid w:val="004475C4"/>
    <w:rsid w:val="004479E4"/>
    <w:rsid w:val="00447E03"/>
    <w:rsid w:val="00451772"/>
    <w:rsid w:val="004521D1"/>
    <w:rsid w:val="0045409D"/>
    <w:rsid w:val="0045570B"/>
    <w:rsid w:val="00456A9C"/>
    <w:rsid w:val="004571D7"/>
    <w:rsid w:val="004573B2"/>
    <w:rsid w:val="004574F3"/>
    <w:rsid w:val="00460639"/>
    <w:rsid w:val="00460D19"/>
    <w:rsid w:val="00461161"/>
    <w:rsid w:val="004618FA"/>
    <w:rsid w:val="00465079"/>
    <w:rsid w:val="0046514C"/>
    <w:rsid w:val="00465592"/>
    <w:rsid w:val="004675DF"/>
    <w:rsid w:val="0047018C"/>
    <w:rsid w:val="00470A8C"/>
    <w:rsid w:val="0047227B"/>
    <w:rsid w:val="00473739"/>
    <w:rsid w:val="00473B38"/>
    <w:rsid w:val="004753D6"/>
    <w:rsid w:val="00475AA4"/>
    <w:rsid w:val="00476E90"/>
    <w:rsid w:val="00477416"/>
    <w:rsid w:val="004778F2"/>
    <w:rsid w:val="00477C69"/>
    <w:rsid w:val="00477E36"/>
    <w:rsid w:val="00477FE3"/>
    <w:rsid w:val="004801E6"/>
    <w:rsid w:val="00481E30"/>
    <w:rsid w:val="00482554"/>
    <w:rsid w:val="004835A0"/>
    <w:rsid w:val="00483635"/>
    <w:rsid w:val="004845D8"/>
    <w:rsid w:val="00484C3A"/>
    <w:rsid w:val="00485679"/>
    <w:rsid w:val="004862E1"/>
    <w:rsid w:val="00486390"/>
    <w:rsid w:val="00487D25"/>
    <w:rsid w:val="00490B1E"/>
    <w:rsid w:val="00490DE6"/>
    <w:rsid w:val="004920AC"/>
    <w:rsid w:val="0049296C"/>
    <w:rsid w:val="00492B8C"/>
    <w:rsid w:val="00493748"/>
    <w:rsid w:val="00493EE0"/>
    <w:rsid w:val="00493F16"/>
    <w:rsid w:val="00494684"/>
    <w:rsid w:val="00494B2F"/>
    <w:rsid w:val="00495542"/>
    <w:rsid w:val="00495B0E"/>
    <w:rsid w:val="004A1116"/>
    <w:rsid w:val="004A1B71"/>
    <w:rsid w:val="004A1BE7"/>
    <w:rsid w:val="004A364A"/>
    <w:rsid w:val="004A3D6D"/>
    <w:rsid w:val="004A4A28"/>
    <w:rsid w:val="004A4AC3"/>
    <w:rsid w:val="004A53EA"/>
    <w:rsid w:val="004A5A08"/>
    <w:rsid w:val="004A5FED"/>
    <w:rsid w:val="004A6A23"/>
    <w:rsid w:val="004A6B35"/>
    <w:rsid w:val="004A6FF5"/>
    <w:rsid w:val="004A7C65"/>
    <w:rsid w:val="004B001F"/>
    <w:rsid w:val="004B02D1"/>
    <w:rsid w:val="004B0456"/>
    <w:rsid w:val="004B04E1"/>
    <w:rsid w:val="004B0DE6"/>
    <w:rsid w:val="004B23C0"/>
    <w:rsid w:val="004B2B38"/>
    <w:rsid w:val="004B32A3"/>
    <w:rsid w:val="004B38BE"/>
    <w:rsid w:val="004B3D19"/>
    <w:rsid w:val="004B41C2"/>
    <w:rsid w:val="004B56BD"/>
    <w:rsid w:val="004B6247"/>
    <w:rsid w:val="004B6633"/>
    <w:rsid w:val="004C053C"/>
    <w:rsid w:val="004C095A"/>
    <w:rsid w:val="004C0E71"/>
    <w:rsid w:val="004C25F4"/>
    <w:rsid w:val="004C3B9F"/>
    <w:rsid w:val="004C3E22"/>
    <w:rsid w:val="004C47ED"/>
    <w:rsid w:val="004C4E48"/>
    <w:rsid w:val="004C4E4C"/>
    <w:rsid w:val="004C608A"/>
    <w:rsid w:val="004C6692"/>
    <w:rsid w:val="004C69DC"/>
    <w:rsid w:val="004C6F25"/>
    <w:rsid w:val="004C7576"/>
    <w:rsid w:val="004D020C"/>
    <w:rsid w:val="004D03AD"/>
    <w:rsid w:val="004D0DAF"/>
    <w:rsid w:val="004D0ED6"/>
    <w:rsid w:val="004D1A60"/>
    <w:rsid w:val="004D1C4C"/>
    <w:rsid w:val="004D1C97"/>
    <w:rsid w:val="004D2FBF"/>
    <w:rsid w:val="004D3E95"/>
    <w:rsid w:val="004D4580"/>
    <w:rsid w:val="004D4988"/>
    <w:rsid w:val="004D5FB2"/>
    <w:rsid w:val="004D6490"/>
    <w:rsid w:val="004D688D"/>
    <w:rsid w:val="004D6BBE"/>
    <w:rsid w:val="004E246A"/>
    <w:rsid w:val="004E391C"/>
    <w:rsid w:val="004E415F"/>
    <w:rsid w:val="004E4EF5"/>
    <w:rsid w:val="004E54E3"/>
    <w:rsid w:val="004E6716"/>
    <w:rsid w:val="004E7063"/>
    <w:rsid w:val="004F01F1"/>
    <w:rsid w:val="004F027F"/>
    <w:rsid w:val="004F0F91"/>
    <w:rsid w:val="004F20B1"/>
    <w:rsid w:val="004F4FB2"/>
    <w:rsid w:val="004F6968"/>
    <w:rsid w:val="004F6AFF"/>
    <w:rsid w:val="004F70CB"/>
    <w:rsid w:val="004F7E87"/>
    <w:rsid w:val="005000C4"/>
    <w:rsid w:val="00500A48"/>
    <w:rsid w:val="00500C86"/>
    <w:rsid w:val="00500E17"/>
    <w:rsid w:val="00502D86"/>
    <w:rsid w:val="005031A1"/>
    <w:rsid w:val="00503ACC"/>
    <w:rsid w:val="00506C52"/>
    <w:rsid w:val="005075DE"/>
    <w:rsid w:val="00507C66"/>
    <w:rsid w:val="0051014F"/>
    <w:rsid w:val="0051020D"/>
    <w:rsid w:val="00510C56"/>
    <w:rsid w:val="00511160"/>
    <w:rsid w:val="00511607"/>
    <w:rsid w:val="0051179F"/>
    <w:rsid w:val="00511890"/>
    <w:rsid w:val="00512927"/>
    <w:rsid w:val="0051351F"/>
    <w:rsid w:val="00513730"/>
    <w:rsid w:val="00513CBB"/>
    <w:rsid w:val="005142E4"/>
    <w:rsid w:val="00514C05"/>
    <w:rsid w:val="00515082"/>
    <w:rsid w:val="00515272"/>
    <w:rsid w:val="005158A4"/>
    <w:rsid w:val="005165A1"/>
    <w:rsid w:val="005166D7"/>
    <w:rsid w:val="00516CCD"/>
    <w:rsid w:val="00517518"/>
    <w:rsid w:val="00517FC3"/>
    <w:rsid w:val="00520B7B"/>
    <w:rsid w:val="00520F97"/>
    <w:rsid w:val="0052167B"/>
    <w:rsid w:val="005224ED"/>
    <w:rsid w:val="005228B2"/>
    <w:rsid w:val="005231D7"/>
    <w:rsid w:val="005232E5"/>
    <w:rsid w:val="005235B3"/>
    <w:rsid w:val="005247E4"/>
    <w:rsid w:val="0052524E"/>
    <w:rsid w:val="005255CF"/>
    <w:rsid w:val="00525986"/>
    <w:rsid w:val="00525A69"/>
    <w:rsid w:val="00526B54"/>
    <w:rsid w:val="00526DA7"/>
    <w:rsid w:val="00526DB1"/>
    <w:rsid w:val="00526F0E"/>
    <w:rsid w:val="00527157"/>
    <w:rsid w:val="005279F2"/>
    <w:rsid w:val="00530301"/>
    <w:rsid w:val="00531B74"/>
    <w:rsid w:val="00533EFF"/>
    <w:rsid w:val="0053454E"/>
    <w:rsid w:val="00534A81"/>
    <w:rsid w:val="00534C2D"/>
    <w:rsid w:val="005372D7"/>
    <w:rsid w:val="005373F4"/>
    <w:rsid w:val="00537FCD"/>
    <w:rsid w:val="005401BA"/>
    <w:rsid w:val="00541035"/>
    <w:rsid w:val="00541538"/>
    <w:rsid w:val="005425FD"/>
    <w:rsid w:val="005431E5"/>
    <w:rsid w:val="0054362C"/>
    <w:rsid w:val="00544F4F"/>
    <w:rsid w:val="0054502D"/>
    <w:rsid w:val="005455C0"/>
    <w:rsid w:val="005457D9"/>
    <w:rsid w:val="00546D13"/>
    <w:rsid w:val="00547406"/>
    <w:rsid w:val="0055120F"/>
    <w:rsid w:val="00552CD4"/>
    <w:rsid w:val="00552E4F"/>
    <w:rsid w:val="00553E28"/>
    <w:rsid w:val="0055411A"/>
    <w:rsid w:val="005552F0"/>
    <w:rsid w:val="00555969"/>
    <w:rsid w:val="00557332"/>
    <w:rsid w:val="00557339"/>
    <w:rsid w:val="005573BF"/>
    <w:rsid w:val="0056029A"/>
    <w:rsid w:val="0056061C"/>
    <w:rsid w:val="005615FC"/>
    <w:rsid w:val="00564456"/>
    <w:rsid w:val="00564CC8"/>
    <w:rsid w:val="00565ABC"/>
    <w:rsid w:val="00566638"/>
    <w:rsid w:val="005670E7"/>
    <w:rsid w:val="005678A8"/>
    <w:rsid w:val="0057033F"/>
    <w:rsid w:val="00570527"/>
    <w:rsid w:val="00571098"/>
    <w:rsid w:val="00571981"/>
    <w:rsid w:val="00571C8A"/>
    <w:rsid w:val="00572349"/>
    <w:rsid w:val="00572654"/>
    <w:rsid w:val="00573BD1"/>
    <w:rsid w:val="0057493D"/>
    <w:rsid w:val="00574DA8"/>
    <w:rsid w:val="005756FC"/>
    <w:rsid w:val="0057599D"/>
    <w:rsid w:val="00576ECD"/>
    <w:rsid w:val="00577037"/>
    <w:rsid w:val="00577216"/>
    <w:rsid w:val="00577284"/>
    <w:rsid w:val="00577D7E"/>
    <w:rsid w:val="00577ECF"/>
    <w:rsid w:val="00580079"/>
    <w:rsid w:val="00580FB6"/>
    <w:rsid w:val="00581013"/>
    <w:rsid w:val="00582724"/>
    <w:rsid w:val="00583726"/>
    <w:rsid w:val="00583FF9"/>
    <w:rsid w:val="0058419C"/>
    <w:rsid w:val="005843E0"/>
    <w:rsid w:val="005855ED"/>
    <w:rsid w:val="00585FD6"/>
    <w:rsid w:val="005864E5"/>
    <w:rsid w:val="005866E4"/>
    <w:rsid w:val="00587C09"/>
    <w:rsid w:val="00587CBD"/>
    <w:rsid w:val="00591A31"/>
    <w:rsid w:val="00591E8A"/>
    <w:rsid w:val="0059203E"/>
    <w:rsid w:val="00592128"/>
    <w:rsid w:val="005943FF"/>
    <w:rsid w:val="005945DD"/>
    <w:rsid w:val="00595240"/>
    <w:rsid w:val="00596AC3"/>
    <w:rsid w:val="005A01F3"/>
    <w:rsid w:val="005A0D66"/>
    <w:rsid w:val="005A112D"/>
    <w:rsid w:val="005A30EB"/>
    <w:rsid w:val="005A35FF"/>
    <w:rsid w:val="005A4F5F"/>
    <w:rsid w:val="005A5598"/>
    <w:rsid w:val="005A7016"/>
    <w:rsid w:val="005A7391"/>
    <w:rsid w:val="005A7EE1"/>
    <w:rsid w:val="005B0DC6"/>
    <w:rsid w:val="005B213C"/>
    <w:rsid w:val="005B2338"/>
    <w:rsid w:val="005B245E"/>
    <w:rsid w:val="005B30C6"/>
    <w:rsid w:val="005B313B"/>
    <w:rsid w:val="005B367A"/>
    <w:rsid w:val="005B5444"/>
    <w:rsid w:val="005B5466"/>
    <w:rsid w:val="005B609F"/>
    <w:rsid w:val="005B6C6C"/>
    <w:rsid w:val="005C3F9F"/>
    <w:rsid w:val="005C4AB5"/>
    <w:rsid w:val="005C5E14"/>
    <w:rsid w:val="005C6324"/>
    <w:rsid w:val="005C6E31"/>
    <w:rsid w:val="005C6F20"/>
    <w:rsid w:val="005C77A0"/>
    <w:rsid w:val="005D0216"/>
    <w:rsid w:val="005D0824"/>
    <w:rsid w:val="005D0BA8"/>
    <w:rsid w:val="005D0C64"/>
    <w:rsid w:val="005D0CC5"/>
    <w:rsid w:val="005D1D96"/>
    <w:rsid w:val="005D21FD"/>
    <w:rsid w:val="005D3154"/>
    <w:rsid w:val="005D31B1"/>
    <w:rsid w:val="005D4613"/>
    <w:rsid w:val="005D508F"/>
    <w:rsid w:val="005D640F"/>
    <w:rsid w:val="005D7C7F"/>
    <w:rsid w:val="005E2A24"/>
    <w:rsid w:val="005E2AE0"/>
    <w:rsid w:val="005E2C54"/>
    <w:rsid w:val="005E3411"/>
    <w:rsid w:val="005E40CD"/>
    <w:rsid w:val="005E42D7"/>
    <w:rsid w:val="005E4739"/>
    <w:rsid w:val="005E4894"/>
    <w:rsid w:val="005E4935"/>
    <w:rsid w:val="005E4E05"/>
    <w:rsid w:val="005E534A"/>
    <w:rsid w:val="005E6691"/>
    <w:rsid w:val="005E77F3"/>
    <w:rsid w:val="005F009C"/>
    <w:rsid w:val="005F11C7"/>
    <w:rsid w:val="005F141C"/>
    <w:rsid w:val="005F5129"/>
    <w:rsid w:val="005F6D46"/>
    <w:rsid w:val="005F7765"/>
    <w:rsid w:val="005F7C1B"/>
    <w:rsid w:val="00600009"/>
    <w:rsid w:val="006000F1"/>
    <w:rsid w:val="00600152"/>
    <w:rsid w:val="00600E60"/>
    <w:rsid w:val="00602B34"/>
    <w:rsid w:val="006031D1"/>
    <w:rsid w:val="00603474"/>
    <w:rsid w:val="0060372F"/>
    <w:rsid w:val="00603A41"/>
    <w:rsid w:val="00606D36"/>
    <w:rsid w:val="006106DB"/>
    <w:rsid w:val="006114D4"/>
    <w:rsid w:val="00612CF5"/>
    <w:rsid w:val="006132A5"/>
    <w:rsid w:val="00613DB3"/>
    <w:rsid w:val="006147EC"/>
    <w:rsid w:val="00616C4B"/>
    <w:rsid w:val="006177B2"/>
    <w:rsid w:val="00620298"/>
    <w:rsid w:val="00621610"/>
    <w:rsid w:val="00621D61"/>
    <w:rsid w:val="00622400"/>
    <w:rsid w:val="00622833"/>
    <w:rsid w:val="006228B3"/>
    <w:rsid w:val="00622B26"/>
    <w:rsid w:val="006232C3"/>
    <w:rsid w:val="006236D0"/>
    <w:rsid w:val="006247FE"/>
    <w:rsid w:val="00626B93"/>
    <w:rsid w:val="006271FB"/>
    <w:rsid w:val="006310DC"/>
    <w:rsid w:val="0063116E"/>
    <w:rsid w:val="00631855"/>
    <w:rsid w:val="00632E37"/>
    <w:rsid w:val="006333C5"/>
    <w:rsid w:val="0063362B"/>
    <w:rsid w:val="006345FF"/>
    <w:rsid w:val="00634D96"/>
    <w:rsid w:val="00634E4D"/>
    <w:rsid w:val="0063510B"/>
    <w:rsid w:val="00635693"/>
    <w:rsid w:val="00635958"/>
    <w:rsid w:val="006379E2"/>
    <w:rsid w:val="00637C91"/>
    <w:rsid w:val="0064059E"/>
    <w:rsid w:val="0064150F"/>
    <w:rsid w:val="006433C0"/>
    <w:rsid w:val="00643796"/>
    <w:rsid w:val="00643878"/>
    <w:rsid w:val="00643D69"/>
    <w:rsid w:val="00644AA8"/>
    <w:rsid w:val="00645CC4"/>
    <w:rsid w:val="006463DC"/>
    <w:rsid w:val="006477C9"/>
    <w:rsid w:val="00647C15"/>
    <w:rsid w:val="00650317"/>
    <w:rsid w:val="00650D61"/>
    <w:rsid w:val="006540A7"/>
    <w:rsid w:val="0065446F"/>
    <w:rsid w:val="006555F7"/>
    <w:rsid w:val="00655F0D"/>
    <w:rsid w:val="00656C0A"/>
    <w:rsid w:val="006572F6"/>
    <w:rsid w:val="006573DD"/>
    <w:rsid w:val="006608E8"/>
    <w:rsid w:val="0066176E"/>
    <w:rsid w:val="00661949"/>
    <w:rsid w:val="006619E2"/>
    <w:rsid w:val="0066267A"/>
    <w:rsid w:val="00663063"/>
    <w:rsid w:val="0066413E"/>
    <w:rsid w:val="0066424D"/>
    <w:rsid w:val="00664554"/>
    <w:rsid w:val="006653A6"/>
    <w:rsid w:val="00665689"/>
    <w:rsid w:val="00665C08"/>
    <w:rsid w:val="0066732D"/>
    <w:rsid w:val="00667505"/>
    <w:rsid w:val="0067002E"/>
    <w:rsid w:val="006701A0"/>
    <w:rsid w:val="00670A6A"/>
    <w:rsid w:val="00670D19"/>
    <w:rsid w:val="0067112A"/>
    <w:rsid w:val="0067139A"/>
    <w:rsid w:val="00671724"/>
    <w:rsid w:val="0067183F"/>
    <w:rsid w:val="0067216E"/>
    <w:rsid w:val="0067280F"/>
    <w:rsid w:val="00673B69"/>
    <w:rsid w:val="00680085"/>
    <w:rsid w:val="00680206"/>
    <w:rsid w:val="00680DB9"/>
    <w:rsid w:val="00682499"/>
    <w:rsid w:val="00683653"/>
    <w:rsid w:val="00683B18"/>
    <w:rsid w:val="0068490B"/>
    <w:rsid w:val="00684A47"/>
    <w:rsid w:val="00684ED1"/>
    <w:rsid w:val="0068590E"/>
    <w:rsid w:val="00686758"/>
    <w:rsid w:val="00687052"/>
    <w:rsid w:val="006906F8"/>
    <w:rsid w:val="00691370"/>
    <w:rsid w:val="00691B37"/>
    <w:rsid w:val="00691D74"/>
    <w:rsid w:val="00691FB0"/>
    <w:rsid w:val="006928D3"/>
    <w:rsid w:val="006930AB"/>
    <w:rsid w:val="00694BE7"/>
    <w:rsid w:val="0069601C"/>
    <w:rsid w:val="0069607E"/>
    <w:rsid w:val="00696843"/>
    <w:rsid w:val="006A03C8"/>
    <w:rsid w:val="006A08AD"/>
    <w:rsid w:val="006A0A80"/>
    <w:rsid w:val="006A1149"/>
    <w:rsid w:val="006A1F2A"/>
    <w:rsid w:val="006A23FD"/>
    <w:rsid w:val="006A34E7"/>
    <w:rsid w:val="006A4989"/>
    <w:rsid w:val="006A4D14"/>
    <w:rsid w:val="006A6BAF"/>
    <w:rsid w:val="006A77AD"/>
    <w:rsid w:val="006B0020"/>
    <w:rsid w:val="006B020D"/>
    <w:rsid w:val="006B0617"/>
    <w:rsid w:val="006B096D"/>
    <w:rsid w:val="006B0C48"/>
    <w:rsid w:val="006B1438"/>
    <w:rsid w:val="006B1E56"/>
    <w:rsid w:val="006B241F"/>
    <w:rsid w:val="006B275D"/>
    <w:rsid w:val="006B2F48"/>
    <w:rsid w:val="006B3395"/>
    <w:rsid w:val="006B35FD"/>
    <w:rsid w:val="006B4668"/>
    <w:rsid w:val="006B4E6B"/>
    <w:rsid w:val="006B4FFA"/>
    <w:rsid w:val="006B5B6F"/>
    <w:rsid w:val="006B5D50"/>
    <w:rsid w:val="006B7006"/>
    <w:rsid w:val="006B7738"/>
    <w:rsid w:val="006C08CA"/>
    <w:rsid w:val="006C225B"/>
    <w:rsid w:val="006C232A"/>
    <w:rsid w:val="006C26DE"/>
    <w:rsid w:val="006C2A96"/>
    <w:rsid w:val="006C4277"/>
    <w:rsid w:val="006C4DDE"/>
    <w:rsid w:val="006C52A8"/>
    <w:rsid w:val="006C5EAC"/>
    <w:rsid w:val="006C624E"/>
    <w:rsid w:val="006C7CD6"/>
    <w:rsid w:val="006D00C0"/>
    <w:rsid w:val="006D02BD"/>
    <w:rsid w:val="006D02E5"/>
    <w:rsid w:val="006D0926"/>
    <w:rsid w:val="006D0C63"/>
    <w:rsid w:val="006D10FE"/>
    <w:rsid w:val="006D16BA"/>
    <w:rsid w:val="006D233C"/>
    <w:rsid w:val="006D2343"/>
    <w:rsid w:val="006D4008"/>
    <w:rsid w:val="006D5B78"/>
    <w:rsid w:val="006D5F5E"/>
    <w:rsid w:val="006D6596"/>
    <w:rsid w:val="006D6A71"/>
    <w:rsid w:val="006D74CE"/>
    <w:rsid w:val="006E012C"/>
    <w:rsid w:val="006E0627"/>
    <w:rsid w:val="006E1EEA"/>
    <w:rsid w:val="006E20B0"/>
    <w:rsid w:val="006E3874"/>
    <w:rsid w:val="006E39F3"/>
    <w:rsid w:val="006E3FFD"/>
    <w:rsid w:val="006E4C7A"/>
    <w:rsid w:val="006E4D2B"/>
    <w:rsid w:val="006E4E23"/>
    <w:rsid w:val="006E5F88"/>
    <w:rsid w:val="006E6D9B"/>
    <w:rsid w:val="006E78B3"/>
    <w:rsid w:val="006E7E37"/>
    <w:rsid w:val="006F08F2"/>
    <w:rsid w:val="006F0B1E"/>
    <w:rsid w:val="006F10AD"/>
    <w:rsid w:val="006F15A9"/>
    <w:rsid w:val="006F2B9B"/>
    <w:rsid w:val="006F3300"/>
    <w:rsid w:val="006F4521"/>
    <w:rsid w:val="006F502C"/>
    <w:rsid w:val="006F748E"/>
    <w:rsid w:val="00700231"/>
    <w:rsid w:val="0070117C"/>
    <w:rsid w:val="007021F6"/>
    <w:rsid w:val="00702D75"/>
    <w:rsid w:val="00704A0B"/>
    <w:rsid w:val="007056A8"/>
    <w:rsid w:val="007058FE"/>
    <w:rsid w:val="007067E5"/>
    <w:rsid w:val="007071BD"/>
    <w:rsid w:val="00707705"/>
    <w:rsid w:val="0071088C"/>
    <w:rsid w:val="00711F0B"/>
    <w:rsid w:val="0071232C"/>
    <w:rsid w:val="00713BB6"/>
    <w:rsid w:val="007143A0"/>
    <w:rsid w:val="007143B6"/>
    <w:rsid w:val="00714B62"/>
    <w:rsid w:val="00714DCF"/>
    <w:rsid w:val="00717F50"/>
    <w:rsid w:val="0072140D"/>
    <w:rsid w:val="00721D0C"/>
    <w:rsid w:val="00723247"/>
    <w:rsid w:val="0072364B"/>
    <w:rsid w:val="00723A34"/>
    <w:rsid w:val="00723D75"/>
    <w:rsid w:val="0072491D"/>
    <w:rsid w:val="007255E0"/>
    <w:rsid w:val="007261F3"/>
    <w:rsid w:val="00726F7C"/>
    <w:rsid w:val="00730BDA"/>
    <w:rsid w:val="00730E59"/>
    <w:rsid w:val="007315B7"/>
    <w:rsid w:val="007319FB"/>
    <w:rsid w:val="007323CF"/>
    <w:rsid w:val="00733AFB"/>
    <w:rsid w:val="00734CC7"/>
    <w:rsid w:val="00734E45"/>
    <w:rsid w:val="0073516F"/>
    <w:rsid w:val="0074034F"/>
    <w:rsid w:val="007403E9"/>
    <w:rsid w:val="0074062D"/>
    <w:rsid w:val="007407F7"/>
    <w:rsid w:val="00740D22"/>
    <w:rsid w:val="007411BF"/>
    <w:rsid w:val="00741772"/>
    <w:rsid w:val="007417A5"/>
    <w:rsid w:val="00741D34"/>
    <w:rsid w:val="00743046"/>
    <w:rsid w:val="0074456C"/>
    <w:rsid w:val="00747015"/>
    <w:rsid w:val="00750039"/>
    <w:rsid w:val="007509BF"/>
    <w:rsid w:val="00750E71"/>
    <w:rsid w:val="00751023"/>
    <w:rsid w:val="00751FF7"/>
    <w:rsid w:val="00752619"/>
    <w:rsid w:val="0075291B"/>
    <w:rsid w:val="00752A2F"/>
    <w:rsid w:val="007532ED"/>
    <w:rsid w:val="007533F8"/>
    <w:rsid w:val="00753F98"/>
    <w:rsid w:val="00754035"/>
    <w:rsid w:val="00754200"/>
    <w:rsid w:val="007550E2"/>
    <w:rsid w:val="00756CC8"/>
    <w:rsid w:val="007572C5"/>
    <w:rsid w:val="0075764D"/>
    <w:rsid w:val="00757724"/>
    <w:rsid w:val="00757B17"/>
    <w:rsid w:val="00757DC5"/>
    <w:rsid w:val="00760C64"/>
    <w:rsid w:val="00760D13"/>
    <w:rsid w:val="007611F3"/>
    <w:rsid w:val="00762121"/>
    <w:rsid w:val="00763875"/>
    <w:rsid w:val="00763F61"/>
    <w:rsid w:val="00764F95"/>
    <w:rsid w:val="0076604C"/>
    <w:rsid w:val="0076627B"/>
    <w:rsid w:val="007664F8"/>
    <w:rsid w:val="00766767"/>
    <w:rsid w:val="00766A14"/>
    <w:rsid w:val="007676AB"/>
    <w:rsid w:val="00767DB0"/>
    <w:rsid w:val="0077020F"/>
    <w:rsid w:val="00770376"/>
    <w:rsid w:val="00770CCD"/>
    <w:rsid w:val="00771A39"/>
    <w:rsid w:val="00771DCA"/>
    <w:rsid w:val="00772D1B"/>
    <w:rsid w:val="00773002"/>
    <w:rsid w:val="0077303C"/>
    <w:rsid w:val="007730A0"/>
    <w:rsid w:val="00773F96"/>
    <w:rsid w:val="0077456D"/>
    <w:rsid w:val="00774EDA"/>
    <w:rsid w:val="00774FCD"/>
    <w:rsid w:val="00775B90"/>
    <w:rsid w:val="00775FA1"/>
    <w:rsid w:val="00775FBA"/>
    <w:rsid w:val="0077614F"/>
    <w:rsid w:val="0077686C"/>
    <w:rsid w:val="007768CA"/>
    <w:rsid w:val="00776D95"/>
    <w:rsid w:val="00776FD2"/>
    <w:rsid w:val="00780E89"/>
    <w:rsid w:val="00781475"/>
    <w:rsid w:val="007818C2"/>
    <w:rsid w:val="0078211C"/>
    <w:rsid w:val="007822B0"/>
    <w:rsid w:val="007828C6"/>
    <w:rsid w:val="00782EF5"/>
    <w:rsid w:val="00783A7F"/>
    <w:rsid w:val="00783E21"/>
    <w:rsid w:val="00784BF0"/>
    <w:rsid w:val="00785838"/>
    <w:rsid w:val="00785962"/>
    <w:rsid w:val="00786892"/>
    <w:rsid w:val="00786F1D"/>
    <w:rsid w:val="00787370"/>
    <w:rsid w:val="007876C0"/>
    <w:rsid w:val="007916E4"/>
    <w:rsid w:val="00791C15"/>
    <w:rsid w:val="007935F9"/>
    <w:rsid w:val="007943F7"/>
    <w:rsid w:val="00795A99"/>
    <w:rsid w:val="00796204"/>
    <w:rsid w:val="00797065"/>
    <w:rsid w:val="007A0B26"/>
    <w:rsid w:val="007A1ECC"/>
    <w:rsid w:val="007A37BA"/>
    <w:rsid w:val="007A4AB6"/>
    <w:rsid w:val="007A4C95"/>
    <w:rsid w:val="007A4F63"/>
    <w:rsid w:val="007A5B6F"/>
    <w:rsid w:val="007A6635"/>
    <w:rsid w:val="007A6BF6"/>
    <w:rsid w:val="007A6EC2"/>
    <w:rsid w:val="007A7BE9"/>
    <w:rsid w:val="007A7F45"/>
    <w:rsid w:val="007B02F7"/>
    <w:rsid w:val="007B0787"/>
    <w:rsid w:val="007B0BE5"/>
    <w:rsid w:val="007B1146"/>
    <w:rsid w:val="007B1187"/>
    <w:rsid w:val="007B2AEA"/>
    <w:rsid w:val="007B2F9C"/>
    <w:rsid w:val="007B355D"/>
    <w:rsid w:val="007B61B3"/>
    <w:rsid w:val="007B659D"/>
    <w:rsid w:val="007B687D"/>
    <w:rsid w:val="007B705D"/>
    <w:rsid w:val="007B7102"/>
    <w:rsid w:val="007B7BF7"/>
    <w:rsid w:val="007C047C"/>
    <w:rsid w:val="007C052F"/>
    <w:rsid w:val="007C2A02"/>
    <w:rsid w:val="007C3CBF"/>
    <w:rsid w:val="007C40E2"/>
    <w:rsid w:val="007C4F2A"/>
    <w:rsid w:val="007C66C0"/>
    <w:rsid w:val="007C6DD8"/>
    <w:rsid w:val="007D08EF"/>
    <w:rsid w:val="007D0A05"/>
    <w:rsid w:val="007D10F4"/>
    <w:rsid w:val="007D2143"/>
    <w:rsid w:val="007D2960"/>
    <w:rsid w:val="007D3C17"/>
    <w:rsid w:val="007D4D6A"/>
    <w:rsid w:val="007D5086"/>
    <w:rsid w:val="007D561E"/>
    <w:rsid w:val="007D590D"/>
    <w:rsid w:val="007D5B1F"/>
    <w:rsid w:val="007D67E4"/>
    <w:rsid w:val="007D6A20"/>
    <w:rsid w:val="007D6CD7"/>
    <w:rsid w:val="007D7B98"/>
    <w:rsid w:val="007E0C94"/>
    <w:rsid w:val="007E1242"/>
    <w:rsid w:val="007E1435"/>
    <w:rsid w:val="007E18A4"/>
    <w:rsid w:val="007E2653"/>
    <w:rsid w:val="007E33C4"/>
    <w:rsid w:val="007E4411"/>
    <w:rsid w:val="007E4688"/>
    <w:rsid w:val="007E5DB1"/>
    <w:rsid w:val="007E6221"/>
    <w:rsid w:val="007E7A13"/>
    <w:rsid w:val="007E7DDC"/>
    <w:rsid w:val="007F082E"/>
    <w:rsid w:val="007F13BA"/>
    <w:rsid w:val="007F1E2A"/>
    <w:rsid w:val="007F2E95"/>
    <w:rsid w:val="007F365A"/>
    <w:rsid w:val="007F47F0"/>
    <w:rsid w:val="00800717"/>
    <w:rsid w:val="00800D39"/>
    <w:rsid w:val="00801643"/>
    <w:rsid w:val="00801E29"/>
    <w:rsid w:val="00802E87"/>
    <w:rsid w:val="00803517"/>
    <w:rsid w:val="008043BC"/>
    <w:rsid w:val="00804AE1"/>
    <w:rsid w:val="00804F0B"/>
    <w:rsid w:val="00807422"/>
    <w:rsid w:val="0080746D"/>
    <w:rsid w:val="0081041D"/>
    <w:rsid w:val="00810504"/>
    <w:rsid w:val="00810E69"/>
    <w:rsid w:val="00810F1C"/>
    <w:rsid w:val="00813171"/>
    <w:rsid w:val="008144F0"/>
    <w:rsid w:val="0081457E"/>
    <w:rsid w:val="00815373"/>
    <w:rsid w:val="00815C3F"/>
    <w:rsid w:val="008160D1"/>
    <w:rsid w:val="0081637B"/>
    <w:rsid w:val="008164E3"/>
    <w:rsid w:val="008177A9"/>
    <w:rsid w:val="00820336"/>
    <w:rsid w:val="00820AC6"/>
    <w:rsid w:val="00820F52"/>
    <w:rsid w:val="00821981"/>
    <w:rsid w:val="00823224"/>
    <w:rsid w:val="008235A0"/>
    <w:rsid w:val="0082384F"/>
    <w:rsid w:val="008275AA"/>
    <w:rsid w:val="0083038D"/>
    <w:rsid w:val="00830B29"/>
    <w:rsid w:val="00830DDA"/>
    <w:rsid w:val="00830E68"/>
    <w:rsid w:val="00830F67"/>
    <w:rsid w:val="00832172"/>
    <w:rsid w:val="00832638"/>
    <w:rsid w:val="0083310C"/>
    <w:rsid w:val="008332FA"/>
    <w:rsid w:val="008346BF"/>
    <w:rsid w:val="0083575C"/>
    <w:rsid w:val="00836898"/>
    <w:rsid w:val="0083696C"/>
    <w:rsid w:val="00837057"/>
    <w:rsid w:val="008376A0"/>
    <w:rsid w:val="008376AC"/>
    <w:rsid w:val="008379E1"/>
    <w:rsid w:val="008412B2"/>
    <w:rsid w:val="008415FE"/>
    <w:rsid w:val="00841EE8"/>
    <w:rsid w:val="00842334"/>
    <w:rsid w:val="00842451"/>
    <w:rsid w:val="0084306C"/>
    <w:rsid w:val="00843841"/>
    <w:rsid w:val="00844265"/>
    <w:rsid w:val="008443DE"/>
    <w:rsid w:val="0084479E"/>
    <w:rsid w:val="008456F2"/>
    <w:rsid w:val="00846567"/>
    <w:rsid w:val="00846AE3"/>
    <w:rsid w:val="00846BBB"/>
    <w:rsid w:val="008470F0"/>
    <w:rsid w:val="008534B0"/>
    <w:rsid w:val="00853AE1"/>
    <w:rsid w:val="00853E03"/>
    <w:rsid w:val="00856F87"/>
    <w:rsid w:val="00856FFF"/>
    <w:rsid w:val="00857A01"/>
    <w:rsid w:val="00860995"/>
    <w:rsid w:val="008614A4"/>
    <w:rsid w:val="008626F5"/>
    <w:rsid w:val="008628E9"/>
    <w:rsid w:val="0086434A"/>
    <w:rsid w:val="008645A5"/>
    <w:rsid w:val="0086501B"/>
    <w:rsid w:val="00865CD7"/>
    <w:rsid w:val="00865CF2"/>
    <w:rsid w:val="008665F3"/>
    <w:rsid w:val="008674C5"/>
    <w:rsid w:val="00870005"/>
    <w:rsid w:val="00870115"/>
    <w:rsid w:val="00871493"/>
    <w:rsid w:val="008727A6"/>
    <w:rsid w:val="00872E03"/>
    <w:rsid w:val="00874A87"/>
    <w:rsid w:val="00874C85"/>
    <w:rsid w:val="00874FA5"/>
    <w:rsid w:val="00875100"/>
    <w:rsid w:val="00875380"/>
    <w:rsid w:val="00875621"/>
    <w:rsid w:val="00876655"/>
    <w:rsid w:val="00876FD7"/>
    <w:rsid w:val="008807DA"/>
    <w:rsid w:val="00882629"/>
    <w:rsid w:val="00882930"/>
    <w:rsid w:val="00883331"/>
    <w:rsid w:val="00883553"/>
    <w:rsid w:val="00883A6C"/>
    <w:rsid w:val="00884369"/>
    <w:rsid w:val="0088485C"/>
    <w:rsid w:val="00885ADB"/>
    <w:rsid w:val="008901FC"/>
    <w:rsid w:val="008903A5"/>
    <w:rsid w:val="0089047B"/>
    <w:rsid w:val="00890F46"/>
    <w:rsid w:val="0089250A"/>
    <w:rsid w:val="00892844"/>
    <w:rsid w:val="00892C5B"/>
    <w:rsid w:val="00892E1B"/>
    <w:rsid w:val="0089393C"/>
    <w:rsid w:val="008948F4"/>
    <w:rsid w:val="00894D9F"/>
    <w:rsid w:val="0089590D"/>
    <w:rsid w:val="00895DB8"/>
    <w:rsid w:val="00896B69"/>
    <w:rsid w:val="00897BF0"/>
    <w:rsid w:val="008A03F2"/>
    <w:rsid w:val="008A0446"/>
    <w:rsid w:val="008A1478"/>
    <w:rsid w:val="008A1618"/>
    <w:rsid w:val="008A2546"/>
    <w:rsid w:val="008A3365"/>
    <w:rsid w:val="008A4051"/>
    <w:rsid w:val="008A431E"/>
    <w:rsid w:val="008A49B3"/>
    <w:rsid w:val="008A54D7"/>
    <w:rsid w:val="008A5A4B"/>
    <w:rsid w:val="008A61E0"/>
    <w:rsid w:val="008A6F16"/>
    <w:rsid w:val="008B0644"/>
    <w:rsid w:val="008B13B1"/>
    <w:rsid w:val="008B14D7"/>
    <w:rsid w:val="008B2A4B"/>
    <w:rsid w:val="008B3084"/>
    <w:rsid w:val="008B30B7"/>
    <w:rsid w:val="008B31A4"/>
    <w:rsid w:val="008B35D6"/>
    <w:rsid w:val="008B55B7"/>
    <w:rsid w:val="008B5684"/>
    <w:rsid w:val="008B6133"/>
    <w:rsid w:val="008B6924"/>
    <w:rsid w:val="008B7144"/>
    <w:rsid w:val="008B719C"/>
    <w:rsid w:val="008B743E"/>
    <w:rsid w:val="008B78A7"/>
    <w:rsid w:val="008B7B84"/>
    <w:rsid w:val="008C3594"/>
    <w:rsid w:val="008C3899"/>
    <w:rsid w:val="008C38B0"/>
    <w:rsid w:val="008C56AF"/>
    <w:rsid w:val="008C5A25"/>
    <w:rsid w:val="008C711F"/>
    <w:rsid w:val="008D0A98"/>
    <w:rsid w:val="008D0C69"/>
    <w:rsid w:val="008D18EA"/>
    <w:rsid w:val="008D1CD2"/>
    <w:rsid w:val="008D25F4"/>
    <w:rsid w:val="008D3317"/>
    <w:rsid w:val="008D3857"/>
    <w:rsid w:val="008D3A62"/>
    <w:rsid w:val="008D4722"/>
    <w:rsid w:val="008D4FE5"/>
    <w:rsid w:val="008D5645"/>
    <w:rsid w:val="008D6A2D"/>
    <w:rsid w:val="008D774A"/>
    <w:rsid w:val="008D7AA0"/>
    <w:rsid w:val="008D7DFA"/>
    <w:rsid w:val="008E0084"/>
    <w:rsid w:val="008E0862"/>
    <w:rsid w:val="008E0B4C"/>
    <w:rsid w:val="008E13CB"/>
    <w:rsid w:val="008E14A7"/>
    <w:rsid w:val="008E2A59"/>
    <w:rsid w:val="008E2FB9"/>
    <w:rsid w:val="008E3C5A"/>
    <w:rsid w:val="008E5CAB"/>
    <w:rsid w:val="008E6FE8"/>
    <w:rsid w:val="008F1C8D"/>
    <w:rsid w:val="008F3A86"/>
    <w:rsid w:val="008F45EC"/>
    <w:rsid w:val="008F5409"/>
    <w:rsid w:val="008F5B60"/>
    <w:rsid w:val="008F612E"/>
    <w:rsid w:val="008F6C07"/>
    <w:rsid w:val="008F731C"/>
    <w:rsid w:val="009019A2"/>
    <w:rsid w:val="009021EB"/>
    <w:rsid w:val="0090251D"/>
    <w:rsid w:val="00903397"/>
    <w:rsid w:val="00903A9E"/>
    <w:rsid w:val="00903F13"/>
    <w:rsid w:val="0090429A"/>
    <w:rsid w:val="0090454E"/>
    <w:rsid w:val="00905ABF"/>
    <w:rsid w:val="0090603D"/>
    <w:rsid w:val="0090621F"/>
    <w:rsid w:val="009064E9"/>
    <w:rsid w:val="00906C1E"/>
    <w:rsid w:val="009075F7"/>
    <w:rsid w:val="00911C6F"/>
    <w:rsid w:val="0091201D"/>
    <w:rsid w:val="00912841"/>
    <w:rsid w:val="00912C95"/>
    <w:rsid w:val="00912E45"/>
    <w:rsid w:val="00914603"/>
    <w:rsid w:val="00914B0F"/>
    <w:rsid w:val="00915344"/>
    <w:rsid w:val="00915A79"/>
    <w:rsid w:val="00915BAC"/>
    <w:rsid w:val="00917D7D"/>
    <w:rsid w:val="00917F5C"/>
    <w:rsid w:val="00920344"/>
    <w:rsid w:val="009203D2"/>
    <w:rsid w:val="00920C99"/>
    <w:rsid w:val="00922422"/>
    <w:rsid w:val="00923005"/>
    <w:rsid w:val="0092352A"/>
    <w:rsid w:val="0092393F"/>
    <w:rsid w:val="00923A78"/>
    <w:rsid w:val="00923EB4"/>
    <w:rsid w:val="009251A0"/>
    <w:rsid w:val="009253AA"/>
    <w:rsid w:val="00925584"/>
    <w:rsid w:val="009262FB"/>
    <w:rsid w:val="00926B45"/>
    <w:rsid w:val="0092728B"/>
    <w:rsid w:val="0092764B"/>
    <w:rsid w:val="009278A8"/>
    <w:rsid w:val="009278ED"/>
    <w:rsid w:val="00930D4B"/>
    <w:rsid w:val="00931168"/>
    <w:rsid w:val="009315D3"/>
    <w:rsid w:val="00932A97"/>
    <w:rsid w:val="00932CA7"/>
    <w:rsid w:val="00932D31"/>
    <w:rsid w:val="00933041"/>
    <w:rsid w:val="00933336"/>
    <w:rsid w:val="00934DE9"/>
    <w:rsid w:val="00934ECC"/>
    <w:rsid w:val="009362B2"/>
    <w:rsid w:val="00936366"/>
    <w:rsid w:val="009365B4"/>
    <w:rsid w:val="00936C17"/>
    <w:rsid w:val="00936DBF"/>
    <w:rsid w:val="00937994"/>
    <w:rsid w:val="00937CFE"/>
    <w:rsid w:val="00940BCF"/>
    <w:rsid w:val="0094258A"/>
    <w:rsid w:val="0094384A"/>
    <w:rsid w:val="00943BB9"/>
    <w:rsid w:val="009446CE"/>
    <w:rsid w:val="00944EB1"/>
    <w:rsid w:val="0094658D"/>
    <w:rsid w:val="00946897"/>
    <w:rsid w:val="0094759A"/>
    <w:rsid w:val="009520BC"/>
    <w:rsid w:val="00953FE2"/>
    <w:rsid w:val="00954836"/>
    <w:rsid w:val="00954C1E"/>
    <w:rsid w:val="00954DFC"/>
    <w:rsid w:val="00955C53"/>
    <w:rsid w:val="00956C80"/>
    <w:rsid w:val="00956D18"/>
    <w:rsid w:val="00956E5F"/>
    <w:rsid w:val="00957B09"/>
    <w:rsid w:val="00957B48"/>
    <w:rsid w:val="00960238"/>
    <w:rsid w:val="00961623"/>
    <w:rsid w:val="00961FA3"/>
    <w:rsid w:val="0096243F"/>
    <w:rsid w:val="00962662"/>
    <w:rsid w:val="0096304A"/>
    <w:rsid w:val="0096316F"/>
    <w:rsid w:val="00963867"/>
    <w:rsid w:val="00963B8F"/>
    <w:rsid w:val="00963F42"/>
    <w:rsid w:val="0096462B"/>
    <w:rsid w:val="00966871"/>
    <w:rsid w:val="00967466"/>
    <w:rsid w:val="00967E5D"/>
    <w:rsid w:val="00970488"/>
    <w:rsid w:val="00971234"/>
    <w:rsid w:val="00971BA8"/>
    <w:rsid w:val="00972BCA"/>
    <w:rsid w:val="00972F6C"/>
    <w:rsid w:val="00973128"/>
    <w:rsid w:val="00974424"/>
    <w:rsid w:val="00976DE8"/>
    <w:rsid w:val="00977650"/>
    <w:rsid w:val="00977692"/>
    <w:rsid w:val="00977941"/>
    <w:rsid w:val="009803D6"/>
    <w:rsid w:val="00980C8E"/>
    <w:rsid w:val="00981B84"/>
    <w:rsid w:val="00984842"/>
    <w:rsid w:val="00984BF6"/>
    <w:rsid w:val="00985B32"/>
    <w:rsid w:val="009864F7"/>
    <w:rsid w:val="009866E4"/>
    <w:rsid w:val="009876FA"/>
    <w:rsid w:val="00990428"/>
    <w:rsid w:val="009905FE"/>
    <w:rsid w:val="00991DAD"/>
    <w:rsid w:val="00991F82"/>
    <w:rsid w:val="009947AA"/>
    <w:rsid w:val="00994C06"/>
    <w:rsid w:val="0099600A"/>
    <w:rsid w:val="00996FD4"/>
    <w:rsid w:val="009A026F"/>
    <w:rsid w:val="009A1833"/>
    <w:rsid w:val="009A1854"/>
    <w:rsid w:val="009A264F"/>
    <w:rsid w:val="009A3A89"/>
    <w:rsid w:val="009A3FF8"/>
    <w:rsid w:val="009A4E15"/>
    <w:rsid w:val="009A5571"/>
    <w:rsid w:val="009A5AA5"/>
    <w:rsid w:val="009A6319"/>
    <w:rsid w:val="009A643B"/>
    <w:rsid w:val="009A6AE6"/>
    <w:rsid w:val="009A6B0C"/>
    <w:rsid w:val="009A75E2"/>
    <w:rsid w:val="009A7B92"/>
    <w:rsid w:val="009A7BFF"/>
    <w:rsid w:val="009A7E9E"/>
    <w:rsid w:val="009B07F5"/>
    <w:rsid w:val="009B1D25"/>
    <w:rsid w:val="009B20D1"/>
    <w:rsid w:val="009B2246"/>
    <w:rsid w:val="009B24A6"/>
    <w:rsid w:val="009B2E8A"/>
    <w:rsid w:val="009B2ED6"/>
    <w:rsid w:val="009B33CE"/>
    <w:rsid w:val="009B4AE5"/>
    <w:rsid w:val="009B5744"/>
    <w:rsid w:val="009B5F26"/>
    <w:rsid w:val="009B679C"/>
    <w:rsid w:val="009B6C1F"/>
    <w:rsid w:val="009B6D71"/>
    <w:rsid w:val="009B7132"/>
    <w:rsid w:val="009B73CA"/>
    <w:rsid w:val="009C1FE5"/>
    <w:rsid w:val="009C1FF4"/>
    <w:rsid w:val="009C32C2"/>
    <w:rsid w:val="009C4368"/>
    <w:rsid w:val="009C49F6"/>
    <w:rsid w:val="009C7782"/>
    <w:rsid w:val="009D08D3"/>
    <w:rsid w:val="009D0A76"/>
    <w:rsid w:val="009D0B4F"/>
    <w:rsid w:val="009D1D59"/>
    <w:rsid w:val="009D3198"/>
    <w:rsid w:val="009D3958"/>
    <w:rsid w:val="009D3EBF"/>
    <w:rsid w:val="009D414F"/>
    <w:rsid w:val="009D56A7"/>
    <w:rsid w:val="009D57A2"/>
    <w:rsid w:val="009D5FA4"/>
    <w:rsid w:val="009D6090"/>
    <w:rsid w:val="009D7A57"/>
    <w:rsid w:val="009E053A"/>
    <w:rsid w:val="009E0D64"/>
    <w:rsid w:val="009E0E63"/>
    <w:rsid w:val="009E0E79"/>
    <w:rsid w:val="009E1CB3"/>
    <w:rsid w:val="009E20F2"/>
    <w:rsid w:val="009E230D"/>
    <w:rsid w:val="009E2E2A"/>
    <w:rsid w:val="009E3112"/>
    <w:rsid w:val="009E5FBC"/>
    <w:rsid w:val="009E6208"/>
    <w:rsid w:val="009E6D69"/>
    <w:rsid w:val="009E728A"/>
    <w:rsid w:val="009E72D5"/>
    <w:rsid w:val="009E7C91"/>
    <w:rsid w:val="009F08AA"/>
    <w:rsid w:val="009F092A"/>
    <w:rsid w:val="009F109A"/>
    <w:rsid w:val="009F1779"/>
    <w:rsid w:val="009F2AA7"/>
    <w:rsid w:val="009F4A35"/>
    <w:rsid w:val="009F56BE"/>
    <w:rsid w:val="009F5E4F"/>
    <w:rsid w:val="009F6EA7"/>
    <w:rsid w:val="009F7A91"/>
    <w:rsid w:val="009F7EB6"/>
    <w:rsid w:val="00A00099"/>
    <w:rsid w:val="00A006C8"/>
    <w:rsid w:val="00A0188B"/>
    <w:rsid w:val="00A02997"/>
    <w:rsid w:val="00A02F09"/>
    <w:rsid w:val="00A041C0"/>
    <w:rsid w:val="00A04927"/>
    <w:rsid w:val="00A0591A"/>
    <w:rsid w:val="00A05D53"/>
    <w:rsid w:val="00A0627A"/>
    <w:rsid w:val="00A10BFD"/>
    <w:rsid w:val="00A1258A"/>
    <w:rsid w:val="00A13494"/>
    <w:rsid w:val="00A14D75"/>
    <w:rsid w:val="00A1501B"/>
    <w:rsid w:val="00A15421"/>
    <w:rsid w:val="00A15DF8"/>
    <w:rsid w:val="00A16002"/>
    <w:rsid w:val="00A16906"/>
    <w:rsid w:val="00A203F8"/>
    <w:rsid w:val="00A21015"/>
    <w:rsid w:val="00A2180D"/>
    <w:rsid w:val="00A23A46"/>
    <w:rsid w:val="00A23A9B"/>
    <w:rsid w:val="00A25A83"/>
    <w:rsid w:val="00A26585"/>
    <w:rsid w:val="00A265CE"/>
    <w:rsid w:val="00A26723"/>
    <w:rsid w:val="00A27158"/>
    <w:rsid w:val="00A275B0"/>
    <w:rsid w:val="00A27E33"/>
    <w:rsid w:val="00A30ED4"/>
    <w:rsid w:val="00A31756"/>
    <w:rsid w:val="00A31EA4"/>
    <w:rsid w:val="00A32B5D"/>
    <w:rsid w:val="00A33173"/>
    <w:rsid w:val="00A36DDE"/>
    <w:rsid w:val="00A37D33"/>
    <w:rsid w:val="00A37DC4"/>
    <w:rsid w:val="00A37E82"/>
    <w:rsid w:val="00A4008D"/>
    <w:rsid w:val="00A40194"/>
    <w:rsid w:val="00A40548"/>
    <w:rsid w:val="00A40B45"/>
    <w:rsid w:val="00A428C8"/>
    <w:rsid w:val="00A44B29"/>
    <w:rsid w:val="00A44CA0"/>
    <w:rsid w:val="00A45557"/>
    <w:rsid w:val="00A47714"/>
    <w:rsid w:val="00A477AE"/>
    <w:rsid w:val="00A47B0C"/>
    <w:rsid w:val="00A501D3"/>
    <w:rsid w:val="00A50FC1"/>
    <w:rsid w:val="00A519F2"/>
    <w:rsid w:val="00A5334C"/>
    <w:rsid w:val="00A54759"/>
    <w:rsid w:val="00A54D83"/>
    <w:rsid w:val="00A5609B"/>
    <w:rsid w:val="00A5769B"/>
    <w:rsid w:val="00A576B7"/>
    <w:rsid w:val="00A6159C"/>
    <w:rsid w:val="00A6491F"/>
    <w:rsid w:val="00A65201"/>
    <w:rsid w:val="00A65A42"/>
    <w:rsid w:val="00A65AE2"/>
    <w:rsid w:val="00A6636F"/>
    <w:rsid w:val="00A670E0"/>
    <w:rsid w:val="00A67942"/>
    <w:rsid w:val="00A67D2D"/>
    <w:rsid w:val="00A700F1"/>
    <w:rsid w:val="00A70430"/>
    <w:rsid w:val="00A707C7"/>
    <w:rsid w:val="00A7115B"/>
    <w:rsid w:val="00A72465"/>
    <w:rsid w:val="00A727F6"/>
    <w:rsid w:val="00A7289D"/>
    <w:rsid w:val="00A729C7"/>
    <w:rsid w:val="00A72B9B"/>
    <w:rsid w:val="00A73923"/>
    <w:rsid w:val="00A75EAB"/>
    <w:rsid w:val="00A76935"/>
    <w:rsid w:val="00A77292"/>
    <w:rsid w:val="00A807DB"/>
    <w:rsid w:val="00A80F97"/>
    <w:rsid w:val="00A810F5"/>
    <w:rsid w:val="00A81330"/>
    <w:rsid w:val="00A831F9"/>
    <w:rsid w:val="00A8379F"/>
    <w:rsid w:val="00A839DD"/>
    <w:rsid w:val="00A8563C"/>
    <w:rsid w:val="00A85F8C"/>
    <w:rsid w:val="00A906CF"/>
    <w:rsid w:val="00A90EFE"/>
    <w:rsid w:val="00A91B15"/>
    <w:rsid w:val="00A92033"/>
    <w:rsid w:val="00A92572"/>
    <w:rsid w:val="00A96755"/>
    <w:rsid w:val="00A96A20"/>
    <w:rsid w:val="00A96C51"/>
    <w:rsid w:val="00A97156"/>
    <w:rsid w:val="00A975F3"/>
    <w:rsid w:val="00A977C8"/>
    <w:rsid w:val="00A97B2E"/>
    <w:rsid w:val="00AA037C"/>
    <w:rsid w:val="00AA08E8"/>
    <w:rsid w:val="00AA095A"/>
    <w:rsid w:val="00AA2895"/>
    <w:rsid w:val="00AA2C24"/>
    <w:rsid w:val="00AA2E59"/>
    <w:rsid w:val="00AA51FD"/>
    <w:rsid w:val="00AB0AFD"/>
    <w:rsid w:val="00AB0F10"/>
    <w:rsid w:val="00AB23E5"/>
    <w:rsid w:val="00AB5CB4"/>
    <w:rsid w:val="00AB6400"/>
    <w:rsid w:val="00AC0777"/>
    <w:rsid w:val="00AC086B"/>
    <w:rsid w:val="00AC1D9F"/>
    <w:rsid w:val="00AC1E2A"/>
    <w:rsid w:val="00AC34C7"/>
    <w:rsid w:val="00AC4066"/>
    <w:rsid w:val="00AC4C75"/>
    <w:rsid w:val="00AC4E3D"/>
    <w:rsid w:val="00AC4F58"/>
    <w:rsid w:val="00AC5DBE"/>
    <w:rsid w:val="00AC6247"/>
    <w:rsid w:val="00AC630A"/>
    <w:rsid w:val="00AC6F05"/>
    <w:rsid w:val="00AC740B"/>
    <w:rsid w:val="00AC785C"/>
    <w:rsid w:val="00AC7A76"/>
    <w:rsid w:val="00AD01EC"/>
    <w:rsid w:val="00AD143E"/>
    <w:rsid w:val="00AD23D1"/>
    <w:rsid w:val="00AD3C2C"/>
    <w:rsid w:val="00AD460F"/>
    <w:rsid w:val="00AD4BB0"/>
    <w:rsid w:val="00AD5235"/>
    <w:rsid w:val="00AD61D7"/>
    <w:rsid w:val="00AD6CE7"/>
    <w:rsid w:val="00AD7D49"/>
    <w:rsid w:val="00AE0692"/>
    <w:rsid w:val="00AE1014"/>
    <w:rsid w:val="00AE11BA"/>
    <w:rsid w:val="00AE1904"/>
    <w:rsid w:val="00AE1EFA"/>
    <w:rsid w:val="00AE2FFB"/>
    <w:rsid w:val="00AE35F8"/>
    <w:rsid w:val="00AE403B"/>
    <w:rsid w:val="00AE44C4"/>
    <w:rsid w:val="00AE473F"/>
    <w:rsid w:val="00AE5767"/>
    <w:rsid w:val="00AE6861"/>
    <w:rsid w:val="00AE6B0D"/>
    <w:rsid w:val="00AE716B"/>
    <w:rsid w:val="00AE72C8"/>
    <w:rsid w:val="00AE742C"/>
    <w:rsid w:val="00AE7490"/>
    <w:rsid w:val="00AF1614"/>
    <w:rsid w:val="00AF1A13"/>
    <w:rsid w:val="00AF22DC"/>
    <w:rsid w:val="00AF26E2"/>
    <w:rsid w:val="00AF3067"/>
    <w:rsid w:val="00AF6BF8"/>
    <w:rsid w:val="00AF7E77"/>
    <w:rsid w:val="00AF7EA5"/>
    <w:rsid w:val="00B0027C"/>
    <w:rsid w:val="00B0050E"/>
    <w:rsid w:val="00B015AA"/>
    <w:rsid w:val="00B0239C"/>
    <w:rsid w:val="00B02530"/>
    <w:rsid w:val="00B0435E"/>
    <w:rsid w:val="00B044D6"/>
    <w:rsid w:val="00B046D9"/>
    <w:rsid w:val="00B05FCE"/>
    <w:rsid w:val="00B06341"/>
    <w:rsid w:val="00B07C3D"/>
    <w:rsid w:val="00B101AB"/>
    <w:rsid w:val="00B108AC"/>
    <w:rsid w:val="00B10A0D"/>
    <w:rsid w:val="00B11C6C"/>
    <w:rsid w:val="00B11F3D"/>
    <w:rsid w:val="00B125C0"/>
    <w:rsid w:val="00B1324D"/>
    <w:rsid w:val="00B1351A"/>
    <w:rsid w:val="00B1527B"/>
    <w:rsid w:val="00B1562E"/>
    <w:rsid w:val="00B1567D"/>
    <w:rsid w:val="00B20224"/>
    <w:rsid w:val="00B22898"/>
    <w:rsid w:val="00B2311A"/>
    <w:rsid w:val="00B2428C"/>
    <w:rsid w:val="00B27475"/>
    <w:rsid w:val="00B300F7"/>
    <w:rsid w:val="00B303BB"/>
    <w:rsid w:val="00B310C5"/>
    <w:rsid w:val="00B327E3"/>
    <w:rsid w:val="00B32AFC"/>
    <w:rsid w:val="00B334C2"/>
    <w:rsid w:val="00B33B26"/>
    <w:rsid w:val="00B34BCA"/>
    <w:rsid w:val="00B356BF"/>
    <w:rsid w:val="00B3656D"/>
    <w:rsid w:val="00B3701F"/>
    <w:rsid w:val="00B3721C"/>
    <w:rsid w:val="00B37F48"/>
    <w:rsid w:val="00B418E9"/>
    <w:rsid w:val="00B42C73"/>
    <w:rsid w:val="00B42E2C"/>
    <w:rsid w:val="00B4337B"/>
    <w:rsid w:val="00B44D8F"/>
    <w:rsid w:val="00B44E58"/>
    <w:rsid w:val="00B47BEF"/>
    <w:rsid w:val="00B50B0E"/>
    <w:rsid w:val="00B50E66"/>
    <w:rsid w:val="00B50F79"/>
    <w:rsid w:val="00B5179A"/>
    <w:rsid w:val="00B52ADC"/>
    <w:rsid w:val="00B53A91"/>
    <w:rsid w:val="00B54262"/>
    <w:rsid w:val="00B54B3B"/>
    <w:rsid w:val="00B54B82"/>
    <w:rsid w:val="00B55AEB"/>
    <w:rsid w:val="00B5622A"/>
    <w:rsid w:val="00B5660D"/>
    <w:rsid w:val="00B572BC"/>
    <w:rsid w:val="00B60624"/>
    <w:rsid w:val="00B60E31"/>
    <w:rsid w:val="00B610FB"/>
    <w:rsid w:val="00B63748"/>
    <w:rsid w:val="00B6400F"/>
    <w:rsid w:val="00B64500"/>
    <w:rsid w:val="00B655B3"/>
    <w:rsid w:val="00B65896"/>
    <w:rsid w:val="00B665C5"/>
    <w:rsid w:val="00B6715B"/>
    <w:rsid w:val="00B678E0"/>
    <w:rsid w:val="00B70080"/>
    <w:rsid w:val="00B71B98"/>
    <w:rsid w:val="00B71E1D"/>
    <w:rsid w:val="00B72AED"/>
    <w:rsid w:val="00B73AD9"/>
    <w:rsid w:val="00B746BC"/>
    <w:rsid w:val="00B74AE2"/>
    <w:rsid w:val="00B74CC7"/>
    <w:rsid w:val="00B74F8D"/>
    <w:rsid w:val="00B758A9"/>
    <w:rsid w:val="00B75BB6"/>
    <w:rsid w:val="00B76B71"/>
    <w:rsid w:val="00B76C2D"/>
    <w:rsid w:val="00B77031"/>
    <w:rsid w:val="00B77693"/>
    <w:rsid w:val="00B77810"/>
    <w:rsid w:val="00B77A96"/>
    <w:rsid w:val="00B77AED"/>
    <w:rsid w:val="00B8001A"/>
    <w:rsid w:val="00B8392E"/>
    <w:rsid w:val="00B83BE7"/>
    <w:rsid w:val="00B84ECF"/>
    <w:rsid w:val="00B85A6A"/>
    <w:rsid w:val="00B85D9A"/>
    <w:rsid w:val="00B86377"/>
    <w:rsid w:val="00B866F8"/>
    <w:rsid w:val="00B87069"/>
    <w:rsid w:val="00B905FA"/>
    <w:rsid w:val="00B90A5B"/>
    <w:rsid w:val="00B92DE6"/>
    <w:rsid w:val="00B937EB"/>
    <w:rsid w:val="00B9446F"/>
    <w:rsid w:val="00B95AE3"/>
    <w:rsid w:val="00B9620F"/>
    <w:rsid w:val="00B9644B"/>
    <w:rsid w:val="00B966D6"/>
    <w:rsid w:val="00B971F8"/>
    <w:rsid w:val="00B97EED"/>
    <w:rsid w:val="00BA02CC"/>
    <w:rsid w:val="00BA0617"/>
    <w:rsid w:val="00BA1506"/>
    <w:rsid w:val="00BA24C1"/>
    <w:rsid w:val="00BA31DB"/>
    <w:rsid w:val="00BA34A4"/>
    <w:rsid w:val="00BA3D79"/>
    <w:rsid w:val="00BA5826"/>
    <w:rsid w:val="00BA5C8E"/>
    <w:rsid w:val="00BA618A"/>
    <w:rsid w:val="00BA6A17"/>
    <w:rsid w:val="00BA719C"/>
    <w:rsid w:val="00BA7308"/>
    <w:rsid w:val="00BA73C9"/>
    <w:rsid w:val="00BA74FE"/>
    <w:rsid w:val="00BB0D73"/>
    <w:rsid w:val="00BB0E36"/>
    <w:rsid w:val="00BB1066"/>
    <w:rsid w:val="00BB1BD6"/>
    <w:rsid w:val="00BB20E0"/>
    <w:rsid w:val="00BB3A8F"/>
    <w:rsid w:val="00BB4230"/>
    <w:rsid w:val="00BB4320"/>
    <w:rsid w:val="00BB7548"/>
    <w:rsid w:val="00BB7914"/>
    <w:rsid w:val="00BB7DF5"/>
    <w:rsid w:val="00BC0172"/>
    <w:rsid w:val="00BC170A"/>
    <w:rsid w:val="00BC26EB"/>
    <w:rsid w:val="00BC315E"/>
    <w:rsid w:val="00BC32B6"/>
    <w:rsid w:val="00BC3401"/>
    <w:rsid w:val="00BC4651"/>
    <w:rsid w:val="00BC490A"/>
    <w:rsid w:val="00BC4FE0"/>
    <w:rsid w:val="00BC549E"/>
    <w:rsid w:val="00BC54A0"/>
    <w:rsid w:val="00BC5E1D"/>
    <w:rsid w:val="00BC7EAD"/>
    <w:rsid w:val="00BD0DE1"/>
    <w:rsid w:val="00BD0F9A"/>
    <w:rsid w:val="00BD13DA"/>
    <w:rsid w:val="00BD1510"/>
    <w:rsid w:val="00BD1EF3"/>
    <w:rsid w:val="00BD3F24"/>
    <w:rsid w:val="00BD40A8"/>
    <w:rsid w:val="00BD41F7"/>
    <w:rsid w:val="00BD5557"/>
    <w:rsid w:val="00BD748B"/>
    <w:rsid w:val="00BD7799"/>
    <w:rsid w:val="00BE00A0"/>
    <w:rsid w:val="00BE012D"/>
    <w:rsid w:val="00BE0D2A"/>
    <w:rsid w:val="00BE3A58"/>
    <w:rsid w:val="00BE516D"/>
    <w:rsid w:val="00BE51BF"/>
    <w:rsid w:val="00BE59CB"/>
    <w:rsid w:val="00BF22E5"/>
    <w:rsid w:val="00BF24F2"/>
    <w:rsid w:val="00BF3748"/>
    <w:rsid w:val="00BF39DB"/>
    <w:rsid w:val="00BF4339"/>
    <w:rsid w:val="00BF4402"/>
    <w:rsid w:val="00BF6298"/>
    <w:rsid w:val="00BF75CA"/>
    <w:rsid w:val="00C004C0"/>
    <w:rsid w:val="00C011A0"/>
    <w:rsid w:val="00C01C7C"/>
    <w:rsid w:val="00C02DAF"/>
    <w:rsid w:val="00C036F9"/>
    <w:rsid w:val="00C03C31"/>
    <w:rsid w:val="00C04735"/>
    <w:rsid w:val="00C0478F"/>
    <w:rsid w:val="00C05DF9"/>
    <w:rsid w:val="00C064C7"/>
    <w:rsid w:val="00C0675C"/>
    <w:rsid w:val="00C06828"/>
    <w:rsid w:val="00C076EF"/>
    <w:rsid w:val="00C106BF"/>
    <w:rsid w:val="00C117B5"/>
    <w:rsid w:val="00C11C93"/>
    <w:rsid w:val="00C12495"/>
    <w:rsid w:val="00C1431F"/>
    <w:rsid w:val="00C14431"/>
    <w:rsid w:val="00C16761"/>
    <w:rsid w:val="00C17AA9"/>
    <w:rsid w:val="00C23238"/>
    <w:rsid w:val="00C23716"/>
    <w:rsid w:val="00C246AA"/>
    <w:rsid w:val="00C2569D"/>
    <w:rsid w:val="00C25FD2"/>
    <w:rsid w:val="00C26584"/>
    <w:rsid w:val="00C26C2B"/>
    <w:rsid w:val="00C2721C"/>
    <w:rsid w:val="00C273BA"/>
    <w:rsid w:val="00C31B95"/>
    <w:rsid w:val="00C32E25"/>
    <w:rsid w:val="00C33599"/>
    <w:rsid w:val="00C344AD"/>
    <w:rsid w:val="00C3487F"/>
    <w:rsid w:val="00C34C76"/>
    <w:rsid w:val="00C37099"/>
    <w:rsid w:val="00C40E02"/>
    <w:rsid w:val="00C40F48"/>
    <w:rsid w:val="00C44014"/>
    <w:rsid w:val="00C44234"/>
    <w:rsid w:val="00C45420"/>
    <w:rsid w:val="00C47874"/>
    <w:rsid w:val="00C479C9"/>
    <w:rsid w:val="00C5006B"/>
    <w:rsid w:val="00C50A86"/>
    <w:rsid w:val="00C50F98"/>
    <w:rsid w:val="00C51513"/>
    <w:rsid w:val="00C51B41"/>
    <w:rsid w:val="00C51E7B"/>
    <w:rsid w:val="00C5320F"/>
    <w:rsid w:val="00C537CC"/>
    <w:rsid w:val="00C53E42"/>
    <w:rsid w:val="00C547BA"/>
    <w:rsid w:val="00C54E9C"/>
    <w:rsid w:val="00C56839"/>
    <w:rsid w:val="00C568CE"/>
    <w:rsid w:val="00C56A9B"/>
    <w:rsid w:val="00C57332"/>
    <w:rsid w:val="00C57D83"/>
    <w:rsid w:val="00C61ED8"/>
    <w:rsid w:val="00C644F5"/>
    <w:rsid w:val="00C64CB9"/>
    <w:rsid w:val="00C65126"/>
    <w:rsid w:val="00C65558"/>
    <w:rsid w:val="00C6590A"/>
    <w:rsid w:val="00C66AAD"/>
    <w:rsid w:val="00C730AE"/>
    <w:rsid w:val="00C7334E"/>
    <w:rsid w:val="00C73447"/>
    <w:rsid w:val="00C73DB1"/>
    <w:rsid w:val="00C741E9"/>
    <w:rsid w:val="00C74825"/>
    <w:rsid w:val="00C74CBC"/>
    <w:rsid w:val="00C76FAA"/>
    <w:rsid w:val="00C8163F"/>
    <w:rsid w:val="00C8180A"/>
    <w:rsid w:val="00C81A10"/>
    <w:rsid w:val="00C83671"/>
    <w:rsid w:val="00C84D87"/>
    <w:rsid w:val="00C851A9"/>
    <w:rsid w:val="00C852F9"/>
    <w:rsid w:val="00C875A6"/>
    <w:rsid w:val="00C87CDB"/>
    <w:rsid w:val="00C90CDD"/>
    <w:rsid w:val="00C93274"/>
    <w:rsid w:val="00C937D2"/>
    <w:rsid w:val="00C96571"/>
    <w:rsid w:val="00C96D2E"/>
    <w:rsid w:val="00C973FB"/>
    <w:rsid w:val="00C9745F"/>
    <w:rsid w:val="00C97BF4"/>
    <w:rsid w:val="00CA14B9"/>
    <w:rsid w:val="00CA3135"/>
    <w:rsid w:val="00CA4287"/>
    <w:rsid w:val="00CA42AC"/>
    <w:rsid w:val="00CA4A14"/>
    <w:rsid w:val="00CA52A1"/>
    <w:rsid w:val="00CA5739"/>
    <w:rsid w:val="00CA6A72"/>
    <w:rsid w:val="00CA6D31"/>
    <w:rsid w:val="00CA75BE"/>
    <w:rsid w:val="00CB01F4"/>
    <w:rsid w:val="00CB05F4"/>
    <w:rsid w:val="00CB0F37"/>
    <w:rsid w:val="00CB1653"/>
    <w:rsid w:val="00CB1C83"/>
    <w:rsid w:val="00CB2118"/>
    <w:rsid w:val="00CB23FA"/>
    <w:rsid w:val="00CB3FDC"/>
    <w:rsid w:val="00CB44EE"/>
    <w:rsid w:val="00CB5AF8"/>
    <w:rsid w:val="00CB5C00"/>
    <w:rsid w:val="00CB5EED"/>
    <w:rsid w:val="00CB6227"/>
    <w:rsid w:val="00CB7423"/>
    <w:rsid w:val="00CB7B28"/>
    <w:rsid w:val="00CC18E6"/>
    <w:rsid w:val="00CC35D1"/>
    <w:rsid w:val="00CC3D33"/>
    <w:rsid w:val="00CC429B"/>
    <w:rsid w:val="00CC504C"/>
    <w:rsid w:val="00CC50AD"/>
    <w:rsid w:val="00CC5345"/>
    <w:rsid w:val="00CC5589"/>
    <w:rsid w:val="00CC7C38"/>
    <w:rsid w:val="00CC7D8C"/>
    <w:rsid w:val="00CD01BA"/>
    <w:rsid w:val="00CD15AC"/>
    <w:rsid w:val="00CD168E"/>
    <w:rsid w:val="00CD186A"/>
    <w:rsid w:val="00CD1891"/>
    <w:rsid w:val="00CD312D"/>
    <w:rsid w:val="00CD3337"/>
    <w:rsid w:val="00CD343C"/>
    <w:rsid w:val="00CD3F15"/>
    <w:rsid w:val="00CD521A"/>
    <w:rsid w:val="00CD6756"/>
    <w:rsid w:val="00CD6803"/>
    <w:rsid w:val="00CD70E7"/>
    <w:rsid w:val="00CE098C"/>
    <w:rsid w:val="00CE0DD1"/>
    <w:rsid w:val="00CE10FD"/>
    <w:rsid w:val="00CE2098"/>
    <w:rsid w:val="00CE355A"/>
    <w:rsid w:val="00CE3E77"/>
    <w:rsid w:val="00CE4B1B"/>
    <w:rsid w:val="00CE4D39"/>
    <w:rsid w:val="00CE5DAC"/>
    <w:rsid w:val="00CE7932"/>
    <w:rsid w:val="00CF1ADB"/>
    <w:rsid w:val="00CF29CE"/>
    <w:rsid w:val="00CF2A16"/>
    <w:rsid w:val="00CF3A03"/>
    <w:rsid w:val="00CF3A95"/>
    <w:rsid w:val="00CF543D"/>
    <w:rsid w:val="00CF553A"/>
    <w:rsid w:val="00CF5D27"/>
    <w:rsid w:val="00CF64A2"/>
    <w:rsid w:val="00CF6835"/>
    <w:rsid w:val="00CF6893"/>
    <w:rsid w:val="00CF6DF3"/>
    <w:rsid w:val="00D004C3"/>
    <w:rsid w:val="00D01466"/>
    <w:rsid w:val="00D01F31"/>
    <w:rsid w:val="00D021D8"/>
    <w:rsid w:val="00D03132"/>
    <w:rsid w:val="00D03FBB"/>
    <w:rsid w:val="00D04777"/>
    <w:rsid w:val="00D056ED"/>
    <w:rsid w:val="00D05D29"/>
    <w:rsid w:val="00D060AF"/>
    <w:rsid w:val="00D06E05"/>
    <w:rsid w:val="00D07691"/>
    <w:rsid w:val="00D10A61"/>
    <w:rsid w:val="00D11313"/>
    <w:rsid w:val="00D11BC7"/>
    <w:rsid w:val="00D11E50"/>
    <w:rsid w:val="00D121C6"/>
    <w:rsid w:val="00D1229F"/>
    <w:rsid w:val="00D12777"/>
    <w:rsid w:val="00D12B0E"/>
    <w:rsid w:val="00D14520"/>
    <w:rsid w:val="00D14791"/>
    <w:rsid w:val="00D1760C"/>
    <w:rsid w:val="00D179BB"/>
    <w:rsid w:val="00D21121"/>
    <w:rsid w:val="00D212DE"/>
    <w:rsid w:val="00D21A79"/>
    <w:rsid w:val="00D21F14"/>
    <w:rsid w:val="00D22442"/>
    <w:rsid w:val="00D22511"/>
    <w:rsid w:val="00D241CE"/>
    <w:rsid w:val="00D2439D"/>
    <w:rsid w:val="00D24C07"/>
    <w:rsid w:val="00D24D5D"/>
    <w:rsid w:val="00D26730"/>
    <w:rsid w:val="00D27A6F"/>
    <w:rsid w:val="00D27AF4"/>
    <w:rsid w:val="00D27EA3"/>
    <w:rsid w:val="00D301BF"/>
    <w:rsid w:val="00D30ABC"/>
    <w:rsid w:val="00D30BA4"/>
    <w:rsid w:val="00D31AAF"/>
    <w:rsid w:val="00D32056"/>
    <w:rsid w:val="00D32835"/>
    <w:rsid w:val="00D333A2"/>
    <w:rsid w:val="00D33578"/>
    <w:rsid w:val="00D344FA"/>
    <w:rsid w:val="00D34F29"/>
    <w:rsid w:val="00D35D57"/>
    <w:rsid w:val="00D36595"/>
    <w:rsid w:val="00D36D3F"/>
    <w:rsid w:val="00D37231"/>
    <w:rsid w:val="00D40EF2"/>
    <w:rsid w:val="00D419B5"/>
    <w:rsid w:val="00D41AAE"/>
    <w:rsid w:val="00D4306E"/>
    <w:rsid w:val="00D43367"/>
    <w:rsid w:val="00D43DD5"/>
    <w:rsid w:val="00D44A96"/>
    <w:rsid w:val="00D44B12"/>
    <w:rsid w:val="00D469A2"/>
    <w:rsid w:val="00D50244"/>
    <w:rsid w:val="00D50259"/>
    <w:rsid w:val="00D51645"/>
    <w:rsid w:val="00D537E6"/>
    <w:rsid w:val="00D53E79"/>
    <w:rsid w:val="00D54249"/>
    <w:rsid w:val="00D546FF"/>
    <w:rsid w:val="00D5484C"/>
    <w:rsid w:val="00D55B60"/>
    <w:rsid w:val="00D55E74"/>
    <w:rsid w:val="00D56BAC"/>
    <w:rsid w:val="00D56C42"/>
    <w:rsid w:val="00D5721E"/>
    <w:rsid w:val="00D57388"/>
    <w:rsid w:val="00D578EC"/>
    <w:rsid w:val="00D57D48"/>
    <w:rsid w:val="00D57E10"/>
    <w:rsid w:val="00D60B71"/>
    <w:rsid w:val="00D61BCD"/>
    <w:rsid w:val="00D622AE"/>
    <w:rsid w:val="00D63224"/>
    <w:rsid w:val="00D63E75"/>
    <w:rsid w:val="00D657B7"/>
    <w:rsid w:val="00D67513"/>
    <w:rsid w:val="00D675A9"/>
    <w:rsid w:val="00D709A6"/>
    <w:rsid w:val="00D71E74"/>
    <w:rsid w:val="00D72251"/>
    <w:rsid w:val="00D7262A"/>
    <w:rsid w:val="00D749E2"/>
    <w:rsid w:val="00D753AB"/>
    <w:rsid w:val="00D76067"/>
    <w:rsid w:val="00D76A55"/>
    <w:rsid w:val="00D77642"/>
    <w:rsid w:val="00D776E1"/>
    <w:rsid w:val="00D779C8"/>
    <w:rsid w:val="00D77A13"/>
    <w:rsid w:val="00D8068F"/>
    <w:rsid w:val="00D8098A"/>
    <w:rsid w:val="00D824A4"/>
    <w:rsid w:val="00D840F8"/>
    <w:rsid w:val="00D8414B"/>
    <w:rsid w:val="00D84317"/>
    <w:rsid w:val="00D85256"/>
    <w:rsid w:val="00D85A95"/>
    <w:rsid w:val="00D870F4"/>
    <w:rsid w:val="00D87761"/>
    <w:rsid w:val="00D87ECF"/>
    <w:rsid w:val="00D91407"/>
    <w:rsid w:val="00D91FAF"/>
    <w:rsid w:val="00D922C1"/>
    <w:rsid w:val="00D92B93"/>
    <w:rsid w:val="00D93263"/>
    <w:rsid w:val="00D938B7"/>
    <w:rsid w:val="00D944EF"/>
    <w:rsid w:val="00D946FF"/>
    <w:rsid w:val="00D94F98"/>
    <w:rsid w:val="00D956F0"/>
    <w:rsid w:val="00D95E37"/>
    <w:rsid w:val="00D9667D"/>
    <w:rsid w:val="00D96E88"/>
    <w:rsid w:val="00DA0F93"/>
    <w:rsid w:val="00DA110E"/>
    <w:rsid w:val="00DA12FF"/>
    <w:rsid w:val="00DA17D7"/>
    <w:rsid w:val="00DA2768"/>
    <w:rsid w:val="00DA34DD"/>
    <w:rsid w:val="00DA4054"/>
    <w:rsid w:val="00DA518E"/>
    <w:rsid w:val="00DA5240"/>
    <w:rsid w:val="00DA53DE"/>
    <w:rsid w:val="00DA5BFF"/>
    <w:rsid w:val="00DA5DFD"/>
    <w:rsid w:val="00DA6783"/>
    <w:rsid w:val="00DA70E1"/>
    <w:rsid w:val="00DA75BF"/>
    <w:rsid w:val="00DA7713"/>
    <w:rsid w:val="00DA795B"/>
    <w:rsid w:val="00DB17B4"/>
    <w:rsid w:val="00DB1B99"/>
    <w:rsid w:val="00DB1E1E"/>
    <w:rsid w:val="00DB2667"/>
    <w:rsid w:val="00DB28DF"/>
    <w:rsid w:val="00DB36D5"/>
    <w:rsid w:val="00DB3A36"/>
    <w:rsid w:val="00DB4C7F"/>
    <w:rsid w:val="00DB4E24"/>
    <w:rsid w:val="00DB571F"/>
    <w:rsid w:val="00DB5851"/>
    <w:rsid w:val="00DB7A73"/>
    <w:rsid w:val="00DC03EA"/>
    <w:rsid w:val="00DC06FC"/>
    <w:rsid w:val="00DC0E29"/>
    <w:rsid w:val="00DC113E"/>
    <w:rsid w:val="00DC14A6"/>
    <w:rsid w:val="00DC17CD"/>
    <w:rsid w:val="00DC181D"/>
    <w:rsid w:val="00DC1DC6"/>
    <w:rsid w:val="00DC27D4"/>
    <w:rsid w:val="00DC2A2E"/>
    <w:rsid w:val="00DC467D"/>
    <w:rsid w:val="00DC4925"/>
    <w:rsid w:val="00DC68D0"/>
    <w:rsid w:val="00DC6935"/>
    <w:rsid w:val="00DD092F"/>
    <w:rsid w:val="00DD0959"/>
    <w:rsid w:val="00DD09CF"/>
    <w:rsid w:val="00DD0BC5"/>
    <w:rsid w:val="00DD163C"/>
    <w:rsid w:val="00DD1AE0"/>
    <w:rsid w:val="00DD2E20"/>
    <w:rsid w:val="00DD2E70"/>
    <w:rsid w:val="00DD30AE"/>
    <w:rsid w:val="00DD32DA"/>
    <w:rsid w:val="00DD3467"/>
    <w:rsid w:val="00DD3ABC"/>
    <w:rsid w:val="00DD5155"/>
    <w:rsid w:val="00DD5189"/>
    <w:rsid w:val="00DD5A7A"/>
    <w:rsid w:val="00DD5B0A"/>
    <w:rsid w:val="00DD6E2B"/>
    <w:rsid w:val="00DD7BC7"/>
    <w:rsid w:val="00DD7E13"/>
    <w:rsid w:val="00DE0CBE"/>
    <w:rsid w:val="00DE11CA"/>
    <w:rsid w:val="00DE19C4"/>
    <w:rsid w:val="00DE2A39"/>
    <w:rsid w:val="00DE3ECE"/>
    <w:rsid w:val="00DE4A09"/>
    <w:rsid w:val="00DE4EDF"/>
    <w:rsid w:val="00DE5170"/>
    <w:rsid w:val="00DE53CD"/>
    <w:rsid w:val="00DE57C6"/>
    <w:rsid w:val="00DE5FC1"/>
    <w:rsid w:val="00DE6294"/>
    <w:rsid w:val="00DE6601"/>
    <w:rsid w:val="00DE68D6"/>
    <w:rsid w:val="00DE6B5B"/>
    <w:rsid w:val="00DE6CA8"/>
    <w:rsid w:val="00DE6EC1"/>
    <w:rsid w:val="00DE71EF"/>
    <w:rsid w:val="00DE781D"/>
    <w:rsid w:val="00DE78D2"/>
    <w:rsid w:val="00DE7B85"/>
    <w:rsid w:val="00DE7BE9"/>
    <w:rsid w:val="00DF0976"/>
    <w:rsid w:val="00DF10F9"/>
    <w:rsid w:val="00DF1320"/>
    <w:rsid w:val="00DF1DCE"/>
    <w:rsid w:val="00DF3B05"/>
    <w:rsid w:val="00DF4992"/>
    <w:rsid w:val="00DF4ECF"/>
    <w:rsid w:val="00DF5789"/>
    <w:rsid w:val="00DF5861"/>
    <w:rsid w:val="00DF6A08"/>
    <w:rsid w:val="00E00028"/>
    <w:rsid w:val="00E00663"/>
    <w:rsid w:val="00E00F17"/>
    <w:rsid w:val="00E014CE"/>
    <w:rsid w:val="00E01C2F"/>
    <w:rsid w:val="00E022EA"/>
    <w:rsid w:val="00E02908"/>
    <w:rsid w:val="00E0296D"/>
    <w:rsid w:val="00E04DF5"/>
    <w:rsid w:val="00E0500E"/>
    <w:rsid w:val="00E06664"/>
    <w:rsid w:val="00E0673E"/>
    <w:rsid w:val="00E06916"/>
    <w:rsid w:val="00E073CB"/>
    <w:rsid w:val="00E07DA0"/>
    <w:rsid w:val="00E07EEF"/>
    <w:rsid w:val="00E07F9D"/>
    <w:rsid w:val="00E12D64"/>
    <w:rsid w:val="00E13164"/>
    <w:rsid w:val="00E15424"/>
    <w:rsid w:val="00E2016F"/>
    <w:rsid w:val="00E20606"/>
    <w:rsid w:val="00E20E32"/>
    <w:rsid w:val="00E21941"/>
    <w:rsid w:val="00E2199F"/>
    <w:rsid w:val="00E21BDB"/>
    <w:rsid w:val="00E2299D"/>
    <w:rsid w:val="00E229CF"/>
    <w:rsid w:val="00E232D4"/>
    <w:rsid w:val="00E23867"/>
    <w:rsid w:val="00E23A7D"/>
    <w:rsid w:val="00E23F99"/>
    <w:rsid w:val="00E24070"/>
    <w:rsid w:val="00E25D1F"/>
    <w:rsid w:val="00E260DB"/>
    <w:rsid w:val="00E270AF"/>
    <w:rsid w:val="00E3085C"/>
    <w:rsid w:val="00E30D95"/>
    <w:rsid w:val="00E31EFB"/>
    <w:rsid w:val="00E33D00"/>
    <w:rsid w:val="00E34257"/>
    <w:rsid w:val="00E34EF3"/>
    <w:rsid w:val="00E36352"/>
    <w:rsid w:val="00E370FB"/>
    <w:rsid w:val="00E408AA"/>
    <w:rsid w:val="00E40F80"/>
    <w:rsid w:val="00E42273"/>
    <w:rsid w:val="00E42BB7"/>
    <w:rsid w:val="00E447D9"/>
    <w:rsid w:val="00E45A83"/>
    <w:rsid w:val="00E50027"/>
    <w:rsid w:val="00E50161"/>
    <w:rsid w:val="00E510FE"/>
    <w:rsid w:val="00E514A5"/>
    <w:rsid w:val="00E51623"/>
    <w:rsid w:val="00E51956"/>
    <w:rsid w:val="00E51A29"/>
    <w:rsid w:val="00E52682"/>
    <w:rsid w:val="00E52C2C"/>
    <w:rsid w:val="00E52F02"/>
    <w:rsid w:val="00E53558"/>
    <w:rsid w:val="00E53D06"/>
    <w:rsid w:val="00E54997"/>
    <w:rsid w:val="00E549A6"/>
    <w:rsid w:val="00E55143"/>
    <w:rsid w:val="00E55AF3"/>
    <w:rsid w:val="00E567CD"/>
    <w:rsid w:val="00E6055A"/>
    <w:rsid w:val="00E606D8"/>
    <w:rsid w:val="00E617AE"/>
    <w:rsid w:val="00E61D75"/>
    <w:rsid w:val="00E624B9"/>
    <w:rsid w:val="00E649B6"/>
    <w:rsid w:val="00E651A6"/>
    <w:rsid w:val="00E65387"/>
    <w:rsid w:val="00E65C14"/>
    <w:rsid w:val="00E6646D"/>
    <w:rsid w:val="00E67665"/>
    <w:rsid w:val="00E713E1"/>
    <w:rsid w:val="00E71C13"/>
    <w:rsid w:val="00E72675"/>
    <w:rsid w:val="00E72863"/>
    <w:rsid w:val="00E736BF"/>
    <w:rsid w:val="00E74259"/>
    <w:rsid w:val="00E7538B"/>
    <w:rsid w:val="00E75EEF"/>
    <w:rsid w:val="00E800E4"/>
    <w:rsid w:val="00E80814"/>
    <w:rsid w:val="00E812AE"/>
    <w:rsid w:val="00E818D6"/>
    <w:rsid w:val="00E81C8B"/>
    <w:rsid w:val="00E8219A"/>
    <w:rsid w:val="00E84510"/>
    <w:rsid w:val="00E84E14"/>
    <w:rsid w:val="00E86902"/>
    <w:rsid w:val="00E8704F"/>
    <w:rsid w:val="00E87356"/>
    <w:rsid w:val="00E908E1"/>
    <w:rsid w:val="00E90D0A"/>
    <w:rsid w:val="00E9124C"/>
    <w:rsid w:val="00E93836"/>
    <w:rsid w:val="00E94841"/>
    <w:rsid w:val="00E9536A"/>
    <w:rsid w:val="00E9548B"/>
    <w:rsid w:val="00E96E19"/>
    <w:rsid w:val="00EA0404"/>
    <w:rsid w:val="00EA2F6C"/>
    <w:rsid w:val="00EA42EE"/>
    <w:rsid w:val="00EA500C"/>
    <w:rsid w:val="00EA5069"/>
    <w:rsid w:val="00EA581E"/>
    <w:rsid w:val="00EA642A"/>
    <w:rsid w:val="00EA7799"/>
    <w:rsid w:val="00EB00FC"/>
    <w:rsid w:val="00EB07D2"/>
    <w:rsid w:val="00EB11D0"/>
    <w:rsid w:val="00EB2868"/>
    <w:rsid w:val="00EB54CF"/>
    <w:rsid w:val="00EB5CA1"/>
    <w:rsid w:val="00EB65E4"/>
    <w:rsid w:val="00EB6B48"/>
    <w:rsid w:val="00EC0CAF"/>
    <w:rsid w:val="00EC236F"/>
    <w:rsid w:val="00EC3044"/>
    <w:rsid w:val="00EC3522"/>
    <w:rsid w:val="00EC3914"/>
    <w:rsid w:val="00EC3FF1"/>
    <w:rsid w:val="00EC476D"/>
    <w:rsid w:val="00EC4BA8"/>
    <w:rsid w:val="00EC5478"/>
    <w:rsid w:val="00EC6898"/>
    <w:rsid w:val="00EC74C6"/>
    <w:rsid w:val="00ED1061"/>
    <w:rsid w:val="00ED1590"/>
    <w:rsid w:val="00ED1CB9"/>
    <w:rsid w:val="00ED203B"/>
    <w:rsid w:val="00ED2244"/>
    <w:rsid w:val="00ED33CD"/>
    <w:rsid w:val="00ED3A1C"/>
    <w:rsid w:val="00ED3FFA"/>
    <w:rsid w:val="00ED42A9"/>
    <w:rsid w:val="00ED50AE"/>
    <w:rsid w:val="00ED676B"/>
    <w:rsid w:val="00ED72A6"/>
    <w:rsid w:val="00ED7B04"/>
    <w:rsid w:val="00EE0FB3"/>
    <w:rsid w:val="00EE1158"/>
    <w:rsid w:val="00EE2F92"/>
    <w:rsid w:val="00EE42AC"/>
    <w:rsid w:val="00EE44BC"/>
    <w:rsid w:val="00EE59BC"/>
    <w:rsid w:val="00EE6F84"/>
    <w:rsid w:val="00EE7E6A"/>
    <w:rsid w:val="00EF00AD"/>
    <w:rsid w:val="00EF116A"/>
    <w:rsid w:val="00EF1939"/>
    <w:rsid w:val="00EF3D60"/>
    <w:rsid w:val="00EF4D5F"/>
    <w:rsid w:val="00EF59A0"/>
    <w:rsid w:val="00EF72DD"/>
    <w:rsid w:val="00EF7C11"/>
    <w:rsid w:val="00F008E0"/>
    <w:rsid w:val="00F01216"/>
    <w:rsid w:val="00F01778"/>
    <w:rsid w:val="00F019A6"/>
    <w:rsid w:val="00F02906"/>
    <w:rsid w:val="00F05084"/>
    <w:rsid w:val="00F055B4"/>
    <w:rsid w:val="00F055EA"/>
    <w:rsid w:val="00F05994"/>
    <w:rsid w:val="00F103AF"/>
    <w:rsid w:val="00F109A2"/>
    <w:rsid w:val="00F10B4D"/>
    <w:rsid w:val="00F11A07"/>
    <w:rsid w:val="00F11DEF"/>
    <w:rsid w:val="00F1274D"/>
    <w:rsid w:val="00F13036"/>
    <w:rsid w:val="00F1394A"/>
    <w:rsid w:val="00F13B07"/>
    <w:rsid w:val="00F15736"/>
    <w:rsid w:val="00F15B8D"/>
    <w:rsid w:val="00F1610E"/>
    <w:rsid w:val="00F1667C"/>
    <w:rsid w:val="00F17BB4"/>
    <w:rsid w:val="00F20064"/>
    <w:rsid w:val="00F20F82"/>
    <w:rsid w:val="00F22765"/>
    <w:rsid w:val="00F227A3"/>
    <w:rsid w:val="00F22D19"/>
    <w:rsid w:val="00F22E12"/>
    <w:rsid w:val="00F24133"/>
    <w:rsid w:val="00F24294"/>
    <w:rsid w:val="00F250F7"/>
    <w:rsid w:val="00F25676"/>
    <w:rsid w:val="00F25BBB"/>
    <w:rsid w:val="00F266B7"/>
    <w:rsid w:val="00F26DC5"/>
    <w:rsid w:val="00F27561"/>
    <w:rsid w:val="00F27CD1"/>
    <w:rsid w:val="00F304E8"/>
    <w:rsid w:val="00F30695"/>
    <w:rsid w:val="00F32098"/>
    <w:rsid w:val="00F32491"/>
    <w:rsid w:val="00F34987"/>
    <w:rsid w:val="00F35144"/>
    <w:rsid w:val="00F35C4C"/>
    <w:rsid w:val="00F35F4E"/>
    <w:rsid w:val="00F3756D"/>
    <w:rsid w:val="00F4109B"/>
    <w:rsid w:val="00F4129F"/>
    <w:rsid w:val="00F41E6F"/>
    <w:rsid w:val="00F42894"/>
    <w:rsid w:val="00F44276"/>
    <w:rsid w:val="00F444D1"/>
    <w:rsid w:val="00F447E7"/>
    <w:rsid w:val="00F44932"/>
    <w:rsid w:val="00F45602"/>
    <w:rsid w:val="00F46D44"/>
    <w:rsid w:val="00F47840"/>
    <w:rsid w:val="00F51383"/>
    <w:rsid w:val="00F5182C"/>
    <w:rsid w:val="00F51E2F"/>
    <w:rsid w:val="00F5202D"/>
    <w:rsid w:val="00F522F6"/>
    <w:rsid w:val="00F52CDB"/>
    <w:rsid w:val="00F53FAF"/>
    <w:rsid w:val="00F547EC"/>
    <w:rsid w:val="00F54D95"/>
    <w:rsid w:val="00F55773"/>
    <w:rsid w:val="00F5618B"/>
    <w:rsid w:val="00F61330"/>
    <w:rsid w:val="00F614AA"/>
    <w:rsid w:val="00F61ED3"/>
    <w:rsid w:val="00F62C76"/>
    <w:rsid w:val="00F63331"/>
    <w:rsid w:val="00F635EF"/>
    <w:rsid w:val="00F639B3"/>
    <w:rsid w:val="00F63B57"/>
    <w:rsid w:val="00F64239"/>
    <w:rsid w:val="00F64D03"/>
    <w:rsid w:val="00F652B9"/>
    <w:rsid w:val="00F66644"/>
    <w:rsid w:val="00F66A64"/>
    <w:rsid w:val="00F679A9"/>
    <w:rsid w:val="00F67EA7"/>
    <w:rsid w:val="00F70E0B"/>
    <w:rsid w:val="00F71041"/>
    <w:rsid w:val="00F717BD"/>
    <w:rsid w:val="00F71C9B"/>
    <w:rsid w:val="00F71D97"/>
    <w:rsid w:val="00F72346"/>
    <w:rsid w:val="00F74136"/>
    <w:rsid w:val="00F7464C"/>
    <w:rsid w:val="00F810D2"/>
    <w:rsid w:val="00F81640"/>
    <w:rsid w:val="00F81A6A"/>
    <w:rsid w:val="00F822E2"/>
    <w:rsid w:val="00F8367A"/>
    <w:rsid w:val="00F85880"/>
    <w:rsid w:val="00F869AB"/>
    <w:rsid w:val="00F86F1D"/>
    <w:rsid w:val="00F8707D"/>
    <w:rsid w:val="00F8721D"/>
    <w:rsid w:val="00F877EA"/>
    <w:rsid w:val="00F903DD"/>
    <w:rsid w:val="00F90E90"/>
    <w:rsid w:val="00F91CED"/>
    <w:rsid w:val="00F95427"/>
    <w:rsid w:val="00F967CE"/>
    <w:rsid w:val="00F96AAC"/>
    <w:rsid w:val="00F96EB0"/>
    <w:rsid w:val="00F97BF5"/>
    <w:rsid w:val="00FA0ABD"/>
    <w:rsid w:val="00FA297B"/>
    <w:rsid w:val="00FA2F91"/>
    <w:rsid w:val="00FA40F7"/>
    <w:rsid w:val="00FA4F0B"/>
    <w:rsid w:val="00FA550D"/>
    <w:rsid w:val="00FA5FBE"/>
    <w:rsid w:val="00FA61EB"/>
    <w:rsid w:val="00FA656A"/>
    <w:rsid w:val="00FA69DD"/>
    <w:rsid w:val="00FA70D5"/>
    <w:rsid w:val="00FA7D74"/>
    <w:rsid w:val="00FB0868"/>
    <w:rsid w:val="00FB1FF0"/>
    <w:rsid w:val="00FB237E"/>
    <w:rsid w:val="00FB3368"/>
    <w:rsid w:val="00FB4A9D"/>
    <w:rsid w:val="00FB51FE"/>
    <w:rsid w:val="00FC1288"/>
    <w:rsid w:val="00FC1F9A"/>
    <w:rsid w:val="00FC242C"/>
    <w:rsid w:val="00FC2970"/>
    <w:rsid w:val="00FC2A95"/>
    <w:rsid w:val="00FC2E25"/>
    <w:rsid w:val="00FC34F9"/>
    <w:rsid w:val="00FC6938"/>
    <w:rsid w:val="00FD00DD"/>
    <w:rsid w:val="00FD0383"/>
    <w:rsid w:val="00FD0C40"/>
    <w:rsid w:val="00FD197B"/>
    <w:rsid w:val="00FD1BCF"/>
    <w:rsid w:val="00FD21AB"/>
    <w:rsid w:val="00FD3189"/>
    <w:rsid w:val="00FD4697"/>
    <w:rsid w:val="00FD5082"/>
    <w:rsid w:val="00FD58AB"/>
    <w:rsid w:val="00FD5CF8"/>
    <w:rsid w:val="00FD609A"/>
    <w:rsid w:val="00FD70A6"/>
    <w:rsid w:val="00FD76B6"/>
    <w:rsid w:val="00FD7DCD"/>
    <w:rsid w:val="00FE2CA9"/>
    <w:rsid w:val="00FE33B5"/>
    <w:rsid w:val="00FE4CAC"/>
    <w:rsid w:val="00FE7E7D"/>
    <w:rsid w:val="00FF0BBE"/>
    <w:rsid w:val="00FF1CD6"/>
    <w:rsid w:val="00FF20B8"/>
    <w:rsid w:val="00FF2600"/>
    <w:rsid w:val="00FF293E"/>
    <w:rsid w:val="00FF425A"/>
    <w:rsid w:val="00FF52CA"/>
    <w:rsid w:val="00FF540E"/>
    <w:rsid w:val="00FF5AE5"/>
    <w:rsid w:val="00FF6187"/>
    <w:rsid w:val="00FF6695"/>
    <w:rsid w:val="00FF70E6"/>
    <w:rsid w:val="00FF7F37"/>
    <w:rsid w:val="014F3C41"/>
    <w:rsid w:val="01727C86"/>
    <w:rsid w:val="01757D6C"/>
    <w:rsid w:val="01992D53"/>
    <w:rsid w:val="01B67A50"/>
    <w:rsid w:val="01C603F3"/>
    <w:rsid w:val="02350FD7"/>
    <w:rsid w:val="026D5A4E"/>
    <w:rsid w:val="027F08F6"/>
    <w:rsid w:val="02866093"/>
    <w:rsid w:val="02985DC6"/>
    <w:rsid w:val="029C3C3D"/>
    <w:rsid w:val="02AF35B9"/>
    <w:rsid w:val="02D7069C"/>
    <w:rsid w:val="02DB5B22"/>
    <w:rsid w:val="02E2117E"/>
    <w:rsid w:val="02EA0C52"/>
    <w:rsid w:val="02EF31FC"/>
    <w:rsid w:val="03174F3D"/>
    <w:rsid w:val="031D5029"/>
    <w:rsid w:val="031F5CB1"/>
    <w:rsid w:val="032510F8"/>
    <w:rsid w:val="03423A5A"/>
    <w:rsid w:val="035C6DF3"/>
    <w:rsid w:val="03745A07"/>
    <w:rsid w:val="038F6F0F"/>
    <w:rsid w:val="03A41A2E"/>
    <w:rsid w:val="03B67A42"/>
    <w:rsid w:val="03BC3FA3"/>
    <w:rsid w:val="03CD7699"/>
    <w:rsid w:val="03D05B32"/>
    <w:rsid w:val="0403263B"/>
    <w:rsid w:val="042947BD"/>
    <w:rsid w:val="0453546B"/>
    <w:rsid w:val="045A3333"/>
    <w:rsid w:val="047D1717"/>
    <w:rsid w:val="048D3660"/>
    <w:rsid w:val="049F168E"/>
    <w:rsid w:val="04D75C17"/>
    <w:rsid w:val="04DF51E5"/>
    <w:rsid w:val="04F67264"/>
    <w:rsid w:val="05057FD0"/>
    <w:rsid w:val="054E0A7B"/>
    <w:rsid w:val="055D1082"/>
    <w:rsid w:val="058118D7"/>
    <w:rsid w:val="05B6173B"/>
    <w:rsid w:val="05BA22D5"/>
    <w:rsid w:val="05BF087E"/>
    <w:rsid w:val="05EE13C9"/>
    <w:rsid w:val="05F525E4"/>
    <w:rsid w:val="05FE5366"/>
    <w:rsid w:val="060D2627"/>
    <w:rsid w:val="0620398B"/>
    <w:rsid w:val="063548D6"/>
    <w:rsid w:val="06361B7E"/>
    <w:rsid w:val="065E0D7E"/>
    <w:rsid w:val="068F508F"/>
    <w:rsid w:val="06950D02"/>
    <w:rsid w:val="06B16195"/>
    <w:rsid w:val="07117C41"/>
    <w:rsid w:val="074B6944"/>
    <w:rsid w:val="077B122A"/>
    <w:rsid w:val="07AE5867"/>
    <w:rsid w:val="07CA6A37"/>
    <w:rsid w:val="07FA45B7"/>
    <w:rsid w:val="086E55FF"/>
    <w:rsid w:val="08724C55"/>
    <w:rsid w:val="08730E67"/>
    <w:rsid w:val="0880043F"/>
    <w:rsid w:val="08B123F7"/>
    <w:rsid w:val="08C23B9D"/>
    <w:rsid w:val="093A7BD7"/>
    <w:rsid w:val="09931095"/>
    <w:rsid w:val="09CE6E57"/>
    <w:rsid w:val="09F94F4C"/>
    <w:rsid w:val="09FC6A4A"/>
    <w:rsid w:val="0A3C350E"/>
    <w:rsid w:val="0A3F353B"/>
    <w:rsid w:val="0AB67731"/>
    <w:rsid w:val="0AB74171"/>
    <w:rsid w:val="0AC72D79"/>
    <w:rsid w:val="0AE376A1"/>
    <w:rsid w:val="0AEB73DB"/>
    <w:rsid w:val="0B162392"/>
    <w:rsid w:val="0B4E4A5D"/>
    <w:rsid w:val="0B7D1AED"/>
    <w:rsid w:val="0B9C2483"/>
    <w:rsid w:val="0BB440E1"/>
    <w:rsid w:val="0C0B13B7"/>
    <w:rsid w:val="0C3E4E01"/>
    <w:rsid w:val="0C835496"/>
    <w:rsid w:val="0CE770D5"/>
    <w:rsid w:val="0CFB26C2"/>
    <w:rsid w:val="0D1D6ADC"/>
    <w:rsid w:val="0D305579"/>
    <w:rsid w:val="0D3C1AAA"/>
    <w:rsid w:val="0D680BE0"/>
    <w:rsid w:val="0DA447BB"/>
    <w:rsid w:val="0DDE6EB8"/>
    <w:rsid w:val="0DFF388F"/>
    <w:rsid w:val="0E232C28"/>
    <w:rsid w:val="0E2350DD"/>
    <w:rsid w:val="0E2E129C"/>
    <w:rsid w:val="0E574EDB"/>
    <w:rsid w:val="0E5A5605"/>
    <w:rsid w:val="0E5C4985"/>
    <w:rsid w:val="0E7A5896"/>
    <w:rsid w:val="0EA0127C"/>
    <w:rsid w:val="0EBC177A"/>
    <w:rsid w:val="0ED308B1"/>
    <w:rsid w:val="0EEB6FFF"/>
    <w:rsid w:val="0F6760B8"/>
    <w:rsid w:val="0F6D010C"/>
    <w:rsid w:val="0F735BCE"/>
    <w:rsid w:val="0F911464"/>
    <w:rsid w:val="10516577"/>
    <w:rsid w:val="105A72C5"/>
    <w:rsid w:val="107463E5"/>
    <w:rsid w:val="10C74658"/>
    <w:rsid w:val="10E70644"/>
    <w:rsid w:val="10EF29DA"/>
    <w:rsid w:val="115B43B6"/>
    <w:rsid w:val="11742577"/>
    <w:rsid w:val="11B7057C"/>
    <w:rsid w:val="11D91672"/>
    <w:rsid w:val="11DF756D"/>
    <w:rsid w:val="11EC514B"/>
    <w:rsid w:val="11F25627"/>
    <w:rsid w:val="1234148C"/>
    <w:rsid w:val="12371A06"/>
    <w:rsid w:val="123C4ABE"/>
    <w:rsid w:val="12CF5795"/>
    <w:rsid w:val="13061A78"/>
    <w:rsid w:val="130F3B9D"/>
    <w:rsid w:val="133C6704"/>
    <w:rsid w:val="13630A49"/>
    <w:rsid w:val="13BD3F47"/>
    <w:rsid w:val="13BE1D53"/>
    <w:rsid w:val="13D83915"/>
    <w:rsid w:val="13D9596F"/>
    <w:rsid w:val="141605EF"/>
    <w:rsid w:val="144731A8"/>
    <w:rsid w:val="145427FA"/>
    <w:rsid w:val="14926B19"/>
    <w:rsid w:val="14AC3604"/>
    <w:rsid w:val="14DD7CE7"/>
    <w:rsid w:val="14F21366"/>
    <w:rsid w:val="14FD37CF"/>
    <w:rsid w:val="155A1E17"/>
    <w:rsid w:val="1565422D"/>
    <w:rsid w:val="158445F0"/>
    <w:rsid w:val="158A5B65"/>
    <w:rsid w:val="164A6478"/>
    <w:rsid w:val="165E0F95"/>
    <w:rsid w:val="166516F8"/>
    <w:rsid w:val="16946CC5"/>
    <w:rsid w:val="16CB3D75"/>
    <w:rsid w:val="16FF3191"/>
    <w:rsid w:val="17077FD1"/>
    <w:rsid w:val="170A3665"/>
    <w:rsid w:val="17664E76"/>
    <w:rsid w:val="177C7763"/>
    <w:rsid w:val="17900032"/>
    <w:rsid w:val="17927295"/>
    <w:rsid w:val="17B14BF9"/>
    <w:rsid w:val="17C52E06"/>
    <w:rsid w:val="17CA36C8"/>
    <w:rsid w:val="17FB5A34"/>
    <w:rsid w:val="184360FD"/>
    <w:rsid w:val="189D479A"/>
    <w:rsid w:val="18BA03EC"/>
    <w:rsid w:val="18BD7169"/>
    <w:rsid w:val="18D1647F"/>
    <w:rsid w:val="18D86D91"/>
    <w:rsid w:val="1908025D"/>
    <w:rsid w:val="191D4766"/>
    <w:rsid w:val="196C1720"/>
    <w:rsid w:val="19CD084B"/>
    <w:rsid w:val="19D6028A"/>
    <w:rsid w:val="19D878BC"/>
    <w:rsid w:val="19E77C11"/>
    <w:rsid w:val="19EF538C"/>
    <w:rsid w:val="19EF6927"/>
    <w:rsid w:val="1A0924D1"/>
    <w:rsid w:val="1A1C0FE1"/>
    <w:rsid w:val="1A851FB4"/>
    <w:rsid w:val="1A88384B"/>
    <w:rsid w:val="1AD872CD"/>
    <w:rsid w:val="1AD91676"/>
    <w:rsid w:val="1AE70EEC"/>
    <w:rsid w:val="1AEF3094"/>
    <w:rsid w:val="1AFA71C6"/>
    <w:rsid w:val="1B14076F"/>
    <w:rsid w:val="1B565609"/>
    <w:rsid w:val="1B5A4640"/>
    <w:rsid w:val="1BA81D0B"/>
    <w:rsid w:val="1BA82F7A"/>
    <w:rsid w:val="1BAD4238"/>
    <w:rsid w:val="1C4D14DD"/>
    <w:rsid w:val="1C612B8E"/>
    <w:rsid w:val="1C7F5BD5"/>
    <w:rsid w:val="1C9F1DD3"/>
    <w:rsid w:val="1CB50917"/>
    <w:rsid w:val="1CCB706C"/>
    <w:rsid w:val="1CEA7476"/>
    <w:rsid w:val="1CF245F9"/>
    <w:rsid w:val="1CFA525B"/>
    <w:rsid w:val="1CFC2CF4"/>
    <w:rsid w:val="1D8A7DED"/>
    <w:rsid w:val="1DAF4EEB"/>
    <w:rsid w:val="1DBE44DB"/>
    <w:rsid w:val="1DE975C0"/>
    <w:rsid w:val="1DF3679B"/>
    <w:rsid w:val="1DFB7351"/>
    <w:rsid w:val="1E07540F"/>
    <w:rsid w:val="1EF676C0"/>
    <w:rsid w:val="1F0C32E7"/>
    <w:rsid w:val="1F4F1BB6"/>
    <w:rsid w:val="1F5910C8"/>
    <w:rsid w:val="1F5E0C8E"/>
    <w:rsid w:val="1F7603E0"/>
    <w:rsid w:val="1F812CE9"/>
    <w:rsid w:val="1F8B42E9"/>
    <w:rsid w:val="1F974EC1"/>
    <w:rsid w:val="1FBF47A2"/>
    <w:rsid w:val="1FFE72CB"/>
    <w:rsid w:val="20062169"/>
    <w:rsid w:val="200D799B"/>
    <w:rsid w:val="20113134"/>
    <w:rsid w:val="2017074E"/>
    <w:rsid w:val="2025071F"/>
    <w:rsid w:val="20407429"/>
    <w:rsid w:val="20C133F8"/>
    <w:rsid w:val="20F54E29"/>
    <w:rsid w:val="212030D7"/>
    <w:rsid w:val="212874CF"/>
    <w:rsid w:val="213825F5"/>
    <w:rsid w:val="217A0581"/>
    <w:rsid w:val="217E667A"/>
    <w:rsid w:val="218D656F"/>
    <w:rsid w:val="21F93FD6"/>
    <w:rsid w:val="220723E7"/>
    <w:rsid w:val="221657FC"/>
    <w:rsid w:val="22325497"/>
    <w:rsid w:val="224131F3"/>
    <w:rsid w:val="22486578"/>
    <w:rsid w:val="22575D40"/>
    <w:rsid w:val="226C09A9"/>
    <w:rsid w:val="229B4DEB"/>
    <w:rsid w:val="22B537C3"/>
    <w:rsid w:val="22BB54C1"/>
    <w:rsid w:val="22CB180A"/>
    <w:rsid w:val="22D82200"/>
    <w:rsid w:val="22FA7F98"/>
    <w:rsid w:val="232B2612"/>
    <w:rsid w:val="23482EEF"/>
    <w:rsid w:val="235653D0"/>
    <w:rsid w:val="235D2862"/>
    <w:rsid w:val="23A41D2F"/>
    <w:rsid w:val="23D42997"/>
    <w:rsid w:val="23DB32E7"/>
    <w:rsid w:val="23E915D2"/>
    <w:rsid w:val="24064469"/>
    <w:rsid w:val="240F3266"/>
    <w:rsid w:val="241B13FE"/>
    <w:rsid w:val="241E0D30"/>
    <w:rsid w:val="24466FD8"/>
    <w:rsid w:val="24661BDD"/>
    <w:rsid w:val="24716EF0"/>
    <w:rsid w:val="248E3FF4"/>
    <w:rsid w:val="249A411D"/>
    <w:rsid w:val="249D6CB2"/>
    <w:rsid w:val="24CE08C5"/>
    <w:rsid w:val="251C2B8E"/>
    <w:rsid w:val="252B59D4"/>
    <w:rsid w:val="256C6F17"/>
    <w:rsid w:val="257819E3"/>
    <w:rsid w:val="25F36546"/>
    <w:rsid w:val="26362C80"/>
    <w:rsid w:val="265255B2"/>
    <w:rsid w:val="26C9354C"/>
    <w:rsid w:val="26DE5BEE"/>
    <w:rsid w:val="27273C38"/>
    <w:rsid w:val="27314368"/>
    <w:rsid w:val="273870AC"/>
    <w:rsid w:val="273C6F37"/>
    <w:rsid w:val="275B006D"/>
    <w:rsid w:val="27657964"/>
    <w:rsid w:val="27697725"/>
    <w:rsid w:val="277A4090"/>
    <w:rsid w:val="278A18F4"/>
    <w:rsid w:val="27E15995"/>
    <w:rsid w:val="286A13F2"/>
    <w:rsid w:val="28780AC6"/>
    <w:rsid w:val="288E5833"/>
    <w:rsid w:val="28DD322B"/>
    <w:rsid w:val="28F42A99"/>
    <w:rsid w:val="293526AA"/>
    <w:rsid w:val="293F675B"/>
    <w:rsid w:val="293F7FDE"/>
    <w:rsid w:val="295A2FA1"/>
    <w:rsid w:val="29A22701"/>
    <w:rsid w:val="29BA46F0"/>
    <w:rsid w:val="29C323D4"/>
    <w:rsid w:val="29EC73A5"/>
    <w:rsid w:val="2A3A42FE"/>
    <w:rsid w:val="2AA10CE0"/>
    <w:rsid w:val="2AAD67A9"/>
    <w:rsid w:val="2AC64CD7"/>
    <w:rsid w:val="2AFE0F78"/>
    <w:rsid w:val="2B1271EB"/>
    <w:rsid w:val="2B2331EA"/>
    <w:rsid w:val="2B2E70E5"/>
    <w:rsid w:val="2B30453E"/>
    <w:rsid w:val="2B7E2F46"/>
    <w:rsid w:val="2BAE26FB"/>
    <w:rsid w:val="2BB46778"/>
    <w:rsid w:val="2BCD0AE0"/>
    <w:rsid w:val="2C134FE1"/>
    <w:rsid w:val="2C2514B1"/>
    <w:rsid w:val="2C3B6A04"/>
    <w:rsid w:val="2C3E2C4C"/>
    <w:rsid w:val="2C444745"/>
    <w:rsid w:val="2C5021B7"/>
    <w:rsid w:val="2C73502A"/>
    <w:rsid w:val="2C792640"/>
    <w:rsid w:val="2C8E561B"/>
    <w:rsid w:val="2C932C69"/>
    <w:rsid w:val="2C9F2A67"/>
    <w:rsid w:val="2D1A5BEB"/>
    <w:rsid w:val="2D227DC7"/>
    <w:rsid w:val="2D2845BC"/>
    <w:rsid w:val="2D2E73A1"/>
    <w:rsid w:val="2D607D3B"/>
    <w:rsid w:val="2D956272"/>
    <w:rsid w:val="2D9C188C"/>
    <w:rsid w:val="2D9D410D"/>
    <w:rsid w:val="2DC34A81"/>
    <w:rsid w:val="2DCF4D6D"/>
    <w:rsid w:val="2DD125B6"/>
    <w:rsid w:val="2DDF2977"/>
    <w:rsid w:val="2DE06AA3"/>
    <w:rsid w:val="2E244107"/>
    <w:rsid w:val="2E314855"/>
    <w:rsid w:val="2E510491"/>
    <w:rsid w:val="2E5A73E1"/>
    <w:rsid w:val="2E665884"/>
    <w:rsid w:val="2E974B67"/>
    <w:rsid w:val="2ED70F52"/>
    <w:rsid w:val="2EDD3BF4"/>
    <w:rsid w:val="2EFC1307"/>
    <w:rsid w:val="2F1645B9"/>
    <w:rsid w:val="2F1F789F"/>
    <w:rsid w:val="2F544FF2"/>
    <w:rsid w:val="2F6B678F"/>
    <w:rsid w:val="2F9A59E7"/>
    <w:rsid w:val="2FD70501"/>
    <w:rsid w:val="2FDA1CC3"/>
    <w:rsid w:val="2FE07BE8"/>
    <w:rsid w:val="303D703D"/>
    <w:rsid w:val="308858C3"/>
    <w:rsid w:val="30DB62B6"/>
    <w:rsid w:val="30F73B34"/>
    <w:rsid w:val="31034344"/>
    <w:rsid w:val="31067F47"/>
    <w:rsid w:val="31167EA0"/>
    <w:rsid w:val="311878A1"/>
    <w:rsid w:val="311D4032"/>
    <w:rsid w:val="31327282"/>
    <w:rsid w:val="3135748D"/>
    <w:rsid w:val="31637517"/>
    <w:rsid w:val="31AD08B7"/>
    <w:rsid w:val="31B27A3B"/>
    <w:rsid w:val="31ED2820"/>
    <w:rsid w:val="31EF6F01"/>
    <w:rsid w:val="31F84007"/>
    <w:rsid w:val="32024F1D"/>
    <w:rsid w:val="322C3CB1"/>
    <w:rsid w:val="325038E7"/>
    <w:rsid w:val="328525EA"/>
    <w:rsid w:val="32B54285"/>
    <w:rsid w:val="32CE29C2"/>
    <w:rsid w:val="32DF309E"/>
    <w:rsid w:val="32FA5B5D"/>
    <w:rsid w:val="3322684B"/>
    <w:rsid w:val="33625EAA"/>
    <w:rsid w:val="337F0FF3"/>
    <w:rsid w:val="339E298D"/>
    <w:rsid w:val="33C341A1"/>
    <w:rsid w:val="33DC34B5"/>
    <w:rsid w:val="33EF36DB"/>
    <w:rsid w:val="33FB645A"/>
    <w:rsid w:val="342D5594"/>
    <w:rsid w:val="34340A65"/>
    <w:rsid w:val="345C616D"/>
    <w:rsid w:val="345E27C4"/>
    <w:rsid w:val="34790D04"/>
    <w:rsid w:val="34843BE5"/>
    <w:rsid w:val="348557BD"/>
    <w:rsid w:val="34AE30A3"/>
    <w:rsid w:val="34BD4B51"/>
    <w:rsid w:val="34C34E58"/>
    <w:rsid w:val="34D523DE"/>
    <w:rsid w:val="34E872EB"/>
    <w:rsid w:val="35075E5A"/>
    <w:rsid w:val="350E36C5"/>
    <w:rsid w:val="354C2118"/>
    <w:rsid w:val="3558300F"/>
    <w:rsid w:val="35610790"/>
    <w:rsid w:val="35612591"/>
    <w:rsid w:val="35673406"/>
    <w:rsid w:val="35887B8D"/>
    <w:rsid w:val="35AE4476"/>
    <w:rsid w:val="35B03D92"/>
    <w:rsid w:val="35CE11B2"/>
    <w:rsid w:val="35D97CAC"/>
    <w:rsid w:val="361502FC"/>
    <w:rsid w:val="36154C88"/>
    <w:rsid w:val="36221A6C"/>
    <w:rsid w:val="36252C67"/>
    <w:rsid w:val="362F4027"/>
    <w:rsid w:val="36386996"/>
    <w:rsid w:val="36601559"/>
    <w:rsid w:val="366942E0"/>
    <w:rsid w:val="368F0B09"/>
    <w:rsid w:val="369A4027"/>
    <w:rsid w:val="369A739E"/>
    <w:rsid w:val="36B867F8"/>
    <w:rsid w:val="37395321"/>
    <w:rsid w:val="374227A0"/>
    <w:rsid w:val="37490E61"/>
    <w:rsid w:val="376733B8"/>
    <w:rsid w:val="37683313"/>
    <w:rsid w:val="37831F3D"/>
    <w:rsid w:val="37853041"/>
    <w:rsid w:val="379E4C02"/>
    <w:rsid w:val="37B05E2A"/>
    <w:rsid w:val="37C5232F"/>
    <w:rsid w:val="37CE7987"/>
    <w:rsid w:val="38045DC1"/>
    <w:rsid w:val="388C157E"/>
    <w:rsid w:val="389F2E95"/>
    <w:rsid w:val="38E928FC"/>
    <w:rsid w:val="38F94A57"/>
    <w:rsid w:val="38FB5907"/>
    <w:rsid w:val="392B2444"/>
    <w:rsid w:val="395846F2"/>
    <w:rsid w:val="39C74071"/>
    <w:rsid w:val="39E130BC"/>
    <w:rsid w:val="3A3577FF"/>
    <w:rsid w:val="3A465B2C"/>
    <w:rsid w:val="3A4B78A6"/>
    <w:rsid w:val="3A5977C5"/>
    <w:rsid w:val="3A5A7B55"/>
    <w:rsid w:val="3A7255AF"/>
    <w:rsid w:val="3ABE28CC"/>
    <w:rsid w:val="3B0C3412"/>
    <w:rsid w:val="3B257775"/>
    <w:rsid w:val="3B27770B"/>
    <w:rsid w:val="3B4646D5"/>
    <w:rsid w:val="3B4F0D0C"/>
    <w:rsid w:val="3B540375"/>
    <w:rsid w:val="3BD240C3"/>
    <w:rsid w:val="3BDC7581"/>
    <w:rsid w:val="3C083874"/>
    <w:rsid w:val="3C1634E3"/>
    <w:rsid w:val="3C552BBD"/>
    <w:rsid w:val="3C6476E4"/>
    <w:rsid w:val="3C671A8F"/>
    <w:rsid w:val="3C7D6764"/>
    <w:rsid w:val="3CC33464"/>
    <w:rsid w:val="3CDD209D"/>
    <w:rsid w:val="3CEC6E4E"/>
    <w:rsid w:val="3D244AC1"/>
    <w:rsid w:val="3D915D46"/>
    <w:rsid w:val="3D9C262D"/>
    <w:rsid w:val="3DFB14A1"/>
    <w:rsid w:val="3E035B0F"/>
    <w:rsid w:val="3E1C107E"/>
    <w:rsid w:val="3E265A58"/>
    <w:rsid w:val="3E5842FE"/>
    <w:rsid w:val="3E5D4364"/>
    <w:rsid w:val="3E5E1696"/>
    <w:rsid w:val="3E8D1F7B"/>
    <w:rsid w:val="3EB571D9"/>
    <w:rsid w:val="3ECA596B"/>
    <w:rsid w:val="3ED67416"/>
    <w:rsid w:val="3EE55BC4"/>
    <w:rsid w:val="3F19380F"/>
    <w:rsid w:val="3F2006FA"/>
    <w:rsid w:val="3F2E38A2"/>
    <w:rsid w:val="3F551B15"/>
    <w:rsid w:val="3FBB6142"/>
    <w:rsid w:val="3FC75DC7"/>
    <w:rsid w:val="3FDE44DC"/>
    <w:rsid w:val="3FF94B52"/>
    <w:rsid w:val="400E49F6"/>
    <w:rsid w:val="40291232"/>
    <w:rsid w:val="4031316B"/>
    <w:rsid w:val="407903DC"/>
    <w:rsid w:val="407924B5"/>
    <w:rsid w:val="408706D3"/>
    <w:rsid w:val="40B44F66"/>
    <w:rsid w:val="40D05741"/>
    <w:rsid w:val="40DA0F23"/>
    <w:rsid w:val="40F55A84"/>
    <w:rsid w:val="40FA7E49"/>
    <w:rsid w:val="41771B49"/>
    <w:rsid w:val="41780CC1"/>
    <w:rsid w:val="41B415CD"/>
    <w:rsid w:val="41DF2AEE"/>
    <w:rsid w:val="420D2A80"/>
    <w:rsid w:val="421A2073"/>
    <w:rsid w:val="422148CB"/>
    <w:rsid w:val="42467367"/>
    <w:rsid w:val="426D1F05"/>
    <w:rsid w:val="426E500B"/>
    <w:rsid w:val="429574BD"/>
    <w:rsid w:val="42B60A09"/>
    <w:rsid w:val="431247FD"/>
    <w:rsid w:val="434D6210"/>
    <w:rsid w:val="43507DFC"/>
    <w:rsid w:val="4357075F"/>
    <w:rsid w:val="43670FED"/>
    <w:rsid w:val="43732951"/>
    <w:rsid w:val="43A01BC0"/>
    <w:rsid w:val="43BE5738"/>
    <w:rsid w:val="43C1218D"/>
    <w:rsid w:val="43C33D49"/>
    <w:rsid w:val="43D24560"/>
    <w:rsid w:val="43EA39CC"/>
    <w:rsid w:val="43F80860"/>
    <w:rsid w:val="44523F0B"/>
    <w:rsid w:val="446077EA"/>
    <w:rsid w:val="446530CB"/>
    <w:rsid w:val="447B7CC7"/>
    <w:rsid w:val="44807500"/>
    <w:rsid w:val="44CB1ED8"/>
    <w:rsid w:val="44D04950"/>
    <w:rsid w:val="450308A1"/>
    <w:rsid w:val="45156827"/>
    <w:rsid w:val="451633F6"/>
    <w:rsid w:val="45575091"/>
    <w:rsid w:val="457E334B"/>
    <w:rsid w:val="45A831F7"/>
    <w:rsid w:val="45DE30BD"/>
    <w:rsid w:val="46080375"/>
    <w:rsid w:val="4632767D"/>
    <w:rsid w:val="4639421E"/>
    <w:rsid w:val="464512B9"/>
    <w:rsid w:val="46857785"/>
    <w:rsid w:val="46887A7D"/>
    <w:rsid w:val="46A63BDA"/>
    <w:rsid w:val="46B82B63"/>
    <w:rsid w:val="46C6375A"/>
    <w:rsid w:val="46E93AC7"/>
    <w:rsid w:val="470914ED"/>
    <w:rsid w:val="4717429E"/>
    <w:rsid w:val="473079FD"/>
    <w:rsid w:val="477A7EBA"/>
    <w:rsid w:val="477B4092"/>
    <w:rsid w:val="47DB78B4"/>
    <w:rsid w:val="48435459"/>
    <w:rsid w:val="48512772"/>
    <w:rsid w:val="48514EDE"/>
    <w:rsid w:val="485C4777"/>
    <w:rsid w:val="487D4232"/>
    <w:rsid w:val="48CF7144"/>
    <w:rsid w:val="48D616D5"/>
    <w:rsid w:val="490B4AEA"/>
    <w:rsid w:val="49514122"/>
    <w:rsid w:val="49D87443"/>
    <w:rsid w:val="49F17862"/>
    <w:rsid w:val="4A080708"/>
    <w:rsid w:val="4A1608FD"/>
    <w:rsid w:val="4A2D0A01"/>
    <w:rsid w:val="4AB13666"/>
    <w:rsid w:val="4ADD5148"/>
    <w:rsid w:val="4AE41E96"/>
    <w:rsid w:val="4B3A109F"/>
    <w:rsid w:val="4B7F53EA"/>
    <w:rsid w:val="4B9107F9"/>
    <w:rsid w:val="4B9E34D5"/>
    <w:rsid w:val="4BB20856"/>
    <w:rsid w:val="4BCB2534"/>
    <w:rsid w:val="4BD166D8"/>
    <w:rsid w:val="4BE776C6"/>
    <w:rsid w:val="4BFE5865"/>
    <w:rsid w:val="4C011848"/>
    <w:rsid w:val="4C044814"/>
    <w:rsid w:val="4C1A2BA0"/>
    <w:rsid w:val="4C1D581B"/>
    <w:rsid w:val="4C29373A"/>
    <w:rsid w:val="4C2E6D51"/>
    <w:rsid w:val="4C4174A2"/>
    <w:rsid w:val="4C585A0F"/>
    <w:rsid w:val="4C7A4FA0"/>
    <w:rsid w:val="4CD11285"/>
    <w:rsid w:val="4CE91A37"/>
    <w:rsid w:val="4CF96382"/>
    <w:rsid w:val="4D3C3A61"/>
    <w:rsid w:val="4D4D1254"/>
    <w:rsid w:val="4D4E063D"/>
    <w:rsid w:val="4D790B90"/>
    <w:rsid w:val="4DE04487"/>
    <w:rsid w:val="4DF254C6"/>
    <w:rsid w:val="4E380C6E"/>
    <w:rsid w:val="4E4C53B9"/>
    <w:rsid w:val="4E5530AA"/>
    <w:rsid w:val="4E5C1022"/>
    <w:rsid w:val="4E5F400D"/>
    <w:rsid w:val="4E73339F"/>
    <w:rsid w:val="4E9E788D"/>
    <w:rsid w:val="4EB175C0"/>
    <w:rsid w:val="4ED922A8"/>
    <w:rsid w:val="4F33111A"/>
    <w:rsid w:val="4F585C8E"/>
    <w:rsid w:val="4F7751AF"/>
    <w:rsid w:val="4F940184"/>
    <w:rsid w:val="4FEF57D7"/>
    <w:rsid w:val="50017646"/>
    <w:rsid w:val="500C4858"/>
    <w:rsid w:val="502B04BF"/>
    <w:rsid w:val="503D42C7"/>
    <w:rsid w:val="503E5DFA"/>
    <w:rsid w:val="50507F9F"/>
    <w:rsid w:val="506D7517"/>
    <w:rsid w:val="50E40C87"/>
    <w:rsid w:val="50FB6272"/>
    <w:rsid w:val="510328D8"/>
    <w:rsid w:val="51072832"/>
    <w:rsid w:val="51230246"/>
    <w:rsid w:val="514209A3"/>
    <w:rsid w:val="51602380"/>
    <w:rsid w:val="51736DAF"/>
    <w:rsid w:val="51A21C47"/>
    <w:rsid w:val="51A60B4C"/>
    <w:rsid w:val="51C439CB"/>
    <w:rsid w:val="51F356C8"/>
    <w:rsid w:val="51FC4FF6"/>
    <w:rsid w:val="52052024"/>
    <w:rsid w:val="520E1F51"/>
    <w:rsid w:val="520F6A58"/>
    <w:rsid w:val="52107A7E"/>
    <w:rsid w:val="52306A34"/>
    <w:rsid w:val="52397FF8"/>
    <w:rsid w:val="52535DFD"/>
    <w:rsid w:val="525C12CD"/>
    <w:rsid w:val="525F2EBE"/>
    <w:rsid w:val="5262211C"/>
    <w:rsid w:val="526C7972"/>
    <w:rsid w:val="5288688A"/>
    <w:rsid w:val="52BC29D7"/>
    <w:rsid w:val="52C35E78"/>
    <w:rsid w:val="52E760A8"/>
    <w:rsid w:val="530B5910"/>
    <w:rsid w:val="530C3352"/>
    <w:rsid w:val="531D707B"/>
    <w:rsid w:val="53341DDA"/>
    <w:rsid w:val="53497F05"/>
    <w:rsid w:val="534A2AB7"/>
    <w:rsid w:val="536236BC"/>
    <w:rsid w:val="5382152B"/>
    <w:rsid w:val="53871202"/>
    <w:rsid w:val="53AF6DF2"/>
    <w:rsid w:val="53C15842"/>
    <w:rsid w:val="53F00B8B"/>
    <w:rsid w:val="541C4E2F"/>
    <w:rsid w:val="542157DA"/>
    <w:rsid w:val="54284764"/>
    <w:rsid w:val="5470418F"/>
    <w:rsid w:val="54C47921"/>
    <w:rsid w:val="54C72897"/>
    <w:rsid w:val="54DE744F"/>
    <w:rsid w:val="54E50447"/>
    <w:rsid w:val="55456B70"/>
    <w:rsid w:val="555B1B85"/>
    <w:rsid w:val="55750D6B"/>
    <w:rsid w:val="559669A1"/>
    <w:rsid w:val="559E35D5"/>
    <w:rsid w:val="55C228D3"/>
    <w:rsid w:val="55C525F4"/>
    <w:rsid w:val="55FF5FDA"/>
    <w:rsid w:val="56017B32"/>
    <w:rsid w:val="560C4EB1"/>
    <w:rsid w:val="560D1E89"/>
    <w:rsid w:val="56242D6E"/>
    <w:rsid w:val="567E091F"/>
    <w:rsid w:val="56933E7B"/>
    <w:rsid w:val="56CB0123"/>
    <w:rsid w:val="57160908"/>
    <w:rsid w:val="57401D39"/>
    <w:rsid w:val="577416FB"/>
    <w:rsid w:val="5782176E"/>
    <w:rsid w:val="57A01920"/>
    <w:rsid w:val="57A22507"/>
    <w:rsid w:val="57B95737"/>
    <w:rsid w:val="57BC2B32"/>
    <w:rsid w:val="57DA2BA1"/>
    <w:rsid w:val="57E93E2C"/>
    <w:rsid w:val="57F40DD1"/>
    <w:rsid w:val="57F956D1"/>
    <w:rsid w:val="57FC26EC"/>
    <w:rsid w:val="58085963"/>
    <w:rsid w:val="581D7602"/>
    <w:rsid w:val="5829098B"/>
    <w:rsid w:val="58A02683"/>
    <w:rsid w:val="58EA3588"/>
    <w:rsid w:val="58EF716A"/>
    <w:rsid w:val="58FA668E"/>
    <w:rsid w:val="59015042"/>
    <w:rsid w:val="594B0611"/>
    <w:rsid w:val="596E412E"/>
    <w:rsid w:val="59B37B4A"/>
    <w:rsid w:val="59FF561A"/>
    <w:rsid w:val="5A285312"/>
    <w:rsid w:val="5A6D1A7D"/>
    <w:rsid w:val="5A70455A"/>
    <w:rsid w:val="5A71640A"/>
    <w:rsid w:val="5A7870D1"/>
    <w:rsid w:val="5A7E331D"/>
    <w:rsid w:val="5A982F4B"/>
    <w:rsid w:val="5ACA6B16"/>
    <w:rsid w:val="5AED5059"/>
    <w:rsid w:val="5B055EEB"/>
    <w:rsid w:val="5B0B6244"/>
    <w:rsid w:val="5B175D16"/>
    <w:rsid w:val="5B2979FC"/>
    <w:rsid w:val="5B3D39D4"/>
    <w:rsid w:val="5B532804"/>
    <w:rsid w:val="5B96130A"/>
    <w:rsid w:val="5C25308B"/>
    <w:rsid w:val="5C4573A4"/>
    <w:rsid w:val="5C5D5374"/>
    <w:rsid w:val="5C6B2AB9"/>
    <w:rsid w:val="5C975A0D"/>
    <w:rsid w:val="5C992482"/>
    <w:rsid w:val="5C9F6CAA"/>
    <w:rsid w:val="5CCA41B3"/>
    <w:rsid w:val="5CD77D14"/>
    <w:rsid w:val="5CDF3D0B"/>
    <w:rsid w:val="5D4E6CEA"/>
    <w:rsid w:val="5D57303F"/>
    <w:rsid w:val="5D7A07D2"/>
    <w:rsid w:val="5DCC51F1"/>
    <w:rsid w:val="5E036F3A"/>
    <w:rsid w:val="5E236935"/>
    <w:rsid w:val="5E265920"/>
    <w:rsid w:val="5E347057"/>
    <w:rsid w:val="5E3D70F6"/>
    <w:rsid w:val="5E425C3D"/>
    <w:rsid w:val="5E6A7CB4"/>
    <w:rsid w:val="5E9A1E1F"/>
    <w:rsid w:val="5EA24574"/>
    <w:rsid w:val="5EC048E4"/>
    <w:rsid w:val="5ECD5595"/>
    <w:rsid w:val="5EEE3891"/>
    <w:rsid w:val="5EF36D0A"/>
    <w:rsid w:val="5F430A12"/>
    <w:rsid w:val="5F4657F5"/>
    <w:rsid w:val="5F70492E"/>
    <w:rsid w:val="5F941BE9"/>
    <w:rsid w:val="5FC05F61"/>
    <w:rsid w:val="5FE90D26"/>
    <w:rsid w:val="60390B97"/>
    <w:rsid w:val="60661647"/>
    <w:rsid w:val="60B93D08"/>
    <w:rsid w:val="60B976A3"/>
    <w:rsid w:val="60D34072"/>
    <w:rsid w:val="60EC6207"/>
    <w:rsid w:val="613627E5"/>
    <w:rsid w:val="6162474A"/>
    <w:rsid w:val="61722B2B"/>
    <w:rsid w:val="61A30FEA"/>
    <w:rsid w:val="61D70C94"/>
    <w:rsid w:val="62171D6B"/>
    <w:rsid w:val="62594DDD"/>
    <w:rsid w:val="626002DF"/>
    <w:rsid w:val="6271555C"/>
    <w:rsid w:val="628932D3"/>
    <w:rsid w:val="62AA58E1"/>
    <w:rsid w:val="62AB1EEE"/>
    <w:rsid w:val="63293329"/>
    <w:rsid w:val="632A47AA"/>
    <w:rsid w:val="63366193"/>
    <w:rsid w:val="63466990"/>
    <w:rsid w:val="635772F5"/>
    <w:rsid w:val="637412F7"/>
    <w:rsid w:val="638970BA"/>
    <w:rsid w:val="639D7CBB"/>
    <w:rsid w:val="63A42748"/>
    <w:rsid w:val="63A90654"/>
    <w:rsid w:val="63E56AA5"/>
    <w:rsid w:val="63F41D83"/>
    <w:rsid w:val="63F91396"/>
    <w:rsid w:val="640E5323"/>
    <w:rsid w:val="640F0F63"/>
    <w:rsid w:val="642C1829"/>
    <w:rsid w:val="642C510C"/>
    <w:rsid w:val="64325DFA"/>
    <w:rsid w:val="647B1063"/>
    <w:rsid w:val="647C5B23"/>
    <w:rsid w:val="649D666E"/>
    <w:rsid w:val="64B96D77"/>
    <w:rsid w:val="64BD6867"/>
    <w:rsid w:val="64E35139"/>
    <w:rsid w:val="65111481"/>
    <w:rsid w:val="652A3D62"/>
    <w:rsid w:val="65691016"/>
    <w:rsid w:val="65767563"/>
    <w:rsid w:val="658F77CF"/>
    <w:rsid w:val="659348BD"/>
    <w:rsid w:val="65C72DCF"/>
    <w:rsid w:val="65EE2AFE"/>
    <w:rsid w:val="65F02759"/>
    <w:rsid w:val="66300EA3"/>
    <w:rsid w:val="664B4A49"/>
    <w:rsid w:val="665F56FC"/>
    <w:rsid w:val="666530BD"/>
    <w:rsid w:val="668B7764"/>
    <w:rsid w:val="66AC046D"/>
    <w:rsid w:val="66E80A0E"/>
    <w:rsid w:val="67253068"/>
    <w:rsid w:val="67387A67"/>
    <w:rsid w:val="673B5830"/>
    <w:rsid w:val="67575A8D"/>
    <w:rsid w:val="67681B58"/>
    <w:rsid w:val="67B12081"/>
    <w:rsid w:val="67BD2A5D"/>
    <w:rsid w:val="67BF6B6F"/>
    <w:rsid w:val="67C07A13"/>
    <w:rsid w:val="67DE26FC"/>
    <w:rsid w:val="67F46052"/>
    <w:rsid w:val="680622D3"/>
    <w:rsid w:val="68243ABF"/>
    <w:rsid w:val="68644FB0"/>
    <w:rsid w:val="6867292C"/>
    <w:rsid w:val="68A11FFC"/>
    <w:rsid w:val="68EB1DD2"/>
    <w:rsid w:val="68F06AD4"/>
    <w:rsid w:val="69181BD9"/>
    <w:rsid w:val="691A3DDD"/>
    <w:rsid w:val="69231DD9"/>
    <w:rsid w:val="6931512E"/>
    <w:rsid w:val="694A1401"/>
    <w:rsid w:val="695F6E2D"/>
    <w:rsid w:val="696A0640"/>
    <w:rsid w:val="698A6F34"/>
    <w:rsid w:val="69992D2E"/>
    <w:rsid w:val="69A22849"/>
    <w:rsid w:val="69A41AEF"/>
    <w:rsid w:val="69BC61FD"/>
    <w:rsid w:val="69C01116"/>
    <w:rsid w:val="69C67F6C"/>
    <w:rsid w:val="69F93FC7"/>
    <w:rsid w:val="6A0771B6"/>
    <w:rsid w:val="6A1F03EC"/>
    <w:rsid w:val="6A505E2F"/>
    <w:rsid w:val="6A894111"/>
    <w:rsid w:val="6AA70ABD"/>
    <w:rsid w:val="6AAE1F9D"/>
    <w:rsid w:val="6AD420B4"/>
    <w:rsid w:val="6B155E6C"/>
    <w:rsid w:val="6B8B0EDA"/>
    <w:rsid w:val="6BB45044"/>
    <w:rsid w:val="6BF42D98"/>
    <w:rsid w:val="6C325467"/>
    <w:rsid w:val="6C371D38"/>
    <w:rsid w:val="6C562244"/>
    <w:rsid w:val="6C696AEF"/>
    <w:rsid w:val="6C7527A8"/>
    <w:rsid w:val="6C9A5C8A"/>
    <w:rsid w:val="6C9B5D7E"/>
    <w:rsid w:val="6CC3286D"/>
    <w:rsid w:val="6CD00A4A"/>
    <w:rsid w:val="6CD964A2"/>
    <w:rsid w:val="6CE358B6"/>
    <w:rsid w:val="6CE40709"/>
    <w:rsid w:val="6D21445E"/>
    <w:rsid w:val="6D346135"/>
    <w:rsid w:val="6D4754F7"/>
    <w:rsid w:val="6D4E1456"/>
    <w:rsid w:val="6D631F76"/>
    <w:rsid w:val="6D671AA5"/>
    <w:rsid w:val="6D68052A"/>
    <w:rsid w:val="6D8E3146"/>
    <w:rsid w:val="6DBA01AF"/>
    <w:rsid w:val="6E0B629A"/>
    <w:rsid w:val="6E535B46"/>
    <w:rsid w:val="6E5505E5"/>
    <w:rsid w:val="6E761835"/>
    <w:rsid w:val="6E9A3775"/>
    <w:rsid w:val="6EB72CA6"/>
    <w:rsid w:val="6EE97800"/>
    <w:rsid w:val="6EF14DDF"/>
    <w:rsid w:val="6F1936B5"/>
    <w:rsid w:val="6F2D0F58"/>
    <w:rsid w:val="6F357F71"/>
    <w:rsid w:val="6F613C82"/>
    <w:rsid w:val="6F8B2BA3"/>
    <w:rsid w:val="6F92196C"/>
    <w:rsid w:val="6F9B1553"/>
    <w:rsid w:val="6F9E509F"/>
    <w:rsid w:val="6FA808C0"/>
    <w:rsid w:val="6FB87F9A"/>
    <w:rsid w:val="6FDE429D"/>
    <w:rsid w:val="701C5AC1"/>
    <w:rsid w:val="7056535F"/>
    <w:rsid w:val="706C4C07"/>
    <w:rsid w:val="708625C4"/>
    <w:rsid w:val="709806BC"/>
    <w:rsid w:val="70A873C2"/>
    <w:rsid w:val="70B94E05"/>
    <w:rsid w:val="70BF3967"/>
    <w:rsid w:val="70C861EE"/>
    <w:rsid w:val="70E21403"/>
    <w:rsid w:val="70E96186"/>
    <w:rsid w:val="71440EF8"/>
    <w:rsid w:val="71483F36"/>
    <w:rsid w:val="714A72CE"/>
    <w:rsid w:val="71607375"/>
    <w:rsid w:val="71D168F3"/>
    <w:rsid w:val="71E84380"/>
    <w:rsid w:val="721D69A0"/>
    <w:rsid w:val="72286570"/>
    <w:rsid w:val="722B259E"/>
    <w:rsid w:val="724D243B"/>
    <w:rsid w:val="72516958"/>
    <w:rsid w:val="72781833"/>
    <w:rsid w:val="727E5BD4"/>
    <w:rsid w:val="72B13D47"/>
    <w:rsid w:val="72FE4F4A"/>
    <w:rsid w:val="730C4052"/>
    <w:rsid w:val="736305BE"/>
    <w:rsid w:val="73775D00"/>
    <w:rsid w:val="73A01EB1"/>
    <w:rsid w:val="73BD4A44"/>
    <w:rsid w:val="73BF3D93"/>
    <w:rsid w:val="73DB1909"/>
    <w:rsid w:val="73E44651"/>
    <w:rsid w:val="741713C4"/>
    <w:rsid w:val="742D247D"/>
    <w:rsid w:val="74922A45"/>
    <w:rsid w:val="74AC3F76"/>
    <w:rsid w:val="74B54486"/>
    <w:rsid w:val="74DE3AC0"/>
    <w:rsid w:val="74E35816"/>
    <w:rsid w:val="74F3159E"/>
    <w:rsid w:val="75115158"/>
    <w:rsid w:val="752C0E9F"/>
    <w:rsid w:val="752F25FD"/>
    <w:rsid w:val="754438E2"/>
    <w:rsid w:val="75484D90"/>
    <w:rsid w:val="756B2F29"/>
    <w:rsid w:val="757E794D"/>
    <w:rsid w:val="759862A9"/>
    <w:rsid w:val="75B8697D"/>
    <w:rsid w:val="75E176F0"/>
    <w:rsid w:val="76051E1C"/>
    <w:rsid w:val="760859F0"/>
    <w:rsid w:val="760B6D06"/>
    <w:rsid w:val="762828AA"/>
    <w:rsid w:val="76483F8A"/>
    <w:rsid w:val="765D7838"/>
    <w:rsid w:val="7669422C"/>
    <w:rsid w:val="766D2537"/>
    <w:rsid w:val="76796366"/>
    <w:rsid w:val="76A2773F"/>
    <w:rsid w:val="76B00445"/>
    <w:rsid w:val="76B15B00"/>
    <w:rsid w:val="76B85F5D"/>
    <w:rsid w:val="76B865B9"/>
    <w:rsid w:val="76BB4582"/>
    <w:rsid w:val="76CD6EAB"/>
    <w:rsid w:val="76EC08E6"/>
    <w:rsid w:val="772877DD"/>
    <w:rsid w:val="773410EC"/>
    <w:rsid w:val="778854DC"/>
    <w:rsid w:val="778D031B"/>
    <w:rsid w:val="77903967"/>
    <w:rsid w:val="77A411C1"/>
    <w:rsid w:val="77C316A6"/>
    <w:rsid w:val="780A11D3"/>
    <w:rsid w:val="782404E6"/>
    <w:rsid w:val="782567A5"/>
    <w:rsid w:val="784D7779"/>
    <w:rsid w:val="7859644F"/>
    <w:rsid w:val="78900FA3"/>
    <w:rsid w:val="789D3E57"/>
    <w:rsid w:val="78AF42C1"/>
    <w:rsid w:val="78BF4C03"/>
    <w:rsid w:val="78E801F3"/>
    <w:rsid w:val="79030D1A"/>
    <w:rsid w:val="793346B0"/>
    <w:rsid w:val="79864A5B"/>
    <w:rsid w:val="799668CF"/>
    <w:rsid w:val="79A27982"/>
    <w:rsid w:val="79C73CD9"/>
    <w:rsid w:val="79CA729C"/>
    <w:rsid w:val="79CB7624"/>
    <w:rsid w:val="79DB5CC4"/>
    <w:rsid w:val="79EE7A68"/>
    <w:rsid w:val="7A020848"/>
    <w:rsid w:val="7A3E2F83"/>
    <w:rsid w:val="7A806D0F"/>
    <w:rsid w:val="7A9B68AB"/>
    <w:rsid w:val="7AA23E9F"/>
    <w:rsid w:val="7AA64077"/>
    <w:rsid w:val="7ADD397A"/>
    <w:rsid w:val="7AEE3F26"/>
    <w:rsid w:val="7B1C1344"/>
    <w:rsid w:val="7B722069"/>
    <w:rsid w:val="7B985B8F"/>
    <w:rsid w:val="7BC24A25"/>
    <w:rsid w:val="7BCB7049"/>
    <w:rsid w:val="7C1750A0"/>
    <w:rsid w:val="7C251E94"/>
    <w:rsid w:val="7C330D65"/>
    <w:rsid w:val="7C592C47"/>
    <w:rsid w:val="7C656269"/>
    <w:rsid w:val="7C8C22AE"/>
    <w:rsid w:val="7CAB4D9F"/>
    <w:rsid w:val="7CBF4EBE"/>
    <w:rsid w:val="7CF94473"/>
    <w:rsid w:val="7D0C7BFF"/>
    <w:rsid w:val="7D144545"/>
    <w:rsid w:val="7D3354C1"/>
    <w:rsid w:val="7D4B6BE2"/>
    <w:rsid w:val="7D8446CF"/>
    <w:rsid w:val="7D8D75F7"/>
    <w:rsid w:val="7DB67EA0"/>
    <w:rsid w:val="7DB96E1F"/>
    <w:rsid w:val="7DDB7472"/>
    <w:rsid w:val="7DE06ED6"/>
    <w:rsid w:val="7DE71E07"/>
    <w:rsid w:val="7E127936"/>
    <w:rsid w:val="7E2E0971"/>
    <w:rsid w:val="7E374363"/>
    <w:rsid w:val="7E494870"/>
    <w:rsid w:val="7E8933F6"/>
    <w:rsid w:val="7EC3172A"/>
    <w:rsid w:val="7ECE3578"/>
    <w:rsid w:val="7EF265F5"/>
    <w:rsid w:val="7F144E7E"/>
    <w:rsid w:val="7F2D404F"/>
    <w:rsid w:val="7F3948E4"/>
    <w:rsid w:val="7F3A2A76"/>
    <w:rsid w:val="7F651B7D"/>
    <w:rsid w:val="7F6C1DC8"/>
    <w:rsid w:val="7F8E2E82"/>
    <w:rsid w:val="7FC655DB"/>
    <w:rsid w:val="7FCB445E"/>
    <w:rsid w:val="7FCB7FB6"/>
    <w:rsid w:val="7FE43500"/>
    <w:rsid w:val="7FE5681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qFormat="1"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left="50" w:right="62" w:hanging="50" w:hangingChars="5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1"/>
    <w:qFormat/>
    <w:uiPriority w:val="0"/>
    <w:pPr>
      <w:keepNext/>
      <w:keepLines/>
      <w:pageBreakBefore/>
      <w:numPr>
        <w:ilvl w:val="0"/>
        <w:numId w:val="1"/>
      </w:numPr>
      <w:adjustRightInd w:val="0"/>
      <w:spacing w:before="340" w:after="330" w:line="900" w:lineRule="exact"/>
      <w:jc w:val="center"/>
      <w:outlineLvl w:val="0"/>
    </w:pPr>
    <w:rPr>
      <w:b/>
      <w:kern w:val="44"/>
      <w:sz w:val="32"/>
      <w:szCs w:val="20"/>
    </w:rPr>
  </w:style>
  <w:style w:type="paragraph" w:styleId="3">
    <w:name w:val="heading 2"/>
    <w:basedOn w:val="1"/>
    <w:next w:val="1"/>
    <w:qFormat/>
    <w:uiPriority w:val="0"/>
    <w:pPr>
      <w:keepNext/>
      <w:keepLines/>
      <w:spacing w:before="260" w:after="260" w:line="800" w:lineRule="exact"/>
      <w:jc w:val="center"/>
      <w:outlineLvl w:val="1"/>
    </w:pPr>
    <w:rPr>
      <w:b/>
      <w:bCs/>
      <w:sz w:val="30"/>
      <w:szCs w:val="32"/>
    </w:rPr>
  </w:style>
  <w:style w:type="paragraph" w:styleId="4">
    <w:name w:val="heading 3"/>
    <w:basedOn w:val="1"/>
    <w:next w:val="1"/>
    <w:link w:val="82"/>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numPr>
        <w:ilvl w:val="3"/>
        <w:numId w:val="2"/>
      </w:numPr>
      <w:tabs>
        <w:tab w:val="left" w:pos="425"/>
      </w:tabs>
      <w:spacing w:before="280" w:after="290" w:line="376" w:lineRule="auto"/>
      <w:outlineLvl w:val="3"/>
    </w:pPr>
    <w:rPr>
      <w:rFonts w:ascii="Arial" w:hAnsi="Arial" w:eastAsia="黑体"/>
      <w:b/>
      <w:bCs/>
      <w:sz w:val="28"/>
      <w:szCs w:val="28"/>
    </w:rPr>
  </w:style>
  <w:style w:type="paragraph" w:styleId="6">
    <w:name w:val="heading 5"/>
    <w:basedOn w:val="7"/>
    <w:next w:val="8"/>
    <w:qFormat/>
    <w:uiPriority w:val="0"/>
    <w:pPr>
      <w:outlineLvl w:val="4"/>
    </w:pPr>
  </w:style>
  <w:style w:type="paragraph" w:styleId="9">
    <w:name w:val="heading 6"/>
    <w:basedOn w:val="7"/>
    <w:next w:val="8"/>
    <w:qFormat/>
    <w:uiPriority w:val="0"/>
    <w:pPr>
      <w:outlineLvl w:val="5"/>
    </w:pPr>
    <w:rPr>
      <w:i/>
    </w:rPr>
  </w:style>
  <w:style w:type="paragraph" w:styleId="10">
    <w:name w:val="heading 7"/>
    <w:basedOn w:val="7"/>
    <w:next w:val="8"/>
    <w:qFormat/>
    <w:uiPriority w:val="0"/>
    <w:pPr>
      <w:ind w:firstLine="360"/>
      <w:outlineLvl w:val="6"/>
    </w:pPr>
    <w:rPr>
      <w:smallCaps/>
      <w:sz w:val="23"/>
    </w:rPr>
  </w:style>
  <w:style w:type="paragraph" w:styleId="11">
    <w:name w:val="heading 8"/>
    <w:basedOn w:val="7"/>
    <w:next w:val="8"/>
    <w:qFormat/>
    <w:uiPriority w:val="0"/>
    <w:pPr>
      <w:ind w:firstLine="360"/>
      <w:outlineLvl w:val="7"/>
    </w:pPr>
    <w:rPr>
      <w:i/>
    </w:rPr>
  </w:style>
  <w:style w:type="paragraph" w:styleId="12">
    <w:name w:val="heading 9"/>
    <w:basedOn w:val="7"/>
    <w:next w:val="8"/>
    <w:qFormat/>
    <w:uiPriority w:val="0"/>
    <w:pPr>
      <w:outlineLvl w:val="8"/>
    </w:pPr>
  </w:style>
  <w:style w:type="character" w:default="1" w:styleId="74">
    <w:name w:val="Default Paragraph Font"/>
    <w:unhideWhenUsed/>
    <w:qFormat/>
    <w:uiPriority w:val="1"/>
  </w:style>
  <w:style w:type="table" w:default="1" w:styleId="72">
    <w:name w:val="Normal Table"/>
    <w:unhideWhenUsed/>
    <w:qFormat/>
    <w:uiPriority w:val="99"/>
    <w:tblPr>
      <w:tblCellMar>
        <w:top w:w="0" w:type="dxa"/>
        <w:left w:w="108" w:type="dxa"/>
        <w:bottom w:w="0" w:type="dxa"/>
        <w:right w:w="108" w:type="dxa"/>
      </w:tblCellMar>
    </w:tblPr>
  </w:style>
  <w:style w:type="paragraph" w:customStyle="1" w:styleId="7">
    <w:name w:val="Heading Base"/>
    <w:basedOn w:val="8"/>
    <w:next w:val="8"/>
    <w:qFormat/>
    <w:uiPriority w:val="0"/>
    <w:pPr>
      <w:keepNext/>
      <w:keepLines/>
      <w:widowControl/>
      <w:overflowPunct w:val="0"/>
      <w:autoSpaceDE w:val="0"/>
      <w:autoSpaceDN w:val="0"/>
      <w:spacing w:after="0" w:line="240" w:lineRule="atLeast"/>
      <w:jc w:val="left"/>
      <w:textAlignment w:val="baseline"/>
    </w:pPr>
    <w:rPr>
      <w:rFonts w:ascii="Garamond" w:hAnsi="Garamond"/>
      <w:kern w:val="20"/>
      <w:sz w:val="20"/>
    </w:rPr>
  </w:style>
  <w:style w:type="paragraph" w:styleId="8">
    <w:name w:val="Body Text"/>
    <w:basedOn w:val="1"/>
    <w:qFormat/>
    <w:uiPriority w:val="0"/>
    <w:pPr>
      <w:adjustRightInd w:val="0"/>
      <w:spacing w:after="120" w:line="312" w:lineRule="atLeast"/>
    </w:pPr>
    <w:rPr>
      <w:kern w:val="0"/>
      <w:sz w:val="24"/>
      <w:szCs w:val="20"/>
    </w:rPr>
  </w:style>
  <w:style w:type="paragraph" w:styleId="13">
    <w:name w:val="List 3"/>
    <w:basedOn w:val="14"/>
    <w:qFormat/>
    <w:uiPriority w:val="0"/>
    <w:pPr>
      <w:widowControl/>
      <w:overflowPunct w:val="0"/>
      <w:autoSpaceDE w:val="0"/>
      <w:autoSpaceDN w:val="0"/>
      <w:spacing w:after="240" w:line="240" w:lineRule="atLeast"/>
      <w:ind w:left="1440" w:hanging="360"/>
    </w:pPr>
    <w:rPr>
      <w:rFonts w:ascii="Garamond" w:hAnsi="Garamond"/>
      <w:kern w:val="18"/>
      <w:sz w:val="20"/>
    </w:rPr>
  </w:style>
  <w:style w:type="paragraph" w:styleId="14">
    <w:name w:val="List"/>
    <w:basedOn w:val="1"/>
    <w:qFormat/>
    <w:uiPriority w:val="0"/>
    <w:pPr>
      <w:adjustRightInd w:val="0"/>
      <w:spacing w:line="312" w:lineRule="atLeast"/>
      <w:ind w:left="420" w:hanging="420"/>
      <w:textAlignment w:val="baseline"/>
    </w:pPr>
    <w:rPr>
      <w:kern w:val="0"/>
      <w:szCs w:val="20"/>
    </w:rPr>
  </w:style>
  <w:style w:type="paragraph" w:styleId="15">
    <w:name w:val="List Number 2"/>
    <w:basedOn w:val="16"/>
    <w:qFormat/>
    <w:uiPriority w:val="0"/>
    <w:pPr>
      <w:ind w:left="1080"/>
    </w:pPr>
  </w:style>
  <w:style w:type="paragraph" w:styleId="16">
    <w:name w:val="List Number"/>
    <w:basedOn w:val="1"/>
    <w:qFormat/>
    <w:uiPriority w:val="0"/>
    <w:pPr>
      <w:widowControl/>
      <w:overflowPunct w:val="0"/>
      <w:autoSpaceDE w:val="0"/>
      <w:autoSpaceDN w:val="0"/>
      <w:spacing w:after="240" w:line="240" w:lineRule="atLeast"/>
      <w:ind w:left="720" w:right="720" w:hanging="360" w:firstLineChars="0"/>
    </w:pPr>
    <w:rPr>
      <w:rFonts w:ascii="Garamond" w:hAnsi="Garamond"/>
      <w:kern w:val="18"/>
      <w:sz w:val="20"/>
    </w:rPr>
  </w:style>
  <w:style w:type="paragraph" w:styleId="17">
    <w:name w:val="table of authorities"/>
    <w:basedOn w:val="1"/>
    <w:next w:val="1"/>
    <w:unhideWhenUsed/>
    <w:qFormat/>
    <w:uiPriority w:val="99"/>
    <w:pPr>
      <w:ind w:left="420" w:leftChars="200"/>
    </w:pPr>
  </w:style>
  <w:style w:type="paragraph" w:styleId="18">
    <w:name w:val="List Bullet 4"/>
    <w:basedOn w:val="19"/>
    <w:qFormat/>
    <w:uiPriority w:val="0"/>
    <w:pPr>
      <w:ind w:left="1800"/>
    </w:pPr>
  </w:style>
  <w:style w:type="paragraph" w:styleId="19">
    <w:name w:val="List Bullet"/>
    <w:basedOn w:val="14"/>
    <w:qFormat/>
    <w:uiPriority w:val="0"/>
    <w:pPr>
      <w:widowControl/>
      <w:overflowPunct w:val="0"/>
      <w:autoSpaceDE w:val="0"/>
      <w:autoSpaceDN w:val="0"/>
      <w:spacing w:after="240" w:line="240" w:lineRule="atLeast"/>
      <w:ind w:left="720" w:right="720" w:hanging="360" w:firstLineChars="0"/>
    </w:pPr>
    <w:rPr>
      <w:rFonts w:ascii="Garamond" w:hAnsi="Garamond"/>
      <w:kern w:val="18"/>
      <w:sz w:val="20"/>
    </w:rPr>
  </w:style>
  <w:style w:type="paragraph" w:styleId="20">
    <w:name w:val="Normal Indent"/>
    <w:basedOn w:val="1"/>
    <w:next w:val="21"/>
    <w:link w:val="83"/>
    <w:qFormat/>
    <w:uiPriority w:val="0"/>
    <w:pPr>
      <w:ind w:firstLine="420" w:firstLineChars="200"/>
    </w:pPr>
    <w:rPr>
      <w:sz w:val="24"/>
      <w:szCs w:val="20"/>
    </w:rPr>
  </w:style>
  <w:style w:type="paragraph" w:customStyle="1" w:styleId="21">
    <w:name w:val="样式 正文缩进 + 首行缩进:  2 字符"/>
    <w:basedOn w:val="20"/>
    <w:qFormat/>
    <w:uiPriority w:val="0"/>
    <w:pPr>
      <w:ind w:firstLine="560" w:firstLineChars="200"/>
    </w:pPr>
    <w:rPr>
      <w:rFonts w:cs="宋体"/>
    </w:rPr>
  </w:style>
  <w:style w:type="paragraph" w:styleId="22">
    <w:name w:val="caption"/>
    <w:basedOn w:val="1"/>
    <w:next w:val="1"/>
    <w:qFormat/>
    <w:uiPriority w:val="0"/>
    <w:rPr>
      <w:i/>
      <w:spacing w:val="5"/>
    </w:rPr>
  </w:style>
  <w:style w:type="paragraph" w:styleId="23">
    <w:name w:val="envelope address"/>
    <w:basedOn w:val="8"/>
    <w:qFormat/>
    <w:uiPriority w:val="0"/>
    <w:pPr>
      <w:framePr w:w="7920" w:h="1987" w:hRule="exact" w:hSpace="187" w:vSpace="187" w:wrap="around" w:vAnchor="margin" w:hAnchor="page" w:xAlign="center" w:yAlign="bottom"/>
      <w:widowControl/>
      <w:overflowPunct w:val="0"/>
      <w:autoSpaceDE w:val="0"/>
      <w:autoSpaceDN w:val="0"/>
      <w:spacing w:after="0" w:line="220" w:lineRule="atLeast"/>
      <w:ind w:left="2880"/>
      <w:jc w:val="left"/>
      <w:textAlignment w:val="baseline"/>
    </w:pPr>
    <w:rPr>
      <w:rFonts w:ascii="Garamond" w:hAnsi="Garamond"/>
      <w:kern w:val="18"/>
      <w:sz w:val="20"/>
    </w:rPr>
  </w:style>
  <w:style w:type="paragraph" w:styleId="24">
    <w:name w:val="Document Map"/>
    <w:basedOn w:val="1"/>
    <w:semiHidden/>
    <w:qFormat/>
    <w:uiPriority w:val="0"/>
    <w:pPr>
      <w:shd w:val="clear" w:color="auto" w:fill="000080"/>
    </w:pPr>
  </w:style>
  <w:style w:type="paragraph" w:styleId="25">
    <w:name w:val="annotation text"/>
    <w:basedOn w:val="1"/>
    <w:link w:val="84"/>
    <w:qFormat/>
    <w:uiPriority w:val="0"/>
    <w:pPr>
      <w:jc w:val="left"/>
    </w:pPr>
  </w:style>
  <w:style w:type="paragraph" w:styleId="26">
    <w:name w:val="Salutation"/>
    <w:basedOn w:val="1"/>
    <w:next w:val="1"/>
    <w:qFormat/>
    <w:uiPriority w:val="0"/>
  </w:style>
  <w:style w:type="paragraph" w:styleId="27">
    <w:name w:val="Body Text 3"/>
    <w:basedOn w:val="1"/>
    <w:qFormat/>
    <w:uiPriority w:val="0"/>
    <w:pPr>
      <w:spacing w:after="120"/>
    </w:pPr>
    <w:rPr>
      <w:sz w:val="16"/>
      <w:szCs w:val="16"/>
    </w:rPr>
  </w:style>
  <w:style w:type="paragraph" w:styleId="28">
    <w:name w:val="Closing"/>
    <w:basedOn w:val="8"/>
    <w:next w:val="29"/>
    <w:qFormat/>
    <w:uiPriority w:val="0"/>
    <w:pPr>
      <w:keepNext/>
      <w:widowControl/>
      <w:overflowPunct w:val="0"/>
      <w:autoSpaceDE w:val="0"/>
      <w:autoSpaceDN w:val="0"/>
      <w:spacing w:line="240" w:lineRule="atLeast"/>
      <w:ind w:left="4560"/>
      <w:jc w:val="left"/>
      <w:textAlignment w:val="baseline"/>
    </w:pPr>
    <w:rPr>
      <w:rFonts w:ascii="Garamond" w:hAnsi="Garamond"/>
      <w:kern w:val="18"/>
      <w:sz w:val="20"/>
    </w:rPr>
  </w:style>
  <w:style w:type="paragraph" w:customStyle="1" w:styleId="29">
    <w:name w:val="Signature Company Name"/>
    <w:basedOn w:val="30"/>
    <w:next w:val="31"/>
    <w:qFormat/>
    <w:uiPriority w:val="0"/>
    <w:pPr>
      <w:spacing w:before="0"/>
    </w:pPr>
    <w:rPr>
      <w:caps/>
      <w:sz w:val="21"/>
    </w:rPr>
  </w:style>
  <w:style w:type="paragraph" w:styleId="30">
    <w:name w:val="Signature"/>
    <w:basedOn w:val="8"/>
    <w:qFormat/>
    <w:uiPriority w:val="0"/>
    <w:pPr>
      <w:keepNext/>
      <w:widowControl/>
      <w:overflowPunct w:val="0"/>
      <w:autoSpaceDE w:val="0"/>
      <w:autoSpaceDN w:val="0"/>
      <w:spacing w:before="660" w:after="0" w:line="240" w:lineRule="atLeast"/>
      <w:ind w:left="4560"/>
      <w:jc w:val="left"/>
      <w:textAlignment w:val="baseline"/>
    </w:pPr>
    <w:rPr>
      <w:rFonts w:ascii="Garamond" w:hAnsi="Garamond"/>
      <w:kern w:val="18"/>
      <w:sz w:val="20"/>
    </w:rPr>
  </w:style>
  <w:style w:type="paragraph" w:customStyle="1" w:styleId="31">
    <w:name w:val="Signature Name"/>
    <w:basedOn w:val="30"/>
    <w:next w:val="32"/>
    <w:qFormat/>
    <w:uiPriority w:val="0"/>
    <w:pPr>
      <w:spacing w:before="880"/>
    </w:pPr>
  </w:style>
  <w:style w:type="paragraph" w:customStyle="1" w:styleId="32">
    <w:name w:val="Signature Job Title"/>
    <w:basedOn w:val="30"/>
    <w:next w:val="33"/>
    <w:qFormat/>
    <w:uiPriority w:val="0"/>
    <w:pPr>
      <w:spacing w:before="0"/>
    </w:pPr>
  </w:style>
  <w:style w:type="paragraph" w:customStyle="1" w:styleId="33">
    <w:name w:val="Reference Initials"/>
    <w:basedOn w:val="8"/>
    <w:next w:val="34"/>
    <w:qFormat/>
    <w:uiPriority w:val="0"/>
    <w:pPr>
      <w:keepNext/>
      <w:keepLines/>
      <w:widowControl/>
      <w:overflowPunct w:val="0"/>
      <w:autoSpaceDE w:val="0"/>
      <w:autoSpaceDN w:val="0"/>
      <w:spacing w:before="220" w:after="0" w:line="240" w:lineRule="atLeast"/>
      <w:jc w:val="left"/>
      <w:textAlignment w:val="baseline"/>
    </w:pPr>
    <w:rPr>
      <w:rFonts w:ascii="Garamond" w:hAnsi="Garamond"/>
      <w:kern w:val="18"/>
      <w:sz w:val="20"/>
    </w:rPr>
  </w:style>
  <w:style w:type="paragraph" w:customStyle="1" w:styleId="34">
    <w:name w:val="Enclosure"/>
    <w:basedOn w:val="8"/>
    <w:next w:val="35"/>
    <w:qFormat/>
    <w:uiPriority w:val="0"/>
    <w:pPr>
      <w:keepNext/>
      <w:keepLines/>
      <w:widowControl/>
      <w:overflowPunct w:val="0"/>
      <w:autoSpaceDE w:val="0"/>
      <w:autoSpaceDN w:val="0"/>
      <w:spacing w:after="240" w:line="240" w:lineRule="atLeast"/>
      <w:textAlignment w:val="baseline"/>
    </w:pPr>
    <w:rPr>
      <w:rFonts w:ascii="Garamond" w:hAnsi="Garamond"/>
      <w:kern w:val="18"/>
      <w:sz w:val="20"/>
    </w:rPr>
  </w:style>
  <w:style w:type="paragraph" w:customStyle="1" w:styleId="35">
    <w:name w:val="CC"/>
    <w:basedOn w:val="8"/>
    <w:qFormat/>
    <w:uiPriority w:val="0"/>
    <w:pPr>
      <w:keepLines/>
      <w:widowControl/>
      <w:overflowPunct w:val="0"/>
      <w:autoSpaceDE w:val="0"/>
      <w:autoSpaceDN w:val="0"/>
      <w:spacing w:after="240" w:line="240" w:lineRule="atLeast"/>
      <w:ind w:left="360" w:hanging="360"/>
      <w:jc w:val="left"/>
      <w:textAlignment w:val="baseline"/>
    </w:pPr>
    <w:rPr>
      <w:rFonts w:ascii="Garamond" w:hAnsi="Garamond"/>
      <w:kern w:val="18"/>
      <w:sz w:val="20"/>
    </w:rPr>
  </w:style>
  <w:style w:type="paragraph" w:styleId="36">
    <w:name w:val="List Bullet 3"/>
    <w:basedOn w:val="19"/>
    <w:qFormat/>
    <w:uiPriority w:val="0"/>
    <w:pPr>
      <w:ind w:left="1440"/>
    </w:pPr>
  </w:style>
  <w:style w:type="paragraph" w:styleId="37">
    <w:name w:val="Body Text Indent"/>
    <w:basedOn w:val="1"/>
    <w:qFormat/>
    <w:uiPriority w:val="0"/>
    <w:pPr>
      <w:spacing w:after="120"/>
      <w:ind w:left="420" w:leftChars="200"/>
    </w:pPr>
  </w:style>
  <w:style w:type="paragraph" w:styleId="38">
    <w:name w:val="List Number 3"/>
    <w:basedOn w:val="16"/>
    <w:qFormat/>
    <w:uiPriority w:val="0"/>
    <w:pPr>
      <w:ind w:left="1440"/>
    </w:pPr>
  </w:style>
  <w:style w:type="paragraph" w:styleId="39">
    <w:name w:val="List 2"/>
    <w:basedOn w:val="14"/>
    <w:qFormat/>
    <w:uiPriority w:val="0"/>
    <w:pPr>
      <w:widowControl/>
      <w:overflowPunct w:val="0"/>
      <w:autoSpaceDE w:val="0"/>
      <w:autoSpaceDN w:val="0"/>
      <w:spacing w:after="240" w:line="240" w:lineRule="atLeast"/>
      <w:ind w:left="1080" w:hanging="360"/>
    </w:pPr>
    <w:rPr>
      <w:rFonts w:ascii="Garamond" w:hAnsi="Garamond"/>
      <w:kern w:val="18"/>
      <w:sz w:val="20"/>
    </w:rPr>
  </w:style>
  <w:style w:type="paragraph" w:styleId="40">
    <w:name w:val="List Continue"/>
    <w:basedOn w:val="14"/>
    <w:qFormat/>
    <w:uiPriority w:val="0"/>
    <w:pPr>
      <w:widowControl/>
      <w:overflowPunct w:val="0"/>
      <w:autoSpaceDE w:val="0"/>
      <w:autoSpaceDN w:val="0"/>
      <w:spacing w:after="240" w:line="240" w:lineRule="atLeast"/>
      <w:ind w:left="720" w:right="720" w:firstLine="0"/>
    </w:pPr>
    <w:rPr>
      <w:rFonts w:ascii="Garamond" w:hAnsi="Garamond"/>
      <w:kern w:val="18"/>
      <w:sz w:val="20"/>
    </w:rPr>
  </w:style>
  <w:style w:type="paragraph" w:styleId="41">
    <w:name w:val="Block Text"/>
    <w:basedOn w:val="1"/>
    <w:qFormat/>
    <w:uiPriority w:val="0"/>
    <w:pPr>
      <w:adjustRightInd w:val="0"/>
      <w:spacing w:line="312" w:lineRule="atLeast"/>
      <w:ind w:left="113" w:right="113"/>
      <w:jc w:val="center"/>
      <w:textAlignment w:val="baseline"/>
    </w:pPr>
    <w:rPr>
      <w:rFonts w:eastAsia="隶书"/>
      <w:kern w:val="0"/>
      <w:sz w:val="28"/>
      <w:szCs w:val="20"/>
    </w:rPr>
  </w:style>
  <w:style w:type="paragraph" w:styleId="42">
    <w:name w:val="List Bullet 2"/>
    <w:basedOn w:val="19"/>
    <w:qFormat/>
    <w:uiPriority w:val="0"/>
    <w:pPr>
      <w:ind w:left="1080"/>
    </w:pPr>
  </w:style>
  <w:style w:type="paragraph" w:styleId="43">
    <w:name w:val="toc 3"/>
    <w:basedOn w:val="1"/>
    <w:next w:val="1"/>
    <w:semiHidden/>
    <w:qFormat/>
    <w:uiPriority w:val="0"/>
    <w:pPr>
      <w:ind w:left="840" w:leftChars="400"/>
    </w:pPr>
  </w:style>
  <w:style w:type="paragraph" w:styleId="44">
    <w:name w:val="Plain Text"/>
    <w:basedOn w:val="1"/>
    <w:next w:val="1"/>
    <w:link w:val="85"/>
    <w:qFormat/>
    <w:uiPriority w:val="0"/>
    <w:rPr>
      <w:rFonts w:ascii="宋体" w:hAnsi="Courier New" w:cs="Courier New"/>
      <w:szCs w:val="21"/>
    </w:rPr>
  </w:style>
  <w:style w:type="paragraph" w:styleId="45">
    <w:name w:val="List Bullet 5"/>
    <w:basedOn w:val="19"/>
    <w:qFormat/>
    <w:uiPriority w:val="0"/>
    <w:pPr>
      <w:ind w:left="2160"/>
    </w:pPr>
  </w:style>
  <w:style w:type="paragraph" w:styleId="46">
    <w:name w:val="List Number 4"/>
    <w:basedOn w:val="16"/>
    <w:qFormat/>
    <w:uiPriority w:val="0"/>
    <w:pPr>
      <w:ind w:left="1800"/>
    </w:pPr>
  </w:style>
  <w:style w:type="paragraph" w:styleId="47">
    <w:name w:val="Date"/>
    <w:basedOn w:val="1"/>
    <w:next w:val="1"/>
    <w:link w:val="86"/>
    <w:qFormat/>
    <w:uiPriority w:val="0"/>
    <w:pPr>
      <w:ind w:left="100" w:leftChars="2500"/>
    </w:pPr>
    <w:rPr>
      <w:b/>
      <w:spacing w:val="40"/>
      <w:sz w:val="44"/>
      <w:szCs w:val="44"/>
    </w:rPr>
  </w:style>
  <w:style w:type="paragraph" w:styleId="48">
    <w:name w:val="Body Text Indent 2"/>
    <w:basedOn w:val="1"/>
    <w:qFormat/>
    <w:uiPriority w:val="0"/>
    <w:pPr>
      <w:spacing w:after="120" w:line="480" w:lineRule="auto"/>
      <w:ind w:left="420" w:leftChars="200"/>
    </w:pPr>
  </w:style>
  <w:style w:type="paragraph" w:styleId="49">
    <w:name w:val="List Continue 5"/>
    <w:basedOn w:val="40"/>
    <w:qFormat/>
    <w:uiPriority w:val="0"/>
    <w:pPr>
      <w:ind w:left="2160"/>
    </w:pPr>
  </w:style>
  <w:style w:type="paragraph" w:styleId="50">
    <w:name w:val="Balloon Text"/>
    <w:basedOn w:val="1"/>
    <w:semiHidden/>
    <w:qFormat/>
    <w:uiPriority w:val="0"/>
    <w:rPr>
      <w:sz w:val="18"/>
      <w:szCs w:val="18"/>
    </w:rPr>
  </w:style>
  <w:style w:type="paragraph" w:styleId="51">
    <w:name w:val="footer"/>
    <w:basedOn w:val="1"/>
    <w:link w:val="87"/>
    <w:qFormat/>
    <w:uiPriority w:val="99"/>
    <w:pPr>
      <w:tabs>
        <w:tab w:val="center" w:pos="4153"/>
        <w:tab w:val="right" w:pos="8306"/>
      </w:tabs>
      <w:snapToGrid w:val="0"/>
      <w:jc w:val="left"/>
    </w:pPr>
    <w:rPr>
      <w:sz w:val="18"/>
      <w:szCs w:val="18"/>
    </w:rPr>
  </w:style>
  <w:style w:type="paragraph" w:styleId="52">
    <w:name w:val="envelope return"/>
    <w:basedOn w:val="8"/>
    <w:qFormat/>
    <w:uiPriority w:val="0"/>
    <w:pPr>
      <w:widowControl/>
      <w:overflowPunct w:val="0"/>
      <w:autoSpaceDE w:val="0"/>
      <w:autoSpaceDN w:val="0"/>
      <w:spacing w:after="0" w:line="240" w:lineRule="atLeast"/>
      <w:jc w:val="left"/>
      <w:textAlignment w:val="baseline"/>
    </w:pPr>
    <w:rPr>
      <w:rFonts w:ascii="Garamond" w:hAnsi="Garamond"/>
      <w:caps/>
      <w:spacing w:val="30"/>
      <w:sz w:val="15"/>
    </w:rPr>
  </w:style>
  <w:style w:type="paragraph" w:styleId="5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4">
    <w:name w:val="toc 1"/>
    <w:basedOn w:val="1"/>
    <w:next w:val="1"/>
    <w:semiHidden/>
    <w:qFormat/>
    <w:uiPriority w:val="0"/>
  </w:style>
  <w:style w:type="paragraph" w:styleId="55">
    <w:name w:val="List Continue 4"/>
    <w:basedOn w:val="40"/>
    <w:qFormat/>
    <w:uiPriority w:val="0"/>
    <w:pPr>
      <w:ind w:left="1800"/>
    </w:pPr>
  </w:style>
  <w:style w:type="paragraph" w:styleId="56">
    <w:name w:val="index heading"/>
    <w:basedOn w:val="1"/>
    <w:next w:val="57"/>
    <w:qFormat/>
    <w:uiPriority w:val="0"/>
  </w:style>
  <w:style w:type="paragraph" w:styleId="57">
    <w:name w:val="index 1"/>
    <w:basedOn w:val="1"/>
    <w:next w:val="1"/>
    <w:qFormat/>
    <w:uiPriority w:val="0"/>
    <w:pPr>
      <w:spacing w:line="240" w:lineRule="auto"/>
      <w:ind w:left="0" w:right="0" w:firstLine="0" w:firstLineChars="0"/>
    </w:pPr>
    <w:rPr>
      <w:rFonts w:ascii="Calibri" w:hAnsi="Calibri" w:cs="Calibri"/>
      <w:szCs w:val="21"/>
    </w:rPr>
  </w:style>
  <w:style w:type="paragraph" w:styleId="58">
    <w:name w:val="List Number 5"/>
    <w:basedOn w:val="16"/>
    <w:qFormat/>
    <w:uiPriority w:val="0"/>
    <w:pPr>
      <w:ind w:left="2160"/>
    </w:pPr>
  </w:style>
  <w:style w:type="paragraph" w:styleId="59">
    <w:name w:val="footnote text"/>
    <w:basedOn w:val="1"/>
    <w:qFormat/>
    <w:uiPriority w:val="99"/>
    <w:pPr>
      <w:adjustRightInd w:val="0"/>
      <w:spacing w:line="312" w:lineRule="atLeast"/>
      <w:jc w:val="left"/>
      <w:textAlignment w:val="baseline"/>
    </w:pPr>
    <w:rPr>
      <w:kern w:val="0"/>
      <w:sz w:val="18"/>
      <w:szCs w:val="20"/>
    </w:rPr>
  </w:style>
  <w:style w:type="paragraph" w:styleId="60">
    <w:name w:val="toc 6"/>
    <w:basedOn w:val="1"/>
    <w:next w:val="1"/>
    <w:qFormat/>
    <w:uiPriority w:val="0"/>
    <w:pPr>
      <w:ind w:left="1400"/>
    </w:pPr>
    <w:rPr>
      <w:rFonts w:ascii="Calibri"/>
      <w:sz w:val="18"/>
      <w:szCs w:val="18"/>
    </w:rPr>
  </w:style>
  <w:style w:type="paragraph" w:styleId="61">
    <w:name w:val="List 5"/>
    <w:basedOn w:val="14"/>
    <w:qFormat/>
    <w:uiPriority w:val="0"/>
    <w:pPr>
      <w:widowControl/>
      <w:overflowPunct w:val="0"/>
      <w:autoSpaceDE w:val="0"/>
      <w:autoSpaceDN w:val="0"/>
      <w:spacing w:after="240" w:line="240" w:lineRule="atLeast"/>
      <w:ind w:left="2160" w:hanging="360"/>
    </w:pPr>
    <w:rPr>
      <w:rFonts w:ascii="Garamond" w:hAnsi="Garamond"/>
      <w:kern w:val="18"/>
      <w:sz w:val="20"/>
    </w:rPr>
  </w:style>
  <w:style w:type="paragraph" w:styleId="62">
    <w:name w:val="Body Text Indent 3"/>
    <w:basedOn w:val="1"/>
    <w:qFormat/>
    <w:uiPriority w:val="0"/>
    <w:pPr>
      <w:spacing w:after="120"/>
      <w:ind w:left="420" w:leftChars="200"/>
    </w:pPr>
    <w:rPr>
      <w:sz w:val="16"/>
      <w:szCs w:val="16"/>
    </w:rPr>
  </w:style>
  <w:style w:type="paragraph" w:styleId="63">
    <w:name w:val="toc 2"/>
    <w:basedOn w:val="1"/>
    <w:next w:val="1"/>
    <w:semiHidden/>
    <w:qFormat/>
    <w:uiPriority w:val="0"/>
    <w:pPr>
      <w:ind w:left="420" w:leftChars="200"/>
    </w:pPr>
  </w:style>
  <w:style w:type="paragraph" w:styleId="64">
    <w:name w:val="Body Text 2"/>
    <w:basedOn w:val="1"/>
    <w:qFormat/>
    <w:uiPriority w:val="0"/>
    <w:pPr>
      <w:spacing w:after="120" w:line="480" w:lineRule="auto"/>
    </w:pPr>
  </w:style>
  <w:style w:type="paragraph" w:styleId="65">
    <w:name w:val="List 4"/>
    <w:basedOn w:val="14"/>
    <w:qFormat/>
    <w:uiPriority w:val="0"/>
    <w:pPr>
      <w:widowControl/>
      <w:overflowPunct w:val="0"/>
      <w:autoSpaceDE w:val="0"/>
      <w:autoSpaceDN w:val="0"/>
      <w:spacing w:after="240" w:line="240" w:lineRule="atLeast"/>
      <w:ind w:left="1800" w:hanging="360"/>
    </w:pPr>
    <w:rPr>
      <w:rFonts w:ascii="Garamond" w:hAnsi="Garamond"/>
      <w:kern w:val="18"/>
      <w:sz w:val="20"/>
    </w:rPr>
  </w:style>
  <w:style w:type="paragraph" w:styleId="66">
    <w:name w:val="List Continue 2"/>
    <w:basedOn w:val="40"/>
    <w:qFormat/>
    <w:uiPriority w:val="0"/>
    <w:pPr>
      <w:ind w:left="1080"/>
    </w:pPr>
  </w:style>
  <w:style w:type="paragraph" w:styleId="67">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68">
    <w:name w:val="List Continue 3"/>
    <w:basedOn w:val="40"/>
    <w:qFormat/>
    <w:uiPriority w:val="0"/>
    <w:pPr>
      <w:ind w:left="1440"/>
    </w:pPr>
  </w:style>
  <w:style w:type="paragraph" w:styleId="69">
    <w:name w:val="annotation subject"/>
    <w:basedOn w:val="25"/>
    <w:next w:val="25"/>
    <w:link w:val="88"/>
    <w:qFormat/>
    <w:uiPriority w:val="0"/>
    <w:rPr>
      <w:b/>
      <w:bCs/>
    </w:rPr>
  </w:style>
  <w:style w:type="paragraph" w:styleId="70">
    <w:name w:val="Body Text First Indent"/>
    <w:basedOn w:val="8"/>
    <w:next w:val="71"/>
    <w:qFormat/>
    <w:uiPriority w:val="0"/>
    <w:pPr>
      <w:adjustRightInd/>
      <w:spacing w:line="240" w:lineRule="auto"/>
      <w:ind w:firstLine="420" w:firstLineChars="100"/>
    </w:pPr>
    <w:rPr>
      <w:kern w:val="2"/>
      <w:sz w:val="21"/>
      <w:szCs w:val="24"/>
    </w:rPr>
  </w:style>
  <w:style w:type="paragraph" w:styleId="71">
    <w:name w:val="Body Text First Indent 2"/>
    <w:basedOn w:val="37"/>
    <w:next w:val="70"/>
    <w:qFormat/>
    <w:uiPriority w:val="0"/>
    <w:pPr>
      <w:ind w:firstLine="420" w:firstLineChars="200"/>
    </w:pPr>
  </w:style>
  <w:style w:type="table" w:styleId="73">
    <w:name w:val="Table Grid"/>
    <w:basedOn w:val="7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5">
    <w:name w:val="Strong"/>
    <w:basedOn w:val="74"/>
    <w:qFormat/>
    <w:uiPriority w:val="0"/>
    <w:rPr>
      <w:b/>
    </w:rPr>
  </w:style>
  <w:style w:type="character" w:styleId="76">
    <w:name w:val="page number"/>
    <w:basedOn w:val="74"/>
    <w:qFormat/>
    <w:uiPriority w:val="0"/>
  </w:style>
  <w:style w:type="character" w:styleId="77">
    <w:name w:val="Emphasis"/>
    <w:qFormat/>
    <w:uiPriority w:val="0"/>
    <w:rPr>
      <w:caps/>
      <w:sz w:val="18"/>
    </w:rPr>
  </w:style>
  <w:style w:type="character" w:styleId="78">
    <w:name w:val="line number"/>
    <w:qFormat/>
    <w:uiPriority w:val="0"/>
    <w:rPr>
      <w:rFonts w:ascii="Garamond" w:hAnsi="Garamond"/>
      <w:sz w:val="21"/>
    </w:rPr>
  </w:style>
  <w:style w:type="character" w:styleId="79">
    <w:name w:val="Hyperlink"/>
    <w:qFormat/>
    <w:uiPriority w:val="0"/>
    <w:rPr>
      <w:color w:val="0000FF"/>
      <w:u w:val="single"/>
    </w:rPr>
  </w:style>
  <w:style w:type="character" w:styleId="80">
    <w:name w:val="annotation reference"/>
    <w:qFormat/>
    <w:uiPriority w:val="0"/>
    <w:rPr>
      <w:sz w:val="21"/>
      <w:szCs w:val="21"/>
    </w:rPr>
  </w:style>
  <w:style w:type="character" w:customStyle="1" w:styleId="81">
    <w:name w:val="标题 1 Char"/>
    <w:link w:val="2"/>
    <w:qFormat/>
    <w:uiPriority w:val="0"/>
    <w:rPr>
      <w:rFonts w:ascii="Times New Roman" w:hAnsi="Times New Roman"/>
      <w:b/>
      <w:kern w:val="44"/>
      <w:sz w:val="32"/>
    </w:rPr>
  </w:style>
  <w:style w:type="character" w:customStyle="1" w:styleId="82">
    <w:name w:val="标题 3 字符"/>
    <w:basedOn w:val="74"/>
    <w:link w:val="4"/>
    <w:qFormat/>
    <w:uiPriority w:val="0"/>
    <w:rPr>
      <w:b/>
      <w:bCs/>
      <w:sz w:val="32"/>
      <w:szCs w:val="32"/>
    </w:rPr>
  </w:style>
  <w:style w:type="character" w:customStyle="1" w:styleId="83">
    <w:name w:val="正文缩进 Char"/>
    <w:link w:val="20"/>
    <w:qFormat/>
    <w:locked/>
    <w:uiPriority w:val="0"/>
    <w:rPr>
      <w:rFonts w:eastAsia="宋体"/>
      <w:kern w:val="2"/>
      <w:sz w:val="24"/>
      <w:lang w:val="en-US" w:eastAsia="zh-CN" w:bidi="ar-SA"/>
    </w:rPr>
  </w:style>
  <w:style w:type="character" w:customStyle="1" w:styleId="84">
    <w:name w:val="批注文字 Char"/>
    <w:link w:val="25"/>
    <w:qFormat/>
    <w:uiPriority w:val="0"/>
    <w:rPr>
      <w:kern w:val="2"/>
      <w:sz w:val="21"/>
      <w:szCs w:val="24"/>
    </w:rPr>
  </w:style>
  <w:style w:type="character" w:customStyle="1" w:styleId="85">
    <w:name w:val="纯文本 Char1"/>
    <w:link w:val="44"/>
    <w:qFormat/>
    <w:uiPriority w:val="0"/>
    <w:rPr>
      <w:rFonts w:ascii="宋体" w:hAnsi="Courier New" w:eastAsia="宋体" w:cs="Courier New"/>
      <w:kern w:val="2"/>
      <w:sz w:val="21"/>
      <w:szCs w:val="21"/>
      <w:lang w:val="en-US" w:eastAsia="zh-CN" w:bidi="ar-SA"/>
    </w:rPr>
  </w:style>
  <w:style w:type="character" w:customStyle="1" w:styleId="86">
    <w:name w:val="日期 Char"/>
    <w:link w:val="47"/>
    <w:qFormat/>
    <w:uiPriority w:val="0"/>
    <w:rPr>
      <w:rFonts w:eastAsia="宋体"/>
      <w:b/>
      <w:spacing w:val="40"/>
      <w:kern w:val="2"/>
      <w:sz w:val="44"/>
      <w:szCs w:val="44"/>
      <w:lang w:val="en-US" w:eastAsia="zh-CN" w:bidi="ar-SA"/>
    </w:rPr>
  </w:style>
  <w:style w:type="character" w:customStyle="1" w:styleId="87">
    <w:name w:val="页脚 Char"/>
    <w:link w:val="51"/>
    <w:qFormat/>
    <w:uiPriority w:val="99"/>
    <w:rPr>
      <w:kern w:val="2"/>
      <w:sz w:val="18"/>
      <w:szCs w:val="18"/>
    </w:rPr>
  </w:style>
  <w:style w:type="character" w:customStyle="1" w:styleId="88">
    <w:name w:val="批注主题 Char"/>
    <w:link w:val="69"/>
    <w:qFormat/>
    <w:uiPriority w:val="0"/>
    <w:rPr>
      <w:b/>
      <w:bCs/>
      <w:kern w:val="2"/>
      <w:sz w:val="21"/>
      <w:szCs w:val="24"/>
    </w:rPr>
  </w:style>
  <w:style w:type="character" w:customStyle="1" w:styleId="89">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90">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1">
    <w:name w:val="Char1 Char Char Char Char"/>
    <w:basedOn w:val="1"/>
    <w:qFormat/>
    <w:uiPriority w:val="0"/>
  </w:style>
  <w:style w:type="paragraph" w:customStyle="1" w:styleId="92">
    <w:name w:val="Picture"/>
    <w:basedOn w:val="1"/>
    <w:next w:val="22"/>
    <w:qFormat/>
    <w:uiPriority w:val="0"/>
    <w:pPr>
      <w:keepNext/>
      <w:widowControl/>
      <w:overflowPunct w:val="0"/>
      <w:autoSpaceDE w:val="0"/>
      <w:autoSpaceDN w:val="0"/>
      <w:adjustRightInd w:val="0"/>
      <w:textAlignment w:val="baseline"/>
    </w:pPr>
    <w:rPr>
      <w:rFonts w:ascii="Garamond" w:hAnsi="Garamond"/>
      <w:kern w:val="18"/>
      <w:sz w:val="20"/>
      <w:szCs w:val="20"/>
    </w:rPr>
  </w:style>
  <w:style w:type="paragraph" w:customStyle="1" w:styleId="93">
    <w:name w:val="段"/>
    <w:next w:val="1"/>
    <w:link w:val="94"/>
    <w:qFormat/>
    <w:uiPriority w:val="0"/>
    <w:pPr>
      <w:autoSpaceDE w:val="0"/>
      <w:autoSpaceDN w:val="0"/>
      <w:spacing w:line="360" w:lineRule="auto"/>
      <w:ind w:left="50" w:right="62" w:firstLine="200" w:firstLineChars="200"/>
      <w:jc w:val="both"/>
    </w:pPr>
    <w:rPr>
      <w:rFonts w:ascii="宋体" w:hAnsi="Times New Roman" w:eastAsia="宋体" w:cs="Times New Roman"/>
      <w:sz w:val="21"/>
      <w:lang w:val="en-US" w:eastAsia="zh-CN" w:bidi="ar-SA"/>
    </w:rPr>
  </w:style>
  <w:style w:type="character" w:customStyle="1" w:styleId="94">
    <w:name w:val="段 Char"/>
    <w:link w:val="93"/>
    <w:qFormat/>
    <w:uiPriority w:val="0"/>
    <w:rPr>
      <w:rFonts w:ascii="宋体"/>
      <w:sz w:val="21"/>
      <w:lang w:val="en-US" w:eastAsia="zh-CN" w:bidi="ar-SA"/>
    </w:rPr>
  </w:style>
  <w:style w:type="paragraph" w:customStyle="1" w:styleId="95">
    <w:name w:val="标题 3 + 宋体"/>
    <w:basedOn w:val="3"/>
    <w:qFormat/>
    <w:uiPriority w:val="0"/>
    <w:pPr>
      <w:spacing w:beforeLines="50" w:afterLines="50" w:line="416" w:lineRule="auto"/>
      <w:jc w:val="both"/>
    </w:pPr>
    <w:rPr>
      <w:rFonts w:ascii="宋体" w:hAnsi="宋体" w:cs="Arial"/>
      <w:kern w:val="0"/>
      <w:sz w:val="28"/>
    </w:rPr>
  </w:style>
  <w:style w:type="paragraph" w:customStyle="1" w:styleId="96">
    <w:name w:val="Header First"/>
    <w:basedOn w:val="53"/>
    <w:qFormat/>
    <w:uiPriority w:val="0"/>
    <w:pPr>
      <w:keepLines/>
      <w:widowControl/>
      <w:pBdr>
        <w:bottom w:val="none" w:color="auto" w:sz="0" w:space="0"/>
      </w:pBdr>
      <w:tabs>
        <w:tab w:val="center" w:pos="4320"/>
        <w:tab w:val="right" w:pos="8640"/>
        <w:tab w:val="clear" w:pos="4153"/>
        <w:tab w:val="clear" w:pos="8306"/>
      </w:tabs>
      <w:overflowPunct w:val="0"/>
      <w:autoSpaceDE w:val="0"/>
      <w:autoSpaceDN w:val="0"/>
      <w:adjustRightInd w:val="0"/>
      <w:snapToGrid/>
      <w:spacing w:after="880" w:line="240" w:lineRule="atLeast"/>
      <w:jc w:val="left"/>
      <w:textAlignment w:val="baseline"/>
    </w:pPr>
    <w:rPr>
      <w:rFonts w:ascii="Garamond" w:hAnsi="Garamond"/>
      <w:smallCaps/>
      <w:kern w:val="18"/>
      <w:sz w:val="20"/>
      <w:szCs w:val="20"/>
    </w:rPr>
  </w:style>
  <w:style w:type="paragraph" w:customStyle="1" w:styleId="97">
    <w:name w:val="列出段落21"/>
    <w:basedOn w:val="1"/>
    <w:qFormat/>
    <w:uiPriority w:val="0"/>
    <w:pPr>
      <w:spacing w:line="240" w:lineRule="auto"/>
      <w:ind w:left="0" w:right="0" w:firstLine="420" w:firstLineChars="200"/>
    </w:pPr>
    <w:rPr>
      <w:rFonts w:ascii="Calibri" w:hAnsi="Calibri"/>
      <w:szCs w:val="21"/>
    </w:rPr>
  </w:style>
  <w:style w:type="paragraph" w:customStyle="1" w:styleId="98">
    <w:name w:val="_Style 35"/>
    <w:basedOn w:val="1"/>
    <w:qFormat/>
    <w:uiPriority w:val="0"/>
    <w:pPr>
      <w:widowControl/>
      <w:spacing w:after="160" w:line="240" w:lineRule="exact"/>
      <w:jc w:val="left"/>
    </w:pPr>
    <w:rPr>
      <w:szCs w:val="20"/>
    </w:rPr>
  </w:style>
  <w:style w:type="paragraph" w:customStyle="1" w:styleId="99">
    <w:name w:val="msonormalcxspmiddle"/>
    <w:basedOn w:val="1"/>
    <w:qFormat/>
    <w:uiPriority w:val="0"/>
    <w:pPr>
      <w:widowControl/>
      <w:spacing w:before="100" w:beforeAutospacing="1" w:after="100" w:afterAutospacing="1"/>
      <w:jc w:val="left"/>
    </w:pPr>
    <w:rPr>
      <w:rFonts w:ascii="宋体" w:hAnsi="宋体" w:cs="宋体"/>
      <w:kern w:val="0"/>
      <w:sz w:val="24"/>
    </w:rPr>
  </w:style>
  <w:style w:type="paragraph" w:customStyle="1" w:styleId="100">
    <w:name w:val="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1">
    <w:name w:val="Attention Line"/>
    <w:basedOn w:val="1"/>
    <w:next w:val="26"/>
    <w:qFormat/>
    <w:uiPriority w:val="0"/>
    <w:pPr>
      <w:widowControl/>
      <w:spacing w:before="220"/>
      <w:ind w:left="840" w:right="-360"/>
      <w:jc w:val="left"/>
    </w:pPr>
    <w:rPr>
      <w:rFonts w:eastAsia="Times New Roman"/>
      <w:kern w:val="0"/>
      <w:sz w:val="20"/>
      <w:szCs w:val="20"/>
      <w:lang w:eastAsia="en-US"/>
    </w:rPr>
  </w:style>
  <w:style w:type="paragraph" w:customStyle="1" w:styleId="102">
    <w:name w:val="Char2"/>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03">
    <w:name w:val="Block Quotation"/>
    <w:basedOn w:val="8"/>
    <w:qFormat/>
    <w:uiPriority w:val="0"/>
    <w:pPr>
      <w:keepLines/>
      <w:widowControl/>
      <w:overflowPunct w:val="0"/>
      <w:autoSpaceDE w:val="0"/>
      <w:autoSpaceDN w:val="0"/>
      <w:spacing w:after="240" w:line="240" w:lineRule="atLeast"/>
      <w:ind w:left="720" w:right="720" w:firstLine="360"/>
      <w:textAlignment w:val="baseline"/>
    </w:pPr>
    <w:rPr>
      <w:rFonts w:ascii="Garamond" w:hAnsi="Garamond"/>
      <w:kern w:val="18"/>
      <w:sz w:val="20"/>
    </w:rPr>
  </w:style>
  <w:style w:type="paragraph" w:customStyle="1" w:styleId="104">
    <w:name w:val="默认段落字体 Para Char Char Char Char Char Char Char"/>
    <w:basedOn w:val="1"/>
    <w:qFormat/>
    <w:uiPriority w:val="0"/>
    <w:rPr>
      <w:rFonts w:ascii="Tahoma" w:hAnsi="Tahoma"/>
      <w:sz w:val="24"/>
      <w:szCs w:val="20"/>
    </w:rPr>
  </w:style>
  <w:style w:type="paragraph" w:customStyle="1" w:styleId="105">
    <w:name w:val="Company Name"/>
    <w:basedOn w:val="8"/>
    <w:next w:val="8"/>
    <w:qFormat/>
    <w:uiPriority w:val="0"/>
    <w:pPr>
      <w:keepLines/>
      <w:framePr w:w="8640" w:h="1440" w:wrap="notBeside" w:vAnchor="page" w:hAnchor="margin" w:xAlign="center" w:y="889"/>
      <w:widowControl/>
      <w:overflowPunct w:val="0"/>
      <w:autoSpaceDE w:val="0"/>
      <w:autoSpaceDN w:val="0"/>
      <w:spacing w:after="40" w:line="240" w:lineRule="atLeast"/>
      <w:jc w:val="center"/>
      <w:textAlignment w:val="baseline"/>
    </w:pPr>
    <w:rPr>
      <w:rFonts w:ascii="Garamond" w:hAnsi="Garamond"/>
      <w:caps/>
      <w:spacing w:val="75"/>
      <w:kern w:val="18"/>
      <w:sz w:val="21"/>
    </w:rPr>
  </w:style>
  <w:style w:type="paragraph" w:customStyle="1" w:styleId="106">
    <w:name w:val="Char1 Char Char Char Char2"/>
    <w:basedOn w:val="1"/>
    <w:qFormat/>
    <w:uiPriority w:val="0"/>
    <w:pPr>
      <w:spacing w:line="240" w:lineRule="auto"/>
      <w:ind w:left="0" w:right="0" w:firstLine="0" w:firstLineChars="0"/>
    </w:pPr>
    <w:rPr>
      <w:szCs w:val="20"/>
    </w:rPr>
  </w:style>
  <w:style w:type="paragraph" w:customStyle="1" w:styleId="107">
    <w:name w:val="Char Char3"/>
    <w:basedOn w:val="1"/>
    <w:qFormat/>
    <w:uiPriority w:val="0"/>
  </w:style>
  <w:style w:type="paragraph" w:customStyle="1" w:styleId="108">
    <w:name w:val="Char Char1 Char"/>
    <w:basedOn w:val="1"/>
    <w:qFormat/>
    <w:uiPriority w:val="0"/>
  </w:style>
  <w:style w:type="paragraph" w:customStyle="1" w:styleId="109">
    <w:name w:val="标题1"/>
    <w:basedOn w:val="1"/>
    <w:qFormat/>
    <w:uiPriority w:val="0"/>
    <w:pPr>
      <w:widowControl/>
      <w:jc w:val="center"/>
    </w:pPr>
    <w:rPr>
      <w:rFonts w:ascii="黑体" w:eastAsia="黑体"/>
      <w:b/>
      <w:kern w:val="0"/>
      <w:sz w:val="44"/>
      <w:szCs w:val="20"/>
    </w:rPr>
  </w:style>
  <w:style w:type="paragraph" w:customStyle="1" w:styleId="110">
    <w:name w:val="Char Char Char Char Char Char1"/>
    <w:basedOn w:val="1"/>
    <w:qFormat/>
    <w:uiPriority w:val="0"/>
    <w:rPr>
      <w:rFonts w:ascii="Tahoma" w:hAnsi="Tahoma"/>
      <w:sz w:val="24"/>
      <w:szCs w:val="20"/>
    </w:rPr>
  </w:style>
  <w:style w:type="paragraph" w:customStyle="1" w:styleId="111">
    <w:name w:val="Subject Line"/>
    <w:basedOn w:val="8"/>
    <w:next w:val="8"/>
    <w:qFormat/>
    <w:uiPriority w:val="0"/>
    <w:pPr>
      <w:widowControl/>
      <w:overflowPunct w:val="0"/>
      <w:autoSpaceDE w:val="0"/>
      <w:autoSpaceDN w:val="0"/>
      <w:spacing w:after="180" w:line="240" w:lineRule="atLeast"/>
      <w:ind w:left="360" w:hanging="360"/>
      <w:jc w:val="left"/>
      <w:textAlignment w:val="baseline"/>
    </w:pPr>
    <w:rPr>
      <w:rFonts w:ascii="Garamond" w:hAnsi="Garamond"/>
      <w:caps/>
      <w:kern w:val="18"/>
      <w:sz w:val="21"/>
    </w:rPr>
  </w:style>
  <w:style w:type="paragraph" w:customStyle="1" w:styleId="112">
    <w:name w:val="xl31"/>
    <w:basedOn w:val="1"/>
    <w:qFormat/>
    <w:uiPriority w:val="0"/>
    <w:pPr>
      <w:widowControl/>
      <w:spacing w:before="100" w:beforeAutospacing="1" w:after="100" w:afterAutospacing="1"/>
      <w:jc w:val="center"/>
    </w:pPr>
    <w:rPr>
      <w:kern w:val="0"/>
      <w:sz w:val="36"/>
      <w:szCs w:val="36"/>
    </w:rPr>
  </w:style>
  <w:style w:type="paragraph" w:customStyle="1" w:styleId="113">
    <w:name w:val="Char Char Char"/>
    <w:basedOn w:val="1"/>
    <w:qFormat/>
    <w:uiPriority w:val="0"/>
    <w:rPr>
      <w:rFonts w:ascii="Tahoma" w:hAnsi="Tahoma"/>
      <w:sz w:val="24"/>
      <w:szCs w:val="20"/>
    </w:rPr>
  </w:style>
  <w:style w:type="paragraph" w:customStyle="1" w:styleId="114">
    <w:name w:val="Inside Address"/>
    <w:basedOn w:val="8"/>
    <w:qFormat/>
    <w:uiPriority w:val="0"/>
    <w:pPr>
      <w:widowControl/>
      <w:overflowPunct w:val="0"/>
      <w:autoSpaceDE w:val="0"/>
      <w:autoSpaceDN w:val="0"/>
      <w:spacing w:after="0" w:line="240" w:lineRule="atLeast"/>
      <w:jc w:val="left"/>
      <w:textAlignment w:val="baseline"/>
    </w:pPr>
    <w:rPr>
      <w:rFonts w:ascii="Garamond" w:hAnsi="Garamond"/>
      <w:kern w:val="18"/>
      <w:sz w:val="20"/>
    </w:rPr>
  </w:style>
  <w:style w:type="paragraph" w:customStyle="1" w:styleId="115">
    <w:name w:val="Char Char15 Char Char"/>
    <w:basedOn w:val="1"/>
    <w:qFormat/>
    <w:uiPriority w:val="0"/>
    <w:pPr>
      <w:spacing w:line="240" w:lineRule="auto"/>
      <w:ind w:left="0" w:right="0" w:firstLine="0" w:firstLineChars="0"/>
    </w:pPr>
    <w:rPr>
      <w:szCs w:val="20"/>
    </w:rPr>
  </w:style>
  <w:style w:type="paragraph" w:customStyle="1" w:styleId="116">
    <w:name w:val="Char Char Char1"/>
    <w:basedOn w:val="1"/>
    <w:qFormat/>
    <w:uiPriority w:val="0"/>
    <w:rPr>
      <w:rFonts w:ascii="Tahoma" w:hAnsi="Tahoma"/>
      <w:sz w:val="24"/>
      <w:szCs w:val="20"/>
    </w:rPr>
  </w:style>
  <w:style w:type="paragraph" w:customStyle="1" w:styleId="117">
    <w:name w:val="Char Char1 Char Char Char Char Char Char Char Char Char Char"/>
    <w:basedOn w:val="1"/>
    <w:qFormat/>
    <w:uiPriority w:val="0"/>
    <w:rPr>
      <w:rFonts w:ascii="Tahoma" w:hAnsi="Tahoma"/>
      <w:sz w:val="24"/>
      <w:szCs w:val="20"/>
    </w:rPr>
  </w:style>
  <w:style w:type="paragraph" w:customStyle="1" w:styleId="118">
    <w:name w:val="Return Address"/>
    <w:qFormat/>
    <w:uiPriority w:val="0"/>
    <w:pPr>
      <w:tabs>
        <w:tab w:val="left" w:pos="2160"/>
      </w:tabs>
      <w:overflowPunct w:val="0"/>
      <w:autoSpaceDE w:val="0"/>
      <w:autoSpaceDN w:val="0"/>
      <w:adjustRightInd w:val="0"/>
      <w:spacing w:line="240" w:lineRule="atLeast"/>
      <w:ind w:left="50" w:right="-240" w:hanging="50" w:hangingChars="50"/>
      <w:jc w:val="center"/>
      <w:textAlignment w:val="baseline"/>
    </w:pPr>
    <w:rPr>
      <w:rFonts w:ascii="Garamond" w:hAnsi="Garamond" w:eastAsia="宋体" w:cs="Times New Roman"/>
      <w:caps/>
      <w:spacing w:val="30"/>
      <w:sz w:val="14"/>
      <w:lang w:val="en-US" w:eastAsia="zh-CN" w:bidi="ar-SA"/>
    </w:rPr>
  </w:style>
  <w:style w:type="paragraph" w:customStyle="1" w:styleId="119">
    <w:name w:val="表格文字"/>
    <w:basedOn w:val="1"/>
    <w:qFormat/>
    <w:uiPriority w:val="0"/>
    <w:pPr>
      <w:spacing w:before="25" w:after="25" w:line="300" w:lineRule="auto"/>
    </w:pPr>
    <w:rPr>
      <w:rFonts w:ascii="Times" w:hAnsi="Times"/>
      <w:spacing w:val="10"/>
      <w:kern w:val="0"/>
      <w:sz w:val="24"/>
      <w:szCs w:val="20"/>
    </w:rPr>
  </w:style>
  <w:style w:type="paragraph" w:customStyle="1" w:styleId="120">
    <w:name w:val="Footnote Base"/>
    <w:basedOn w:val="8"/>
    <w:qFormat/>
    <w:uiPriority w:val="0"/>
    <w:pPr>
      <w:keepLines/>
      <w:widowControl/>
      <w:overflowPunct w:val="0"/>
      <w:autoSpaceDE w:val="0"/>
      <w:autoSpaceDN w:val="0"/>
      <w:spacing w:after="240" w:line="240" w:lineRule="atLeast"/>
      <w:textAlignment w:val="baseline"/>
    </w:pPr>
    <w:rPr>
      <w:rFonts w:ascii="Garamond" w:hAnsi="Garamond"/>
      <w:kern w:val="18"/>
      <w:sz w:val="16"/>
    </w:rPr>
  </w:style>
  <w:style w:type="paragraph" w:customStyle="1" w:styleId="121">
    <w:name w:val="Char1 Char Char Char Char1"/>
    <w:basedOn w:val="1"/>
    <w:qFormat/>
    <w:uiPriority w:val="0"/>
    <w:pPr>
      <w:widowControl/>
      <w:spacing w:after="160" w:line="240" w:lineRule="exact"/>
      <w:jc w:val="left"/>
    </w:pPr>
    <w:rPr>
      <w:szCs w:val="20"/>
    </w:rPr>
  </w:style>
  <w:style w:type="paragraph" w:customStyle="1" w:styleId="122">
    <w:name w:val="Char1 Char Char Char1"/>
    <w:basedOn w:val="1"/>
    <w:qFormat/>
    <w:uiPriority w:val="0"/>
    <w:pPr>
      <w:widowControl/>
      <w:spacing w:after="160" w:line="240" w:lineRule="exact"/>
      <w:jc w:val="left"/>
    </w:pPr>
    <w:rPr>
      <w:rFonts w:ascii="Verdana" w:hAnsi="Verdana" w:eastAsia="仿宋_GB2312"/>
      <w:kern w:val="0"/>
      <w:sz w:val="28"/>
      <w:szCs w:val="20"/>
      <w:lang w:eastAsia="en-US"/>
    </w:rPr>
  </w:style>
  <w:style w:type="paragraph" w:customStyle="1" w:styleId="123">
    <w:name w:val="Char Char Char Char Char Char"/>
    <w:basedOn w:val="1"/>
    <w:qFormat/>
    <w:uiPriority w:val="0"/>
    <w:rPr>
      <w:rFonts w:ascii="Tahoma" w:hAnsi="Tahoma"/>
      <w:sz w:val="24"/>
      <w:szCs w:val="20"/>
    </w:rPr>
  </w:style>
  <w:style w:type="paragraph" w:customStyle="1" w:styleId="124">
    <w:name w:val="p0"/>
    <w:basedOn w:val="1"/>
    <w:qFormat/>
    <w:uiPriority w:val="0"/>
    <w:pPr>
      <w:widowControl/>
    </w:pPr>
    <w:rPr>
      <w:kern w:val="0"/>
      <w:szCs w:val="21"/>
    </w:rPr>
  </w:style>
  <w:style w:type="paragraph" w:customStyle="1" w:styleId="125">
    <w:name w:val="Char Char7"/>
    <w:basedOn w:val="1"/>
    <w:qFormat/>
    <w:uiPriority w:val="0"/>
    <w:pPr>
      <w:spacing w:line="240" w:lineRule="auto"/>
      <w:ind w:left="0" w:right="0" w:firstLine="0" w:firstLineChars="0"/>
    </w:pPr>
  </w:style>
  <w:style w:type="paragraph" w:customStyle="1" w:styleId="126">
    <w:name w:val="Char1 Char Char"/>
    <w:basedOn w:val="1"/>
    <w:qFormat/>
    <w:uiPriority w:val="0"/>
    <w:pPr>
      <w:widowControl/>
      <w:spacing w:after="160" w:line="240" w:lineRule="exact"/>
      <w:ind w:left="0" w:right="0" w:firstLine="0" w:firstLineChars="0"/>
      <w:jc w:val="left"/>
    </w:pPr>
    <w:rPr>
      <w:szCs w:val="20"/>
    </w:rPr>
  </w:style>
  <w:style w:type="paragraph" w:customStyle="1" w:styleId="127">
    <w:name w:val="Char Char Char Char"/>
    <w:basedOn w:val="1"/>
    <w:qFormat/>
    <w:uiPriority w:val="0"/>
    <w:rPr>
      <w:szCs w:val="20"/>
    </w:rPr>
  </w:style>
  <w:style w:type="paragraph" w:customStyle="1" w:styleId="128">
    <w:name w:val="Char1 Char Char Char Char3"/>
    <w:basedOn w:val="1"/>
    <w:qFormat/>
    <w:uiPriority w:val="0"/>
    <w:rPr>
      <w:szCs w:val="20"/>
    </w:rPr>
  </w:style>
  <w:style w:type="paragraph" w:customStyle="1" w:styleId="129">
    <w:name w:val="列出段落1"/>
    <w:basedOn w:val="1"/>
    <w:qFormat/>
    <w:uiPriority w:val="0"/>
    <w:pPr>
      <w:ind w:firstLine="420" w:firstLineChars="200"/>
    </w:pPr>
    <w:rPr>
      <w:rFonts w:ascii="Calibri" w:hAnsi="Calibri"/>
      <w:szCs w:val="22"/>
    </w:rPr>
  </w:style>
  <w:style w:type="paragraph" w:customStyle="1" w:styleId="130">
    <w:name w:val="Header Odd"/>
    <w:basedOn w:val="53"/>
    <w:qFormat/>
    <w:uiPriority w:val="0"/>
    <w:pPr>
      <w:keepLines/>
      <w:widowControl/>
      <w:pBdr>
        <w:bottom w:val="none" w:color="auto" w:sz="0" w:space="0"/>
      </w:pBdr>
      <w:tabs>
        <w:tab w:val="center" w:pos="4320"/>
        <w:tab w:val="right" w:pos="8640"/>
        <w:tab w:val="clear" w:pos="4153"/>
        <w:tab w:val="clear" w:pos="8306"/>
      </w:tabs>
      <w:overflowPunct w:val="0"/>
      <w:autoSpaceDE w:val="0"/>
      <w:autoSpaceDN w:val="0"/>
      <w:adjustRightInd w:val="0"/>
      <w:snapToGrid/>
      <w:spacing w:after="660" w:line="240" w:lineRule="atLeast"/>
      <w:jc w:val="left"/>
      <w:textAlignment w:val="baseline"/>
    </w:pPr>
    <w:rPr>
      <w:rFonts w:ascii="Garamond" w:hAnsi="Garamond"/>
      <w:smallCaps/>
      <w:kern w:val="18"/>
      <w:sz w:val="20"/>
      <w:szCs w:val="20"/>
    </w:rPr>
  </w:style>
  <w:style w:type="paragraph" w:customStyle="1" w:styleId="131">
    <w:name w:val="Char Char8 Char Char"/>
    <w:basedOn w:val="1"/>
    <w:qFormat/>
    <w:uiPriority w:val="0"/>
    <w:pPr>
      <w:widowControl/>
      <w:spacing w:after="160" w:line="240" w:lineRule="exact"/>
      <w:jc w:val="left"/>
    </w:pPr>
    <w:rPr>
      <w:szCs w:val="20"/>
    </w:rPr>
  </w:style>
  <w:style w:type="paragraph" w:customStyle="1" w:styleId="132">
    <w:name w:val="Thyssen Standard"/>
    <w:basedOn w:val="1"/>
    <w:qFormat/>
    <w:uiPriority w:val="0"/>
    <w:pPr>
      <w:widowControl/>
      <w:spacing w:before="120" w:after="120" w:line="300" w:lineRule="atLeast"/>
    </w:pPr>
    <w:rPr>
      <w:rFonts w:ascii="TKTypeRegular" w:hAnsi="TKTypeRegular" w:eastAsia="Times New Roman"/>
      <w:kern w:val="0"/>
      <w:sz w:val="22"/>
      <w:szCs w:val="20"/>
      <w:lang w:eastAsia="en-US"/>
    </w:rPr>
  </w:style>
  <w:style w:type="paragraph" w:customStyle="1" w:styleId="133">
    <w:name w:val="Header Even"/>
    <w:basedOn w:val="53"/>
    <w:qFormat/>
    <w:uiPriority w:val="0"/>
    <w:pPr>
      <w:keepLines/>
      <w:widowControl/>
      <w:pBdr>
        <w:bottom w:val="none" w:color="auto" w:sz="0" w:space="0"/>
      </w:pBdr>
      <w:tabs>
        <w:tab w:val="center" w:pos="4320"/>
        <w:tab w:val="right" w:pos="8640"/>
        <w:tab w:val="clear" w:pos="4153"/>
        <w:tab w:val="clear" w:pos="8306"/>
      </w:tabs>
      <w:overflowPunct w:val="0"/>
      <w:autoSpaceDE w:val="0"/>
      <w:autoSpaceDN w:val="0"/>
      <w:adjustRightInd w:val="0"/>
      <w:snapToGrid/>
      <w:spacing w:after="660" w:line="240" w:lineRule="atLeast"/>
      <w:jc w:val="left"/>
      <w:textAlignment w:val="baseline"/>
    </w:pPr>
    <w:rPr>
      <w:rFonts w:ascii="Garamond" w:hAnsi="Garamond"/>
      <w:smallCaps/>
      <w:kern w:val="18"/>
      <w:sz w:val="20"/>
      <w:szCs w:val="20"/>
    </w:rPr>
  </w:style>
  <w:style w:type="paragraph" w:customStyle="1" w:styleId="134">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135">
    <w:name w:val="Header Base"/>
    <w:basedOn w:val="8"/>
    <w:qFormat/>
    <w:uiPriority w:val="0"/>
    <w:pPr>
      <w:keepLines/>
      <w:widowControl/>
      <w:tabs>
        <w:tab w:val="center" w:pos="4320"/>
        <w:tab w:val="right" w:pos="8640"/>
      </w:tabs>
      <w:overflowPunct w:val="0"/>
      <w:autoSpaceDE w:val="0"/>
      <w:autoSpaceDN w:val="0"/>
      <w:spacing w:after="0" w:line="240" w:lineRule="atLeast"/>
      <w:jc w:val="left"/>
      <w:textAlignment w:val="baseline"/>
    </w:pPr>
    <w:rPr>
      <w:rFonts w:ascii="Garamond" w:hAnsi="Garamond"/>
      <w:kern w:val="18"/>
      <w:sz w:val="20"/>
    </w:rPr>
  </w:style>
  <w:style w:type="paragraph" w:customStyle="1" w:styleId="136">
    <w:name w:val="Body Text Keep"/>
    <w:basedOn w:val="8"/>
    <w:qFormat/>
    <w:uiPriority w:val="0"/>
    <w:pPr>
      <w:keepNext/>
      <w:widowControl/>
      <w:overflowPunct w:val="0"/>
      <w:autoSpaceDE w:val="0"/>
      <w:autoSpaceDN w:val="0"/>
      <w:spacing w:after="240" w:line="240" w:lineRule="atLeast"/>
      <w:ind w:firstLine="360"/>
      <w:textAlignment w:val="baseline"/>
    </w:pPr>
    <w:rPr>
      <w:rFonts w:ascii="Garamond" w:hAnsi="Garamond"/>
      <w:kern w:val="18"/>
      <w:sz w:val="20"/>
    </w:rPr>
  </w:style>
  <w:style w:type="paragraph" w:customStyle="1" w:styleId="137">
    <w:name w:val="Char"/>
    <w:basedOn w:val="1"/>
    <w:qFormat/>
    <w:uiPriority w:val="0"/>
    <w:rPr>
      <w:rFonts w:ascii="Tahoma" w:hAnsi="Tahoma"/>
      <w:sz w:val="24"/>
      <w:szCs w:val="20"/>
    </w:rPr>
  </w:style>
  <w:style w:type="paragraph" w:customStyle="1" w:styleId="138">
    <w:name w:val="Char1"/>
    <w:basedOn w:val="1"/>
    <w:qFormat/>
    <w:uiPriority w:val="0"/>
    <w:rPr>
      <w:rFonts w:ascii="Tahoma" w:hAnsi="Tahoma"/>
      <w:sz w:val="24"/>
      <w:szCs w:val="20"/>
    </w:rPr>
  </w:style>
  <w:style w:type="paragraph" w:customStyle="1" w:styleId="139">
    <w:name w:val="正文格式"/>
    <w:basedOn w:val="1"/>
    <w:qFormat/>
    <w:uiPriority w:val="0"/>
    <w:pPr>
      <w:ind w:firstLine="420" w:firstLineChars="200"/>
    </w:pPr>
    <w:rPr>
      <w:sz w:val="28"/>
      <w:szCs w:val="20"/>
    </w:rPr>
  </w:style>
  <w:style w:type="paragraph" w:customStyle="1" w:styleId="140">
    <w:name w:val="WW-正文缩进"/>
    <w:basedOn w:val="1"/>
    <w:qFormat/>
    <w:uiPriority w:val="0"/>
    <w:pPr>
      <w:suppressAutoHyphens/>
      <w:autoSpaceDE w:val="0"/>
      <w:ind w:firstLine="420"/>
      <w:jc w:val="left"/>
      <w:textAlignment w:val="baseline"/>
    </w:pPr>
    <w:rPr>
      <w:rFonts w:ascii="宋体" w:hAnsi="宋体"/>
      <w:kern w:val="1"/>
      <w:sz w:val="34"/>
      <w:szCs w:val="20"/>
      <w:lang w:eastAsia="ar-SA"/>
    </w:rPr>
  </w:style>
  <w:style w:type="paragraph" w:customStyle="1" w:styleId="141">
    <w:name w:val="题注5"/>
    <w:basedOn w:val="1"/>
    <w:next w:val="22"/>
    <w:qFormat/>
    <w:uiPriority w:val="0"/>
    <w:pPr>
      <w:numPr>
        <w:ilvl w:val="0"/>
        <w:numId w:val="3"/>
      </w:numPr>
      <w:tabs>
        <w:tab w:val="left" w:pos="540"/>
        <w:tab w:val="clear" w:pos="420"/>
      </w:tabs>
      <w:ind w:left="540" w:right="0" w:hanging="540" w:hangingChars="225"/>
    </w:pPr>
    <w:rPr>
      <w:rFonts w:ascii="宋体" w:hAnsi="宋体"/>
      <w:color w:val="000000"/>
      <w:sz w:val="24"/>
    </w:rPr>
  </w:style>
  <w:style w:type="paragraph" w:customStyle="1" w:styleId="142">
    <w:name w:val="题注4"/>
    <w:basedOn w:val="1"/>
    <w:next w:val="22"/>
    <w:qFormat/>
    <w:uiPriority w:val="0"/>
    <w:pPr>
      <w:ind w:left="-132" w:leftChars="-64" w:right="-50" w:rightChars="-50" w:hanging="2"/>
      <w:jc w:val="center"/>
    </w:pPr>
    <w:rPr>
      <w:b/>
      <w:color w:val="FF0000"/>
    </w:rPr>
  </w:style>
  <w:style w:type="character" w:customStyle="1" w:styleId="143">
    <w:name w:val="Superscript"/>
    <w:qFormat/>
    <w:uiPriority w:val="0"/>
    <w:rPr>
      <w:vertAlign w:val="superscript"/>
    </w:rPr>
  </w:style>
  <w:style w:type="character" w:customStyle="1" w:styleId="144">
    <w:name w:val="font41"/>
    <w:qFormat/>
    <w:uiPriority w:val="0"/>
    <w:rPr>
      <w:rFonts w:hint="default" w:ascii="Times New Roman" w:hAnsi="Times New Roman" w:cs="Times New Roman"/>
      <w:color w:val="000000"/>
      <w:sz w:val="24"/>
      <w:szCs w:val="24"/>
      <w:u w:val="none"/>
    </w:rPr>
  </w:style>
  <w:style w:type="character" w:customStyle="1" w:styleId="145">
    <w:name w:val="font81"/>
    <w:qFormat/>
    <w:uiPriority w:val="0"/>
    <w:rPr>
      <w:rFonts w:hint="eastAsia" w:ascii="宋体" w:hAnsi="宋体" w:eastAsia="宋体"/>
      <w:color w:val="000000"/>
      <w:sz w:val="22"/>
      <w:szCs w:val="22"/>
      <w:u w:val="none"/>
    </w:rPr>
  </w:style>
  <w:style w:type="character" w:customStyle="1" w:styleId="146">
    <w:name w:val="正文缩进1 Char1"/>
    <w:qFormat/>
    <w:locked/>
    <w:uiPriority w:val="0"/>
    <w:rPr>
      <w:rFonts w:eastAsia="宋体"/>
      <w:sz w:val="21"/>
      <w:lang w:val="en-US" w:eastAsia="zh-CN" w:bidi="ar-SA"/>
    </w:rPr>
  </w:style>
  <w:style w:type="character" w:customStyle="1" w:styleId="147">
    <w:name w:val="font61"/>
    <w:qFormat/>
    <w:uiPriority w:val="0"/>
    <w:rPr>
      <w:rFonts w:hint="eastAsia" w:ascii="宋体" w:hAnsi="宋体" w:eastAsia="宋体"/>
      <w:color w:val="000000"/>
      <w:sz w:val="18"/>
      <w:szCs w:val="18"/>
      <w:u w:val="none"/>
      <w:vertAlign w:val="superscript"/>
    </w:rPr>
  </w:style>
  <w:style w:type="character" w:customStyle="1" w:styleId="148">
    <w:name w:val="普通文字 Char1"/>
    <w:qFormat/>
    <w:uiPriority w:val="0"/>
    <w:rPr>
      <w:rFonts w:ascii="宋体" w:hAnsi="Courier New" w:eastAsia="宋体"/>
      <w:kern w:val="2"/>
      <w:sz w:val="21"/>
      <w:lang w:val="en-US" w:eastAsia="zh-CN" w:bidi="ar-SA"/>
    </w:rPr>
  </w:style>
  <w:style w:type="character" w:customStyle="1" w:styleId="149">
    <w:name w:val="普通文字 Char Char Char"/>
    <w:qFormat/>
    <w:uiPriority w:val="0"/>
    <w:rPr>
      <w:rFonts w:ascii="宋体" w:hAnsi="Courier New" w:eastAsia="宋体"/>
      <w:kern w:val="2"/>
      <w:sz w:val="21"/>
      <w:lang w:val="en-US" w:eastAsia="zh-CN" w:bidi="ar-SA"/>
    </w:rPr>
  </w:style>
  <w:style w:type="character" w:customStyle="1" w:styleId="150">
    <w:name w:val="font71"/>
    <w:qFormat/>
    <w:uiPriority w:val="0"/>
    <w:rPr>
      <w:rFonts w:hint="default" w:ascii="Times New Roman" w:hAnsi="Times New Roman" w:cs="Times New Roman"/>
      <w:color w:val="000000"/>
      <w:sz w:val="24"/>
      <w:szCs w:val="24"/>
      <w:u w:val="none"/>
    </w:rPr>
  </w:style>
  <w:style w:type="character" w:customStyle="1" w:styleId="151">
    <w:name w:val="纯文本 Char"/>
    <w:qFormat/>
    <w:uiPriority w:val="0"/>
    <w:rPr>
      <w:rFonts w:ascii="宋体" w:hAnsi="Courier New" w:eastAsia="宋体" w:cs="Courier New"/>
      <w:kern w:val="2"/>
      <w:sz w:val="21"/>
      <w:szCs w:val="21"/>
      <w:lang w:val="en-US" w:eastAsia="zh-CN" w:bidi="ar-SA"/>
    </w:rPr>
  </w:style>
  <w:style w:type="character" w:customStyle="1" w:styleId="152">
    <w:name w:val="Lead-in Emphasis"/>
    <w:qFormat/>
    <w:uiPriority w:val="0"/>
    <w:rPr>
      <w:caps/>
      <w:sz w:val="18"/>
    </w:rPr>
  </w:style>
  <w:style w:type="character" w:customStyle="1" w:styleId="153">
    <w:name w:val="纯文本 Char Char Char"/>
    <w:qFormat/>
    <w:uiPriority w:val="0"/>
    <w:rPr>
      <w:rFonts w:ascii="宋体" w:hAnsi="Courier New" w:eastAsia="仿宋_GB2312"/>
      <w:kern w:val="2"/>
      <w:sz w:val="30"/>
      <w:lang w:val="en-US" w:eastAsia="zh-CN" w:bidi="ar-SA"/>
    </w:rPr>
  </w:style>
  <w:style w:type="character" w:customStyle="1" w:styleId="154">
    <w:name w:val="Slogan"/>
    <w:qFormat/>
    <w:uiPriority w:val="0"/>
    <w:rPr>
      <w:i/>
      <w:spacing w:val="70"/>
    </w:rPr>
  </w:style>
  <w:style w:type="character" w:customStyle="1" w:styleId="155">
    <w:name w:val="font21"/>
    <w:qFormat/>
    <w:uiPriority w:val="0"/>
    <w:rPr>
      <w:rFonts w:hint="eastAsia" w:ascii="宋体" w:hAnsi="宋体" w:eastAsia="宋体"/>
      <w:color w:val="000000"/>
      <w:sz w:val="24"/>
      <w:szCs w:val="24"/>
      <w:u w:val="none"/>
    </w:rPr>
  </w:style>
  <w:style w:type="character" w:customStyle="1" w:styleId="156">
    <w:name w:val="font91"/>
    <w:qFormat/>
    <w:uiPriority w:val="0"/>
    <w:rPr>
      <w:rFonts w:hint="eastAsia" w:ascii="宋体" w:hAnsi="宋体" w:eastAsia="宋体"/>
      <w:color w:val="000000"/>
      <w:sz w:val="18"/>
      <w:szCs w:val="18"/>
      <w:u w:val="none"/>
    </w:rPr>
  </w:style>
  <w:style w:type="character" w:customStyle="1" w:styleId="157">
    <w:name w:val="font01"/>
    <w:qFormat/>
    <w:uiPriority w:val="0"/>
    <w:rPr>
      <w:rFonts w:hint="eastAsia" w:ascii="宋体" w:hAnsi="宋体" w:eastAsia="宋体"/>
      <w:color w:val="000000"/>
      <w:sz w:val="24"/>
      <w:szCs w:val="24"/>
      <w:u w:val="none"/>
    </w:rPr>
  </w:style>
  <w:style w:type="character" w:customStyle="1" w:styleId="158">
    <w:name w:val="font51"/>
    <w:qFormat/>
    <w:uiPriority w:val="0"/>
    <w:rPr>
      <w:rFonts w:hint="eastAsia" w:ascii="宋体" w:hAnsi="宋体" w:eastAsia="宋体"/>
      <w:color w:val="000000"/>
      <w:sz w:val="18"/>
      <w:szCs w:val="18"/>
      <w:u w:val="none"/>
    </w:rPr>
  </w:style>
  <w:style w:type="character" w:customStyle="1" w:styleId="159">
    <w:name w:val="font11"/>
    <w:basedOn w:val="74"/>
    <w:qFormat/>
    <w:uiPriority w:val="0"/>
    <w:rPr>
      <w:rFonts w:hint="eastAsia" w:ascii="宋体" w:hAnsi="宋体" w:eastAsia="宋体" w:cs="宋体"/>
      <w:color w:val="000000"/>
      <w:sz w:val="20"/>
      <w:szCs w:val="20"/>
      <w:u w:val="none"/>
    </w:rPr>
  </w:style>
  <w:style w:type="paragraph" w:customStyle="1" w:styleId="160">
    <w:name w:val="Default Text"/>
    <w:link w:val="161"/>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61">
    <w:name w:val="Default Text Char Char"/>
    <w:link w:val="160"/>
    <w:qFormat/>
    <w:uiPriority w:val="0"/>
    <w:rPr>
      <w:rFonts w:ascii="Times New Roman" w:hAnsi="Times New Roman"/>
      <w:color w:val="000000"/>
      <w:sz w:val="24"/>
      <w:szCs w:val="24"/>
    </w:rPr>
  </w:style>
  <w:style w:type="paragraph" w:customStyle="1" w:styleId="162">
    <w:name w:val="样式1"/>
    <w:basedOn w:val="1"/>
    <w:qFormat/>
    <w:uiPriority w:val="0"/>
    <w:pPr>
      <w:tabs>
        <w:tab w:val="left" w:pos="709"/>
      </w:tabs>
      <w:spacing w:line="240" w:lineRule="auto"/>
      <w:ind w:left="709" w:hanging="709"/>
    </w:pPr>
    <w:rPr>
      <w:rFonts w:ascii="宋体" w:hAnsi="宋体"/>
      <w:szCs w:val="21"/>
    </w:rPr>
  </w:style>
  <w:style w:type="paragraph" w:customStyle="1" w:styleId="163">
    <w:name w:val="子标题"/>
    <w:basedOn w:val="1"/>
    <w:qFormat/>
    <w:uiPriority w:val="0"/>
    <w:pPr>
      <w:ind w:firstLine="200" w:firstLineChars="200"/>
      <w:jc w:val="center"/>
    </w:pPr>
    <w:rPr>
      <w:rFonts w:eastAsia="新宋体"/>
      <w:sz w:val="28"/>
    </w:rPr>
  </w:style>
  <w:style w:type="paragraph" w:customStyle="1" w:styleId="164">
    <w:name w:val="缺省文本"/>
    <w:qFormat/>
    <w:uiPriority w:val="0"/>
    <w:pPr>
      <w:widowControl w:val="0"/>
      <w:autoSpaceDE w:val="0"/>
      <w:autoSpaceDN w:val="0"/>
      <w:adjustRightInd w:val="0"/>
    </w:pPr>
    <w:rPr>
      <w:rFonts w:ascii="Calibri" w:hAnsi="Calibri" w:eastAsia="宋体" w:cs="Times New Roman"/>
      <w:color w:val="000000"/>
      <w:sz w:val="24"/>
      <w:lang w:val="en-US" w:eastAsia="zh-CN" w:bidi="ar-SA"/>
    </w:rPr>
  </w:style>
  <w:style w:type="paragraph" w:styleId="165">
    <w:name w:val="List Paragraph"/>
    <w:basedOn w:val="1"/>
    <w:unhideWhenUsed/>
    <w:qFormat/>
    <w:uiPriority w:val="99"/>
    <w:pPr>
      <w:ind w:firstLine="420" w:firstLineChars="200"/>
    </w:pPr>
  </w:style>
  <w:style w:type="paragraph" w:customStyle="1" w:styleId="166">
    <w:name w:val="Body text|1"/>
    <w:basedOn w:val="1"/>
    <w:qFormat/>
    <w:uiPriority w:val="0"/>
    <w:pPr>
      <w:widowControl w:val="0"/>
      <w:shd w:val="clear" w:color="auto" w:fill="auto"/>
      <w:spacing w:line="473" w:lineRule="auto"/>
      <w:ind w:firstLine="360"/>
    </w:pPr>
    <w:rPr>
      <w:rFonts w:ascii="宋体" w:hAnsi="宋体" w:eastAsia="宋体" w:cs="宋体"/>
      <w:sz w:val="19"/>
      <w:szCs w:val="19"/>
      <w:u w:val="none"/>
      <w:shd w:val="clear" w:color="auto" w:fill="auto"/>
      <w:lang w:val="zh-TW" w:eastAsia="zh-TW" w:bidi="zh-TW"/>
    </w:rPr>
  </w:style>
  <w:style w:type="paragraph" w:customStyle="1" w:styleId="167">
    <w:name w:val="WPSOffice手动目录 1"/>
    <w:qFormat/>
    <w:uiPriority w:val="0"/>
    <w:pPr>
      <w:ind w:leftChars="0"/>
    </w:pPr>
    <w:rPr>
      <w:rFonts w:ascii="Times New Roman" w:hAnsi="Times New Roman" w:eastAsia="宋体" w:cs="Times New Roman"/>
      <w:sz w:val="20"/>
      <w:szCs w:val="20"/>
    </w:rPr>
  </w:style>
  <w:style w:type="paragraph" w:customStyle="1" w:styleId="168">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69">
    <w:name w:val="样式 左侧:  0.74 厘米"/>
    <w:basedOn w:val="1"/>
    <w:qFormat/>
    <w:uiPriority w:val="0"/>
    <w:pPr>
      <w:spacing w:line="360" w:lineRule="auto"/>
      <w:ind w:left="620" w:hanging="200" w:hangingChars="200"/>
    </w:pPr>
    <w:rPr>
      <w:rFonts w:ascii="Times New Roman" w:hAnsi="Times New Roman"/>
      <w:kern w:val="0"/>
      <w:sz w:val="20"/>
      <w:szCs w:val="20"/>
    </w:rPr>
  </w:style>
  <w:style w:type="paragraph" w:customStyle="1" w:styleId="170">
    <w:name w:val="正文缩进1"/>
    <w:basedOn w:val="1"/>
    <w:qFormat/>
    <w:uiPriority w:val="0"/>
    <w:pPr>
      <w:autoSpaceDE w:val="0"/>
      <w:autoSpaceDN w:val="0"/>
      <w:adjustRightInd w:val="0"/>
      <w:ind w:firstLine="420"/>
      <w:jc w:val="left"/>
    </w:pPr>
    <w:rPr>
      <w:rFonts w:ascii="宋体" w:hAnsi="Calibri" w:eastAsia="宋体" w:cs="Times New Roman"/>
      <w:sz w:val="24"/>
      <w:szCs w:val="22"/>
    </w:rPr>
  </w:style>
  <w:style w:type="paragraph" w:customStyle="1" w:styleId="171">
    <w:name w:val="章节题目"/>
    <w:basedOn w:val="172"/>
    <w:next w:val="1"/>
    <w:unhideWhenUsed/>
    <w:qFormat/>
    <w:uiPriority w:val="0"/>
    <w:pPr>
      <w:spacing w:before="720" w:after="400" w:line="540" w:lineRule="atLeast"/>
      <w:ind w:right="2160"/>
    </w:pPr>
    <w:rPr>
      <w:rFonts w:hint="eastAsia" w:ascii="Times New Roman" w:hAnsi="Times New Roman" w:eastAsia="Times New Roman"/>
      <w:spacing w:val="-40"/>
      <w:sz w:val="60"/>
    </w:rPr>
  </w:style>
  <w:style w:type="paragraph" w:customStyle="1" w:styleId="172">
    <w:name w:val="基准标题"/>
    <w:basedOn w:val="1"/>
    <w:next w:val="8"/>
    <w:unhideWhenUsed/>
    <w:qFormat/>
    <w:uiPriority w:val="0"/>
    <w:pPr>
      <w:keepNext/>
      <w:keepLines/>
      <w:spacing w:before="140" w:line="220" w:lineRule="atLeast"/>
    </w:pPr>
    <w:rPr>
      <w:rFonts w:hint="default" w:ascii="Arial" w:hAnsi="Arial" w:eastAsia="宋体"/>
      <w:spacing w:val="-4"/>
      <w:kern w:val="28"/>
      <w:sz w:val="22"/>
    </w:rPr>
  </w:style>
  <w:style w:type="paragraph" w:customStyle="1" w:styleId="173">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table" w:customStyle="1" w:styleId="174">
    <w:name w:val="Table Normal"/>
    <w:unhideWhenUsed/>
    <w:qFormat/>
    <w:uiPriority w:val="0"/>
    <w:tblPr>
      <w:tblCellMar>
        <w:top w:w="0" w:type="dxa"/>
        <w:left w:w="0" w:type="dxa"/>
        <w:bottom w:w="0" w:type="dxa"/>
        <w:right w:w="0" w:type="dxa"/>
      </w:tblCellMar>
    </w:tblPr>
  </w:style>
  <w:style w:type="paragraph" w:customStyle="1" w:styleId="175">
    <w:name w:val="WPSOffice手动目录 2"/>
    <w:qFormat/>
    <w:uiPriority w:val="0"/>
    <w:pPr>
      <w:ind w:leftChars="200"/>
    </w:pPr>
    <w:rPr>
      <w:rFonts w:ascii="Times New Roman" w:hAnsi="Times New Roman" w:eastAsia="宋体" w:cs="Times New Roman"/>
      <w:sz w:val="20"/>
      <w:szCs w:val="20"/>
    </w:rPr>
  </w:style>
  <w:style w:type="paragraph" w:customStyle="1" w:styleId="176">
    <w:name w:val="WPSOffice手动目录 3"/>
    <w:qFormat/>
    <w:uiPriority w:val="0"/>
    <w:pPr>
      <w:ind w:leftChars="400"/>
    </w:pPr>
    <w:rPr>
      <w:rFonts w:ascii="Times New Roman" w:hAnsi="Times New Roman" w:eastAsia="宋体" w:cs="Times New Roman"/>
      <w:sz w:val="20"/>
      <w:szCs w:val="20"/>
    </w:rPr>
  </w:style>
  <w:style w:type="paragraph" w:customStyle="1" w:styleId="177">
    <w:name w:val="BodyText"/>
    <w:basedOn w:val="1"/>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178">
    <w:name w:val="样式 首行缩进:  2 字符"/>
    <w:basedOn w:val="1"/>
    <w:qFormat/>
    <w:uiPriority w:val="0"/>
    <w:pPr>
      <w:spacing w:line="400" w:lineRule="exact"/>
      <w:ind w:firstLine="200" w:firstLineChars="200"/>
    </w:pPr>
    <w:rPr>
      <w:rFonts w:cs="宋体"/>
      <w:sz w:val="24"/>
      <w:szCs w:val="24"/>
    </w:rPr>
  </w:style>
  <w:style w:type="paragraph" w:customStyle="1" w:styleId="179">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80">
    <w:name w:val="表格文字2"/>
    <w:basedOn w:val="181"/>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181">
    <w:name w:val="正文1"/>
    <w:basedOn w:val="1"/>
    <w:qFormat/>
    <w:uiPriority w:val="0"/>
    <w:pPr>
      <w:spacing w:after="120" w:line="360" w:lineRule="auto"/>
      <w:ind w:firstLine="425"/>
    </w:pPr>
    <w:rPr>
      <w:rFonts w:ascii="Arial" w:hAnsi="Arial"/>
      <w:spacing w:val="8"/>
      <w:sz w:val="24"/>
      <w:szCs w:val="20"/>
    </w:rPr>
  </w:style>
  <w:style w:type="character" w:customStyle="1" w:styleId="182">
    <w:name w:val="正文文字 Char1"/>
    <w:link w:val="183"/>
    <w:qFormat/>
    <w:uiPriority w:val="0"/>
    <w:rPr>
      <w:rFonts w:ascii="宋体"/>
      <w:color w:val="000000"/>
      <w:kern w:val="0"/>
      <w:sz w:val="28"/>
    </w:rPr>
  </w:style>
  <w:style w:type="paragraph" w:customStyle="1" w:styleId="183">
    <w:name w:val="正文文字"/>
    <w:basedOn w:val="1"/>
    <w:link w:val="182"/>
    <w:qFormat/>
    <w:uiPriority w:val="0"/>
    <w:pPr>
      <w:widowControl/>
      <w:spacing w:line="2375" w:lineRule="atLeast"/>
      <w:ind w:firstLine="419"/>
      <w:textAlignment w:val="baseline"/>
    </w:pPr>
    <w:rPr>
      <w:rFonts w:ascii="宋体"/>
      <w:color w:val="000000"/>
      <w:kern w:val="0"/>
      <w:sz w:val="28"/>
    </w:rPr>
  </w:style>
  <w:style w:type="paragraph" w:customStyle="1" w:styleId="184">
    <w:name w:val="图例"/>
    <w:basedOn w:val="1"/>
    <w:qFormat/>
    <w:uiPriority w:val="0"/>
    <w:pPr>
      <w:spacing w:before="120" w:after="120" w:line="360" w:lineRule="auto"/>
      <w:jc w:val="center"/>
    </w:pPr>
    <w:rPr>
      <w:rFonts w:eastAsia="仿宋_GB2312"/>
      <w:b/>
      <w:sz w:val="24"/>
      <w:szCs w:val="20"/>
    </w:rPr>
  </w:style>
  <w:style w:type="character" w:customStyle="1" w:styleId="185">
    <w:name w:val="fontstyle01"/>
    <w:basedOn w:val="74"/>
    <w:qFormat/>
    <w:uiPriority w:val="0"/>
    <w:rPr>
      <w:rFonts w:hint="eastAsia" w:ascii="仿宋_GB2312" w:eastAsia="仿宋_GB2312"/>
      <w:color w:val="000000"/>
      <w:sz w:val="28"/>
      <w:szCs w:val="28"/>
    </w:rPr>
  </w:style>
  <w:style w:type="paragraph" w:customStyle="1" w:styleId="186">
    <w:name w:val="索引 11"/>
    <w:basedOn w:val="1"/>
    <w:next w:val="1"/>
    <w:qFormat/>
    <w:uiPriority w:val="0"/>
    <w:pPr>
      <w:spacing w:line="360" w:lineRule="auto"/>
    </w:pPr>
    <w:rPr>
      <w:rFonts w:ascii="仿宋_GB2312" w:eastAsia="仿宋_GB2312"/>
      <w:sz w:val="24"/>
      <w:szCs w:val="20"/>
    </w:rPr>
  </w:style>
  <w:style w:type="paragraph" w:customStyle="1" w:styleId="187">
    <w:name w:val="纯文本1"/>
    <w:basedOn w:val="1"/>
    <w:qFormat/>
    <w:uiPriority w:val="0"/>
    <w:rPr>
      <w:rFonts w:ascii="宋体" w:hAnsi="Courier New"/>
      <w:kern w:val="0"/>
      <w:sz w:val="20"/>
      <w:szCs w:val="20"/>
    </w:rPr>
  </w:style>
  <w:style w:type="paragraph" w:customStyle="1" w:styleId="188">
    <w:name w:val="Table Paragraph"/>
    <w:basedOn w:val="1"/>
    <w:qFormat/>
    <w:uiPriority w:val="1"/>
    <w:rPr>
      <w:rFonts w:ascii="仿宋" w:hAnsi="仿宋" w:eastAsia="仿宋" w:cs="仿宋"/>
      <w:lang w:val="zh-CN" w:eastAsia="zh-CN" w:bidi="zh-CN"/>
    </w:rPr>
  </w:style>
  <w:style w:type="paragraph" w:customStyle="1" w:styleId="189">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0">
    <w:name w:val="WPS Plain"/>
    <w:qFormat/>
    <w:uiPriority w:val="99"/>
    <w:rPr>
      <w:rFonts w:ascii="Times New Roman" w:hAnsi="Times New Roman" w:eastAsia="宋体" w:cs="Times New Roman"/>
      <w:lang w:val="en-US" w:eastAsia="zh-CN" w:bidi="ar-SA"/>
    </w:rPr>
  </w:style>
  <w:style w:type="paragraph" w:styleId="191">
    <w:name w:val="No Spacing"/>
    <w:basedOn w:val="1"/>
    <w:qFormat/>
    <w:uiPriority w:val="0"/>
    <w:rPr>
      <w:szCs w:val="22"/>
    </w:rPr>
  </w:style>
  <w:style w:type="paragraph" w:customStyle="1" w:styleId="192">
    <w:name w:val="正文文本_1_0"/>
    <w:basedOn w:val="193"/>
    <w:qFormat/>
    <w:uiPriority w:val="0"/>
    <w:rPr>
      <w:rFonts w:ascii="Calibri" w:hAnsi="Calibri" w:eastAsia="黑体" w:cs="Times New Roman"/>
      <w:sz w:val="36"/>
    </w:rPr>
  </w:style>
  <w:style w:type="paragraph" w:customStyle="1" w:styleId="193">
    <w:name w:val="正文_2_0"/>
    <w:next w:val="194"/>
    <w:qFormat/>
    <w:uiPriority w:val="0"/>
    <w:pPr>
      <w:widowControl w:val="0"/>
      <w:jc w:val="both"/>
    </w:pPr>
    <w:rPr>
      <w:rFonts w:ascii="Calibri" w:hAnsi="Calibri" w:eastAsia="Calibri" w:cs="Times New Roman"/>
      <w:kern w:val="2"/>
      <w:sz w:val="21"/>
      <w:szCs w:val="22"/>
      <w:lang w:val="en-US" w:eastAsia="zh-CN" w:bidi="ar-SA"/>
    </w:rPr>
  </w:style>
  <w:style w:type="paragraph" w:customStyle="1" w:styleId="194">
    <w:name w:val="表格文字_1_0"/>
    <w:basedOn w:val="193"/>
    <w:qFormat/>
    <w:uiPriority w:val="0"/>
    <w:pPr>
      <w:adjustRightInd w:val="0"/>
      <w:spacing w:line="420" w:lineRule="atLeast"/>
      <w:jc w:val="left"/>
    </w:pPr>
    <w:rPr>
      <w:rFonts w:ascii="Calibri" w:hAnsi="Calibri" w:eastAsia="宋体" w:cs="Times New Roman"/>
      <w:kern w:val="0"/>
      <w:szCs w:val="20"/>
    </w:rPr>
  </w:style>
  <w:style w:type="paragraph" w:customStyle="1" w:styleId="195">
    <w:name w:val="Table Text"/>
    <w:basedOn w:val="1"/>
    <w:semiHidden/>
    <w:qFormat/>
    <w:uiPriority w:val="0"/>
    <w:rPr>
      <w:rFonts w:ascii="宋体" w:hAnsi="宋体" w:eastAsia="宋体" w:cs="宋体"/>
      <w:sz w:val="19"/>
      <w:szCs w:val="19"/>
      <w:lang w:val="en-US" w:eastAsia="en-US" w:bidi="ar-SA"/>
    </w:rPr>
  </w:style>
  <w:style w:type="paragraph" w:customStyle="1" w:styleId="196">
    <w:name w:val="Normal_0"/>
    <w:qFormat/>
    <w:uiPriority w:val="0"/>
    <w:rPr>
      <w:rFonts w:ascii="黑体" w:hAnsi="黑体" w:eastAsia="黑体" w:cs="Times New Roman"/>
      <w:b/>
      <w:sz w:val="32"/>
      <w:szCs w:val="24"/>
      <w:lang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3.xml"/><Relationship Id="rId23" Type="http://schemas.openxmlformats.org/officeDocument/2006/relationships/header" Target="header7.xml"/><Relationship Id="rId22" Type="http://schemas.openxmlformats.org/officeDocument/2006/relationships/footer" Target="footer12.xml"/><Relationship Id="rId21" Type="http://schemas.openxmlformats.org/officeDocument/2006/relationships/header" Target="header6.xml"/><Relationship Id="rId20" Type="http://schemas.openxmlformats.org/officeDocument/2006/relationships/header" Target="header5.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92</Pages>
  <Words>53051</Words>
  <Characters>55640</Characters>
  <Lines>167</Lines>
  <Paragraphs>47</Paragraphs>
  <TotalTime>1</TotalTime>
  <ScaleCrop>false</ScaleCrop>
  <LinksUpToDate>false</LinksUpToDate>
  <CharactersWithSpaces>57421</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2017-09-14T10:07:00Z</dcterms:created>
  <dc:creator>Administrator</dc:creator>
  <cp:lastModifiedBy>平平淡淡就好。</cp:lastModifiedBy>
  <cp:lastPrinted>2022-08-09T09:20:00Z</cp:lastPrinted>
  <dcterms:modified xsi:type="dcterms:W3CDTF">2024-08-22T09:59:29Z</dcterms:modified>
  <dc:title>2017年中山市政府绩效管理咨询服务项目</dc:title>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FB0E773B8FA64ACABF3964FD59C1B8B7_13</vt:lpwstr>
  </property>
</Properties>
</file>