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6339AA">
      <w:pPr>
        <w:spacing w:line="360" w:lineRule="auto"/>
        <w:jc w:val="center"/>
        <w:rPr>
          <w:rFonts w:hint="eastAsia" w:ascii="宋体" w:hAnsi="宋体"/>
          <w:b/>
          <w:color w:val="auto"/>
          <w:sz w:val="48"/>
          <w:szCs w:val="48"/>
          <w:highlight w:val="none"/>
        </w:rPr>
      </w:pPr>
    </w:p>
    <w:p w14:paraId="1C5ACF90">
      <w:pPr>
        <w:pStyle w:val="86"/>
        <w:ind w:firstLine="482"/>
        <w:rPr>
          <w:rFonts w:hint="eastAsia" w:hAnsi="宋体"/>
          <w:b/>
          <w:color w:val="auto"/>
          <w:sz w:val="48"/>
          <w:szCs w:val="48"/>
          <w:highlight w:val="none"/>
        </w:rPr>
      </w:pPr>
    </w:p>
    <w:p w14:paraId="65ED22B0">
      <w:pPr>
        <w:pStyle w:val="68"/>
        <w:rPr>
          <w:rFonts w:hint="eastAsia" w:ascii="宋体" w:hAnsi="宋体"/>
          <w:b/>
          <w:color w:val="auto"/>
          <w:sz w:val="48"/>
          <w:szCs w:val="48"/>
          <w:highlight w:val="none"/>
        </w:rPr>
      </w:pPr>
    </w:p>
    <w:p w14:paraId="01B917B4">
      <w:pPr>
        <w:rPr>
          <w:rFonts w:hint="eastAsia"/>
          <w:color w:val="auto"/>
          <w:highlight w:val="none"/>
        </w:rPr>
      </w:pPr>
    </w:p>
    <w:p w14:paraId="58B58C91">
      <w:pPr>
        <w:spacing w:line="360" w:lineRule="auto"/>
        <w:jc w:val="center"/>
        <w:rPr>
          <w:rFonts w:hint="eastAsia"/>
          <w:b/>
          <w:bCs/>
          <w:color w:val="auto"/>
          <w:sz w:val="84"/>
          <w:szCs w:val="84"/>
          <w:highlight w:val="none"/>
        </w:rPr>
      </w:pPr>
      <w:r>
        <w:rPr>
          <w:rFonts w:hint="eastAsia"/>
          <w:b/>
          <w:bCs/>
          <w:color w:val="auto"/>
          <w:sz w:val="84"/>
          <w:szCs w:val="84"/>
          <w:highlight w:val="none"/>
        </w:rPr>
        <w:t>公开</w:t>
      </w:r>
      <w:r>
        <w:rPr>
          <w:b/>
          <w:bCs/>
          <w:color w:val="auto"/>
          <w:sz w:val="84"/>
          <w:szCs w:val="84"/>
          <w:highlight w:val="none"/>
        </w:rPr>
        <w:t>招标文件</w:t>
      </w:r>
    </w:p>
    <w:p w14:paraId="63B5A671">
      <w:pPr>
        <w:jc w:val="center"/>
        <w:rPr>
          <w:rFonts w:hint="eastAsia" w:ascii="宋体"/>
          <w:color w:val="auto"/>
          <w:sz w:val="44"/>
          <w:highlight w:val="none"/>
        </w:rPr>
      </w:pPr>
    </w:p>
    <w:p w14:paraId="3836ACBC">
      <w:pPr>
        <w:pStyle w:val="331"/>
        <w:rPr>
          <w:rFonts w:hint="eastAsia" w:ascii="宋体"/>
          <w:color w:val="auto"/>
          <w:sz w:val="44"/>
          <w:highlight w:val="none"/>
        </w:rPr>
      </w:pPr>
    </w:p>
    <w:p w14:paraId="784DE954">
      <w:pPr>
        <w:pStyle w:val="331"/>
        <w:rPr>
          <w:rFonts w:hint="eastAsia" w:ascii="宋体"/>
          <w:color w:val="auto"/>
          <w:sz w:val="44"/>
          <w:highlight w:val="none"/>
        </w:rPr>
      </w:pPr>
    </w:p>
    <w:p w14:paraId="6E125C92">
      <w:pPr>
        <w:pStyle w:val="27"/>
        <w:rPr>
          <w:rFonts w:hint="eastAsia"/>
          <w:color w:val="auto"/>
          <w:highlight w:val="none"/>
        </w:rPr>
      </w:pPr>
    </w:p>
    <w:p w14:paraId="7C506D78">
      <w:pPr>
        <w:spacing w:line="360" w:lineRule="auto"/>
        <w:jc w:val="center"/>
        <w:rPr>
          <w:rFonts w:hint="eastAsia" w:ascii="宋体"/>
          <w:b/>
          <w:color w:val="auto"/>
          <w:sz w:val="24"/>
          <w:highlight w:val="none"/>
        </w:rPr>
      </w:pPr>
    </w:p>
    <w:p w14:paraId="2BBB4562">
      <w:pPr>
        <w:pStyle w:val="38"/>
        <w:rPr>
          <w:rFonts w:hint="eastAsia" w:hAnsi="宋体" w:cs="宋体"/>
          <w:b/>
          <w:bCs/>
          <w:color w:val="auto"/>
          <w:sz w:val="32"/>
          <w:szCs w:val="32"/>
          <w:highlight w:val="none"/>
        </w:rPr>
      </w:pPr>
    </w:p>
    <w:p w14:paraId="038F795B">
      <w:pPr>
        <w:pStyle w:val="38"/>
        <w:rPr>
          <w:rFonts w:hint="eastAsia" w:hAnsi="宋体" w:cs="宋体"/>
          <w:b/>
          <w:bCs/>
          <w:color w:val="auto"/>
          <w:sz w:val="32"/>
          <w:szCs w:val="32"/>
          <w:highlight w:val="none"/>
        </w:rPr>
      </w:pPr>
    </w:p>
    <w:p w14:paraId="33233F5C">
      <w:pPr>
        <w:pStyle w:val="38"/>
        <w:rPr>
          <w:rFonts w:hint="eastAsia" w:hAnsi="宋体" w:cs="宋体"/>
          <w:b/>
          <w:bCs/>
          <w:color w:val="auto"/>
          <w:sz w:val="32"/>
          <w:szCs w:val="32"/>
          <w:highlight w:val="none"/>
        </w:rPr>
      </w:pPr>
    </w:p>
    <w:p w14:paraId="449DB420">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乌鲁木齐市中医医院中药饮片采购项目</w:t>
      </w:r>
    </w:p>
    <w:p w14:paraId="3BACF8F8">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项目编</w:t>
      </w:r>
      <w:r>
        <w:rPr>
          <w:rFonts w:hint="eastAsia" w:ascii="宋体" w:hAnsi="宋体" w:eastAsia="宋体" w:cs="宋体"/>
          <w:bCs/>
          <w:color w:val="auto"/>
          <w:sz w:val="36"/>
          <w:szCs w:val="36"/>
          <w:highlight w:val="none"/>
        </w:rPr>
        <w:t>号：</w:t>
      </w:r>
      <w:r>
        <w:rPr>
          <w:rFonts w:hint="eastAsia" w:ascii="宋体" w:hAnsi="宋体" w:eastAsia="宋体" w:cs="宋体"/>
          <w:bCs/>
          <w:color w:val="auto"/>
          <w:sz w:val="36"/>
          <w:szCs w:val="36"/>
          <w:highlight w:val="none"/>
          <w:lang w:eastAsia="zh-CN"/>
        </w:rPr>
        <w:t>XYTDZB-2025GK004</w:t>
      </w:r>
    </w:p>
    <w:p w14:paraId="53BA5997">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乌鲁木齐市中医医院</w:t>
      </w:r>
    </w:p>
    <w:p w14:paraId="1C5C5570">
      <w:pPr>
        <w:tabs>
          <w:tab w:val="left" w:pos="3240"/>
          <w:tab w:val="left" w:pos="3420"/>
        </w:tabs>
        <w:spacing w:line="360" w:lineRule="auto"/>
        <w:jc w:val="left"/>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rPr>
        <w:t>新疆星耀天都项目管理有限责任公司</w:t>
      </w:r>
      <w:r>
        <w:rPr>
          <w:bCs/>
          <w:color w:val="auto"/>
          <w:sz w:val="36"/>
          <w:szCs w:val="36"/>
          <w:highlight w:val="none"/>
        </w:rPr>
        <w:t xml:space="preserve"> </w:t>
      </w:r>
    </w:p>
    <w:p w14:paraId="347A5458">
      <w:pPr>
        <w:widowControl/>
        <w:jc w:val="left"/>
        <w:rPr>
          <w:b/>
          <w:bCs/>
          <w:color w:val="auto"/>
          <w:sz w:val="44"/>
          <w:highlight w:val="none"/>
        </w:rPr>
      </w:pPr>
    </w:p>
    <w:p w14:paraId="61F9B3B0">
      <w:pPr>
        <w:jc w:val="center"/>
        <w:rPr>
          <w:rFonts w:hint="eastAsia"/>
          <w:bCs/>
          <w:color w:val="auto"/>
          <w:sz w:val="36"/>
          <w:szCs w:val="36"/>
          <w:highlight w:val="none"/>
        </w:rPr>
      </w:pPr>
      <w:r>
        <w:rPr>
          <w:rFonts w:hint="eastAsia"/>
          <w:bCs/>
          <w:color w:val="auto"/>
          <w:sz w:val="36"/>
          <w:szCs w:val="36"/>
          <w:highlight w:val="none"/>
        </w:rPr>
        <w:t>日期：</w:t>
      </w:r>
      <w:r>
        <w:rPr>
          <w:rFonts w:hint="eastAsia" w:ascii="宋体" w:hAnsi="宋体" w:cs="宋体"/>
          <w:bCs/>
          <w:color w:val="auto"/>
          <w:sz w:val="36"/>
          <w:szCs w:val="36"/>
          <w:highlight w:val="none"/>
        </w:rPr>
        <w:t>20</w:t>
      </w:r>
      <w:r>
        <w:rPr>
          <w:rFonts w:hint="eastAsia" w:ascii="宋体" w:hAnsi="宋体" w:cs="宋体"/>
          <w:bCs/>
          <w:color w:val="auto"/>
          <w:sz w:val="36"/>
          <w:szCs w:val="36"/>
          <w:highlight w:val="none"/>
          <w:lang w:val="en-US" w:eastAsia="zh-CN"/>
        </w:rPr>
        <w:t>25</w:t>
      </w:r>
      <w:r>
        <w:rPr>
          <w:rFonts w:hint="eastAsia" w:ascii="宋体" w:hAnsi="宋体" w:cs="宋体"/>
          <w:bCs/>
          <w:color w:val="auto"/>
          <w:sz w:val="36"/>
          <w:szCs w:val="36"/>
          <w:highlight w:val="none"/>
        </w:rPr>
        <w:t>年</w:t>
      </w:r>
      <w:r>
        <w:rPr>
          <w:rFonts w:hint="eastAsia" w:ascii="宋体" w:hAnsi="宋体" w:cs="宋体"/>
          <w:bCs/>
          <w:color w:val="auto"/>
          <w:sz w:val="36"/>
          <w:szCs w:val="36"/>
          <w:highlight w:val="none"/>
          <w:lang w:val="en-US" w:eastAsia="zh-CN"/>
        </w:rPr>
        <w:t>1</w:t>
      </w:r>
      <w:r>
        <w:rPr>
          <w:rFonts w:hint="eastAsia" w:ascii="宋体" w:hAnsi="宋体" w:cs="宋体"/>
          <w:bCs/>
          <w:color w:val="auto"/>
          <w:sz w:val="36"/>
          <w:szCs w:val="36"/>
          <w:highlight w:val="none"/>
        </w:rPr>
        <w:t>月</w:t>
      </w:r>
      <w:r>
        <w:rPr>
          <w:rFonts w:hint="eastAsia" w:ascii="宋体" w:hAnsi="宋体" w:cs="宋体"/>
          <w:bCs/>
          <w:color w:val="auto"/>
          <w:sz w:val="36"/>
          <w:szCs w:val="36"/>
          <w:highlight w:val="none"/>
        </w:rPr>
        <w:br w:type="page"/>
      </w:r>
    </w:p>
    <w:p w14:paraId="665A5D2D">
      <w:pPr>
        <w:jc w:val="center"/>
        <w:rPr>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441AB42">
      <w:pPr>
        <w:pStyle w:val="59"/>
        <w:tabs>
          <w:tab w:val="right" w:leader="dot" w:pos="9026"/>
          <w:tab w:val="clear" w:pos="540"/>
          <w:tab w:val="clear" w:pos="8460"/>
        </w:tabs>
        <w:rPr>
          <w:color w:val="auto"/>
          <w:highlight w:val="none"/>
        </w:rPr>
      </w:pPr>
      <w:r>
        <w:rPr>
          <w:rFonts w:hint="eastAsia"/>
          <w:bCs/>
          <w:color w:val="auto"/>
          <w:sz w:val="36"/>
          <w:szCs w:val="36"/>
          <w:highlight w:val="none"/>
        </w:rPr>
        <w:fldChar w:fldCharType="begin"/>
      </w:r>
      <w:r>
        <w:rPr>
          <w:rFonts w:hint="eastAsia"/>
          <w:bCs/>
          <w:color w:val="auto"/>
          <w:sz w:val="36"/>
          <w:szCs w:val="36"/>
          <w:highlight w:val="none"/>
        </w:rPr>
        <w:instrText xml:space="preserve">TOC \o "1-1" \h \u </w:instrText>
      </w:r>
      <w:r>
        <w:rPr>
          <w:rFonts w:hint="eastAsia"/>
          <w:bCs/>
          <w:color w:val="auto"/>
          <w:sz w:val="36"/>
          <w:szCs w:val="36"/>
          <w:highlight w:val="none"/>
        </w:rPr>
        <w:fldChar w:fldCharType="separate"/>
      </w:r>
      <w:r>
        <w:rPr>
          <w:rFonts w:hint="eastAsia"/>
          <w:bCs/>
          <w:color w:val="auto"/>
          <w:szCs w:val="36"/>
          <w:highlight w:val="none"/>
        </w:rPr>
        <w:fldChar w:fldCharType="begin"/>
      </w:r>
      <w:r>
        <w:rPr>
          <w:rFonts w:hint="eastAsia"/>
          <w:bCs/>
          <w:color w:val="auto"/>
          <w:szCs w:val="36"/>
          <w:highlight w:val="none"/>
        </w:rPr>
        <w:instrText xml:space="preserve"> HYPERLINK \l _Toc22805 </w:instrText>
      </w:r>
      <w:r>
        <w:rPr>
          <w:rFonts w:hint="eastAsia"/>
          <w:bCs/>
          <w:color w:val="auto"/>
          <w:szCs w:val="36"/>
          <w:highlight w:val="none"/>
        </w:rPr>
        <w:fldChar w:fldCharType="separate"/>
      </w:r>
      <w:r>
        <w:rPr>
          <w:rFonts w:hint="eastAsia"/>
          <w:color w:val="auto"/>
          <w:szCs w:val="36"/>
          <w:highlight w:val="none"/>
          <w:lang w:eastAsia="zh-CN"/>
        </w:rPr>
        <w:t>第一章</w:t>
      </w:r>
      <w:r>
        <w:rPr>
          <w:rFonts w:hint="eastAsia"/>
          <w:color w:val="auto"/>
          <w:szCs w:val="36"/>
          <w:highlight w:val="none"/>
          <w:lang w:val="en-US" w:eastAsia="zh-CN"/>
        </w:rPr>
        <w:t xml:space="preserve"> </w:t>
      </w:r>
      <w:r>
        <w:rPr>
          <w:color w:val="auto"/>
          <w:szCs w:val="36"/>
          <w:highlight w:val="none"/>
        </w:rPr>
        <w:t>投标邀请</w:t>
      </w:r>
      <w:r>
        <w:rPr>
          <w:color w:val="auto"/>
          <w:highlight w:val="none"/>
        </w:rPr>
        <w:tab/>
      </w:r>
      <w:r>
        <w:rPr>
          <w:color w:val="auto"/>
          <w:highlight w:val="none"/>
        </w:rPr>
        <w:fldChar w:fldCharType="begin"/>
      </w:r>
      <w:r>
        <w:rPr>
          <w:color w:val="auto"/>
          <w:highlight w:val="none"/>
        </w:rPr>
        <w:instrText xml:space="preserve"> PAGEREF _Toc22805 \h </w:instrText>
      </w:r>
      <w:r>
        <w:rPr>
          <w:color w:val="auto"/>
          <w:highlight w:val="none"/>
        </w:rPr>
        <w:fldChar w:fldCharType="separate"/>
      </w:r>
      <w:r>
        <w:rPr>
          <w:color w:val="auto"/>
          <w:highlight w:val="none"/>
        </w:rPr>
        <w:t>3</w:t>
      </w:r>
      <w:r>
        <w:rPr>
          <w:color w:val="auto"/>
          <w:highlight w:val="none"/>
        </w:rPr>
        <w:fldChar w:fldCharType="end"/>
      </w:r>
      <w:r>
        <w:rPr>
          <w:rFonts w:hint="eastAsia"/>
          <w:bCs/>
          <w:color w:val="auto"/>
          <w:szCs w:val="36"/>
          <w:highlight w:val="none"/>
        </w:rPr>
        <w:fldChar w:fldCharType="end"/>
      </w:r>
    </w:p>
    <w:p w14:paraId="066DC064">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_Toc121 </w:instrText>
      </w:r>
      <w:r>
        <w:rPr>
          <w:rFonts w:hint="eastAsia"/>
          <w:bCs/>
          <w:color w:val="auto"/>
          <w:szCs w:val="36"/>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7</w:t>
      </w:r>
      <w:r>
        <w:rPr>
          <w:color w:val="auto"/>
          <w:highlight w:val="none"/>
        </w:rPr>
        <w:fldChar w:fldCharType="end"/>
      </w:r>
      <w:r>
        <w:rPr>
          <w:rFonts w:hint="eastAsia"/>
          <w:bCs/>
          <w:color w:val="auto"/>
          <w:szCs w:val="36"/>
          <w:highlight w:val="none"/>
        </w:rPr>
        <w:fldChar w:fldCharType="end"/>
      </w:r>
    </w:p>
    <w:p w14:paraId="0591A238">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_Toc22387 </w:instrText>
      </w:r>
      <w:r>
        <w:rPr>
          <w:rFonts w:hint="eastAsia"/>
          <w:bCs/>
          <w:color w:val="auto"/>
          <w:szCs w:val="36"/>
          <w:highlight w:val="none"/>
        </w:rPr>
        <w:fldChar w:fldCharType="separate"/>
      </w:r>
      <w:r>
        <w:rPr>
          <w:rFonts w:hint="eastAsia"/>
          <w:color w:val="auto"/>
          <w:szCs w:val="36"/>
          <w:highlight w:val="none"/>
          <w:lang w:eastAsia="zh-CN"/>
        </w:rPr>
        <w:t>第三章</w:t>
      </w:r>
      <w:r>
        <w:rPr>
          <w:rFonts w:hint="eastAsia"/>
          <w:color w:val="auto"/>
          <w:szCs w:val="36"/>
          <w:highlight w:val="none"/>
          <w:lang w:val="en-US" w:eastAsia="zh-CN"/>
        </w:rPr>
        <w:t xml:space="preserve">  </w:t>
      </w:r>
      <w:r>
        <w:rPr>
          <w:rFonts w:hint="eastAsia"/>
          <w:color w:val="auto"/>
          <w:szCs w:val="36"/>
          <w:highlight w:val="none"/>
          <w:lang w:eastAsia="zh-CN"/>
        </w:rPr>
        <w:t>资格审查</w:t>
      </w:r>
      <w:r>
        <w:rPr>
          <w:color w:val="auto"/>
          <w:highlight w:val="none"/>
        </w:rPr>
        <w:tab/>
      </w:r>
      <w:r>
        <w:rPr>
          <w:color w:val="auto"/>
          <w:highlight w:val="none"/>
        </w:rPr>
        <w:fldChar w:fldCharType="begin"/>
      </w:r>
      <w:r>
        <w:rPr>
          <w:color w:val="auto"/>
          <w:highlight w:val="none"/>
        </w:rPr>
        <w:instrText xml:space="preserve"> PAGEREF _Toc22387 \h </w:instrText>
      </w:r>
      <w:r>
        <w:rPr>
          <w:color w:val="auto"/>
          <w:highlight w:val="none"/>
        </w:rPr>
        <w:fldChar w:fldCharType="separate"/>
      </w:r>
      <w:r>
        <w:rPr>
          <w:color w:val="auto"/>
          <w:highlight w:val="none"/>
        </w:rPr>
        <w:t>25</w:t>
      </w:r>
      <w:r>
        <w:rPr>
          <w:color w:val="auto"/>
          <w:highlight w:val="none"/>
        </w:rPr>
        <w:fldChar w:fldCharType="end"/>
      </w:r>
      <w:r>
        <w:rPr>
          <w:rFonts w:hint="eastAsia"/>
          <w:bCs/>
          <w:color w:val="auto"/>
          <w:szCs w:val="36"/>
          <w:highlight w:val="none"/>
        </w:rPr>
        <w:fldChar w:fldCharType="end"/>
      </w:r>
    </w:p>
    <w:p w14:paraId="411136B6">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_Toc24895 </w:instrText>
      </w:r>
      <w:r>
        <w:rPr>
          <w:rFonts w:hint="eastAsia"/>
          <w:bCs/>
          <w:color w:val="auto"/>
          <w:szCs w:val="36"/>
          <w:highlight w:val="none"/>
        </w:rPr>
        <w:fldChar w:fldCharType="separate"/>
      </w:r>
      <w:r>
        <w:rPr>
          <w:rFonts w:hint="eastAsia" w:cs="宋体"/>
          <w:color w:val="auto"/>
          <w:szCs w:val="36"/>
          <w:highlight w:val="none"/>
          <w:lang w:val="en-US" w:eastAsia="zh-CN"/>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_Toc24895 \h </w:instrText>
      </w:r>
      <w:r>
        <w:rPr>
          <w:color w:val="auto"/>
          <w:highlight w:val="none"/>
        </w:rPr>
        <w:fldChar w:fldCharType="separate"/>
      </w:r>
      <w:r>
        <w:rPr>
          <w:color w:val="auto"/>
          <w:highlight w:val="none"/>
        </w:rPr>
        <w:t>27</w:t>
      </w:r>
      <w:r>
        <w:rPr>
          <w:color w:val="auto"/>
          <w:highlight w:val="none"/>
        </w:rPr>
        <w:fldChar w:fldCharType="end"/>
      </w:r>
      <w:r>
        <w:rPr>
          <w:rFonts w:hint="eastAsia"/>
          <w:bCs/>
          <w:color w:val="auto"/>
          <w:szCs w:val="36"/>
          <w:highlight w:val="none"/>
        </w:rPr>
        <w:fldChar w:fldCharType="end"/>
      </w:r>
    </w:p>
    <w:p w14:paraId="120B46C9">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_Toc29987 </w:instrText>
      </w:r>
      <w:r>
        <w:rPr>
          <w:rFonts w:hint="eastAsia"/>
          <w:bCs/>
          <w:color w:val="auto"/>
          <w:szCs w:val="36"/>
          <w:highlight w:val="none"/>
        </w:rPr>
        <w:fldChar w:fldCharType="separate"/>
      </w:r>
      <w:r>
        <w:rPr>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_Toc29987 \h </w:instrText>
      </w:r>
      <w:r>
        <w:rPr>
          <w:color w:val="auto"/>
          <w:highlight w:val="none"/>
        </w:rPr>
        <w:fldChar w:fldCharType="separate"/>
      </w:r>
      <w:r>
        <w:rPr>
          <w:color w:val="auto"/>
          <w:highlight w:val="none"/>
        </w:rPr>
        <w:t>37</w:t>
      </w:r>
      <w:r>
        <w:rPr>
          <w:color w:val="auto"/>
          <w:highlight w:val="none"/>
        </w:rPr>
        <w:fldChar w:fldCharType="end"/>
      </w:r>
      <w:r>
        <w:rPr>
          <w:rFonts w:hint="eastAsia"/>
          <w:bCs/>
          <w:color w:val="auto"/>
          <w:szCs w:val="36"/>
          <w:highlight w:val="none"/>
        </w:rPr>
        <w:fldChar w:fldCharType="end"/>
      </w:r>
    </w:p>
    <w:p w14:paraId="292A9A08">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_Toc19796 </w:instrText>
      </w:r>
      <w:r>
        <w:rPr>
          <w:rFonts w:hint="eastAsia"/>
          <w:bCs/>
          <w:color w:val="auto"/>
          <w:szCs w:val="36"/>
          <w:highlight w:val="none"/>
        </w:rPr>
        <w:fldChar w:fldCharType="separate"/>
      </w:r>
      <w:r>
        <w:rPr>
          <w:rFonts w:hint="eastAsia"/>
          <w:color w:val="auto"/>
          <w:szCs w:val="36"/>
          <w:highlight w:val="none"/>
        </w:rPr>
        <w:t>第六章</w:t>
      </w:r>
      <w:r>
        <w:rPr>
          <w:rFonts w:hint="eastAsia"/>
          <w:color w:val="auto"/>
          <w:szCs w:val="36"/>
          <w:highlight w:val="none"/>
          <w:lang w:val="en-US" w:eastAsia="zh-CN"/>
        </w:rPr>
        <w:t xml:space="preserve"> </w:t>
      </w:r>
      <w:r>
        <w:rPr>
          <w:rFonts w:hint="eastAsia"/>
          <w:color w:val="auto"/>
          <w:szCs w:val="36"/>
          <w:highlight w:val="none"/>
        </w:rPr>
        <w:t xml:space="preserve"> </w:t>
      </w:r>
      <w:r>
        <w:rPr>
          <w:rFonts w:hint="eastAsia"/>
          <w:color w:val="auto"/>
          <w:szCs w:val="36"/>
          <w:highlight w:val="none"/>
          <w:lang w:eastAsia="zh-CN"/>
        </w:rPr>
        <w:t>拟签订的合同文本</w:t>
      </w:r>
      <w:r>
        <w:rPr>
          <w:color w:val="auto"/>
          <w:highlight w:val="none"/>
        </w:rPr>
        <w:tab/>
      </w:r>
      <w:r>
        <w:rPr>
          <w:color w:val="auto"/>
          <w:highlight w:val="none"/>
        </w:rPr>
        <w:fldChar w:fldCharType="begin"/>
      </w:r>
      <w:r>
        <w:rPr>
          <w:color w:val="auto"/>
          <w:highlight w:val="none"/>
        </w:rPr>
        <w:instrText xml:space="preserve"> PAGEREF _Toc19796 \h </w:instrText>
      </w:r>
      <w:r>
        <w:rPr>
          <w:color w:val="auto"/>
          <w:highlight w:val="none"/>
        </w:rPr>
        <w:fldChar w:fldCharType="separate"/>
      </w:r>
      <w:r>
        <w:rPr>
          <w:color w:val="auto"/>
          <w:highlight w:val="none"/>
        </w:rPr>
        <w:t>37</w:t>
      </w:r>
      <w:r>
        <w:rPr>
          <w:color w:val="auto"/>
          <w:highlight w:val="none"/>
        </w:rPr>
        <w:fldChar w:fldCharType="end"/>
      </w:r>
      <w:r>
        <w:rPr>
          <w:rFonts w:hint="eastAsia"/>
          <w:bCs/>
          <w:color w:val="auto"/>
          <w:szCs w:val="36"/>
          <w:highlight w:val="none"/>
        </w:rPr>
        <w:fldChar w:fldCharType="end"/>
      </w:r>
    </w:p>
    <w:p w14:paraId="20FCF23C">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_Toc21015 </w:instrText>
      </w:r>
      <w:r>
        <w:rPr>
          <w:rFonts w:hint="eastAsia"/>
          <w:bCs/>
          <w:color w:val="auto"/>
          <w:szCs w:val="36"/>
          <w:highlight w:val="none"/>
        </w:rPr>
        <w:fldChar w:fldCharType="separate"/>
      </w:r>
      <w:r>
        <w:rPr>
          <w:rFonts w:hint="eastAsia" w:cs="Times New Roman"/>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_Toc21015 \h </w:instrText>
      </w:r>
      <w:r>
        <w:rPr>
          <w:color w:val="auto"/>
          <w:highlight w:val="none"/>
        </w:rPr>
        <w:fldChar w:fldCharType="separate"/>
      </w:r>
      <w:r>
        <w:rPr>
          <w:color w:val="auto"/>
          <w:highlight w:val="none"/>
        </w:rPr>
        <w:t>53</w:t>
      </w:r>
      <w:r>
        <w:rPr>
          <w:color w:val="auto"/>
          <w:highlight w:val="none"/>
        </w:rPr>
        <w:fldChar w:fldCharType="end"/>
      </w:r>
      <w:r>
        <w:rPr>
          <w:rFonts w:hint="eastAsia"/>
          <w:bCs/>
          <w:color w:val="auto"/>
          <w:szCs w:val="36"/>
          <w:highlight w:val="none"/>
        </w:rPr>
        <w:fldChar w:fldCharType="end"/>
      </w:r>
    </w:p>
    <w:p w14:paraId="0A1A45B5">
      <w:pPr>
        <w:jc w:val="center"/>
        <w:rPr>
          <w:rFonts w:hint="eastAsia"/>
          <w:bCs/>
          <w:color w:val="auto"/>
          <w:sz w:val="36"/>
          <w:szCs w:val="36"/>
          <w:highlight w:val="none"/>
        </w:rPr>
      </w:pPr>
      <w:r>
        <w:rPr>
          <w:rFonts w:hint="eastAsia"/>
          <w:bCs/>
          <w:color w:val="auto"/>
          <w:szCs w:val="36"/>
          <w:highlight w:val="none"/>
        </w:rPr>
        <w:fldChar w:fldCharType="end"/>
      </w:r>
    </w:p>
    <w:p w14:paraId="266E43E8">
      <w:pPr>
        <w:jc w:val="center"/>
        <w:rPr>
          <w:rFonts w:hint="eastAsia"/>
          <w:bCs/>
          <w:color w:val="auto"/>
          <w:sz w:val="36"/>
          <w:szCs w:val="36"/>
          <w:highlight w:val="none"/>
        </w:rPr>
      </w:pPr>
    </w:p>
    <w:p w14:paraId="73E10F5E">
      <w:pPr>
        <w:jc w:val="center"/>
        <w:rPr>
          <w:rFonts w:hint="eastAsia"/>
          <w:bCs/>
          <w:color w:val="auto"/>
          <w:sz w:val="36"/>
          <w:szCs w:val="36"/>
          <w:highlight w:val="none"/>
        </w:rPr>
      </w:pPr>
    </w:p>
    <w:p w14:paraId="7CD8807E">
      <w:pPr>
        <w:jc w:val="center"/>
        <w:rPr>
          <w:rFonts w:hint="eastAsia"/>
          <w:bCs/>
          <w:color w:val="auto"/>
          <w:sz w:val="36"/>
          <w:szCs w:val="36"/>
          <w:highlight w:val="none"/>
        </w:rPr>
      </w:pPr>
    </w:p>
    <w:p w14:paraId="08F54339">
      <w:pPr>
        <w:jc w:val="center"/>
        <w:rPr>
          <w:rFonts w:hint="eastAsia"/>
          <w:bCs/>
          <w:color w:val="auto"/>
          <w:sz w:val="36"/>
          <w:szCs w:val="36"/>
          <w:highlight w:val="none"/>
        </w:rPr>
      </w:pPr>
    </w:p>
    <w:p w14:paraId="47706AD2">
      <w:pPr>
        <w:jc w:val="center"/>
        <w:rPr>
          <w:rFonts w:hint="eastAsia"/>
          <w:bCs/>
          <w:color w:val="auto"/>
          <w:sz w:val="36"/>
          <w:szCs w:val="36"/>
          <w:highlight w:val="none"/>
        </w:rPr>
      </w:pPr>
    </w:p>
    <w:p w14:paraId="41F71B08">
      <w:pPr>
        <w:jc w:val="center"/>
        <w:rPr>
          <w:rFonts w:hint="eastAsia"/>
          <w:bCs/>
          <w:color w:val="auto"/>
          <w:sz w:val="36"/>
          <w:szCs w:val="36"/>
          <w:highlight w:val="none"/>
        </w:rPr>
      </w:pPr>
    </w:p>
    <w:p w14:paraId="5B2E7FE8">
      <w:pPr>
        <w:jc w:val="center"/>
        <w:rPr>
          <w:rFonts w:hint="eastAsia"/>
          <w:bCs/>
          <w:color w:val="auto"/>
          <w:sz w:val="36"/>
          <w:szCs w:val="36"/>
          <w:highlight w:val="none"/>
        </w:rPr>
      </w:pPr>
    </w:p>
    <w:p w14:paraId="233362F5">
      <w:pPr>
        <w:jc w:val="center"/>
        <w:rPr>
          <w:rFonts w:hint="eastAsia"/>
          <w:bCs/>
          <w:color w:val="auto"/>
          <w:sz w:val="36"/>
          <w:szCs w:val="36"/>
          <w:highlight w:val="none"/>
        </w:rPr>
      </w:pPr>
    </w:p>
    <w:p w14:paraId="25AB6323">
      <w:pPr>
        <w:jc w:val="center"/>
        <w:rPr>
          <w:rFonts w:hint="eastAsia"/>
          <w:bCs/>
          <w:color w:val="auto"/>
          <w:sz w:val="36"/>
          <w:szCs w:val="36"/>
          <w:highlight w:val="none"/>
        </w:rPr>
      </w:pPr>
    </w:p>
    <w:p w14:paraId="05A5E892">
      <w:pPr>
        <w:jc w:val="center"/>
        <w:rPr>
          <w:rFonts w:hint="eastAsia"/>
          <w:bCs/>
          <w:color w:val="auto"/>
          <w:sz w:val="36"/>
          <w:szCs w:val="36"/>
          <w:highlight w:val="none"/>
        </w:rPr>
      </w:pPr>
    </w:p>
    <w:p w14:paraId="146827A4">
      <w:pPr>
        <w:jc w:val="center"/>
        <w:rPr>
          <w:rFonts w:hint="eastAsia"/>
          <w:bCs/>
          <w:color w:val="auto"/>
          <w:sz w:val="36"/>
          <w:szCs w:val="36"/>
          <w:highlight w:val="none"/>
        </w:rPr>
      </w:pPr>
    </w:p>
    <w:p w14:paraId="5A1729C5">
      <w:pPr>
        <w:jc w:val="center"/>
        <w:rPr>
          <w:rFonts w:hint="eastAsia"/>
          <w:bCs/>
          <w:color w:val="auto"/>
          <w:sz w:val="36"/>
          <w:szCs w:val="36"/>
          <w:highlight w:val="none"/>
        </w:rPr>
      </w:pPr>
    </w:p>
    <w:p w14:paraId="01F671D8">
      <w:pPr>
        <w:rPr>
          <w:rFonts w:hint="eastAsia"/>
          <w:bCs/>
          <w:color w:val="auto"/>
          <w:sz w:val="36"/>
          <w:szCs w:val="36"/>
          <w:highlight w:val="none"/>
        </w:rPr>
      </w:pPr>
    </w:p>
    <w:p w14:paraId="3CDF4BC7">
      <w:pPr>
        <w:spacing w:line="360" w:lineRule="auto"/>
        <w:jc w:val="center"/>
        <w:outlineLvl w:val="0"/>
        <w:rPr>
          <w:rFonts w:hint="eastAsia" w:ascii="宋体"/>
          <w:b/>
          <w:color w:val="auto"/>
          <w:sz w:val="36"/>
          <w:szCs w:val="36"/>
          <w:highlight w:val="none"/>
        </w:rPr>
      </w:pPr>
      <w:r>
        <w:rPr>
          <w:rFonts w:hint="eastAsia" w:ascii="宋体"/>
          <w:b/>
          <w:color w:val="auto"/>
          <w:sz w:val="36"/>
          <w:szCs w:val="36"/>
          <w:highlight w:val="none"/>
        </w:rPr>
        <w:t xml:space="preserve"> </w:t>
      </w:r>
      <w:bookmarkStart w:id="0" w:name="_Toc22805"/>
    </w:p>
    <w:p w14:paraId="5623B48B">
      <w:pPr>
        <w:jc w:val="center"/>
        <w:rPr>
          <w:rFonts w:hint="eastAsia" w:ascii="宋体"/>
          <w:b/>
          <w:color w:val="auto"/>
          <w:sz w:val="36"/>
          <w:szCs w:val="36"/>
          <w:highlight w:val="none"/>
        </w:rPr>
      </w:pPr>
      <w:r>
        <w:rPr>
          <w:rFonts w:hint="eastAsia" w:ascii="宋体"/>
          <w:b/>
          <w:color w:val="auto"/>
          <w:sz w:val="36"/>
          <w:szCs w:val="36"/>
          <w:highlight w:val="none"/>
        </w:rPr>
        <w:t xml:space="preserve">第一章 </w:t>
      </w:r>
      <w:r>
        <w:rPr>
          <w:b/>
          <w:color w:val="auto"/>
          <w:sz w:val="36"/>
          <w:szCs w:val="36"/>
          <w:highlight w:val="none"/>
        </w:rPr>
        <w:t>投标邀请</w:t>
      </w:r>
      <w:bookmarkEnd w:id="0"/>
    </w:p>
    <w:p w14:paraId="50BE9512">
      <w:pPr>
        <w:pStyle w:val="27"/>
        <w:rPr>
          <w:rFonts w:hint="eastAsia"/>
          <w:color w:val="auto"/>
          <w:highlight w:val="none"/>
        </w:rPr>
      </w:pPr>
    </w:p>
    <w:p w14:paraId="382AF30B">
      <w:pPr>
        <w:rPr>
          <w:rFonts w:hint="eastAsia"/>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74295</wp:posOffset>
                </wp:positionV>
                <wp:extent cx="6000750" cy="14395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6000750" cy="1439545"/>
                        </a:xfrm>
                        <a:prstGeom prst="rect">
                          <a:avLst/>
                        </a:prstGeom>
                        <a:solidFill>
                          <a:srgbClr val="FFFFFF"/>
                        </a:solidFill>
                        <a:ln w="19050" cap="flat" cmpd="sng">
                          <a:solidFill>
                            <a:srgbClr val="00B0F0"/>
                          </a:solidFill>
                          <a:prstDash val="solid"/>
                          <a:miter/>
                          <a:headEnd type="none" w="med" len="med"/>
                          <a:tailEnd type="none" w="med" len="med"/>
                        </a:ln>
                      </wps:spPr>
                      <wps:txbx>
                        <w:txbxContent>
                          <w:p w14:paraId="1D931E06">
                            <w:pPr>
                              <w:pStyle w:val="81"/>
                              <w:spacing w:before="75" w:after="75" w:line="360" w:lineRule="auto"/>
                              <w:rPr>
                                <w:rFonts w:hint="eastAsia" w:hAnsi="宋体"/>
                                <w:color w:val="000000"/>
                              </w:rPr>
                            </w:pPr>
                            <w:r>
                              <w:rPr>
                                <w:rFonts w:hint="eastAsia" w:hAnsi="宋体"/>
                                <w:color w:val="000000"/>
                              </w:rPr>
                              <w:t>项目概况</w:t>
                            </w:r>
                          </w:p>
                          <w:p w14:paraId="6FB66E58">
                            <w:pPr>
                              <w:pStyle w:val="81"/>
                              <w:spacing w:before="75" w:after="75" w:line="360" w:lineRule="auto"/>
                              <w:ind w:firstLine="480" w:firstLineChars="200"/>
                              <w:rPr>
                                <w:rFonts w:hint="eastAsia" w:hAnsi="宋体"/>
                                <w:color w:val="000000"/>
                              </w:rPr>
                            </w:pPr>
                            <w:r>
                              <w:rPr>
                                <w:rFonts w:hint="eastAsia" w:hAnsi="宋体"/>
                              </w:rPr>
                              <w:t>（</w:t>
                            </w:r>
                            <w:r>
                              <w:rPr>
                                <w:rFonts w:hint="eastAsia" w:hAnsi="宋体"/>
                                <w:color w:val="auto"/>
                                <w:highlight w:val="none"/>
                                <w:lang w:eastAsia="zh-CN"/>
                              </w:rPr>
                              <w:t>乌鲁木齐市中医医院中药饮片采购项目</w:t>
                            </w:r>
                            <w:r>
                              <w:rPr>
                                <w:rFonts w:hint="eastAsia" w:hAnsi="宋体"/>
                              </w:rPr>
                              <w:t>）</w:t>
                            </w:r>
                            <w:r>
                              <w:rPr>
                                <w:rFonts w:hint="eastAsia" w:hAnsi="宋体"/>
                                <w:color w:val="000000"/>
                              </w:rPr>
                              <w:t>的潜在投标人应在政采云平台https://www.zcygov.cn/获取招标文件，并</w:t>
                            </w:r>
                            <w:r>
                              <w:rPr>
                                <w:rFonts w:hint="eastAsia" w:hAnsi="宋体"/>
                                <w:color w:val="000000"/>
                                <w:highlight w:val="none"/>
                              </w:rPr>
                              <w:t>于</w:t>
                            </w:r>
                            <w:r>
                              <w:rPr>
                                <w:rFonts w:hint="eastAsia" w:hAnsi="宋体"/>
                                <w:color w:val="auto"/>
                                <w:highlight w:val="none"/>
                                <w:lang w:eastAsia="zh-CN"/>
                              </w:rPr>
                              <w:t>202</w:t>
                            </w:r>
                            <w:r>
                              <w:rPr>
                                <w:rFonts w:hint="eastAsia" w:hAnsi="宋体"/>
                                <w:color w:val="auto"/>
                                <w:highlight w:val="none"/>
                                <w:lang w:val="en-US" w:eastAsia="zh-CN"/>
                              </w:rPr>
                              <w:t>5</w:t>
                            </w:r>
                            <w:r>
                              <w:rPr>
                                <w:rFonts w:hint="eastAsia" w:hAnsi="宋体"/>
                                <w:color w:val="auto"/>
                                <w:highlight w:val="none"/>
                                <w:lang w:eastAsia="zh-CN"/>
                              </w:rPr>
                              <w:t>年</w:t>
                            </w:r>
                            <w:r>
                              <w:rPr>
                                <w:rFonts w:hint="eastAsia" w:hAnsi="宋体"/>
                                <w:color w:val="auto"/>
                                <w:highlight w:val="none"/>
                                <w:lang w:val="en-US" w:eastAsia="zh-CN"/>
                              </w:rPr>
                              <w:t>01月26日</w:t>
                            </w:r>
                            <w:r>
                              <w:rPr>
                                <w:rFonts w:hint="eastAsia" w:hAnsi="宋体"/>
                                <w:color w:val="auto"/>
                                <w:highlight w:val="none"/>
                                <w:lang w:eastAsia="zh-CN"/>
                              </w:rPr>
                              <w:t>1</w:t>
                            </w:r>
                            <w:r>
                              <w:rPr>
                                <w:rFonts w:hint="eastAsia" w:hAnsi="宋体"/>
                                <w:color w:val="auto"/>
                                <w:highlight w:val="none"/>
                                <w:lang w:val="en-US" w:eastAsia="zh-CN"/>
                              </w:rPr>
                              <w:t>1</w:t>
                            </w:r>
                            <w:r>
                              <w:rPr>
                                <w:rFonts w:hint="eastAsia" w:hAnsi="宋体"/>
                                <w:color w:val="auto"/>
                                <w:highlight w:val="none"/>
                                <w:lang w:eastAsia="zh-CN"/>
                              </w:rPr>
                              <w:t>:00</w:t>
                            </w:r>
                            <w:r>
                              <w:rPr>
                                <w:rFonts w:hint="eastAsia" w:hAnsi="宋体"/>
                                <w:color w:val="auto"/>
                                <w:highlight w:val="none"/>
                              </w:rPr>
                              <w:t>（北京时间</w:t>
                            </w:r>
                            <w:r>
                              <w:rPr>
                                <w:rFonts w:hint="eastAsia" w:hAnsi="宋体"/>
                                <w:color w:val="000000"/>
                              </w:rPr>
                              <w:t>前递交投标文件。</w:t>
                            </w:r>
                          </w:p>
                          <w:p w14:paraId="4EC25E6D">
                            <w:pPr>
                              <w:pStyle w:val="81"/>
                              <w:spacing w:before="75" w:after="75" w:line="360" w:lineRule="auto"/>
                              <w:rPr>
                                <w:rFonts w:hint="eastAsia" w:hAnsi="宋体"/>
                                <w:color w:val="000000"/>
                              </w:rPr>
                            </w:pPr>
                          </w:p>
                          <w:p w14:paraId="1958CED9"/>
                        </w:txbxContent>
                      </wps:txbx>
                      <wps:bodyPr wrap="square" upright="1"/>
                    </wps:wsp>
                  </a:graphicData>
                </a:graphic>
              </wp:anchor>
            </w:drawing>
          </mc:Choice>
          <mc:Fallback>
            <w:pict>
              <v:shape id="文本框 4" o:spid="_x0000_s1026" o:spt="202" type="#_x0000_t202" style="position:absolute;left:0pt;margin-left:2.15pt;margin-top:5.85pt;height:113.35pt;width:472.5pt;z-index:251659264;mso-width-relative:page;mso-height-relative:page;" fillcolor="#FFFFFF" filled="t" stroked="t" coordsize="21600,21600" o:gfxdata="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3MFt3TAAAACAEAAA8AAAAA&#10;AAAAAQAgAAAAIgAAAGRycy9kb3ducmV2LnhtbFBLAQIUABQAAAAIAIdO4kCduRXSGQIAAEYEAAAO&#10;AAAAAAAAAAEAIAAAACIBAABkcnMvZTJvRG9jLnhtbFBLBQYAAAAABgAGAFkBAACtBQAAAAA=&#10;">
                <v:fill on="t" focussize="0,0"/>
                <v:stroke weight="1.5pt" color="#00B0F0" joinstyle="miter"/>
                <v:imagedata o:title=""/>
                <o:lock v:ext="edit" aspectratio="f"/>
                <v:textbox>
                  <w:txbxContent>
                    <w:p w14:paraId="1D931E06">
                      <w:pPr>
                        <w:pStyle w:val="81"/>
                        <w:spacing w:before="75" w:after="75" w:line="360" w:lineRule="auto"/>
                        <w:rPr>
                          <w:rFonts w:hint="eastAsia" w:hAnsi="宋体"/>
                          <w:color w:val="000000"/>
                        </w:rPr>
                      </w:pPr>
                      <w:r>
                        <w:rPr>
                          <w:rFonts w:hint="eastAsia" w:hAnsi="宋体"/>
                          <w:color w:val="000000"/>
                        </w:rPr>
                        <w:t>项目概况</w:t>
                      </w:r>
                    </w:p>
                    <w:p w14:paraId="6FB66E58">
                      <w:pPr>
                        <w:pStyle w:val="81"/>
                        <w:spacing w:before="75" w:after="75" w:line="360" w:lineRule="auto"/>
                        <w:ind w:firstLine="480" w:firstLineChars="200"/>
                        <w:rPr>
                          <w:rFonts w:hint="eastAsia" w:hAnsi="宋体"/>
                          <w:color w:val="000000"/>
                        </w:rPr>
                      </w:pPr>
                      <w:r>
                        <w:rPr>
                          <w:rFonts w:hint="eastAsia" w:hAnsi="宋体"/>
                        </w:rPr>
                        <w:t>（</w:t>
                      </w:r>
                      <w:r>
                        <w:rPr>
                          <w:rFonts w:hint="eastAsia" w:hAnsi="宋体"/>
                          <w:color w:val="auto"/>
                          <w:highlight w:val="none"/>
                          <w:lang w:eastAsia="zh-CN"/>
                        </w:rPr>
                        <w:t>乌鲁木齐市中医医院中药饮片采购项目</w:t>
                      </w:r>
                      <w:r>
                        <w:rPr>
                          <w:rFonts w:hint="eastAsia" w:hAnsi="宋体"/>
                        </w:rPr>
                        <w:t>）</w:t>
                      </w:r>
                      <w:r>
                        <w:rPr>
                          <w:rFonts w:hint="eastAsia" w:hAnsi="宋体"/>
                          <w:color w:val="000000"/>
                        </w:rPr>
                        <w:t>的潜在投标人应在政采云平台https://www.zcygov.cn/获取招标文件，并</w:t>
                      </w:r>
                      <w:r>
                        <w:rPr>
                          <w:rFonts w:hint="eastAsia" w:hAnsi="宋体"/>
                          <w:color w:val="000000"/>
                          <w:highlight w:val="none"/>
                        </w:rPr>
                        <w:t>于</w:t>
                      </w:r>
                      <w:r>
                        <w:rPr>
                          <w:rFonts w:hint="eastAsia" w:hAnsi="宋体"/>
                          <w:color w:val="auto"/>
                          <w:highlight w:val="none"/>
                          <w:lang w:eastAsia="zh-CN"/>
                        </w:rPr>
                        <w:t>202</w:t>
                      </w:r>
                      <w:r>
                        <w:rPr>
                          <w:rFonts w:hint="eastAsia" w:hAnsi="宋体"/>
                          <w:color w:val="auto"/>
                          <w:highlight w:val="none"/>
                          <w:lang w:val="en-US" w:eastAsia="zh-CN"/>
                        </w:rPr>
                        <w:t>5</w:t>
                      </w:r>
                      <w:r>
                        <w:rPr>
                          <w:rFonts w:hint="eastAsia" w:hAnsi="宋体"/>
                          <w:color w:val="auto"/>
                          <w:highlight w:val="none"/>
                          <w:lang w:eastAsia="zh-CN"/>
                        </w:rPr>
                        <w:t>年</w:t>
                      </w:r>
                      <w:r>
                        <w:rPr>
                          <w:rFonts w:hint="eastAsia" w:hAnsi="宋体"/>
                          <w:color w:val="auto"/>
                          <w:highlight w:val="none"/>
                          <w:lang w:val="en-US" w:eastAsia="zh-CN"/>
                        </w:rPr>
                        <w:t>01月26日</w:t>
                      </w:r>
                      <w:r>
                        <w:rPr>
                          <w:rFonts w:hint="eastAsia" w:hAnsi="宋体"/>
                          <w:color w:val="auto"/>
                          <w:highlight w:val="none"/>
                          <w:lang w:eastAsia="zh-CN"/>
                        </w:rPr>
                        <w:t>1</w:t>
                      </w:r>
                      <w:r>
                        <w:rPr>
                          <w:rFonts w:hint="eastAsia" w:hAnsi="宋体"/>
                          <w:color w:val="auto"/>
                          <w:highlight w:val="none"/>
                          <w:lang w:val="en-US" w:eastAsia="zh-CN"/>
                        </w:rPr>
                        <w:t>1</w:t>
                      </w:r>
                      <w:r>
                        <w:rPr>
                          <w:rFonts w:hint="eastAsia" w:hAnsi="宋体"/>
                          <w:color w:val="auto"/>
                          <w:highlight w:val="none"/>
                          <w:lang w:eastAsia="zh-CN"/>
                        </w:rPr>
                        <w:t>:00</w:t>
                      </w:r>
                      <w:r>
                        <w:rPr>
                          <w:rFonts w:hint="eastAsia" w:hAnsi="宋体"/>
                          <w:color w:val="auto"/>
                          <w:highlight w:val="none"/>
                        </w:rPr>
                        <w:t>（北京时间</w:t>
                      </w:r>
                      <w:r>
                        <w:rPr>
                          <w:rFonts w:hint="eastAsia" w:hAnsi="宋体"/>
                          <w:color w:val="000000"/>
                        </w:rPr>
                        <w:t>前递交投标文件。</w:t>
                      </w:r>
                    </w:p>
                    <w:p w14:paraId="4EC25E6D">
                      <w:pPr>
                        <w:pStyle w:val="81"/>
                        <w:spacing w:before="75" w:after="75" w:line="360" w:lineRule="auto"/>
                        <w:rPr>
                          <w:rFonts w:hint="eastAsia" w:hAnsi="宋体"/>
                          <w:color w:val="000000"/>
                        </w:rPr>
                      </w:pPr>
                    </w:p>
                    <w:p w14:paraId="1958CED9"/>
                  </w:txbxContent>
                </v:textbox>
              </v:shape>
            </w:pict>
          </mc:Fallback>
        </mc:AlternateContent>
      </w:r>
    </w:p>
    <w:p w14:paraId="378D0E00">
      <w:pPr>
        <w:pStyle w:val="27"/>
        <w:rPr>
          <w:rFonts w:hint="eastAsia"/>
          <w:color w:val="auto"/>
          <w:highlight w:val="none"/>
        </w:rPr>
      </w:pPr>
    </w:p>
    <w:p w14:paraId="2D1F87D9">
      <w:pPr>
        <w:rPr>
          <w:rFonts w:hint="eastAsia"/>
          <w:color w:val="auto"/>
          <w:highlight w:val="none"/>
        </w:rPr>
      </w:pPr>
    </w:p>
    <w:p w14:paraId="1C3C419B">
      <w:pPr>
        <w:pStyle w:val="27"/>
        <w:rPr>
          <w:rFonts w:hint="eastAsia"/>
          <w:color w:val="auto"/>
          <w:highlight w:val="none"/>
        </w:rPr>
      </w:pPr>
    </w:p>
    <w:p w14:paraId="3C5D93BB">
      <w:pPr>
        <w:rPr>
          <w:rFonts w:hint="eastAsia"/>
          <w:color w:val="auto"/>
          <w:highlight w:val="none"/>
        </w:rPr>
      </w:pPr>
    </w:p>
    <w:p w14:paraId="79F5D420">
      <w:pPr>
        <w:pStyle w:val="27"/>
        <w:rPr>
          <w:rFonts w:hint="eastAsia"/>
          <w:color w:val="auto"/>
          <w:highlight w:val="none"/>
        </w:rPr>
      </w:pPr>
    </w:p>
    <w:p w14:paraId="4EA60E7F">
      <w:pPr>
        <w:rPr>
          <w:rFonts w:hint="eastAsia"/>
          <w:color w:val="auto"/>
          <w:highlight w:val="none"/>
        </w:rPr>
      </w:pPr>
    </w:p>
    <w:p w14:paraId="2A7A8946">
      <w:pPr>
        <w:rPr>
          <w:rFonts w:hint="eastAsia"/>
          <w:color w:val="auto"/>
          <w:highlight w:val="none"/>
        </w:rPr>
      </w:pPr>
    </w:p>
    <w:p w14:paraId="0BC3B7A1">
      <w:pPr>
        <w:pStyle w:val="81"/>
        <w:spacing w:before="255" w:after="255"/>
        <w:jc w:val="both"/>
        <w:rPr>
          <w:rFonts w:hint="eastAsia" w:hAnsi="宋体"/>
          <w:color w:val="auto"/>
          <w:sz w:val="27"/>
          <w:szCs w:val="27"/>
          <w:highlight w:val="none"/>
        </w:rPr>
      </w:pPr>
      <w:r>
        <w:rPr>
          <w:rStyle w:val="91"/>
          <w:rFonts w:hint="eastAsia" w:ascii="宋体" w:hAnsi="宋体" w:cs="宋体"/>
          <w:color w:val="auto"/>
          <w:sz w:val="27"/>
          <w:szCs w:val="27"/>
          <w:highlight w:val="none"/>
        </w:rPr>
        <w:t>一、项目基本情况</w:t>
      </w:r>
    </w:p>
    <w:p w14:paraId="0955AB6E">
      <w:pPr>
        <w:pStyle w:val="81"/>
        <w:spacing w:before="75" w:after="75" w:line="360" w:lineRule="auto"/>
        <w:ind w:firstLine="420"/>
        <w:rPr>
          <w:rFonts w:hint="eastAsia" w:hAnsi="宋体"/>
          <w:color w:val="auto"/>
          <w:highlight w:val="none"/>
        </w:rPr>
      </w:pPr>
      <w:r>
        <w:rPr>
          <w:rFonts w:hint="eastAsia" w:hAnsi="宋体"/>
          <w:color w:val="auto"/>
          <w:highlight w:val="none"/>
        </w:rPr>
        <w:t>项目编号：</w:t>
      </w:r>
      <w:r>
        <w:rPr>
          <w:rFonts w:hint="eastAsia" w:hAnsi="宋体"/>
          <w:color w:val="auto"/>
          <w:highlight w:val="none"/>
          <w:lang w:eastAsia="zh-CN"/>
        </w:rPr>
        <w:t>XYTDZB-2025GK004</w:t>
      </w:r>
      <w:r>
        <w:rPr>
          <w:rFonts w:hint="eastAsia" w:hAnsi="宋体"/>
          <w:color w:val="auto"/>
          <w:highlight w:val="none"/>
        </w:rPr>
        <w:t xml:space="preserve"> </w:t>
      </w:r>
    </w:p>
    <w:p w14:paraId="7A3BA9C9">
      <w:pPr>
        <w:pStyle w:val="81"/>
        <w:spacing w:before="75" w:after="75" w:line="360" w:lineRule="auto"/>
        <w:ind w:firstLine="480" w:firstLineChars="200"/>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eastAsia="zh-CN"/>
        </w:rPr>
        <w:t>乌鲁木齐市中医医院中药饮片采购项目</w:t>
      </w:r>
    </w:p>
    <w:p w14:paraId="05C9ABDD">
      <w:pPr>
        <w:pStyle w:val="81"/>
        <w:spacing w:before="75" w:after="75" w:line="360" w:lineRule="auto"/>
        <w:ind w:firstLine="420"/>
        <w:rPr>
          <w:rFonts w:hint="eastAsia" w:hAnsi="宋体"/>
          <w:color w:val="auto"/>
          <w:highlight w:val="none"/>
        </w:rPr>
      </w:pPr>
      <w:r>
        <w:rPr>
          <w:rFonts w:hint="eastAsia" w:hAnsi="宋体"/>
          <w:color w:val="auto"/>
          <w:highlight w:val="none"/>
        </w:rPr>
        <w:t>采购方式：公开招标</w:t>
      </w:r>
    </w:p>
    <w:p w14:paraId="7D24DDB6">
      <w:pPr>
        <w:pStyle w:val="81"/>
        <w:spacing w:before="75" w:after="75" w:line="360" w:lineRule="auto"/>
        <w:ind w:firstLine="420"/>
        <w:rPr>
          <w:rFonts w:hint="eastAsia" w:hAnsi="宋体"/>
          <w:color w:val="auto"/>
          <w:highlight w:val="none"/>
        </w:rPr>
      </w:pPr>
      <w:r>
        <w:rPr>
          <w:rFonts w:hint="eastAsia" w:hAnsi="宋体"/>
          <w:color w:val="auto"/>
          <w:highlight w:val="none"/>
        </w:rPr>
        <w:t>预算金额：6400</w:t>
      </w:r>
      <w:r>
        <w:rPr>
          <w:rFonts w:hint="eastAsia" w:hAnsi="宋体"/>
          <w:color w:val="auto"/>
          <w:highlight w:val="none"/>
          <w:lang w:eastAsia="zh-CN"/>
        </w:rPr>
        <w:t>万</w:t>
      </w:r>
      <w:r>
        <w:rPr>
          <w:rFonts w:hint="eastAsia" w:hAnsi="宋体"/>
          <w:color w:val="auto"/>
          <w:highlight w:val="none"/>
          <w:lang w:val="en-US" w:eastAsia="zh-CN"/>
        </w:rPr>
        <w:t>元</w:t>
      </w:r>
      <w:r>
        <w:rPr>
          <w:rFonts w:hint="eastAsia" w:hAnsi="宋体"/>
          <w:color w:val="auto"/>
          <w:highlight w:val="none"/>
        </w:rPr>
        <w:t xml:space="preserve"> </w:t>
      </w:r>
    </w:p>
    <w:p w14:paraId="27FBF507">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最高限价：</w:t>
      </w:r>
      <w:r>
        <w:rPr>
          <w:rFonts w:hint="eastAsia" w:hAnsi="宋体"/>
          <w:color w:val="0000FF"/>
          <w:highlight w:val="none"/>
          <w:lang w:val="en-US" w:eastAsia="zh-CN"/>
        </w:rPr>
        <w:t>详见招标文件第五章各单品最高投标限价单价</w:t>
      </w:r>
    </w:p>
    <w:p w14:paraId="2FE65AB6">
      <w:pPr>
        <w:pStyle w:val="81"/>
        <w:spacing w:before="75" w:after="75" w:line="360" w:lineRule="auto"/>
        <w:ind w:firstLine="420"/>
        <w:rPr>
          <w:rFonts w:hint="eastAsia" w:hAnsi="宋体"/>
          <w:color w:val="auto"/>
          <w:highlight w:val="none"/>
        </w:rPr>
      </w:pPr>
      <w:r>
        <w:rPr>
          <w:rFonts w:hint="eastAsia" w:hAnsi="宋体"/>
          <w:color w:val="auto"/>
          <w:highlight w:val="none"/>
        </w:rPr>
        <w:t>采购需求：</w:t>
      </w:r>
    </w:p>
    <w:p w14:paraId="7ED1C07E">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lang w:eastAsia="zh-CN"/>
        </w:rPr>
        <w:t>标项一：</w:t>
      </w:r>
    </w:p>
    <w:p w14:paraId="4D20ED8F">
      <w:pPr>
        <w:pStyle w:val="81"/>
        <w:spacing w:before="75" w:after="75" w:line="360" w:lineRule="auto"/>
        <w:ind w:firstLine="420"/>
        <w:rPr>
          <w:rFonts w:hint="eastAsia" w:hAnsi="宋体"/>
          <w:color w:val="auto"/>
          <w:highlight w:val="none"/>
        </w:rPr>
      </w:pPr>
      <w:r>
        <w:rPr>
          <w:rFonts w:hint="eastAsia" w:hAnsi="宋体"/>
          <w:color w:val="auto"/>
          <w:highlight w:val="none"/>
        </w:rPr>
        <w:t>标项名称：中药饮片</w:t>
      </w:r>
    </w:p>
    <w:p w14:paraId="0C46C312">
      <w:pPr>
        <w:pStyle w:val="81"/>
        <w:spacing w:before="75" w:after="75" w:line="360" w:lineRule="auto"/>
        <w:ind w:firstLine="420"/>
        <w:rPr>
          <w:rFonts w:hint="eastAsia" w:hAnsi="宋体"/>
          <w:color w:val="auto"/>
          <w:highlight w:val="none"/>
        </w:rPr>
      </w:pPr>
      <w:r>
        <w:rPr>
          <w:rFonts w:hint="eastAsia" w:hAnsi="宋体"/>
          <w:color w:val="auto"/>
          <w:highlight w:val="none"/>
        </w:rPr>
        <w:t>数量：1 批</w:t>
      </w:r>
    </w:p>
    <w:p w14:paraId="72E53EFC">
      <w:pPr>
        <w:pStyle w:val="81"/>
        <w:spacing w:before="75" w:after="75" w:line="360" w:lineRule="auto"/>
        <w:ind w:firstLine="420"/>
        <w:rPr>
          <w:rFonts w:hint="eastAsia" w:hAnsi="宋体" w:eastAsia="宋体"/>
          <w:color w:val="0000FF"/>
          <w:highlight w:val="none"/>
          <w:lang w:eastAsia="zh-CN"/>
        </w:rPr>
      </w:pPr>
      <w:r>
        <w:rPr>
          <w:rFonts w:hint="eastAsia" w:hAnsi="宋体"/>
          <w:color w:val="0000FF"/>
          <w:highlight w:val="none"/>
        </w:rPr>
        <w:t>预算金额（元）：</w:t>
      </w:r>
      <w:r>
        <w:rPr>
          <w:rFonts w:hint="eastAsia" w:hAnsi="宋体"/>
          <w:color w:val="0000FF"/>
          <w:highlight w:val="none"/>
          <w:lang w:val="en-US" w:eastAsia="zh-CN"/>
        </w:rPr>
        <w:t>1280万</w:t>
      </w:r>
      <w:r>
        <w:rPr>
          <w:rFonts w:hint="eastAsia" w:hAnsi="宋体"/>
          <w:color w:val="0000FF"/>
          <w:highlight w:val="none"/>
          <w:lang w:eastAsia="zh-CN"/>
        </w:rPr>
        <w:t>元</w:t>
      </w:r>
    </w:p>
    <w:p w14:paraId="1B8426E2">
      <w:pPr>
        <w:pStyle w:val="81"/>
        <w:spacing w:before="75" w:after="75" w:line="360" w:lineRule="auto"/>
        <w:ind w:firstLine="420"/>
        <w:rPr>
          <w:rFonts w:hint="eastAsia" w:hAnsi="宋体"/>
          <w:color w:val="auto"/>
          <w:highlight w:val="none"/>
        </w:rPr>
      </w:pPr>
      <w:r>
        <w:rPr>
          <w:rFonts w:hint="eastAsia" w:hAnsi="宋体"/>
          <w:color w:val="auto"/>
          <w:highlight w:val="none"/>
        </w:rPr>
        <w:t xml:space="preserve">简要规格描述：中药饮片一批，具体详见招标文件 </w:t>
      </w:r>
    </w:p>
    <w:p w14:paraId="4C2915E6">
      <w:pPr>
        <w:pStyle w:val="81"/>
        <w:spacing w:before="75" w:after="75" w:line="360" w:lineRule="auto"/>
        <w:ind w:firstLine="420"/>
        <w:rPr>
          <w:rFonts w:hint="eastAsia" w:hAnsi="宋体"/>
          <w:color w:val="auto"/>
          <w:highlight w:val="none"/>
        </w:rPr>
      </w:pPr>
      <w:r>
        <w:rPr>
          <w:rFonts w:hint="eastAsia" w:hAnsi="宋体"/>
          <w:color w:val="auto"/>
          <w:highlight w:val="none"/>
        </w:rPr>
        <w:t>备注：各产品最高限价单价详见招标文件。</w:t>
      </w:r>
    </w:p>
    <w:p w14:paraId="3174CF55">
      <w:pPr>
        <w:pStyle w:val="81"/>
        <w:spacing w:before="75" w:after="75" w:line="360" w:lineRule="auto"/>
        <w:ind w:firstLine="420"/>
        <w:rPr>
          <w:rFonts w:hint="eastAsia" w:hAnsi="宋体"/>
          <w:color w:val="auto"/>
          <w:highlight w:val="none"/>
        </w:rPr>
      </w:pPr>
      <w:r>
        <w:rPr>
          <w:rFonts w:hint="eastAsia" w:hAnsi="宋体"/>
          <w:color w:val="auto"/>
          <w:highlight w:val="none"/>
        </w:rPr>
        <w:t>标项二</w:t>
      </w:r>
    </w:p>
    <w:p w14:paraId="1A3B555B">
      <w:pPr>
        <w:pStyle w:val="81"/>
        <w:spacing w:before="75" w:after="75" w:line="360" w:lineRule="auto"/>
        <w:ind w:firstLine="420"/>
        <w:rPr>
          <w:rFonts w:hint="eastAsia" w:hAnsi="宋体"/>
          <w:color w:val="auto"/>
          <w:highlight w:val="none"/>
        </w:rPr>
      </w:pPr>
      <w:r>
        <w:rPr>
          <w:rFonts w:hint="eastAsia" w:hAnsi="宋体"/>
          <w:color w:val="auto"/>
          <w:highlight w:val="none"/>
        </w:rPr>
        <w:t>标项名称：中药饮片</w:t>
      </w:r>
    </w:p>
    <w:p w14:paraId="3CF44CC6">
      <w:pPr>
        <w:pStyle w:val="81"/>
        <w:spacing w:before="75" w:after="75" w:line="360" w:lineRule="auto"/>
        <w:ind w:firstLine="420"/>
        <w:rPr>
          <w:rFonts w:hint="eastAsia" w:hAnsi="宋体"/>
          <w:color w:val="auto"/>
          <w:highlight w:val="none"/>
        </w:rPr>
      </w:pPr>
      <w:r>
        <w:rPr>
          <w:rFonts w:hint="eastAsia" w:hAnsi="宋体"/>
          <w:color w:val="auto"/>
          <w:highlight w:val="none"/>
        </w:rPr>
        <w:t>数量：1 批</w:t>
      </w:r>
    </w:p>
    <w:p w14:paraId="567A5BCB">
      <w:pPr>
        <w:pStyle w:val="81"/>
        <w:spacing w:before="75" w:after="75" w:line="360" w:lineRule="auto"/>
        <w:ind w:firstLine="420"/>
        <w:rPr>
          <w:rFonts w:hint="eastAsia" w:hAnsi="宋体"/>
          <w:color w:val="0000FF"/>
          <w:highlight w:val="none"/>
        </w:rPr>
      </w:pPr>
      <w:r>
        <w:rPr>
          <w:rFonts w:hint="eastAsia" w:hAnsi="宋体"/>
          <w:color w:val="0000FF"/>
          <w:highlight w:val="none"/>
        </w:rPr>
        <w:t>预算金额（元）：</w:t>
      </w:r>
      <w:r>
        <w:rPr>
          <w:rFonts w:hint="eastAsia" w:hAnsi="宋体"/>
          <w:color w:val="0000FF"/>
          <w:highlight w:val="none"/>
          <w:lang w:val="en-US" w:eastAsia="zh-CN"/>
        </w:rPr>
        <w:t>1280万</w:t>
      </w:r>
      <w:r>
        <w:rPr>
          <w:rFonts w:hint="eastAsia" w:hAnsi="宋体"/>
          <w:color w:val="0000FF"/>
          <w:highlight w:val="none"/>
          <w:lang w:eastAsia="zh-CN"/>
        </w:rPr>
        <w:t>元</w:t>
      </w:r>
    </w:p>
    <w:p w14:paraId="7B37619E">
      <w:pPr>
        <w:pStyle w:val="81"/>
        <w:spacing w:before="75" w:after="75" w:line="360" w:lineRule="auto"/>
        <w:ind w:firstLine="420"/>
        <w:rPr>
          <w:rFonts w:hint="eastAsia" w:hAnsi="宋体"/>
          <w:color w:val="auto"/>
          <w:highlight w:val="none"/>
        </w:rPr>
      </w:pPr>
      <w:r>
        <w:rPr>
          <w:rFonts w:hint="eastAsia" w:hAnsi="宋体"/>
          <w:color w:val="auto"/>
          <w:highlight w:val="none"/>
        </w:rPr>
        <w:t xml:space="preserve">简要规格描述：中药饮片一批，具体详见招标文件 </w:t>
      </w:r>
    </w:p>
    <w:p w14:paraId="5747D617">
      <w:pPr>
        <w:pStyle w:val="81"/>
        <w:spacing w:before="75" w:after="75" w:line="360" w:lineRule="auto"/>
        <w:ind w:firstLine="420"/>
        <w:rPr>
          <w:rFonts w:hint="eastAsia" w:hAnsi="宋体"/>
          <w:color w:val="auto"/>
          <w:highlight w:val="none"/>
        </w:rPr>
      </w:pPr>
      <w:r>
        <w:rPr>
          <w:rFonts w:hint="eastAsia" w:hAnsi="宋体"/>
          <w:color w:val="auto"/>
          <w:highlight w:val="none"/>
        </w:rPr>
        <w:t>备注：各产品最高限价单价详见招标文件。</w:t>
      </w:r>
    </w:p>
    <w:p w14:paraId="65C5CC37">
      <w:pPr>
        <w:pStyle w:val="81"/>
        <w:spacing w:before="75" w:after="75" w:line="360" w:lineRule="auto"/>
        <w:ind w:firstLine="420"/>
        <w:rPr>
          <w:rFonts w:hint="eastAsia" w:hAnsi="宋体"/>
          <w:color w:val="auto"/>
          <w:highlight w:val="none"/>
        </w:rPr>
      </w:pPr>
      <w:r>
        <w:rPr>
          <w:rFonts w:hint="eastAsia" w:hAnsi="宋体"/>
          <w:color w:val="auto"/>
          <w:highlight w:val="none"/>
        </w:rPr>
        <w:t>标项三</w:t>
      </w:r>
    </w:p>
    <w:p w14:paraId="7B9F7FBD">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标项名称：中药饮片</w:t>
      </w:r>
    </w:p>
    <w:p w14:paraId="5CC48F5E">
      <w:pPr>
        <w:pStyle w:val="81"/>
        <w:spacing w:before="75" w:after="75" w:line="360" w:lineRule="auto"/>
        <w:ind w:firstLine="420"/>
        <w:rPr>
          <w:rFonts w:hint="eastAsia" w:hAnsi="宋体"/>
          <w:color w:val="auto"/>
          <w:highlight w:val="none"/>
        </w:rPr>
      </w:pPr>
      <w:r>
        <w:rPr>
          <w:rFonts w:hint="eastAsia" w:hAnsi="宋体"/>
          <w:color w:val="auto"/>
          <w:highlight w:val="none"/>
        </w:rPr>
        <w:t>数量：1 批</w:t>
      </w:r>
    </w:p>
    <w:p w14:paraId="5EBD120A">
      <w:pPr>
        <w:pStyle w:val="81"/>
        <w:spacing w:before="75" w:after="75" w:line="360" w:lineRule="auto"/>
        <w:ind w:firstLine="420"/>
        <w:rPr>
          <w:rFonts w:hint="eastAsia" w:hAnsi="宋体"/>
          <w:color w:val="auto"/>
          <w:highlight w:val="none"/>
        </w:rPr>
      </w:pPr>
      <w:r>
        <w:rPr>
          <w:rFonts w:hint="eastAsia" w:hAnsi="宋体"/>
          <w:color w:val="auto"/>
          <w:highlight w:val="none"/>
        </w:rPr>
        <w:t>预算金额（元）：</w:t>
      </w:r>
      <w:r>
        <w:rPr>
          <w:rFonts w:hint="eastAsia" w:hAnsi="宋体"/>
          <w:color w:val="0000FF"/>
          <w:highlight w:val="none"/>
          <w:lang w:val="en-US" w:eastAsia="zh-CN"/>
        </w:rPr>
        <w:t>1280万</w:t>
      </w:r>
      <w:r>
        <w:rPr>
          <w:rFonts w:hint="eastAsia" w:hAnsi="宋体"/>
          <w:color w:val="0000FF"/>
          <w:highlight w:val="none"/>
          <w:lang w:eastAsia="zh-CN"/>
        </w:rPr>
        <w:t>元</w:t>
      </w:r>
    </w:p>
    <w:p w14:paraId="777C732B">
      <w:pPr>
        <w:pStyle w:val="81"/>
        <w:spacing w:before="75" w:after="75" w:line="360" w:lineRule="auto"/>
        <w:ind w:firstLine="420"/>
        <w:rPr>
          <w:rFonts w:hint="eastAsia" w:hAnsi="宋体"/>
          <w:color w:val="auto"/>
          <w:highlight w:val="none"/>
        </w:rPr>
      </w:pPr>
      <w:r>
        <w:rPr>
          <w:rFonts w:hint="eastAsia" w:hAnsi="宋体"/>
          <w:color w:val="auto"/>
          <w:highlight w:val="none"/>
        </w:rPr>
        <w:t xml:space="preserve">简要规格描述：中药饮片一批，具体详见招标文件 </w:t>
      </w:r>
    </w:p>
    <w:p w14:paraId="282A94CA">
      <w:pPr>
        <w:pStyle w:val="81"/>
        <w:spacing w:before="75" w:after="75" w:line="360" w:lineRule="auto"/>
        <w:ind w:firstLine="420"/>
        <w:rPr>
          <w:rFonts w:hint="eastAsia" w:hAnsi="宋体"/>
          <w:color w:val="auto"/>
          <w:highlight w:val="none"/>
        </w:rPr>
      </w:pPr>
      <w:r>
        <w:rPr>
          <w:rFonts w:hint="eastAsia" w:hAnsi="宋体"/>
          <w:color w:val="auto"/>
          <w:highlight w:val="none"/>
        </w:rPr>
        <w:t>备注：各产品最高限价单价详见招标文件。</w:t>
      </w:r>
    </w:p>
    <w:p w14:paraId="6E27B008">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标项</w:t>
      </w:r>
      <w:r>
        <w:rPr>
          <w:rFonts w:hint="eastAsia" w:hAnsi="宋体"/>
          <w:color w:val="auto"/>
          <w:highlight w:val="none"/>
          <w:lang w:eastAsia="zh-CN"/>
        </w:rPr>
        <w:t>四</w:t>
      </w:r>
    </w:p>
    <w:p w14:paraId="7F318A9F">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标项名称：中药饮片</w:t>
      </w:r>
      <w:r>
        <w:rPr>
          <w:rFonts w:hint="eastAsia" w:hAnsi="宋体"/>
          <w:color w:val="auto"/>
          <w:highlight w:val="none"/>
          <w:lang w:val="en-US" w:eastAsia="zh-CN"/>
        </w:rPr>
        <w:t xml:space="preserve"> </w:t>
      </w:r>
    </w:p>
    <w:p w14:paraId="32456D41">
      <w:pPr>
        <w:pStyle w:val="81"/>
        <w:spacing w:before="75" w:after="75" w:line="360" w:lineRule="auto"/>
        <w:ind w:firstLine="420"/>
        <w:rPr>
          <w:rFonts w:hint="eastAsia" w:hAnsi="宋体"/>
          <w:color w:val="auto"/>
          <w:highlight w:val="none"/>
        </w:rPr>
      </w:pPr>
      <w:r>
        <w:rPr>
          <w:rFonts w:hint="eastAsia" w:hAnsi="宋体"/>
          <w:color w:val="auto"/>
          <w:highlight w:val="none"/>
        </w:rPr>
        <w:t>数量：1 批</w:t>
      </w:r>
    </w:p>
    <w:p w14:paraId="70C30F64">
      <w:pPr>
        <w:pStyle w:val="81"/>
        <w:spacing w:before="75" w:after="75" w:line="360" w:lineRule="auto"/>
        <w:ind w:firstLine="420"/>
        <w:rPr>
          <w:rFonts w:hint="eastAsia" w:hAnsi="宋体"/>
          <w:color w:val="auto"/>
          <w:highlight w:val="none"/>
        </w:rPr>
      </w:pPr>
      <w:r>
        <w:rPr>
          <w:rFonts w:hint="eastAsia" w:hAnsi="宋体"/>
          <w:color w:val="auto"/>
          <w:highlight w:val="none"/>
        </w:rPr>
        <w:t>预算金额（元）：</w:t>
      </w:r>
      <w:r>
        <w:rPr>
          <w:rFonts w:hint="eastAsia" w:hAnsi="宋体"/>
          <w:color w:val="0000FF"/>
          <w:highlight w:val="none"/>
          <w:lang w:val="en-US" w:eastAsia="zh-CN"/>
        </w:rPr>
        <w:t>1280万</w:t>
      </w:r>
      <w:r>
        <w:rPr>
          <w:rFonts w:hint="eastAsia" w:hAnsi="宋体"/>
          <w:color w:val="0000FF"/>
          <w:highlight w:val="none"/>
          <w:lang w:eastAsia="zh-CN"/>
        </w:rPr>
        <w:t>元</w:t>
      </w:r>
    </w:p>
    <w:p w14:paraId="734BB611">
      <w:pPr>
        <w:pStyle w:val="81"/>
        <w:spacing w:before="75" w:after="75" w:line="360" w:lineRule="auto"/>
        <w:ind w:firstLine="420"/>
        <w:rPr>
          <w:rFonts w:hint="eastAsia" w:hAnsi="宋体"/>
          <w:color w:val="auto"/>
          <w:highlight w:val="none"/>
        </w:rPr>
      </w:pPr>
      <w:r>
        <w:rPr>
          <w:rFonts w:hint="eastAsia" w:hAnsi="宋体"/>
          <w:color w:val="auto"/>
          <w:highlight w:val="none"/>
        </w:rPr>
        <w:t xml:space="preserve">简要规格描述：中药饮片一批，具体详见招标文件 </w:t>
      </w:r>
    </w:p>
    <w:p w14:paraId="68D848C5">
      <w:pPr>
        <w:pStyle w:val="81"/>
        <w:spacing w:before="75" w:after="75" w:line="360" w:lineRule="auto"/>
        <w:ind w:firstLine="420"/>
        <w:rPr>
          <w:rFonts w:hint="eastAsia" w:hAnsi="宋体"/>
          <w:color w:val="auto"/>
          <w:highlight w:val="none"/>
        </w:rPr>
      </w:pPr>
      <w:r>
        <w:rPr>
          <w:rFonts w:hint="eastAsia" w:hAnsi="宋体"/>
          <w:color w:val="auto"/>
          <w:highlight w:val="none"/>
        </w:rPr>
        <w:t>备注：各产品最高限价单价详见招标文件。</w:t>
      </w:r>
    </w:p>
    <w:p w14:paraId="1D753D0E">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标项</w:t>
      </w:r>
      <w:r>
        <w:rPr>
          <w:rFonts w:hint="eastAsia" w:hAnsi="宋体"/>
          <w:color w:val="auto"/>
          <w:highlight w:val="none"/>
          <w:lang w:eastAsia="zh-CN"/>
        </w:rPr>
        <w:t>五</w:t>
      </w:r>
    </w:p>
    <w:p w14:paraId="163FA4B4">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标项名称：中药饮片</w:t>
      </w:r>
      <w:r>
        <w:rPr>
          <w:rFonts w:hint="eastAsia" w:hAnsi="宋体"/>
          <w:color w:val="auto"/>
          <w:highlight w:val="none"/>
          <w:lang w:val="en-US" w:eastAsia="zh-CN"/>
        </w:rPr>
        <w:t xml:space="preserve"> </w:t>
      </w:r>
    </w:p>
    <w:p w14:paraId="1803A05E">
      <w:pPr>
        <w:pStyle w:val="81"/>
        <w:spacing w:before="75" w:after="75" w:line="360" w:lineRule="auto"/>
        <w:ind w:firstLine="420"/>
        <w:rPr>
          <w:rFonts w:hint="eastAsia" w:hAnsi="宋体"/>
          <w:color w:val="auto"/>
          <w:highlight w:val="none"/>
        </w:rPr>
      </w:pPr>
      <w:r>
        <w:rPr>
          <w:rFonts w:hint="eastAsia" w:hAnsi="宋体"/>
          <w:color w:val="auto"/>
          <w:highlight w:val="none"/>
        </w:rPr>
        <w:t>数量：1 批</w:t>
      </w:r>
    </w:p>
    <w:p w14:paraId="3ABE2E07">
      <w:pPr>
        <w:pStyle w:val="81"/>
        <w:spacing w:before="75" w:after="75" w:line="360" w:lineRule="auto"/>
        <w:ind w:firstLine="420"/>
        <w:rPr>
          <w:rFonts w:hint="eastAsia" w:hAnsi="宋体"/>
          <w:color w:val="auto"/>
          <w:highlight w:val="none"/>
        </w:rPr>
      </w:pPr>
      <w:r>
        <w:rPr>
          <w:rFonts w:hint="eastAsia" w:hAnsi="宋体"/>
          <w:color w:val="auto"/>
          <w:highlight w:val="none"/>
        </w:rPr>
        <w:t>预算金额（元）：</w:t>
      </w:r>
      <w:r>
        <w:rPr>
          <w:rFonts w:hint="eastAsia" w:hAnsi="宋体"/>
          <w:color w:val="0000FF"/>
          <w:highlight w:val="none"/>
          <w:lang w:val="en-US" w:eastAsia="zh-CN"/>
        </w:rPr>
        <w:t>1280万</w:t>
      </w:r>
      <w:r>
        <w:rPr>
          <w:rFonts w:hint="eastAsia" w:hAnsi="宋体"/>
          <w:color w:val="0000FF"/>
          <w:highlight w:val="none"/>
          <w:lang w:eastAsia="zh-CN"/>
        </w:rPr>
        <w:t>元</w:t>
      </w:r>
    </w:p>
    <w:p w14:paraId="6CD730A0">
      <w:pPr>
        <w:pStyle w:val="81"/>
        <w:spacing w:before="75" w:after="75" w:line="360" w:lineRule="auto"/>
        <w:ind w:firstLine="420"/>
        <w:rPr>
          <w:rFonts w:hint="eastAsia" w:hAnsi="宋体"/>
          <w:color w:val="auto"/>
          <w:highlight w:val="none"/>
        </w:rPr>
      </w:pPr>
      <w:r>
        <w:rPr>
          <w:rFonts w:hint="eastAsia" w:hAnsi="宋体"/>
          <w:color w:val="auto"/>
          <w:highlight w:val="none"/>
        </w:rPr>
        <w:t xml:space="preserve">简要规格描述：中药饮片一批，具体详见招标文件 </w:t>
      </w:r>
    </w:p>
    <w:p w14:paraId="72C223FC">
      <w:pPr>
        <w:pStyle w:val="81"/>
        <w:spacing w:before="75" w:after="75" w:line="360" w:lineRule="auto"/>
        <w:ind w:firstLine="420"/>
        <w:rPr>
          <w:rFonts w:hint="eastAsia" w:hAnsi="宋体"/>
          <w:color w:val="auto"/>
          <w:highlight w:val="none"/>
        </w:rPr>
      </w:pPr>
      <w:r>
        <w:rPr>
          <w:rFonts w:hint="eastAsia" w:hAnsi="宋体"/>
          <w:color w:val="auto"/>
          <w:highlight w:val="none"/>
        </w:rPr>
        <w:t>备注：各产品最高限价单价详见招标文件。</w:t>
      </w:r>
    </w:p>
    <w:p w14:paraId="26FF13B9">
      <w:pPr>
        <w:pStyle w:val="81"/>
        <w:spacing w:before="75" w:after="75" w:line="360" w:lineRule="auto"/>
        <w:ind w:firstLine="420"/>
        <w:rPr>
          <w:rFonts w:hint="eastAsia" w:hAnsi="宋体"/>
          <w:color w:val="auto"/>
          <w:highlight w:val="none"/>
        </w:rPr>
      </w:pPr>
      <w:r>
        <w:rPr>
          <w:rFonts w:hint="eastAsia" w:hAnsi="宋体"/>
          <w:color w:val="auto"/>
          <w:highlight w:val="none"/>
        </w:rPr>
        <w:t>本项目不接受联合体投标合同履约期限：详阅招标文件</w:t>
      </w:r>
    </w:p>
    <w:p w14:paraId="6B9B830E">
      <w:pPr>
        <w:pStyle w:val="81"/>
        <w:spacing w:before="75" w:after="75" w:line="360" w:lineRule="auto"/>
        <w:ind w:firstLine="420"/>
        <w:rPr>
          <w:rFonts w:hint="eastAsia" w:hAnsi="宋体"/>
          <w:color w:val="auto"/>
          <w:highlight w:val="none"/>
        </w:rPr>
      </w:pPr>
      <w:r>
        <w:rPr>
          <w:rFonts w:hint="eastAsia" w:hAnsi="宋体"/>
          <w:color w:val="auto"/>
          <w:highlight w:val="none"/>
        </w:rPr>
        <w:t>本项目（否）接受联合体投标</w:t>
      </w:r>
    </w:p>
    <w:p w14:paraId="1D524F67">
      <w:pPr>
        <w:pStyle w:val="81"/>
        <w:numPr>
          <w:ilvl w:val="0"/>
          <w:numId w:val="27"/>
        </w:numPr>
        <w:spacing w:before="75" w:after="75" w:line="360" w:lineRule="auto"/>
        <w:rPr>
          <w:rFonts w:hint="eastAsia" w:hAnsi="宋体"/>
          <w:color w:val="auto"/>
          <w:highlight w:val="none"/>
        </w:rPr>
      </w:pPr>
      <w:r>
        <w:rPr>
          <w:rStyle w:val="91"/>
          <w:rFonts w:hint="eastAsia" w:ascii="宋体" w:hAnsi="宋体" w:cs="宋体"/>
          <w:color w:val="auto"/>
          <w:sz w:val="27"/>
          <w:szCs w:val="27"/>
          <w:highlight w:val="none"/>
        </w:rPr>
        <w:t>申请人的资格要求：</w:t>
      </w:r>
    </w:p>
    <w:p w14:paraId="31E3B951">
      <w:pPr>
        <w:pStyle w:val="81"/>
        <w:numPr>
          <w:ilvl w:val="0"/>
          <w:numId w:val="0"/>
        </w:numPr>
        <w:spacing w:before="75" w:after="75" w:line="360" w:lineRule="auto"/>
        <w:ind w:firstLine="480" w:firstLineChars="200"/>
        <w:rPr>
          <w:rFonts w:hint="eastAsia" w:hAnsi="宋体"/>
          <w:color w:val="auto"/>
          <w:highlight w:val="none"/>
        </w:rPr>
      </w:pPr>
      <w:r>
        <w:rPr>
          <w:rFonts w:hint="eastAsia" w:hAnsi="宋体"/>
          <w:color w:val="auto"/>
          <w:highlight w:val="none"/>
          <w:lang w:val="en-US" w:eastAsia="zh-CN"/>
        </w:rPr>
        <w:t>1、</w:t>
      </w:r>
      <w:r>
        <w:rPr>
          <w:rFonts w:hint="eastAsia" w:hAnsi="宋体"/>
          <w:color w:val="auto"/>
          <w:highlight w:val="none"/>
        </w:rPr>
        <w:t>须符合《中华人民共和国政府采购法》第22条规定：</w:t>
      </w:r>
    </w:p>
    <w:p w14:paraId="1704A001">
      <w:pPr>
        <w:pStyle w:val="81"/>
        <w:spacing w:before="75" w:after="75" w:line="360" w:lineRule="auto"/>
        <w:ind w:left="420" w:leftChars="200" w:firstLine="0" w:firstLineChars="0"/>
        <w:rPr>
          <w:rFonts w:hint="eastAsia" w:hAnsi="宋体"/>
          <w:color w:val="auto"/>
          <w:highlight w:val="none"/>
          <w:lang w:val="en-US" w:eastAsia="zh-CN"/>
        </w:rPr>
      </w:pPr>
      <w:r>
        <w:rPr>
          <w:rFonts w:hint="eastAsia" w:hAnsi="宋体"/>
          <w:color w:val="auto"/>
          <w:highlight w:val="none"/>
        </w:rPr>
        <w:t>2、</w:t>
      </w:r>
      <w:r>
        <w:rPr>
          <w:rFonts w:hint="eastAsia" w:hAnsi="宋体"/>
          <w:color w:val="auto"/>
          <w:highlight w:val="none"/>
          <w:lang w:val="en-US" w:eastAsia="zh-CN"/>
        </w:rPr>
        <w:t xml:space="preserve">落实政府采购政策需满足的资格要求：本项目不专门面向中小企业；         </w:t>
      </w:r>
    </w:p>
    <w:p w14:paraId="2914CA5B">
      <w:pPr>
        <w:pStyle w:val="81"/>
        <w:spacing w:before="75" w:after="75" w:line="360" w:lineRule="auto"/>
        <w:ind w:left="420" w:leftChars="200" w:firstLine="0" w:firstLineChars="0"/>
        <w:rPr>
          <w:rFonts w:hint="eastAsia" w:ascii="宋体" w:hAnsi="宋体" w:cs="宋体"/>
          <w:color w:val="auto"/>
          <w:kern w:val="0"/>
          <w:sz w:val="24"/>
          <w:highlight w:val="none"/>
        </w:rPr>
      </w:pPr>
      <w:r>
        <w:rPr>
          <w:rFonts w:hint="eastAsia" w:hAnsi="宋体"/>
          <w:color w:val="auto"/>
          <w:highlight w:val="none"/>
          <w:lang w:val="en-US" w:eastAsia="zh-CN"/>
        </w:rPr>
        <w:t>3、本项目的特定资格要求：投标供应商为生产企业的，须依法取得《药品生产许可证》（中药饮片），具有相应生产认证范围并提供《药品生产许可证》内含有医疗用毒性药品（中药饮片）的证明材料；投标供应商为经营企业或代理公司的须依法取得《药品经营许可证》（中药饮片），具有相应经营范围并提供《药品经营许可证》内含有医疗用毒性药品（中药饮片）的证明材料</w:t>
      </w:r>
      <w:r>
        <w:rPr>
          <w:rFonts w:hint="eastAsia" w:ascii="宋体" w:hAnsi="宋体" w:cs="宋体"/>
          <w:color w:val="auto"/>
          <w:kern w:val="0"/>
          <w:sz w:val="24"/>
          <w:highlight w:val="none"/>
        </w:rPr>
        <w:t>；</w:t>
      </w:r>
    </w:p>
    <w:p w14:paraId="78DF7845">
      <w:pPr>
        <w:pStyle w:val="81"/>
        <w:spacing w:before="75" w:after="75" w:line="360" w:lineRule="auto"/>
        <w:ind w:firstLine="480"/>
        <w:rPr>
          <w:rFonts w:hint="eastAsia" w:hAnsi="宋体" w:cs="Times New Roman"/>
          <w:color w:val="auto"/>
          <w:kern w:val="2"/>
          <w:highlight w:val="none"/>
        </w:rPr>
      </w:pPr>
      <w:r>
        <w:rPr>
          <w:rFonts w:hint="eastAsia" w:hAnsi="宋体"/>
          <w:color w:val="auto"/>
          <w:highlight w:val="none"/>
        </w:rPr>
        <w:t>4、</w:t>
      </w:r>
      <w:r>
        <w:rPr>
          <w:rFonts w:hint="eastAsia" w:hAnsi="宋体" w:cs="Times New Roman"/>
          <w:color w:val="auto"/>
          <w:kern w:val="2"/>
          <w:highlight w:val="none"/>
        </w:rPr>
        <w:t>本项目不接受联合体投标；</w:t>
      </w:r>
    </w:p>
    <w:p w14:paraId="2642020A">
      <w:pPr>
        <w:pStyle w:val="81"/>
        <w:spacing w:before="255" w:after="255" w:line="360" w:lineRule="auto"/>
        <w:jc w:val="both"/>
        <w:rPr>
          <w:rFonts w:hint="eastAsia" w:hAnsi="宋体"/>
          <w:color w:val="auto"/>
          <w:sz w:val="27"/>
          <w:szCs w:val="27"/>
          <w:highlight w:val="none"/>
        </w:rPr>
      </w:pPr>
      <w:r>
        <w:rPr>
          <w:rStyle w:val="91"/>
          <w:rFonts w:hint="eastAsia" w:ascii="宋体" w:hAnsi="宋体" w:cs="宋体"/>
          <w:color w:val="auto"/>
          <w:sz w:val="27"/>
          <w:szCs w:val="27"/>
          <w:highlight w:val="none"/>
        </w:rPr>
        <w:t>三、获取招标文件</w:t>
      </w:r>
    </w:p>
    <w:p w14:paraId="07346CAE">
      <w:pPr>
        <w:pStyle w:val="81"/>
        <w:spacing w:before="75" w:after="75" w:line="360" w:lineRule="auto"/>
        <w:ind w:firstLine="420"/>
        <w:rPr>
          <w:rFonts w:hint="eastAsia" w:hAnsi="宋体" w:eastAsia="宋体"/>
          <w:color w:val="auto"/>
          <w:highlight w:val="none"/>
          <w:lang w:val="en-US" w:eastAsia="zh-CN"/>
        </w:rPr>
      </w:pPr>
      <w:r>
        <w:rPr>
          <w:rFonts w:hint="eastAsia" w:hAnsi="宋体"/>
          <w:color w:val="auto"/>
          <w:highlight w:val="none"/>
        </w:rPr>
        <w:t>时间：20</w:t>
      </w:r>
      <w:r>
        <w:rPr>
          <w:rFonts w:hint="eastAsia" w:hAnsi="宋体"/>
          <w:color w:val="auto"/>
          <w:highlight w:val="none"/>
          <w:lang w:val="en-US" w:eastAsia="zh-CN"/>
        </w:rPr>
        <w:t>25</w:t>
      </w:r>
      <w:r>
        <w:rPr>
          <w:rFonts w:hint="eastAsia" w:hAnsi="宋体"/>
          <w:color w:val="auto"/>
          <w:highlight w:val="none"/>
        </w:rPr>
        <w:t>年</w:t>
      </w:r>
      <w:r>
        <w:rPr>
          <w:rFonts w:hint="eastAsia" w:hAnsi="宋体"/>
          <w:color w:val="auto"/>
          <w:highlight w:val="none"/>
          <w:lang w:val="en-US" w:eastAsia="zh-CN"/>
        </w:rPr>
        <w:t>01</w:t>
      </w:r>
      <w:r>
        <w:rPr>
          <w:rFonts w:hint="eastAsia" w:hAnsi="宋体"/>
          <w:color w:val="auto"/>
          <w:highlight w:val="none"/>
        </w:rPr>
        <w:t>月</w:t>
      </w:r>
      <w:r>
        <w:rPr>
          <w:rFonts w:hint="eastAsia" w:hAnsi="宋体"/>
          <w:color w:val="auto"/>
          <w:highlight w:val="none"/>
          <w:lang w:val="en-US" w:eastAsia="zh-CN"/>
        </w:rPr>
        <w:t>03</w:t>
      </w:r>
      <w:r>
        <w:rPr>
          <w:rFonts w:hint="eastAsia" w:hAnsi="宋体"/>
          <w:color w:val="auto"/>
          <w:highlight w:val="none"/>
        </w:rPr>
        <w:t>日至20</w:t>
      </w:r>
      <w:r>
        <w:rPr>
          <w:rFonts w:hint="eastAsia" w:hAnsi="宋体"/>
          <w:color w:val="auto"/>
          <w:highlight w:val="none"/>
          <w:lang w:val="en-US" w:eastAsia="zh-CN"/>
        </w:rPr>
        <w:t>25</w:t>
      </w:r>
      <w:r>
        <w:rPr>
          <w:rFonts w:hint="eastAsia" w:hAnsi="宋体"/>
          <w:color w:val="auto"/>
          <w:highlight w:val="none"/>
        </w:rPr>
        <w:t>年</w:t>
      </w:r>
      <w:r>
        <w:rPr>
          <w:rFonts w:hint="eastAsia" w:hAnsi="宋体"/>
          <w:color w:val="auto"/>
          <w:highlight w:val="none"/>
          <w:lang w:val="en-US" w:eastAsia="zh-CN"/>
        </w:rPr>
        <w:t>01</w:t>
      </w:r>
      <w:r>
        <w:rPr>
          <w:rFonts w:hint="eastAsia" w:hAnsi="宋体"/>
          <w:color w:val="auto"/>
          <w:highlight w:val="none"/>
        </w:rPr>
        <w:t>月</w:t>
      </w:r>
      <w:r>
        <w:rPr>
          <w:rFonts w:hint="eastAsia" w:hAnsi="宋体"/>
          <w:color w:val="auto"/>
          <w:highlight w:val="none"/>
          <w:lang w:val="en-US" w:eastAsia="zh-CN"/>
        </w:rPr>
        <w:t>10</w:t>
      </w:r>
      <w:r>
        <w:rPr>
          <w:rFonts w:hint="eastAsia" w:hAnsi="宋体"/>
          <w:color w:val="auto"/>
          <w:highlight w:val="none"/>
        </w:rPr>
        <w:t>日，</w:t>
      </w:r>
      <w:r>
        <w:rPr>
          <w:rFonts w:hint="eastAsia" w:ascii="宋体" w:hAnsi="宋体" w:eastAsia="宋体" w:cs="宋体"/>
          <w:color w:val="auto"/>
          <w:highlight w:val="none"/>
        </w:rPr>
        <w:t>每天上午00:00至12:00，下午12:00至23:59（北京时间，法定节假日除外）</w:t>
      </w:r>
      <w:r>
        <w:rPr>
          <w:rFonts w:hint="eastAsia" w:hAnsi="宋体"/>
          <w:color w:val="auto"/>
          <w:highlight w:val="none"/>
          <w:lang w:val="en-US" w:eastAsia="zh-CN"/>
        </w:rPr>
        <w:tab/>
      </w:r>
    </w:p>
    <w:p w14:paraId="60975096">
      <w:pPr>
        <w:pStyle w:val="81"/>
        <w:spacing w:before="75" w:after="75" w:line="360" w:lineRule="auto"/>
        <w:ind w:firstLine="420"/>
        <w:rPr>
          <w:rFonts w:hint="eastAsia" w:hAnsi="宋体"/>
          <w:color w:val="auto"/>
          <w:highlight w:val="none"/>
        </w:rPr>
      </w:pPr>
      <w:r>
        <w:rPr>
          <w:rFonts w:hint="eastAsia" w:hAnsi="宋体"/>
          <w:color w:val="auto"/>
          <w:highlight w:val="none"/>
        </w:rPr>
        <w:t>地点：政采云平台https://www.zcygov.cn/</w:t>
      </w:r>
    </w:p>
    <w:p w14:paraId="10521673">
      <w:pPr>
        <w:pStyle w:val="81"/>
        <w:spacing w:before="75" w:after="75" w:line="360" w:lineRule="auto"/>
        <w:ind w:firstLine="420"/>
        <w:rPr>
          <w:rFonts w:hint="eastAsia" w:hAnsi="宋体"/>
          <w:color w:val="auto"/>
          <w:highlight w:val="none"/>
        </w:rPr>
      </w:pPr>
      <w:r>
        <w:rPr>
          <w:rFonts w:hint="eastAsia" w:hAnsi="宋体"/>
          <w:color w:val="auto"/>
          <w:highlight w:val="none"/>
        </w:rPr>
        <w:t>方式：</w:t>
      </w:r>
      <w:r>
        <w:rPr>
          <w:color w:val="auto"/>
          <w:highlight w:val="none"/>
          <w:lang w:bidi="ar"/>
        </w:rPr>
        <w:t>线上获取。供应商登录政采云平台https://www.zcygov.cn/在线申请获取招标文件（进入“项目采购”应用，在获取招标文件菜单中选择项目，申请获取招标文件）</w:t>
      </w:r>
    </w:p>
    <w:p w14:paraId="0ADB8DF4">
      <w:pPr>
        <w:pStyle w:val="81"/>
        <w:spacing w:before="75" w:after="75" w:line="360" w:lineRule="auto"/>
        <w:ind w:firstLine="420"/>
        <w:rPr>
          <w:rFonts w:hAnsi="宋体"/>
          <w:color w:val="auto"/>
          <w:highlight w:val="none"/>
        </w:rPr>
      </w:pPr>
      <w:r>
        <w:rPr>
          <w:rFonts w:hint="eastAsia" w:hAnsi="宋体"/>
          <w:color w:val="auto"/>
          <w:highlight w:val="none"/>
        </w:rPr>
        <w:t>售价（元）：0元</w:t>
      </w:r>
    </w:p>
    <w:p w14:paraId="6BFB7F06">
      <w:pPr>
        <w:pStyle w:val="81"/>
        <w:spacing w:before="255" w:after="255" w:line="360" w:lineRule="auto"/>
        <w:jc w:val="both"/>
        <w:rPr>
          <w:rFonts w:hint="eastAsia" w:hAnsi="宋体"/>
          <w:color w:val="auto"/>
          <w:sz w:val="27"/>
          <w:szCs w:val="27"/>
          <w:highlight w:val="none"/>
        </w:rPr>
      </w:pPr>
      <w:r>
        <w:rPr>
          <w:rStyle w:val="91"/>
          <w:rFonts w:hint="eastAsia" w:ascii="宋体" w:hAnsi="宋体" w:cs="宋体"/>
          <w:color w:val="auto"/>
          <w:sz w:val="27"/>
          <w:szCs w:val="27"/>
          <w:highlight w:val="none"/>
        </w:rPr>
        <w:t>四、提交投标文件截止时间、开标时间和地点</w:t>
      </w:r>
    </w:p>
    <w:p w14:paraId="074C11BB">
      <w:pPr>
        <w:pStyle w:val="81"/>
        <w:spacing w:before="75" w:after="75" w:line="360" w:lineRule="auto"/>
        <w:ind w:firstLine="480" w:firstLineChars="200"/>
        <w:rPr>
          <w:rFonts w:hint="eastAsia" w:hAnsi="宋体"/>
          <w:color w:val="auto"/>
          <w:highlight w:val="none"/>
        </w:rPr>
      </w:pPr>
      <w:r>
        <w:rPr>
          <w:rFonts w:hint="eastAsia" w:hAnsi="宋体"/>
          <w:color w:val="auto"/>
          <w:highlight w:val="none"/>
        </w:rPr>
        <w:t>提交投标文件截止时间：20</w:t>
      </w:r>
      <w:r>
        <w:rPr>
          <w:rFonts w:hint="eastAsia" w:hAnsi="宋体"/>
          <w:color w:val="auto"/>
          <w:highlight w:val="none"/>
          <w:lang w:val="en-US" w:eastAsia="zh-CN"/>
        </w:rPr>
        <w:t>25</w:t>
      </w:r>
      <w:r>
        <w:rPr>
          <w:rFonts w:hint="eastAsia" w:hAnsi="宋体"/>
          <w:color w:val="auto"/>
          <w:highlight w:val="none"/>
        </w:rPr>
        <w:t>年</w:t>
      </w:r>
      <w:r>
        <w:rPr>
          <w:rFonts w:hint="eastAsia" w:hAnsi="宋体"/>
          <w:color w:val="auto"/>
          <w:highlight w:val="none"/>
          <w:lang w:val="en-US" w:eastAsia="zh-CN"/>
        </w:rPr>
        <w:t>01</w:t>
      </w:r>
      <w:r>
        <w:rPr>
          <w:rFonts w:hint="eastAsia" w:hAnsi="宋体"/>
          <w:color w:val="auto"/>
          <w:highlight w:val="none"/>
        </w:rPr>
        <w:t>月</w:t>
      </w:r>
      <w:r>
        <w:rPr>
          <w:rFonts w:hint="eastAsia" w:hAnsi="宋体"/>
          <w:color w:val="auto"/>
          <w:highlight w:val="none"/>
          <w:lang w:val="en-US" w:eastAsia="zh-CN"/>
        </w:rPr>
        <w:t>26</w:t>
      </w:r>
      <w:r>
        <w:rPr>
          <w:rFonts w:hint="eastAsia" w:hAnsi="宋体"/>
          <w:color w:val="auto"/>
          <w:highlight w:val="none"/>
        </w:rPr>
        <w:t>日</w:t>
      </w:r>
      <w:r>
        <w:rPr>
          <w:rFonts w:hint="eastAsia" w:hAnsi="宋体"/>
          <w:color w:val="auto"/>
          <w:highlight w:val="none"/>
          <w:lang w:val="en-US" w:eastAsia="zh-CN"/>
        </w:rPr>
        <w:t>11</w:t>
      </w:r>
      <w:r>
        <w:rPr>
          <w:rFonts w:hint="eastAsia" w:hAnsi="宋体"/>
          <w:color w:val="auto"/>
          <w:highlight w:val="none"/>
        </w:rPr>
        <w:t>:00（北京时间）</w:t>
      </w:r>
    </w:p>
    <w:p w14:paraId="1403FBDE">
      <w:pPr>
        <w:pStyle w:val="81"/>
        <w:spacing w:before="75" w:after="75" w:line="360" w:lineRule="auto"/>
        <w:ind w:firstLine="480" w:firstLineChars="200"/>
        <w:rPr>
          <w:rFonts w:hint="eastAsia" w:hAnsi="宋体"/>
          <w:color w:val="auto"/>
          <w:highlight w:val="none"/>
        </w:rPr>
      </w:pPr>
      <w:r>
        <w:rPr>
          <w:rFonts w:hint="eastAsia" w:hAnsi="宋体"/>
          <w:color w:val="auto"/>
          <w:highlight w:val="none"/>
        </w:rPr>
        <w:t>投标地点：请登录政采云投标客户端投标</w:t>
      </w:r>
    </w:p>
    <w:p w14:paraId="02EA288F">
      <w:pPr>
        <w:pStyle w:val="81"/>
        <w:spacing w:before="75" w:after="75" w:line="360" w:lineRule="auto"/>
        <w:ind w:firstLine="480" w:firstLineChars="200"/>
        <w:rPr>
          <w:rFonts w:hint="eastAsia" w:hAnsi="宋体"/>
          <w:color w:val="auto"/>
          <w:highlight w:val="none"/>
        </w:rPr>
      </w:pPr>
      <w:r>
        <w:rPr>
          <w:rFonts w:hint="eastAsia" w:hAnsi="宋体"/>
          <w:color w:val="auto"/>
          <w:highlight w:val="none"/>
        </w:rPr>
        <w:t>开标时间：202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01</w:t>
      </w:r>
      <w:r>
        <w:rPr>
          <w:rFonts w:hint="eastAsia" w:hAnsi="宋体"/>
          <w:color w:val="auto"/>
          <w:highlight w:val="none"/>
        </w:rPr>
        <w:t>月</w:t>
      </w:r>
      <w:r>
        <w:rPr>
          <w:rFonts w:hint="eastAsia" w:hAnsi="宋体"/>
          <w:color w:val="auto"/>
          <w:highlight w:val="none"/>
          <w:lang w:val="en-US" w:eastAsia="zh-CN"/>
        </w:rPr>
        <w:t>26</w:t>
      </w:r>
      <w:r>
        <w:rPr>
          <w:rFonts w:hint="eastAsia" w:hAnsi="宋体"/>
          <w:color w:val="auto"/>
          <w:highlight w:val="none"/>
        </w:rPr>
        <w:t>日</w:t>
      </w:r>
      <w:r>
        <w:rPr>
          <w:rFonts w:hint="eastAsia" w:hAnsi="宋体"/>
          <w:color w:val="auto"/>
          <w:highlight w:val="none"/>
          <w:lang w:val="en-US" w:eastAsia="zh-CN"/>
        </w:rPr>
        <w:t>11</w:t>
      </w:r>
      <w:r>
        <w:rPr>
          <w:rFonts w:hint="eastAsia" w:hAnsi="宋体"/>
          <w:color w:val="auto"/>
          <w:highlight w:val="none"/>
        </w:rPr>
        <w:t>:00（北京时间）</w:t>
      </w:r>
    </w:p>
    <w:p w14:paraId="3C74178A">
      <w:pPr>
        <w:pStyle w:val="81"/>
        <w:spacing w:before="75" w:after="75" w:line="360" w:lineRule="auto"/>
        <w:ind w:firstLine="480" w:firstLineChars="200"/>
        <w:rPr>
          <w:rFonts w:hint="eastAsia" w:hAnsi="宋体"/>
          <w:color w:val="auto"/>
          <w:highlight w:val="none"/>
        </w:rPr>
      </w:pPr>
      <w:r>
        <w:rPr>
          <w:rFonts w:hint="eastAsia" w:hAnsi="宋体"/>
          <w:color w:val="auto"/>
          <w:highlight w:val="none"/>
        </w:rPr>
        <w:t>开标地点：投标人登录政采云平台https://www.zcygov.cn/</w:t>
      </w:r>
      <w:r>
        <w:rPr>
          <w:rFonts w:hint="eastAsia" w:hAnsi="宋体"/>
          <w:color w:val="auto"/>
          <w:highlight w:val="none"/>
          <w:lang w:val="en-US" w:eastAsia="zh-CN"/>
        </w:rPr>
        <w:t>。</w:t>
      </w:r>
    </w:p>
    <w:p w14:paraId="3CE83D65">
      <w:pPr>
        <w:pStyle w:val="81"/>
        <w:spacing w:before="255" w:after="255" w:line="360" w:lineRule="auto"/>
        <w:jc w:val="both"/>
        <w:rPr>
          <w:rFonts w:hint="eastAsia" w:hAnsi="宋体"/>
          <w:color w:val="auto"/>
          <w:sz w:val="31"/>
          <w:szCs w:val="31"/>
          <w:highlight w:val="none"/>
        </w:rPr>
      </w:pPr>
      <w:r>
        <w:rPr>
          <w:rStyle w:val="91"/>
          <w:rFonts w:hint="eastAsia" w:ascii="宋体" w:hAnsi="宋体" w:cs="宋体"/>
          <w:color w:val="auto"/>
          <w:sz w:val="27"/>
          <w:szCs w:val="27"/>
          <w:highlight w:val="none"/>
        </w:rPr>
        <w:t>五、公告期限</w:t>
      </w:r>
    </w:p>
    <w:p w14:paraId="049EDFBA">
      <w:pPr>
        <w:pStyle w:val="81"/>
        <w:spacing w:before="75" w:after="75" w:line="360" w:lineRule="auto"/>
        <w:ind w:firstLine="420"/>
        <w:rPr>
          <w:rFonts w:hint="eastAsia" w:hAnsi="宋体"/>
          <w:color w:val="auto"/>
          <w:highlight w:val="none"/>
        </w:rPr>
      </w:pPr>
      <w:r>
        <w:rPr>
          <w:rFonts w:hint="eastAsia" w:hAnsi="宋体"/>
          <w:color w:val="auto"/>
          <w:highlight w:val="none"/>
        </w:rPr>
        <w:t>自本公告发布之日起5个工作日。</w:t>
      </w:r>
    </w:p>
    <w:p w14:paraId="31217C89">
      <w:pPr>
        <w:pStyle w:val="81"/>
        <w:spacing w:before="255" w:after="255" w:line="360" w:lineRule="auto"/>
        <w:jc w:val="both"/>
        <w:rPr>
          <w:rFonts w:hint="eastAsia" w:hAnsi="宋体"/>
          <w:color w:val="auto"/>
          <w:sz w:val="27"/>
          <w:szCs w:val="27"/>
          <w:highlight w:val="none"/>
        </w:rPr>
      </w:pPr>
      <w:r>
        <w:rPr>
          <w:rStyle w:val="91"/>
          <w:rFonts w:hint="eastAsia" w:ascii="宋体" w:hAnsi="宋体" w:cs="宋体"/>
          <w:color w:val="auto"/>
          <w:sz w:val="27"/>
          <w:szCs w:val="27"/>
          <w:highlight w:val="none"/>
        </w:rPr>
        <w:t>六、其他补充事宜</w:t>
      </w:r>
    </w:p>
    <w:p w14:paraId="179B0B53">
      <w:pPr>
        <w:pStyle w:val="81"/>
        <w:spacing w:before="75" w:after="75" w:line="360" w:lineRule="auto"/>
        <w:ind w:firstLine="480"/>
        <w:rPr>
          <w:rFonts w:hint="eastAsia" w:hAnsi="宋体"/>
          <w:color w:val="auto"/>
          <w:highlight w:val="none"/>
        </w:rPr>
      </w:pPr>
      <w:r>
        <w:rPr>
          <w:rFonts w:hint="eastAsia" w:hAnsi="宋体"/>
          <w:color w:val="auto"/>
          <w:highlight w:val="none"/>
        </w:rPr>
        <w:t>1、本项目实行网上投标，采用电子投标文件，若供应商参与投标，自行承担投标一切费用。</w:t>
      </w:r>
    </w:p>
    <w:p w14:paraId="189584E9">
      <w:pPr>
        <w:pStyle w:val="81"/>
        <w:spacing w:before="75" w:after="75" w:line="360" w:lineRule="auto"/>
        <w:ind w:firstLine="480"/>
        <w:rPr>
          <w:rFonts w:hint="eastAsia" w:hAnsi="宋体"/>
          <w:color w:val="auto"/>
          <w:highlight w:val="none"/>
        </w:rPr>
      </w:pPr>
      <w:r>
        <w:rPr>
          <w:rFonts w:hint="eastAsia" w:hAnsi="宋体"/>
          <w:color w:val="auto"/>
          <w:highlight w:val="none"/>
        </w:rPr>
        <w:t>2、各供应商应在开标前应确保成为新疆维吾尔自治区政府采购网正式注册入库供应商，并完成CA数字证书申领。因未注册入库、未办理CA数字证书等原因造成无法响应或响应失败等后果由供应商自行承担。</w:t>
      </w:r>
    </w:p>
    <w:p w14:paraId="689A8DB7">
      <w:pPr>
        <w:pStyle w:val="81"/>
        <w:spacing w:before="75" w:after="75" w:line="360" w:lineRule="auto"/>
        <w:ind w:firstLine="480"/>
        <w:rPr>
          <w:rFonts w:hint="eastAsia" w:hAnsi="宋体"/>
          <w:color w:val="auto"/>
          <w:highlight w:val="none"/>
        </w:rPr>
      </w:pPr>
      <w:r>
        <w:rPr>
          <w:rFonts w:hint="eastAsia" w:hAnsi="宋体"/>
          <w:color w:val="auto"/>
          <w:highlight w:val="none"/>
        </w:rPr>
        <w:t>3、未办理CA的供应商可自主通过新疆CA申领渠道“新疆政务通”申请政采云平台可使用的CA设备，如原有兵团或公共资源使用的CA，可与新疆CA联系，申请增加电子证书即可，无需重复申领。</w:t>
      </w:r>
    </w:p>
    <w:p w14:paraId="5362000F">
      <w:pPr>
        <w:pStyle w:val="81"/>
        <w:spacing w:before="75" w:after="75" w:line="360" w:lineRule="auto"/>
        <w:ind w:firstLine="480"/>
        <w:rPr>
          <w:rFonts w:hint="eastAsia" w:hAnsi="宋体"/>
          <w:color w:val="auto"/>
          <w:highlight w:val="none"/>
        </w:rPr>
      </w:pPr>
      <w:r>
        <w:rPr>
          <w:rFonts w:hint="eastAsia" w:hAnsi="宋体"/>
          <w:color w:val="auto"/>
          <w:highlight w:val="none"/>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047E9535">
      <w:pPr>
        <w:pStyle w:val="81"/>
        <w:spacing w:before="75" w:after="75" w:line="360" w:lineRule="auto"/>
        <w:ind w:firstLine="480"/>
        <w:rPr>
          <w:rFonts w:hint="eastAsia" w:hAnsi="宋体"/>
          <w:color w:val="auto"/>
          <w:highlight w:val="none"/>
        </w:rPr>
      </w:pPr>
      <w:r>
        <w:rPr>
          <w:rFonts w:hint="eastAsia" w:hAnsi="宋体"/>
          <w:color w:val="auto"/>
          <w:highlight w:val="none"/>
        </w:rPr>
        <w:t>5、逾期未上传的或不符合规定的投标文件将被拒绝接收，</w:t>
      </w:r>
    </w:p>
    <w:p w14:paraId="5889456A">
      <w:pPr>
        <w:pStyle w:val="81"/>
        <w:spacing w:before="75" w:after="75" w:line="360" w:lineRule="auto"/>
        <w:ind w:firstLine="480"/>
        <w:rPr>
          <w:rFonts w:hint="eastAsia" w:hAnsi="宋体"/>
          <w:color w:val="auto"/>
          <w:highlight w:val="none"/>
        </w:rPr>
      </w:pPr>
      <w:r>
        <w:rPr>
          <w:rFonts w:hint="eastAsia" w:hAnsi="宋体"/>
          <w:color w:val="auto"/>
          <w:highlight w:val="none"/>
        </w:rPr>
        <w:t>6、公告期限：5个工作日</w:t>
      </w:r>
    </w:p>
    <w:p w14:paraId="76250DDB">
      <w:pPr>
        <w:pStyle w:val="81"/>
        <w:spacing w:before="75" w:after="75" w:line="360" w:lineRule="auto"/>
        <w:ind w:firstLine="480"/>
        <w:rPr>
          <w:rFonts w:hint="eastAsia" w:hAnsi="宋体"/>
          <w:color w:val="auto"/>
          <w:highlight w:val="none"/>
        </w:rPr>
      </w:pPr>
      <w:r>
        <w:rPr>
          <w:rFonts w:hint="eastAsia" w:hAnsi="宋体"/>
          <w:color w:val="auto"/>
          <w:highlight w:val="none"/>
        </w:rPr>
        <w:t>7、采购项目需要落实的政府采购政策：《政府采购促进中小企业发展管理办法》；《关于政府采购支持监狱企业发展有关问题的通知》；《中国残疾人联合会关于促进残疾人就业政府采购政策的通知》；节能环保等。</w:t>
      </w:r>
    </w:p>
    <w:p w14:paraId="74B81D23">
      <w:pPr>
        <w:pStyle w:val="81"/>
        <w:spacing w:before="75" w:after="75" w:line="360" w:lineRule="auto"/>
        <w:ind w:firstLine="480"/>
        <w:rPr>
          <w:rFonts w:hint="eastAsia" w:hAnsi="宋体"/>
          <w:color w:val="auto"/>
          <w:highlight w:val="none"/>
        </w:rPr>
      </w:pPr>
      <w:r>
        <w:rPr>
          <w:rFonts w:hint="eastAsia" w:hAnsi="宋体"/>
          <w:color w:val="auto"/>
          <w:highlight w:val="none"/>
        </w:rPr>
        <w:t>8、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54F91D8">
      <w:pPr>
        <w:pStyle w:val="81"/>
        <w:spacing w:before="255" w:after="255" w:line="360" w:lineRule="auto"/>
        <w:jc w:val="both"/>
        <w:rPr>
          <w:rFonts w:hint="eastAsia" w:hAnsi="宋体"/>
          <w:color w:val="auto"/>
          <w:sz w:val="31"/>
          <w:szCs w:val="31"/>
          <w:highlight w:val="none"/>
        </w:rPr>
      </w:pPr>
      <w:r>
        <w:rPr>
          <w:rStyle w:val="91"/>
          <w:rFonts w:hint="eastAsia" w:ascii="宋体" w:hAnsi="宋体" w:cs="宋体"/>
          <w:color w:val="auto"/>
          <w:sz w:val="27"/>
          <w:szCs w:val="27"/>
          <w:highlight w:val="none"/>
        </w:rPr>
        <w:t>七、对本次采购提出询问，请按以下方式联系</w:t>
      </w:r>
    </w:p>
    <w:p w14:paraId="063790E6">
      <w:pPr>
        <w:pStyle w:val="81"/>
        <w:spacing w:before="75" w:after="75" w:line="360" w:lineRule="auto"/>
        <w:ind w:firstLine="420"/>
        <w:rPr>
          <w:rFonts w:hint="eastAsia" w:hAnsi="宋体"/>
          <w:color w:val="auto"/>
          <w:highlight w:val="none"/>
        </w:rPr>
      </w:pPr>
      <w:r>
        <w:rPr>
          <w:rFonts w:hint="eastAsia" w:hAnsi="宋体"/>
          <w:color w:val="auto"/>
          <w:highlight w:val="none"/>
        </w:rPr>
        <w:t>1.采购人信息</w:t>
      </w:r>
    </w:p>
    <w:p w14:paraId="714A35BC">
      <w:pPr>
        <w:pStyle w:val="81"/>
        <w:spacing w:before="75" w:after="75" w:line="360" w:lineRule="auto"/>
        <w:ind w:firstLine="420"/>
        <w:rPr>
          <w:rStyle w:val="98"/>
          <w:rFonts w:hint="eastAsia" w:hAnsi="宋体" w:eastAsia="宋体" w:cs="宋体"/>
          <w:color w:val="auto"/>
          <w:highlight w:val="none"/>
          <w:lang w:eastAsia="zh-CN"/>
        </w:rPr>
      </w:pPr>
      <w:r>
        <w:rPr>
          <w:rFonts w:hint="eastAsia" w:hAnsi="宋体"/>
          <w:color w:val="auto"/>
          <w:highlight w:val="none"/>
        </w:rPr>
        <w:t xml:space="preserve">名 称：乌鲁木齐市中医医院 </w:t>
      </w:r>
    </w:p>
    <w:p w14:paraId="34D4F0DD">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地 址：乌鲁木齐市友好南路590号</w:t>
      </w:r>
    </w:p>
    <w:p w14:paraId="441AD064">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联系方式：</w:t>
      </w:r>
      <w:r>
        <w:rPr>
          <w:rFonts w:hint="eastAsia" w:hAnsi="宋体"/>
          <w:color w:val="auto"/>
          <w:highlight w:val="none"/>
          <w:lang w:val="en-US" w:eastAsia="zh-CN"/>
        </w:rPr>
        <w:t>15309916668</w:t>
      </w:r>
    </w:p>
    <w:p w14:paraId="171FE985">
      <w:pPr>
        <w:pStyle w:val="81"/>
        <w:spacing w:before="75" w:after="75" w:line="360" w:lineRule="auto"/>
        <w:ind w:firstLine="420"/>
        <w:rPr>
          <w:rFonts w:hint="eastAsia" w:hAnsi="宋体"/>
          <w:color w:val="auto"/>
          <w:highlight w:val="none"/>
        </w:rPr>
      </w:pPr>
      <w:r>
        <w:rPr>
          <w:rFonts w:hint="eastAsia" w:hAnsi="宋体"/>
          <w:color w:val="auto"/>
          <w:highlight w:val="none"/>
        </w:rPr>
        <w:t>2.采购代理机构信息</w:t>
      </w:r>
    </w:p>
    <w:p w14:paraId="43536759">
      <w:pPr>
        <w:pStyle w:val="81"/>
        <w:spacing w:before="75" w:after="75" w:line="360" w:lineRule="auto"/>
        <w:ind w:firstLine="420"/>
        <w:rPr>
          <w:rFonts w:hint="eastAsia" w:hAnsi="宋体"/>
          <w:color w:val="auto"/>
          <w:highlight w:val="none"/>
        </w:rPr>
      </w:pPr>
      <w:r>
        <w:rPr>
          <w:rFonts w:hint="eastAsia" w:hAnsi="宋体"/>
          <w:color w:val="auto"/>
          <w:highlight w:val="none"/>
        </w:rPr>
        <w:t>名 称：新疆星耀天都项目管理有限责任公司</w:t>
      </w:r>
    </w:p>
    <w:p w14:paraId="388AD0F5">
      <w:pPr>
        <w:pStyle w:val="81"/>
        <w:spacing w:before="75" w:after="75" w:line="360" w:lineRule="auto"/>
        <w:ind w:firstLine="420"/>
        <w:rPr>
          <w:rFonts w:hint="eastAsia" w:hAnsi="宋体"/>
          <w:color w:val="auto"/>
          <w:highlight w:val="none"/>
        </w:rPr>
      </w:pPr>
      <w:r>
        <w:rPr>
          <w:rFonts w:hint="eastAsia" w:hAnsi="宋体"/>
          <w:color w:val="auto"/>
          <w:highlight w:val="none"/>
        </w:rPr>
        <w:t>地 址：乌鲁木齐市天山区光明路59号时代广场A座2</w:t>
      </w:r>
      <w:r>
        <w:rPr>
          <w:rFonts w:hint="eastAsia" w:hAnsi="宋体"/>
          <w:color w:val="auto"/>
          <w:highlight w:val="none"/>
          <w:lang w:val="en-US" w:eastAsia="zh-CN"/>
        </w:rPr>
        <w:t>5A-</w:t>
      </w:r>
      <w:r>
        <w:rPr>
          <w:rFonts w:hint="eastAsia" w:hAnsi="宋体"/>
          <w:color w:val="auto"/>
          <w:highlight w:val="none"/>
        </w:rPr>
        <w:t>F</w:t>
      </w:r>
    </w:p>
    <w:p w14:paraId="40CF23F2">
      <w:pPr>
        <w:pStyle w:val="81"/>
        <w:spacing w:before="75" w:after="75" w:line="360" w:lineRule="auto"/>
        <w:ind w:firstLine="420"/>
        <w:rPr>
          <w:rFonts w:hint="eastAsia" w:hAnsi="宋体"/>
          <w:color w:val="auto"/>
          <w:highlight w:val="none"/>
        </w:rPr>
      </w:pPr>
      <w:r>
        <w:rPr>
          <w:rFonts w:hint="eastAsia" w:hAnsi="宋体"/>
          <w:color w:val="auto"/>
          <w:highlight w:val="none"/>
        </w:rPr>
        <w:t>3.项目联系方式</w:t>
      </w:r>
    </w:p>
    <w:p w14:paraId="421DD4D2">
      <w:pPr>
        <w:pStyle w:val="81"/>
        <w:spacing w:before="75" w:after="75" w:line="360" w:lineRule="auto"/>
        <w:ind w:firstLine="420"/>
        <w:rPr>
          <w:rFonts w:hint="eastAsia" w:hAnsi="宋体" w:eastAsia="宋体"/>
          <w:color w:val="auto"/>
          <w:highlight w:val="none"/>
          <w:lang w:val="en-US" w:eastAsia="zh-CN"/>
        </w:rPr>
      </w:pPr>
      <w:r>
        <w:rPr>
          <w:rFonts w:hint="eastAsia" w:hAnsi="宋体"/>
          <w:color w:val="auto"/>
          <w:highlight w:val="none"/>
        </w:rPr>
        <w:t>项目联系人：周佳颖</w:t>
      </w:r>
      <w:r>
        <w:rPr>
          <w:rFonts w:hint="eastAsia" w:hAnsi="宋体"/>
          <w:color w:val="auto"/>
          <w:highlight w:val="none"/>
          <w:lang w:val="en-US" w:eastAsia="zh-CN"/>
        </w:rPr>
        <w:t>、李卓</w:t>
      </w:r>
    </w:p>
    <w:p w14:paraId="190A76E3">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电 话：18082891232</w:t>
      </w:r>
      <w:r>
        <w:rPr>
          <w:rFonts w:hint="eastAsia" w:hAnsi="宋体"/>
          <w:color w:val="auto"/>
          <w:highlight w:val="none"/>
          <w:lang w:eastAsia="zh-CN"/>
        </w:rPr>
        <w:t>、</w:t>
      </w:r>
      <w:r>
        <w:rPr>
          <w:rFonts w:hint="eastAsia" w:hAnsi="宋体"/>
          <w:color w:val="auto"/>
          <w:highlight w:val="none"/>
          <w:lang w:val="en-US" w:eastAsia="zh-CN"/>
        </w:rPr>
        <w:t>14799267583</w:t>
      </w:r>
    </w:p>
    <w:p w14:paraId="06B8765D">
      <w:pPr>
        <w:numPr>
          <w:ilvl w:val="0"/>
          <w:numId w:val="0"/>
        </w:numPr>
        <w:spacing w:line="360" w:lineRule="auto"/>
        <w:jc w:val="center"/>
        <w:outlineLvl w:val="0"/>
        <w:rPr>
          <w:rFonts w:hint="eastAsia" w:ascii="宋体"/>
          <w:b/>
          <w:color w:val="auto"/>
          <w:sz w:val="36"/>
          <w:szCs w:val="36"/>
          <w:highlight w:val="none"/>
        </w:rPr>
      </w:pPr>
      <w:bookmarkStart w:id="1" w:name="_Toc501639723"/>
      <w:r>
        <w:rPr>
          <w:rFonts w:hint="eastAsia" w:ascii="宋体"/>
          <w:b/>
          <w:color w:val="auto"/>
          <w:sz w:val="32"/>
          <w:szCs w:val="32"/>
          <w:highlight w:val="none"/>
        </w:rPr>
        <w:br w:type="page"/>
      </w:r>
      <w:r>
        <w:rPr>
          <w:rFonts w:hint="eastAsia" w:ascii="宋体"/>
          <w:b/>
          <w:color w:val="auto"/>
          <w:sz w:val="36"/>
          <w:szCs w:val="36"/>
          <w:highlight w:val="none"/>
        </w:rPr>
        <w:t xml:space="preserve"> </w:t>
      </w:r>
      <w:bookmarkStart w:id="2" w:name="_Toc121"/>
      <w:r>
        <w:rPr>
          <w:rFonts w:hint="eastAsia" w:ascii="宋体"/>
          <w:b/>
          <w:color w:val="auto"/>
          <w:sz w:val="36"/>
          <w:szCs w:val="36"/>
          <w:highlight w:val="none"/>
        </w:rPr>
        <w:t>投标人须知</w:t>
      </w:r>
      <w:bookmarkEnd w:id="2"/>
    </w:p>
    <w:p w14:paraId="4985A65F">
      <w:pPr>
        <w:pStyle w:val="86"/>
        <w:spacing w:line="360" w:lineRule="auto"/>
        <w:ind w:firstLine="0" w:firstLineChars="0"/>
        <w:jc w:val="center"/>
        <w:rPr>
          <w:rFonts w:hint="eastAsia"/>
          <w:b/>
          <w:bCs/>
          <w:color w:val="auto"/>
          <w:sz w:val="28"/>
          <w:szCs w:val="28"/>
          <w:highlight w:val="none"/>
        </w:rPr>
      </w:pPr>
      <w:r>
        <w:rPr>
          <w:rFonts w:ascii="Times New Roman" w:hAnsi="Times New Roman"/>
          <w:b/>
          <w:bCs/>
          <w:color w:val="auto"/>
          <w:sz w:val="28"/>
          <w:szCs w:val="28"/>
          <w:highlight w:val="none"/>
        </w:rPr>
        <w:t>投标人须知资料表</w:t>
      </w:r>
    </w:p>
    <w:p w14:paraId="52FD446B">
      <w:pPr>
        <w:spacing w:line="360" w:lineRule="auto"/>
        <w:jc w:val="center"/>
        <w:rPr>
          <w:rFonts w:hint="eastAsia" w:ascii="宋体"/>
          <w:color w:val="auto"/>
          <w:sz w:val="24"/>
          <w:highlight w:val="none"/>
        </w:rPr>
      </w:pPr>
      <w:r>
        <w:rPr>
          <w:color w:val="auto"/>
          <w:sz w:val="24"/>
          <w:highlight w:val="none"/>
        </w:rPr>
        <w:t>本表是对投标人须知的具体补充和修改，如有矛盾，均以本资料表为准。</w:t>
      </w:r>
    </w:p>
    <w:bookmarkEnd w:id="1"/>
    <w:tbl>
      <w:tblPr>
        <w:tblStyle w:val="8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62"/>
        <w:gridCol w:w="7275"/>
      </w:tblGrid>
      <w:tr w14:paraId="5649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trPr>
        <w:tc>
          <w:tcPr>
            <w:tcW w:w="721" w:type="dxa"/>
            <w:tcBorders>
              <w:top w:val="single" w:color="auto" w:sz="4" w:space="0"/>
              <w:left w:val="single" w:color="auto" w:sz="4" w:space="0"/>
              <w:bottom w:val="single" w:color="auto" w:sz="4" w:space="0"/>
              <w:right w:val="single" w:color="auto" w:sz="4" w:space="0"/>
            </w:tcBorders>
            <w:noWrap w:val="0"/>
            <w:vAlign w:val="center"/>
          </w:tcPr>
          <w:p w14:paraId="2D88FC16">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项号</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28442F7">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项 目</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84A43C7">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内   容</w:t>
            </w:r>
          </w:p>
        </w:tc>
      </w:tr>
      <w:tr w14:paraId="1723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E1F5F91">
            <w:pPr>
              <w:numPr>
                <w:ilvl w:val="0"/>
                <w:numId w:val="28"/>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B6AA811">
            <w:pPr>
              <w:spacing w:line="360" w:lineRule="auto"/>
              <w:jc w:val="center"/>
              <w:rPr>
                <w:rFonts w:hint="eastAsia" w:ascii="宋体" w:eastAsia="宋体" w:cs="Times New Roman"/>
                <w:color w:val="auto"/>
                <w:sz w:val="24"/>
                <w:highlight w:val="none"/>
              </w:rPr>
            </w:pPr>
            <w:r>
              <w:rPr>
                <w:rFonts w:eastAsia="宋体" w:cs="Times New Roman"/>
                <w:color w:val="auto"/>
                <w:sz w:val="24"/>
                <w:highlight w:val="none"/>
              </w:rPr>
              <w:t>项目属性</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1A8ED9DB">
            <w:pPr>
              <w:jc w:val="left"/>
              <w:rPr>
                <w:rFonts w:hint="eastAsia" w:eastAsia="宋体" w:cs="Times New Roman"/>
                <w:color w:val="auto"/>
                <w:sz w:val="24"/>
                <w:highlight w:val="none"/>
                <w:u w:val="single"/>
              </w:rPr>
            </w:pPr>
            <w:r>
              <w:rPr>
                <w:rFonts w:eastAsia="宋体" w:cs="Times New Roman"/>
                <w:color w:val="auto"/>
                <w:sz w:val="24"/>
                <w:highlight w:val="none"/>
              </w:rPr>
              <w:t>项目属性：货物</w:t>
            </w:r>
          </w:p>
        </w:tc>
      </w:tr>
      <w:tr w14:paraId="4085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BF6215F">
            <w:pPr>
              <w:numPr>
                <w:ilvl w:val="0"/>
                <w:numId w:val="28"/>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DC59F89">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预算金额</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16E1EAAD">
            <w:pPr>
              <w:widowControl/>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64000000.00元 </w:t>
            </w:r>
          </w:p>
          <w:p w14:paraId="12BECD83">
            <w:pPr>
              <w:widowControl/>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eastAsia="zh-CN"/>
              </w:rPr>
              <w:t>标项一：</w:t>
            </w:r>
            <w:r>
              <w:rPr>
                <w:rFonts w:hint="eastAsia" w:ascii="宋体" w:hAnsi="宋体" w:cs="Times New Roman"/>
                <w:color w:val="auto"/>
                <w:sz w:val="24"/>
                <w:highlight w:val="none"/>
                <w:lang w:val="en-US" w:eastAsia="zh-CN"/>
              </w:rPr>
              <w:t>1280万元；标项二：1280万元；标项三：1280万元；标项四：1280万元；标项五：1280万元；</w:t>
            </w:r>
          </w:p>
        </w:tc>
      </w:tr>
      <w:tr w14:paraId="7FAB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793B77B3">
            <w:pPr>
              <w:numPr>
                <w:ilvl w:val="0"/>
                <w:numId w:val="28"/>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8F55A21">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采购需求</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594B51B">
            <w:pPr>
              <w:pStyle w:val="81"/>
              <w:spacing w:before="75" w:after="75" w:line="360" w:lineRule="auto"/>
              <w:rPr>
                <w:rFonts w:hint="eastAsia" w:hAnsi="宋体" w:eastAsia="宋体" w:cs="Times New Roman"/>
                <w:color w:val="auto"/>
                <w:kern w:val="2"/>
                <w:highlight w:val="none"/>
                <w:lang w:eastAsia="zh-CN"/>
              </w:rPr>
            </w:pPr>
            <w:r>
              <w:rPr>
                <w:rFonts w:hint="eastAsia" w:hAnsi="宋体"/>
                <w:color w:val="auto"/>
                <w:highlight w:val="none"/>
                <w:lang w:eastAsia="zh-CN"/>
              </w:rPr>
              <w:t>详见招标公告</w:t>
            </w:r>
          </w:p>
        </w:tc>
      </w:tr>
      <w:tr w14:paraId="5046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7722DAB0">
            <w:pPr>
              <w:numPr>
                <w:ilvl w:val="0"/>
                <w:numId w:val="28"/>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25AF5E9">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采购方式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FAFD71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公开招标</w:t>
            </w:r>
          </w:p>
        </w:tc>
      </w:tr>
      <w:tr w14:paraId="6F0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5E4F573">
            <w:pPr>
              <w:numPr>
                <w:ilvl w:val="0"/>
                <w:numId w:val="28"/>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70390DC">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付款方式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3BF9130">
            <w:pPr>
              <w:widowControl/>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详见“第六章拟签订的合同文本”</w:t>
            </w:r>
          </w:p>
        </w:tc>
      </w:tr>
      <w:tr w14:paraId="1199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E32025D">
            <w:pPr>
              <w:numPr>
                <w:ilvl w:val="0"/>
                <w:numId w:val="28"/>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71AC551">
            <w:pPr>
              <w:widowControl/>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服务期</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2F69C80">
            <w:pPr>
              <w:widowControl/>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暂定一年，具体以实际签订合同为准。</w:t>
            </w:r>
          </w:p>
        </w:tc>
      </w:tr>
      <w:tr w14:paraId="49A5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BF88FB2">
            <w:pPr>
              <w:numPr>
                <w:ilvl w:val="0"/>
                <w:numId w:val="28"/>
              </w:numPr>
              <w:spacing w:line="360" w:lineRule="auto"/>
              <w:ind w:left="425" w:leftChars="0" w:hanging="425" w:firstLineChars="0"/>
              <w:jc w:val="center"/>
              <w:rPr>
                <w:rFonts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71003DCC">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cs="Times New Roman"/>
                <w:color w:val="auto"/>
                <w:sz w:val="24"/>
                <w:highlight w:val="none"/>
                <w:lang w:val="en-US" w:eastAsia="zh-CN"/>
              </w:rPr>
              <w:t>配送时间</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487F7BD">
            <w:pPr>
              <w:pStyle w:val="457"/>
              <w:shd w:val="clear" w:color="auto" w:fill="FFFFFF"/>
              <w:spacing w:line="360" w:lineRule="auto"/>
              <w:ind w:left="480" w:hanging="480" w:hangingChars="200"/>
              <w:rPr>
                <w:rFonts w:hint="default" w:ascii="宋体" w:hAnsi="宋体" w:eastAsia="宋体" w:cs="Times New Roman"/>
                <w:color w:val="auto"/>
                <w:kern w:val="2"/>
                <w:sz w:val="24"/>
                <w:szCs w:val="24"/>
                <w:highlight w:val="none"/>
                <w:lang w:val="en-US" w:eastAsia="zh-CN"/>
              </w:rPr>
            </w:pPr>
            <w:r>
              <w:rPr>
                <w:rFonts w:hint="default" w:ascii="宋体" w:hAnsi="宋体" w:eastAsia="宋体" w:cs="Times New Roman"/>
                <w:color w:val="auto"/>
                <w:kern w:val="2"/>
                <w:sz w:val="24"/>
                <w:szCs w:val="24"/>
                <w:highlight w:val="none"/>
                <w:lang w:val="en-US" w:eastAsia="zh-CN"/>
              </w:rPr>
              <w:t>乙方负责按时足量地进行配送供货，应自收到甲方订单通知起</w:t>
            </w:r>
          </w:p>
          <w:p w14:paraId="6C07DD5A">
            <w:pPr>
              <w:pStyle w:val="457"/>
              <w:shd w:val="clear" w:color="auto" w:fill="FFFFFF"/>
              <w:spacing w:line="360" w:lineRule="auto"/>
              <w:ind w:left="0" w:leftChars="0" w:firstLine="0" w:firstLineChars="0"/>
              <w:rPr>
                <w:rFonts w:hint="default" w:ascii="宋体" w:hAnsi="宋体" w:eastAsia="宋体" w:cs="Times New Roman"/>
                <w:color w:val="auto"/>
                <w:kern w:val="2"/>
                <w:sz w:val="24"/>
                <w:szCs w:val="24"/>
                <w:highlight w:val="none"/>
                <w:lang w:val="en-US" w:eastAsia="zh-CN"/>
              </w:rPr>
            </w:pPr>
            <w:r>
              <w:rPr>
                <w:rFonts w:hint="default" w:ascii="宋体" w:hAnsi="宋体" w:eastAsia="宋体" w:cs="Times New Roman"/>
                <w:color w:val="auto"/>
                <w:kern w:val="2"/>
                <w:sz w:val="24"/>
                <w:szCs w:val="24"/>
                <w:highlight w:val="none"/>
                <w:lang w:val="en-US" w:eastAsia="zh-CN"/>
              </w:rPr>
              <w:t>进行配送，并保证急用药品 2 小时内送达，常用药品 24 小时内</w:t>
            </w:r>
            <w:r>
              <w:rPr>
                <w:rFonts w:hint="eastAsia" w:ascii="宋体" w:hAnsi="宋体" w:cs="Times New Roman"/>
                <w:color w:val="auto"/>
                <w:kern w:val="2"/>
                <w:sz w:val="24"/>
                <w:szCs w:val="24"/>
                <w:highlight w:val="none"/>
                <w:lang w:val="en-US" w:eastAsia="zh-CN"/>
              </w:rPr>
              <w:t>送</w:t>
            </w:r>
            <w:r>
              <w:rPr>
                <w:rFonts w:hint="default" w:ascii="宋体" w:hAnsi="宋体" w:eastAsia="宋体" w:cs="Times New Roman"/>
                <w:color w:val="auto"/>
                <w:kern w:val="2"/>
                <w:sz w:val="24"/>
                <w:szCs w:val="24"/>
                <w:highlight w:val="none"/>
                <w:lang w:val="en-US" w:eastAsia="zh-CN"/>
              </w:rPr>
              <w:t>达，节假日正常配送，配送时应提供同批号的药检报告书。保证按需配送。合同期内中标供应商按照采购人采购计划及供货地点要求,及时提供供货服务。</w:t>
            </w:r>
          </w:p>
          <w:p w14:paraId="7580A03E">
            <w:pPr>
              <w:pStyle w:val="457"/>
              <w:shd w:val="clear" w:color="auto" w:fill="FFFFFF"/>
              <w:spacing w:line="360" w:lineRule="auto"/>
              <w:ind w:left="480" w:hanging="480" w:hangingChars="200"/>
              <w:rPr>
                <w:rFonts w:hint="default" w:ascii="宋体" w:hAnsi="宋体" w:eastAsia="宋体" w:cs="Times New Roman"/>
                <w:color w:val="auto"/>
                <w:kern w:val="2"/>
                <w:sz w:val="24"/>
                <w:szCs w:val="24"/>
                <w:highlight w:val="none"/>
                <w:lang w:val="en-US" w:eastAsia="zh-CN"/>
              </w:rPr>
            </w:pPr>
            <w:r>
              <w:rPr>
                <w:rFonts w:hint="default" w:ascii="宋体" w:hAnsi="宋体" w:eastAsia="宋体" w:cs="Times New Roman"/>
                <w:color w:val="auto"/>
                <w:kern w:val="2"/>
                <w:sz w:val="24"/>
                <w:szCs w:val="24"/>
                <w:highlight w:val="none"/>
                <w:lang w:val="en-US" w:eastAsia="zh-CN"/>
              </w:rPr>
              <w:t>每批次供应数量、供应内容以采购人的指令为准。</w:t>
            </w:r>
          </w:p>
          <w:p w14:paraId="2E7EC28D">
            <w:pPr>
              <w:pStyle w:val="457"/>
              <w:shd w:val="clear" w:color="auto" w:fill="FFFFFF"/>
              <w:spacing w:line="360" w:lineRule="auto"/>
              <w:ind w:left="480" w:hanging="480" w:hangingChars="200"/>
              <w:rPr>
                <w:rFonts w:hint="default" w:ascii="宋体" w:hAnsi="宋体" w:eastAsia="宋体" w:cs="Times New Roman"/>
                <w:color w:val="auto"/>
                <w:kern w:val="2"/>
                <w:sz w:val="24"/>
                <w:szCs w:val="24"/>
                <w:highlight w:val="none"/>
                <w:lang w:val="en-US" w:eastAsia="zh-CN"/>
              </w:rPr>
            </w:pPr>
            <w:r>
              <w:rPr>
                <w:rFonts w:hint="default" w:ascii="宋体" w:hAnsi="宋体" w:eastAsia="宋体" w:cs="Times New Roman"/>
                <w:color w:val="auto"/>
                <w:kern w:val="2"/>
                <w:sz w:val="24"/>
                <w:szCs w:val="24"/>
                <w:highlight w:val="none"/>
                <w:lang w:val="en-US" w:eastAsia="zh-CN"/>
              </w:rPr>
              <w:t>具体以实际签订合同为准，响应采购人要求</w:t>
            </w:r>
          </w:p>
        </w:tc>
      </w:tr>
      <w:tr w14:paraId="741C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73B5A3F6">
            <w:pPr>
              <w:numPr>
                <w:ilvl w:val="0"/>
                <w:numId w:val="28"/>
              </w:numPr>
              <w:spacing w:line="360" w:lineRule="auto"/>
              <w:ind w:left="425" w:leftChars="0" w:hanging="425" w:firstLineChars="0"/>
              <w:jc w:val="center"/>
              <w:rPr>
                <w:rFonts w:hint="eastAsia"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C156151">
            <w:pPr>
              <w:spacing w:line="360" w:lineRule="auto"/>
              <w:jc w:val="center"/>
              <w:rPr>
                <w:rFonts w:hint="eastAsia" w:ascii="宋体" w:hAnsi="宋体" w:eastAsia="宋体" w:cs="宋体"/>
                <w:b/>
                <w:color w:val="auto"/>
                <w:sz w:val="24"/>
                <w:highlight w:val="none"/>
                <w:lang w:val="en-US" w:eastAsia="zh-CN"/>
              </w:rPr>
            </w:pPr>
            <w:r>
              <w:rPr>
                <w:rFonts w:hint="eastAsia" w:ascii="宋体" w:eastAsia="宋体" w:cs="Times New Roman"/>
                <w:color w:val="auto"/>
                <w:sz w:val="24"/>
                <w:highlight w:val="none"/>
                <w:lang w:val="en-US" w:eastAsia="zh-CN"/>
              </w:rPr>
              <w:t>质量标准</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76DE132">
            <w:pPr>
              <w:pStyle w:val="457"/>
              <w:shd w:val="clear" w:color="auto" w:fill="FFFFFF"/>
              <w:spacing w:line="360" w:lineRule="auto"/>
              <w:ind w:left="-2" w:leftChars="0" w:firstLine="0" w:firstLineChars="0"/>
              <w:rPr>
                <w:rFonts w:hint="default" w:ascii="宋体" w:hAnsi="宋体" w:cs="Times New Roman"/>
                <w:color w:val="auto"/>
                <w:kern w:val="2"/>
                <w:sz w:val="24"/>
                <w:szCs w:val="24"/>
                <w:highlight w:val="none"/>
                <w:lang w:val="en-US" w:eastAsia="zh-CN"/>
              </w:rPr>
            </w:pPr>
            <w:r>
              <w:rPr>
                <w:rFonts w:hint="default" w:ascii="宋体" w:hAnsi="宋体" w:cs="Times New Roman"/>
                <w:color w:val="auto"/>
                <w:kern w:val="2"/>
                <w:sz w:val="24"/>
                <w:szCs w:val="24"/>
                <w:highlight w:val="none"/>
                <w:lang w:val="en-US" w:eastAsia="zh-CN"/>
              </w:rPr>
              <w:t>所供应的中药饮片到货入库的剩余有效期不得</w:t>
            </w:r>
            <w:r>
              <w:rPr>
                <w:rFonts w:hint="eastAsia" w:ascii="宋体" w:hAnsi="宋体" w:cs="Times New Roman"/>
                <w:color w:val="auto"/>
                <w:kern w:val="2"/>
                <w:sz w:val="24"/>
                <w:szCs w:val="24"/>
                <w:highlight w:val="none"/>
                <w:lang w:val="en-US" w:eastAsia="zh-CN"/>
              </w:rPr>
              <w:t>短于质保期的80%</w:t>
            </w:r>
            <w:r>
              <w:rPr>
                <w:rFonts w:hint="default" w:ascii="宋体" w:hAnsi="宋体" w:cs="Times New Roman"/>
                <w:color w:val="auto"/>
                <w:kern w:val="2"/>
                <w:sz w:val="24"/>
                <w:szCs w:val="24"/>
                <w:highlight w:val="none"/>
                <w:lang w:val="en-US" w:eastAsia="zh-CN"/>
              </w:rPr>
              <w:t>（特殊情况除外），在院方使用期间内，投标供应商应对所提供货物的质量和由于货物质量原因而造成的后果负责。若出现质量问题的，院方向有关部门报告，经查实无误后，院方有权终止合同并视情况提出索赔。</w:t>
            </w:r>
          </w:p>
        </w:tc>
      </w:tr>
      <w:tr w14:paraId="3B40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DFF5CFB">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9599BCD">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交货地点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C3A92FC">
            <w:pPr>
              <w:spacing w:line="360" w:lineRule="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乌鲁木齐市中医医院</w:t>
            </w:r>
          </w:p>
        </w:tc>
      </w:tr>
      <w:tr w14:paraId="50FC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9FBB92A">
            <w:pPr>
              <w:numPr>
                <w:ilvl w:val="0"/>
                <w:numId w:val="28"/>
              </w:numPr>
              <w:spacing w:line="360" w:lineRule="auto"/>
              <w:ind w:left="425" w:leftChars="0" w:hanging="425" w:firstLineChars="0"/>
              <w:jc w:val="center"/>
              <w:rPr>
                <w:rFonts w:hint="eastAsia" w:ascii="宋体" w:eastAsia="宋体" w:cs="Times New Roman"/>
                <w:color w:val="0000FF"/>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D85B3A9">
            <w:pPr>
              <w:spacing w:line="360" w:lineRule="auto"/>
              <w:jc w:val="center"/>
              <w:rPr>
                <w:rFonts w:hint="eastAsia" w:ascii="宋体" w:eastAsia="宋体" w:cs="Times New Roman"/>
                <w:color w:val="0000FF"/>
                <w:sz w:val="24"/>
                <w:highlight w:val="none"/>
                <w:lang w:val="en-US" w:eastAsia="zh-CN"/>
              </w:rPr>
            </w:pPr>
            <w:r>
              <w:rPr>
                <w:rFonts w:hint="eastAsia" w:ascii="宋体" w:eastAsia="宋体" w:cs="Times New Roman"/>
                <w:color w:val="0000FF"/>
                <w:sz w:val="24"/>
                <w:highlight w:val="none"/>
                <w:lang w:val="en-US" w:eastAsia="zh-CN"/>
              </w:rPr>
              <w:t>重要产品</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A1F2459">
            <w:pPr>
              <w:spacing w:line="360" w:lineRule="auto"/>
              <w:rPr>
                <w:rFonts w:hint="eastAsia"/>
                <w:highlight w:val="none"/>
                <w:lang w:eastAsia="zh-CN"/>
              </w:rPr>
            </w:pPr>
            <w:r>
              <w:rPr>
                <w:rFonts w:hint="eastAsia" w:ascii="宋体" w:hAnsi="宋体" w:eastAsia="宋体" w:cs="Times New Roman"/>
                <w:color w:val="auto"/>
                <w:kern w:val="2"/>
                <w:sz w:val="24"/>
                <w:szCs w:val="24"/>
                <w:highlight w:val="none"/>
                <w:lang w:val="en-US" w:eastAsia="zh-CN" w:bidi="ar-SA"/>
              </w:rPr>
              <w:t>赤芍</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蔓荊子</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野菊花</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天花粉</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葛根</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栀子</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红参片</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白术</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三七粉</w:t>
            </w:r>
            <w:r>
              <w:rPr>
                <w:rFonts w:hint="eastAsia" w:ascii="宋体" w:hAnsi="宋体" w:cs="Times New Roman"/>
                <w:color w:val="auto"/>
                <w:kern w:val="2"/>
                <w:sz w:val="24"/>
                <w:szCs w:val="24"/>
                <w:highlight w:val="none"/>
                <w:lang w:val="en-US" w:eastAsia="zh-CN" w:bidi="ar-SA"/>
              </w:rPr>
              <w:t>、甘草片，鸡血藤，山豆根，红花，瓜蒌，地龙，合欢花，防风</w:t>
            </w:r>
          </w:p>
        </w:tc>
      </w:tr>
      <w:tr w14:paraId="30DB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F9C6B93">
            <w:pPr>
              <w:numPr>
                <w:ilvl w:val="0"/>
                <w:numId w:val="28"/>
              </w:numPr>
              <w:spacing w:line="360" w:lineRule="auto"/>
              <w:ind w:left="425" w:leftChars="0" w:hanging="425" w:firstLineChars="0"/>
              <w:jc w:val="center"/>
              <w:rPr>
                <w:rFonts w:hint="default"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194F924">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投标人资格证明文件</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1A90AE7F">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rPr>
              <w:t>1、须符合《中华人民共和国政府采购法》第22条规定：</w:t>
            </w:r>
          </w:p>
          <w:p w14:paraId="23677C72">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rPr>
              <w:t>2、落实政府采购政策需满足的资格要求：本项目</w:t>
            </w:r>
            <w:r>
              <w:rPr>
                <w:rFonts w:hint="eastAsia" w:hAnsi="宋体" w:cs="Times New Roman"/>
                <w:color w:val="auto"/>
                <w:kern w:val="2"/>
                <w:highlight w:val="none"/>
                <w:lang w:eastAsia="zh-CN"/>
              </w:rPr>
              <w:t>不</w:t>
            </w:r>
            <w:r>
              <w:rPr>
                <w:rFonts w:hint="eastAsia" w:hAnsi="宋体" w:cs="Times New Roman"/>
                <w:color w:val="auto"/>
                <w:kern w:val="2"/>
                <w:highlight w:val="none"/>
              </w:rPr>
              <w:t xml:space="preserve">专门面向中小企业；         </w:t>
            </w:r>
          </w:p>
          <w:p w14:paraId="07989F6B">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rPr>
              <w:t>3、本项目的特定资格要求：投标供应商为生产企业的，须依法取得《药品生产许可证》（中药饮片），具有相应生产认证范围并提供《药品生产许可证》内含有医疗用毒性药品（中药饮片）的证明材料；投标供应商为经营企业或代理公司的须依法取得《药品经营许可证》（中药饮片），具有相应经营范围并提供《药品经营许可证》内含有医疗用毒性药品（中药饮片）的证明材料；</w:t>
            </w:r>
          </w:p>
          <w:p w14:paraId="62E11FD5">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rPr>
              <w:t>4、本项目不接受联合体投标；</w:t>
            </w:r>
          </w:p>
        </w:tc>
      </w:tr>
      <w:tr w14:paraId="6182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55D9682F">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240910D">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lang w:val="en-US" w:eastAsia="zh-CN"/>
              </w:rPr>
              <w:t>制造企业</w:t>
            </w:r>
          </w:p>
          <w:p w14:paraId="4BF306AB">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所属行业</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F7A2610">
            <w:pPr>
              <w:spacing w:line="360" w:lineRule="auto"/>
              <w:rPr>
                <w:rFonts w:hint="eastAsia" w:ascii="宋体" w:eastAsia="宋体" w:cs="Times New Roman"/>
                <w:color w:val="auto"/>
                <w:szCs w:val="21"/>
                <w:highlight w:val="none"/>
              </w:rPr>
            </w:pPr>
            <w:r>
              <w:rPr>
                <w:rFonts w:hint="eastAsia" w:ascii="宋体" w:eastAsia="宋体" w:cs="Times New Roman"/>
                <w:color w:val="auto"/>
                <w:szCs w:val="21"/>
                <w:highlight w:val="none"/>
              </w:rPr>
              <w:t>本项目</w:t>
            </w:r>
            <w:r>
              <w:rPr>
                <w:rFonts w:hint="eastAsia" w:ascii="宋体" w:eastAsia="宋体" w:cs="Times New Roman"/>
                <w:color w:val="auto"/>
                <w:szCs w:val="21"/>
                <w:highlight w:val="none"/>
                <w:lang w:val="en-US" w:eastAsia="zh-CN"/>
              </w:rPr>
              <w:t>采购标的对应的中小企业划分标准所属行业</w:t>
            </w:r>
            <w:r>
              <w:rPr>
                <w:rFonts w:hint="eastAsia" w:ascii="宋体" w:eastAsia="宋体" w:cs="Times New Roman"/>
                <w:color w:val="auto"/>
                <w:szCs w:val="21"/>
                <w:highlight w:val="none"/>
              </w:rPr>
              <w: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093"/>
              <w:gridCol w:w="3257"/>
            </w:tblGrid>
            <w:tr w14:paraId="5EB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2BD6C8B7">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序号</w:t>
                  </w:r>
                </w:p>
              </w:tc>
              <w:tc>
                <w:tcPr>
                  <w:tcW w:w="3093" w:type="dxa"/>
                  <w:noWrap w:val="0"/>
                  <w:vAlign w:val="center"/>
                </w:tcPr>
                <w:p w14:paraId="195844BA">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标的名称</w:t>
                  </w:r>
                </w:p>
              </w:tc>
              <w:tc>
                <w:tcPr>
                  <w:tcW w:w="3257" w:type="dxa"/>
                  <w:noWrap w:val="0"/>
                  <w:vAlign w:val="center"/>
                </w:tcPr>
                <w:p w14:paraId="5F47CA4F">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中小企业划分标准所属行业</w:t>
                  </w:r>
                </w:p>
              </w:tc>
            </w:tr>
            <w:tr w14:paraId="0DA2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32B3E7E">
                  <w:pPr>
                    <w:spacing w:line="360" w:lineRule="auto"/>
                    <w:jc w:val="center"/>
                    <w:rPr>
                      <w:rFonts w:ascii="宋体" w:eastAsia="宋体" w:cs="Times New Roman"/>
                      <w:color w:val="auto"/>
                      <w:szCs w:val="21"/>
                      <w:highlight w:val="none"/>
                    </w:rPr>
                  </w:pPr>
                  <w:r>
                    <w:rPr>
                      <w:rFonts w:hint="eastAsia" w:ascii="宋体" w:eastAsia="宋体" w:cs="Times New Roman"/>
                      <w:color w:val="auto"/>
                      <w:szCs w:val="21"/>
                      <w:highlight w:val="none"/>
                    </w:rPr>
                    <w:t>1</w:t>
                  </w:r>
                </w:p>
              </w:tc>
              <w:tc>
                <w:tcPr>
                  <w:tcW w:w="3093" w:type="dxa"/>
                  <w:noWrap w:val="0"/>
                  <w:vAlign w:val="center"/>
                </w:tcPr>
                <w:p w14:paraId="40795C86">
                  <w:pPr>
                    <w:spacing w:line="360" w:lineRule="auto"/>
                    <w:jc w:val="center"/>
                    <w:rPr>
                      <w:rFonts w:hint="default" w:ascii="宋体" w:eastAsia="宋体" w:cs="Times New Roman"/>
                      <w:color w:val="auto"/>
                      <w:szCs w:val="21"/>
                      <w:highlight w:val="none"/>
                      <w:lang w:val="en-US" w:eastAsia="zh-CN"/>
                    </w:rPr>
                  </w:pPr>
                  <w:r>
                    <w:rPr>
                      <w:rFonts w:hint="eastAsia" w:ascii="宋体" w:eastAsia="宋体" w:cs="Times New Roman"/>
                      <w:color w:val="auto"/>
                      <w:szCs w:val="21"/>
                      <w:highlight w:val="none"/>
                      <w:lang w:val="en-US" w:eastAsia="zh-CN"/>
                    </w:rPr>
                    <w:t>本项目包含所有产品</w:t>
                  </w:r>
                </w:p>
              </w:tc>
              <w:tc>
                <w:tcPr>
                  <w:tcW w:w="3257" w:type="dxa"/>
                  <w:noWrap w:val="0"/>
                  <w:vAlign w:val="center"/>
                </w:tcPr>
                <w:p w14:paraId="6A6F679F">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工业</w:t>
                  </w:r>
                </w:p>
              </w:tc>
            </w:tr>
          </w:tbl>
          <w:p w14:paraId="08658385">
            <w:pPr>
              <w:spacing w:line="360" w:lineRule="auto"/>
              <w:rPr>
                <w:rFonts w:hint="eastAsia" w:ascii="宋体" w:eastAsia="宋体" w:cs="Times New Roman"/>
                <w:color w:val="auto"/>
                <w:sz w:val="24"/>
                <w:highlight w:val="none"/>
              </w:rPr>
            </w:pPr>
          </w:p>
        </w:tc>
      </w:tr>
      <w:tr w14:paraId="72E7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6457573">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5204BBC">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投标有效期</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B9F206C">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自投标截止之日起90个日历日</w:t>
            </w:r>
          </w:p>
        </w:tc>
      </w:tr>
      <w:tr w14:paraId="084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80B4CC8">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5AC8A15">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评标方法</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8B8A3AA">
            <w:pPr>
              <w:spacing w:line="360" w:lineRule="auto"/>
              <w:rPr>
                <w:rFonts w:hint="eastAsia" w:eastAsia="宋体"/>
                <w:highlight w:val="none"/>
                <w:lang w:eastAsia="zh-CN"/>
              </w:rPr>
            </w:pPr>
            <w:r>
              <w:rPr>
                <w:rFonts w:hint="eastAsia" w:ascii="宋体" w:eastAsia="宋体" w:cs="Times New Roman"/>
                <w:color w:val="auto"/>
                <w:sz w:val="24"/>
                <w:highlight w:val="none"/>
              </w:rPr>
              <w:t>综合评分法</w:t>
            </w:r>
          </w:p>
        </w:tc>
      </w:tr>
      <w:tr w14:paraId="5EDE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72B6D55">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7A4DF5F">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评标委员会</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992D01B">
            <w:pPr>
              <w:pStyle w:val="81"/>
              <w:spacing w:before="75" w:after="75" w:line="360" w:lineRule="auto"/>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评标委员会构成：7人，其中招标人代表0-2人，专家5-7人；</w:t>
            </w:r>
          </w:p>
          <w:p w14:paraId="39D386CF">
            <w:pPr>
              <w:pStyle w:val="81"/>
              <w:spacing w:before="75" w:after="75" w:line="360" w:lineRule="auto"/>
              <w:rPr>
                <w:rFonts w:hint="eastAsia" w:hAnsi="宋体"/>
                <w:color w:val="auto"/>
                <w:highlight w:val="none"/>
              </w:rPr>
            </w:pPr>
            <w:r>
              <w:rPr>
                <w:rFonts w:hint="eastAsia" w:ascii="宋体" w:hAnsi="Calibri" w:eastAsia="宋体" w:cs="Times New Roman"/>
                <w:color w:val="auto"/>
                <w:kern w:val="2"/>
                <w:sz w:val="24"/>
                <w:szCs w:val="24"/>
                <w:highlight w:val="none"/>
                <w:lang w:val="en-US" w:eastAsia="zh-CN" w:bidi="ar-SA"/>
              </w:rPr>
              <w:t>评标专家确定方式：开标前48小时从新疆政采云平台专家库中随机抽取。</w:t>
            </w:r>
          </w:p>
        </w:tc>
      </w:tr>
      <w:tr w14:paraId="3883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07CEC48">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41A12A8">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投标文件递交截止时间及开标时间、地点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0DB8118F">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本项目采用不见面开标：</w:t>
            </w:r>
          </w:p>
          <w:p w14:paraId="5D970F8E">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时间：</w:t>
            </w:r>
            <w:r>
              <w:rPr>
                <w:rFonts w:hint="eastAsia" w:ascii="宋体" w:eastAsia="宋体" w:cs="Times New Roman"/>
                <w:color w:val="auto"/>
                <w:sz w:val="24"/>
                <w:highlight w:val="none"/>
                <w:lang w:eastAsia="zh-CN"/>
              </w:rPr>
              <w:t>20</w:t>
            </w:r>
            <w:r>
              <w:rPr>
                <w:rFonts w:hint="eastAsia" w:ascii="宋体" w:cs="Times New Roman"/>
                <w:color w:val="auto"/>
                <w:sz w:val="24"/>
                <w:highlight w:val="none"/>
                <w:lang w:val="en-US" w:eastAsia="zh-CN"/>
              </w:rPr>
              <w:t>25</w:t>
            </w:r>
            <w:r>
              <w:rPr>
                <w:rFonts w:hint="eastAsia" w:ascii="宋体" w:eastAsia="宋体" w:cs="Times New Roman"/>
                <w:color w:val="auto"/>
                <w:sz w:val="24"/>
                <w:highlight w:val="none"/>
                <w:lang w:eastAsia="zh-CN"/>
              </w:rPr>
              <w:t>年</w:t>
            </w:r>
            <w:r>
              <w:rPr>
                <w:rFonts w:hint="eastAsia" w:ascii="宋体" w:cs="Times New Roman"/>
                <w:color w:val="auto"/>
                <w:sz w:val="24"/>
                <w:highlight w:val="none"/>
                <w:lang w:val="en-US" w:eastAsia="zh-CN"/>
              </w:rPr>
              <w:t>01</w:t>
            </w:r>
            <w:r>
              <w:rPr>
                <w:rFonts w:hint="eastAsia" w:ascii="宋体" w:eastAsia="宋体" w:cs="Times New Roman"/>
                <w:color w:val="auto"/>
                <w:sz w:val="24"/>
                <w:highlight w:val="none"/>
                <w:lang w:val="en-US" w:eastAsia="zh-CN"/>
              </w:rPr>
              <w:t>月</w:t>
            </w:r>
            <w:r>
              <w:rPr>
                <w:rFonts w:hint="eastAsia" w:ascii="宋体" w:cs="Times New Roman"/>
                <w:color w:val="auto"/>
                <w:sz w:val="24"/>
                <w:highlight w:val="none"/>
                <w:lang w:val="en-US" w:eastAsia="zh-CN"/>
              </w:rPr>
              <w:t>26</w:t>
            </w:r>
            <w:r>
              <w:rPr>
                <w:rFonts w:hint="eastAsia" w:ascii="宋体" w:eastAsia="宋体" w:cs="Times New Roman"/>
                <w:color w:val="auto"/>
                <w:sz w:val="24"/>
                <w:highlight w:val="none"/>
                <w:lang w:val="en-US" w:eastAsia="zh-CN"/>
              </w:rPr>
              <w:t>日</w:t>
            </w:r>
            <w:r>
              <w:rPr>
                <w:rFonts w:hint="eastAsia" w:ascii="宋体" w:eastAsia="宋体" w:cs="Times New Roman"/>
                <w:color w:val="auto"/>
                <w:sz w:val="24"/>
                <w:highlight w:val="none"/>
                <w:lang w:eastAsia="zh-CN"/>
              </w:rPr>
              <w:t>1</w:t>
            </w:r>
            <w:r>
              <w:rPr>
                <w:rFonts w:hint="eastAsia" w:ascii="宋体" w:eastAsia="宋体" w:cs="Times New Roman"/>
                <w:color w:val="auto"/>
                <w:sz w:val="24"/>
                <w:highlight w:val="none"/>
                <w:lang w:val="en-US" w:eastAsia="zh-CN"/>
              </w:rPr>
              <w:t>1</w:t>
            </w:r>
            <w:r>
              <w:rPr>
                <w:rFonts w:hint="eastAsia" w:ascii="宋体" w:eastAsia="宋体" w:cs="Times New Roman"/>
                <w:color w:val="auto"/>
                <w:sz w:val="24"/>
                <w:highlight w:val="none"/>
                <w:lang w:eastAsia="zh-CN"/>
              </w:rPr>
              <w:t>:00</w:t>
            </w:r>
            <w:r>
              <w:rPr>
                <w:rFonts w:hint="eastAsia" w:ascii="宋体" w:eastAsia="宋体" w:cs="Times New Roman"/>
                <w:color w:val="auto"/>
                <w:sz w:val="24"/>
                <w:highlight w:val="none"/>
              </w:rPr>
              <w:t>（北京时间）</w:t>
            </w:r>
          </w:p>
          <w:p w14:paraId="219C8813">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投标文件递交地点：供应商应将加密的电子投标文件上传到政采云平台https://www.zcygov.cn对应位置（逾期未上传的或不符合规定的投标文件将被拒绝接收）</w:t>
            </w:r>
          </w:p>
          <w:p w14:paraId="66A21EA8">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解密时间：30分钟</w:t>
            </w:r>
          </w:p>
          <w:p w14:paraId="30EB25CC">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供应商可以登录“政采云”平台，用“项目采购-开标评标”功能进行解密投标文件。若供应商在规定时间内，未按时解密的，视为投标文件撤回。</w:t>
            </w:r>
          </w:p>
        </w:tc>
      </w:tr>
      <w:tr w14:paraId="0F7B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5840FCFA">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861C872">
            <w:pPr>
              <w:spacing w:line="360" w:lineRule="auto"/>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投标保证金</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9D04CB1">
            <w:pPr>
              <w:spacing w:line="360" w:lineRule="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eastAsia="zh-CN"/>
              </w:rPr>
              <w:t>标项一：</w:t>
            </w:r>
            <w:r>
              <w:rPr>
                <w:rFonts w:hint="eastAsia" w:ascii="宋体" w:eastAsia="宋体" w:cs="Times New Roman"/>
                <w:color w:val="auto"/>
                <w:sz w:val="24"/>
                <w:highlight w:val="none"/>
              </w:rPr>
              <w:t>保证金金额：</w:t>
            </w:r>
            <w:r>
              <w:rPr>
                <w:rFonts w:hint="eastAsia" w:ascii="宋体" w:cs="Times New Roman"/>
                <w:color w:val="auto"/>
                <w:sz w:val="24"/>
                <w:highlight w:val="none"/>
                <w:lang w:val="en-US" w:eastAsia="zh-CN"/>
              </w:rPr>
              <w:t>19992</w:t>
            </w:r>
            <w:r>
              <w:rPr>
                <w:rFonts w:hint="eastAsia" w:ascii="宋体" w:eastAsia="宋体" w:cs="Times New Roman"/>
                <w:color w:val="auto"/>
                <w:sz w:val="24"/>
                <w:highlight w:val="none"/>
                <w:lang w:val="en-US" w:eastAsia="zh-CN"/>
              </w:rPr>
              <w:t>.00</w:t>
            </w:r>
            <w:r>
              <w:rPr>
                <w:rFonts w:hint="eastAsia" w:ascii="宋体" w:eastAsia="宋体" w:cs="Times New Roman"/>
                <w:color w:val="auto"/>
                <w:sz w:val="24"/>
                <w:highlight w:val="none"/>
              </w:rPr>
              <w:t>元</w:t>
            </w:r>
            <w:r>
              <w:rPr>
                <w:rFonts w:hint="eastAsia" w:ascii="宋体" w:cs="Times New Roman"/>
                <w:color w:val="auto"/>
                <w:sz w:val="24"/>
                <w:highlight w:val="none"/>
                <w:lang w:eastAsia="zh-CN"/>
              </w:rPr>
              <w:t>；标项二：</w:t>
            </w:r>
            <w:r>
              <w:rPr>
                <w:rFonts w:hint="eastAsia" w:ascii="宋体" w:cs="Times New Roman"/>
                <w:color w:val="auto"/>
                <w:sz w:val="24"/>
                <w:highlight w:val="none"/>
                <w:lang w:val="en-US" w:eastAsia="zh-CN"/>
              </w:rPr>
              <w:t>19994.00元；标项三：19996.00元；标项四：19998.00元；标项五：20000.00元；</w:t>
            </w:r>
          </w:p>
          <w:p w14:paraId="70F395FE">
            <w:pPr>
              <w:overflowPunct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账户名：新疆星耀天都项目管理有限责任公司</w:t>
            </w:r>
          </w:p>
          <w:p w14:paraId="570C1211">
            <w:pPr>
              <w:overflowPunct w:val="0"/>
              <w:spacing w:line="360" w:lineRule="auto"/>
              <w:rPr>
                <w:rFonts w:hint="eastAsia" w:ascii="宋体" w:hAnsi="宋体" w:eastAsia="宋体" w:cs="Times New Roman"/>
                <w:color w:val="auto"/>
                <w:sz w:val="24"/>
                <w:highlight w:val="none"/>
              </w:rPr>
            </w:pPr>
            <w:r>
              <w:rPr>
                <w:rFonts w:ascii="宋体" w:hAnsi="宋体" w:eastAsia="宋体" w:cs="Times New Roman"/>
                <w:color w:val="auto"/>
                <w:sz w:val="24"/>
                <w:highlight w:val="none"/>
              </w:rPr>
              <w:t>开户行：</w:t>
            </w:r>
            <w:r>
              <w:rPr>
                <w:rFonts w:hint="eastAsia" w:ascii="宋体" w:hAnsi="宋体" w:eastAsia="宋体" w:cs="Times New Roman"/>
                <w:color w:val="auto"/>
                <w:sz w:val="24"/>
                <w:highlight w:val="none"/>
              </w:rPr>
              <w:t>招商</w:t>
            </w:r>
            <w:r>
              <w:rPr>
                <w:rFonts w:ascii="宋体" w:hAnsi="宋体" w:eastAsia="宋体" w:cs="Times New Roman"/>
                <w:color w:val="auto"/>
                <w:sz w:val="24"/>
                <w:highlight w:val="none"/>
              </w:rPr>
              <w:t>银行乌鲁木齐</w:t>
            </w:r>
            <w:r>
              <w:rPr>
                <w:rFonts w:hint="eastAsia" w:ascii="宋体" w:hAnsi="宋体" w:eastAsia="宋体" w:cs="Times New Roman"/>
                <w:color w:val="auto"/>
                <w:sz w:val="24"/>
                <w:highlight w:val="none"/>
              </w:rPr>
              <w:t>新华北路</w:t>
            </w:r>
            <w:r>
              <w:rPr>
                <w:rFonts w:ascii="宋体" w:hAnsi="宋体" w:eastAsia="宋体" w:cs="Times New Roman"/>
                <w:color w:val="auto"/>
                <w:sz w:val="24"/>
                <w:highlight w:val="none"/>
              </w:rPr>
              <w:t>支行</w:t>
            </w:r>
          </w:p>
          <w:p w14:paraId="49287397">
            <w:pPr>
              <w:spacing w:line="360" w:lineRule="auto"/>
              <w:rPr>
                <w:rFonts w:hint="eastAsia" w:ascii="宋体" w:hAnsi="宋体" w:eastAsia="宋体" w:cs="Times New Roman"/>
                <w:color w:val="auto"/>
                <w:sz w:val="24"/>
                <w:highlight w:val="none"/>
                <w:lang w:val="en-US" w:eastAsia="zh-CN"/>
              </w:rPr>
            </w:pPr>
            <w:r>
              <w:rPr>
                <w:rFonts w:ascii="宋体" w:hAnsi="宋体" w:eastAsia="宋体" w:cs="Times New Roman"/>
                <w:color w:val="auto"/>
                <w:sz w:val="24"/>
                <w:highlight w:val="none"/>
              </w:rPr>
              <w:t>帐  号：</w:t>
            </w:r>
            <w:r>
              <w:rPr>
                <w:rFonts w:hint="eastAsia" w:ascii="宋体" w:hAnsi="宋体" w:eastAsia="宋体" w:cs="Times New Roman"/>
                <w:color w:val="auto"/>
                <w:sz w:val="24"/>
                <w:highlight w:val="none"/>
              </w:rPr>
              <w:t>991904723110215</w:t>
            </w:r>
            <w:r>
              <w:rPr>
                <w:rFonts w:hint="eastAsia" w:ascii="宋体" w:hAnsi="宋体" w:eastAsia="宋体" w:cs="Times New Roman"/>
                <w:color w:val="auto"/>
                <w:sz w:val="24"/>
                <w:highlight w:val="none"/>
                <w:lang w:val="en-US" w:eastAsia="zh-CN"/>
              </w:rPr>
              <w:t xml:space="preserve"> </w:t>
            </w:r>
          </w:p>
          <w:p w14:paraId="042FB83F">
            <w:pPr>
              <w:spacing w:line="360" w:lineRule="auto"/>
              <w:rPr>
                <w:rFonts w:hint="eastAsia" w:ascii="宋体" w:hAnsi="宋体" w:eastAsia="宋体" w:cs="Times New Roman"/>
                <w:color w:val="auto"/>
                <w:sz w:val="24"/>
                <w:highlight w:val="none"/>
              </w:rPr>
            </w:pPr>
            <w:r>
              <w:rPr>
                <w:rFonts w:ascii="宋体" w:hAnsi="宋体" w:eastAsia="宋体" w:cs="Times New Roman"/>
                <w:color w:val="auto"/>
                <w:sz w:val="24"/>
                <w:highlight w:val="none"/>
              </w:rPr>
              <w:t>行  号：</w:t>
            </w:r>
            <w:r>
              <w:rPr>
                <w:rFonts w:hint="eastAsia" w:ascii="宋体" w:hAnsi="宋体" w:eastAsia="宋体" w:cs="Times New Roman"/>
                <w:color w:val="auto"/>
                <w:sz w:val="24"/>
                <w:highlight w:val="none"/>
              </w:rPr>
              <w:t>308881029026</w:t>
            </w:r>
          </w:p>
          <w:p w14:paraId="34B2819A">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rPr>
              <w:t>投标</w:t>
            </w:r>
            <w:r>
              <w:rPr>
                <w:rFonts w:hint="eastAsia" w:ascii="宋体" w:eastAsia="宋体" w:cs="Times New Roman"/>
                <w:color w:val="auto"/>
                <w:sz w:val="24"/>
                <w:highlight w:val="none"/>
                <w:lang w:val="en-US" w:eastAsia="zh-CN"/>
              </w:rPr>
              <w:t>保证金缴纳形式：以转账、电汇或者保函（政府采购电子保函）等非现金形式提交。</w:t>
            </w:r>
          </w:p>
          <w:p w14:paraId="3A46FA4E">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1.保证金到账截止时间</w:t>
            </w:r>
            <w:bookmarkStart w:id="3" w:name="EB961a54d590dd4901836fe4678f9cafb9"/>
            <w:bookmarkEnd w:id="3"/>
            <w:r>
              <w:rPr>
                <w:rFonts w:hint="eastAsia" w:ascii="宋体" w:eastAsia="宋体" w:cs="Times New Roman"/>
                <w:color w:val="auto"/>
                <w:sz w:val="24"/>
                <w:highlight w:val="none"/>
                <w:lang w:val="en-US" w:eastAsia="zh-CN"/>
              </w:rPr>
              <w:t>：同开标时间（响应文件递交截止时间）</w:t>
            </w:r>
          </w:p>
          <w:p w14:paraId="797C1C49">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 xml:space="preserve">2.缴纳的保证金以保证金实际到达采购代理机构账户时间为准； </w:t>
            </w:r>
          </w:p>
          <w:p w14:paraId="5C3BB3B5">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 xml:space="preserve">3.供应商以转账、电汇或者保函（政府采购电子保函）等非现金形式提交保证金的注意事项如下： </w:t>
            </w:r>
          </w:p>
          <w:p w14:paraId="33330C28">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 xml:space="preserve">（1）保证金单位名称必须与供应商登记的单位名称一致,不得以分公司、办事处或其或其他机构名义交纳,否则其投标将被拒绝。 </w:t>
            </w:r>
          </w:p>
          <w:p w14:paraId="24F31752">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（2）供应商须在响应截止时间前由供应商账户一次性汇入采购文件指定帐号,供应商须自行评估因异地、跨行、公休日等因素造成的保证金到账延迟风险,并承担相应责任。</w:t>
            </w:r>
          </w:p>
          <w:p w14:paraId="1254D758">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（3）供应商请自行查询是否到账,供应商以网银转账、电汇汇款方式缴纳保证金的须从供应商账户转出,请备注项目名称或项目编号。</w:t>
            </w:r>
          </w:p>
          <w:p w14:paraId="1AAA743D">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（4）采用电子保函形式应按以下要求办理：</w:t>
            </w:r>
          </w:p>
          <w:p w14:paraId="2AF69FBB">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具体操作网址详见以下网址</w:t>
            </w:r>
          </w:p>
          <w:p w14:paraId="6C980F7C">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https://jinrong.zcygov.cn/luban/finance/letter/xinjiang?pageModelFlag=650000&amp;utm=luban.luban-PC-42055.959-pc-websitegroup-navBar-front.6.7e243ab01fd611eeaa409fcd72e2594c</w:t>
            </w:r>
          </w:p>
          <w:p w14:paraId="4FC142AD">
            <w:pPr>
              <w:spacing w:line="360" w:lineRule="auto"/>
              <w:rPr>
                <w:rFonts w:hint="eastAsia" w:ascii="宋体" w:eastAsia="宋体" w:cs="Times New Roman"/>
                <w:b/>
                <w:bCs/>
                <w:color w:val="auto"/>
                <w:sz w:val="24"/>
                <w:highlight w:val="none"/>
                <w:lang w:val="en-US" w:eastAsia="zh-CN"/>
              </w:rPr>
            </w:pPr>
            <w:r>
              <w:rPr>
                <w:rFonts w:hint="eastAsia" w:ascii="宋体" w:eastAsia="宋体" w:cs="Times New Roman"/>
                <w:color w:val="auto"/>
                <w:sz w:val="24"/>
                <w:highlight w:val="none"/>
                <w:lang w:val="en-US" w:eastAsia="zh-CN"/>
              </w:rPr>
              <w:t xml:space="preserve">注:供应商未按照招标文件上述要求提交保证金的,投标将被否决。供应商应充分考虑到账时间，否决后果自负。保函应由金融机构或担保机构出具。 </w:t>
            </w:r>
          </w:p>
          <w:p w14:paraId="7DD4A3A6">
            <w:pPr>
              <w:spacing w:line="360" w:lineRule="auto"/>
              <w:rPr>
                <w:rFonts w:hint="eastAsia" w:ascii="宋体" w:eastAsia="宋体" w:cs="Times New Roman"/>
                <w:b w:val="0"/>
                <w:bCs w:val="0"/>
                <w:color w:val="auto"/>
                <w:sz w:val="24"/>
                <w:highlight w:val="none"/>
                <w:lang w:val="en-US" w:eastAsia="zh-CN"/>
              </w:rPr>
            </w:pPr>
            <w:r>
              <w:rPr>
                <w:rFonts w:hint="eastAsia" w:ascii="宋体" w:eastAsia="宋体" w:cs="Times New Roman"/>
                <w:b w:val="0"/>
                <w:bCs w:val="0"/>
                <w:color w:val="auto"/>
                <w:sz w:val="24"/>
                <w:highlight w:val="none"/>
                <w:lang w:val="en-US" w:eastAsia="zh-CN"/>
              </w:rPr>
              <w:t>投标保证金有效期：自提交响应文件的截止之日起90天。</w:t>
            </w:r>
          </w:p>
          <w:p w14:paraId="29EF4C7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投标保证金咨询电话：0991-3265858</w:t>
            </w:r>
          </w:p>
          <w:p w14:paraId="1DEF4B31">
            <w:pPr>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保函格式：将政采云电子保函制作到电子投标文件即可</w:t>
            </w:r>
          </w:p>
          <w:p w14:paraId="62687FB8">
            <w:pPr>
              <w:spacing w:line="360" w:lineRule="auto"/>
              <w:rPr>
                <w:rFonts w:hint="eastAsia" w:ascii="宋体" w:eastAsia="宋体" w:cs="Times New Roman"/>
                <w:color w:val="auto"/>
                <w:sz w:val="24"/>
                <w:highlight w:val="none"/>
              </w:rPr>
            </w:pPr>
            <w:r>
              <w:rPr>
                <w:rFonts w:hint="eastAsia" w:ascii="宋体" w:hAnsi="宋体" w:eastAsia="宋体" w:cs="Times New Roman"/>
                <w:b/>
                <w:color w:val="auto"/>
                <w:sz w:val="24"/>
                <w:highlight w:val="none"/>
              </w:rPr>
              <w:t>注：</w:t>
            </w:r>
            <w:r>
              <w:rPr>
                <w:rFonts w:hint="eastAsia" w:ascii="宋体" w:hAnsi="宋体" w:eastAsia="宋体" w:cs="Times New Roman"/>
                <w:b/>
                <w:bCs/>
                <w:color w:val="auto"/>
                <w:sz w:val="24"/>
                <w:highlight w:val="none"/>
              </w:rPr>
              <w:t>汇款单上需备注项目名称（可简写）</w:t>
            </w:r>
            <w:r>
              <w:rPr>
                <w:rFonts w:hint="eastAsia" w:ascii="宋体" w:hAnsi="宋体" w:eastAsia="宋体" w:cs="Times New Roman"/>
                <w:b/>
                <w:bCs/>
                <w:color w:val="auto"/>
                <w:sz w:val="24"/>
                <w:highlight w:val="none"/>
                <w:lang w:eastAsia="zh-CN"/>
              </w:rPr>
              <w:t>或项目编号</w:t>
            </w:r>
            <w:r>
              <w:rPr>
                <w:rFonts w:hint="eastAsia" w:ascii="宋体" w:hAnsi="宋体" w:eastAsia="宋体" w:cs="Times New Roman"/>
                <w:b/>
                <w:bCs/>
                <w:color w:val="auto"/>
                <w:sz w:val="24"/>
                <w:highlight w:val="none"/>
              </w:rPr>
              <w:t>。投标保证金于截止日之前确认到账，若投标人</w:t>
            </w:r>
            <w:r>
              <w:rPr>
                <w:rFonts w:hint="eastAsia" w:ascii="宋体" w:hAnsi="宋体" w:eastAsia="宋体" w:cs="Times New Roman"/>
                <w:b/>
                <w:bCs/>
                <w:color w:val="auto"/>
                <w:sz w:val="24"/>
                <w:highlight w:val="none"/>
                <w:lang w:val="zh-CN"/>
              </w:rPr>
              <w:t>未按照上述规定缴纳投标保证金</w:t>
            </w:r>
            <w:r>
              <w:rPr>
                <w:rFonts w:ascii="宋体" w:hAnsi="宋体" w:eastAsia="宋体" w:cs="Times New Roman"/>
                <w:b/>
                <w:bCs/>
                <w:color w:val="auto"/>
                <w:sz w:val="24"/>
                <w:highlight w:val="none"/>
                <w:lang w:val="zh-CN"/>
              </w:rPr>
              <w:t>,</w:t>
            </w:r>
            <w:r>
              <w:rPr>
                <w:rFonts w:hint="eastAsia" w:ascii="宋体" w:hAnsi="宋体" w:eastAsia="宋体" w:cs="Times New Roman"/>
                <w:b/>
                <w:bCs/>
                <w:color w:val="auto"/>
                <w:sz w:val="24"/>
                <w:highlight w:val="none"/>
                <w:lang w:val="zh-CN"/>
              </w:rPr>
              <w:t>投标文件将被拒绝评审。</w:t>
            </w:r>
          </w:p>
        </w:tc>
      </w:tr>
      <w:tr w14:paraId="7215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E6D2ECF">
            <w:pPr>
              <w:numPr>
                <w:ilvl w:val="0"/>
                <w:numId w:val="28"/>
              </w:numPr>
              <w:spacing w:line="360" w:lineRule="auto"/>
              <w:ind w:left="425" w:leftChars="0" w:hanging="425" w:firstLineChars="0"/>
              <w:jc w:val="center"/>
              <w:rPr>
                <w:rFonts w:hint="default"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EAA4C3E">
            <w:pPr>
              <w:spacing w:line="360" w:lineRule="auto"/>
              <w:jc w:val="center"/>
              <w:rPr>
                <w:rFonts w:hint="eastAsia" w:ascii="宋体" w:hAnsi="宋体" w:eastAsia="宋体" w:cs="宋体"/>
                <w:b/>
                <w:color w:val="auto"/>
                <w:sz w:val="24"/>
                <w:highlight w:val="none"/>
              </w:rPr>
            </w:pPr>
            <w:r>
              <w:rPr>
                <w:rFonts w:hint="eastAsia" w:eastAsia="宋体" w:cs="Times New Roman"/>
                <w:color w:val="auto"/>
                <w:sz w:val="24"/>
                <w:highlight w:val="none"/>
                <w:lang w:eastAsia="zh-CN"/>
              </w:rPr>
              <w:t>投标</w:t>
            </w:r>
            <w:r>
              <w:rPr>
                <w:rFonts w:eastAsia="宋体" w:cs="Times New Roman"/>
                <w:color w:val="auto"/>
                <w:sz w:val="24"/>
                <w:highlight w:val="none"/>
              </w:rPr>
              <w:t>保证金不予退还的其他情形</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A878082">
            <w:pPr>
              <w:spacing w:line="360" w:lineRule="auto"/>
              <w:jc w:val="left"/>
              <w:rPr>
                <w:rFonts w:eastAsia="宋体" w:cs="Times New Roman"/>
                <w:color w:val="auto"/>
                <w:sz w:val="24"/>
                <w:highlight w:val="none"/>
              </w:rPr>
            </w:pPr>
            <w:r>
              <w:rPr>
                <w:rFonts w:hint="eastAsia" w:eastAsia="宋体" w:cs="Times New Roman"/>
                <w:color w:val="auto"/>
                <w:sz w:val="24"/>
                <w:highlight w:val="none"/>
                <w:lang w:eastAsia="zh-CN"/>
              </w:rPr>
              <w:t>投标</w:t>
            </w:r>
            <w:r>
              <w:rPr>
                <w:rFonts w:eastAsia="宋体" w:cs="Times New Roman"/>
                <w:color w:val="auto"/>
                <w:sz w:val="24"/>
                <w:highlight w:val="none"/>
              </w:rPr>
              <w:t>保证金不予退还的其他情形：</w:t>
            </w:r>
          </w:p>
          <w:p w14:paraId="27E392C6">
            <w:pPr>
              <w:spacing w:line="360" w:lineRule="auto"/>
              <w:jc w:val="left"/>
              <w:rPr>
                <w:rFonts w:eastAsia="宋体" w:cs="Times New Roman"/>
                <w:color w:val="auto"/>
                <w:sz w:val="24"/>
                <w:highlight w:val="none"/>
              </w:rPr>
            </w:pPr>
            <w:r>
              <w:rPr>
                <w:rFonts w:hint="eastAsia" w:eastAsia="宋体" w:cs="Times New Roman"/>
                <w:color w:val="auto"/>
                <w:highlight w:val="none"/>
                <w:lang w:eastAsia="zh-CN"/>
              </w:rPr>
              <w:t>□</w:t>
            </w:r>
            <w:r>
              <w:rPr>
                <w:rFonts w:eastAsia="宋体" w:cs="Times New Roman"/>
                <w:color w:val="auto"/>
                <w:sz w:val="24"/>
                <w:highlight w:val="none"/>
              </w:rPr>
              <w:t>无</w:t>
            </w:r>
          </w:p>
          <w:p w14:paraId="1FFDF18C">
            <w:pPr>
              <w:pStyle w:val="38"/>
              <w:adjustRightInd w:val="0"/>
              <w:snapToGrid w:val="0"/>
              <w:spacing w:line="360" w:lineRule="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sz w:val="24"/>
                <w:highlight w:val="none"/>
              </w:rPr>
              <w:t>有，具体情形：</w:t>
            </w:r>
          </w:p>
          <w:p w14:paraId="074AC4C5">
            <w:pPr>
              <w:pStyle w:val="38"/>
              <w:numPr>
                <w:ilvl w:val="0"/>
                <w:numId w:val="0"/>
              </w:numPr>
              <w:adjustRightInd w:val="0"/>
              <w:snapToGrid w:val="0"/>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1.投标有效期内投标人撤销投标文件的，采购人或者采购代理机构可以不退还投标保证金。</w:t>
            </w:r>
          </w:p>
          <w:p w14:paraId="42640F8C">
            <w:pPr>
              <w:pStyle w:val="38"/>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供应商在提交响应文件截止时间后撤回响应文件的；</w:t>
            </w:r>
          </w:p>
          <w:p w14:paraId="0010B901">
            <w:pPr>
              <w:pStyle w:val="38"/>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供应商在响应文件中提供虚假材料的；</w:t>
            </w:r>
          </w:p>
          <w:p w14:paraId="7F8C9607">
            <w:pPr>
              <w:pStyle w:val="38"/>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4.除因不可抗力或谈判文件、询价通知书认可的情形以外，成交供应商不与采购人签订合同的；</w:t>
            </w:r>
          </w:p>
          <w:p w14:paraId="1AA6B9A4">
            <w:pPr>
              <w:pStyle w:val="38"/>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供应商与采购人、其他供应商或者采购代理机构恶意串通的；</w:t>
            </w:r>
          </w:p>
          <w:p w14:paraId="5B312D0C">
            <w:pPr>
              <w:pStyle w:val="38"/>
              <w:numPr>
                <w:ilvl w:val="0"/>
                <w:numId w:val="0"/>
              </w:numPr>
              <w:adjustRightInd w:val="0"/>
              <w:snapToGrid w:val="0"/>
              <w:spacing w:line="360" w:lineRule="auto"/>
              <w:ind w:left="0" w:leftChars="0" w:firstLine="0" w:firstLineChars="0"/>
              <w:rPr>
                <w:rFonts w:hint="eastAsia" w:ascii="宋体" w:hAnsi="宋体" w:eastAsia="宋体" w:cs="Times New Roman"/>
                <w:b/>
                <w:color w:val="auto"/>
                <w:sz w:val="24"/>
                <w:highlight w:val="none"/>
              </w:rPr>
            </w:pP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en-US" w:eastAsia="zh-CN"/>
              </w:rPr>
              <w:t>采购文件规定的其他情形。</w:t>
            </w:r>
          </w:p>
        </w:tc>
      </w:tr>
      <w:tr w14:paraId="6E01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193FB8F">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73AE7D15">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pacing w:val="-14"/>
                <w:sz w:val="24"/>
                <w:highlight w:val="none"/>
              </w:rPr>
              <w:t>投标文件</w:t>
            </w:r>
            <w:r>
              <w:rPr>
                <w:rFonts w:hint="eastAsia" w:ascii="宋体" w:hAnsi="宋体" w:eastAsia="宋体" w:cs="宋体"/>
                <w:color w:val="auto"/>
                <w:sz w:val="24"/>
                <w:highlight w:val="none"/>
              </w:rPr>
              <w:t>份数及密封情况</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7269335">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电子版投标文件：递交投标文件截止时间之前将电子投标文件上传到“政采云”平台。应按照本项目招标文件和政采云平台的要求编制、加密传输投标文件。</w:t>
            </w:r>
          </w:p>
        </w:tc>
      </w:tr>
      <w:tr w14:paraId="6A05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6BC5D212">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334EFDC">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询问和质疑</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7B055B8">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询问和质疑送达形式：书面</w:t>
            </w:r>
            <w:r>
              <w:rPr>
                <w:rFonts w:hint="eastAsia" w:ascii="宋体" w:hAnsi="宋体" w:eastAsia="宋体" w:cs="宋体"/>
                <w:bCs/>
                <w:color w:val="auto"/>
                <w:sz w:val="24"/>
                <w:highlight w:val="none"/>
                <w:lang w:eastAsia="zh-CN"/>
              </w:rPr>
              <w:t>形式</w:t>
            </w:r>
          </w:p>
        </w:tc>
      </w:tr>
      <w:tr w14:paraId="258C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5F3D299">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F99D7A9">
            <w:pPr>
              <w:spacing w:line="360" w:lineRule="auto"/>
              <w:jc w:val="center"/>
              <w:rPr>
                <w:rFonts w:hint="eastAsia" w:ascii="宋体" w:eastAsia="宋体" w:cs="Times New Roman"/>
                <w:color w:val="auto"/>
                <w:sz w:val="24"/>
                <w:highlight w:val="none"/>
              </w:rPr>
            </w:pPr>
            <w:r>
              <w:rPr>
                <w:rFonts w:eastAsia="宋体" w:cs="Times New Roman"/>
                <w:color w:val="auto"/>
                <w:sz w:val="24"/>
                <w:highlight w:val="none"/>
              </w:rPr>
              <w:t>联系方式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E856CB3">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接收询问和质疑的联系方式</w:t>
            </w:r>
          </w:p>
          <w:p w14:paraId="08F72E8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联系部门：新疆星耀天都项目管理有限责任公司；</w:t>
            </w:r>
          </w:p>
          <w:p w14:paraId="00AAB348">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w:t>
            </w:r>
            <w:r>
              <w:rPr>
                <w:rFonts w:hint="eastAsia" w:ascii="宋体" w:hAnsi="宋体" w:eastAsia="宋体" w:cs="宋体"/>
                <w:bCs/>
                <w:color w:val="auto"/>
                <w:sz w:val="24"/>
                <w:highlight w:val="none"/>
                <w:lang w:eastAsia="zh-CN"/>
              </w:rPr>
              <w:t>人及</w:t>
            </w:r>
            <w:r>
              <w:rPr>
                <w:rFonts w:hint="eastAsia" w:ascii="宋体" w:hAnsi="宋体" w:eastAsia="宋体" w:cs="宋体"/>
                <w:bCs/>
                <w:color w:val="auto"/>
                <w:sz w:val="24"/>
                <w:highlight w:val="none"/>
              </w:rPr>
              <w:t>电话：</w:t>
            </w:r>
            <w:r>
              <w:rPr>
                <w:rFonts w:hint="eastAsia" w:ascii="宋体" w:hAnsi="宋体" w:eastAsia="宋体" w:cs="宋体"/>
                <w:bCs/>
                <w:color w:val="auto"/>
                <w:sz w:val="24"/>
                <w:highlight w:val="none"/>
                <w:lang w:eastAsia="zh-CN"/>
              </w:rPr>
              <w:t>周佳颖</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0991-3265858</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18082891232</w:t>
            </w:r>
            <w:r>
              <w:rPr>
                <w:rFonts w:hint="eastAsia" w:ascii="宋体" w:hAnsi="宋体" w:eastAsia="宋体" w:cs="宋体"/>
                <w:bCs/>
                <w:color w:val="auto"/>
                <w:sz w:val="24"/>
                <w:highlight w:val="none"/>
              </w:rPr>
              <w:t>；</w:t>
            </w:r>
          </w:p>
          <w:p w14:paraId="2282378A">
            <w:pPr>
              <w:spacing w:line="360" w:lineRule="auto"/>
              <w:rPr>
                <w:rFonts w:hint="eastAsia" w:ascii="宋体" w:eastAsia="宋体" w:cs="Times New Roman"/>
                <w:color w:val="auto"/>
                <w:sz w:val="24"/>
                <w:highlight w:val="none"/>
              </w:rPr>
            </w:pPr>
            <w:r>
              <w:rPr>
                <w:rFonts w:hint="eastAsia" w:ascii="宋体" w:hAnsi="宋体" w:eastAsia="宋体" w:cs="宋体"/>
                <w:bCs/>
                <w:color w:val="auto"/>
                <w:sz w:val="24"/>
                <w:highlight w:val="none"/>
              </w:rPr>
              <w:t>通讯地址：乌鲁木齐市天山区光明路59号时代广场A座24F。</w:t>
            </w:r>
          </w:p>
        </w:tc>
      </w:tr>
      <w:tr w14:paraId="24AD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53676703">
            <w:pPr>
              <w:numPr>
                <w:ilvl w:val="0"/>
                <w:numId w:val="28"/>
              </w:numPr>
              <w:spacing w:line="360" w:lineRule="auto"/>
              <w:ind w:left="425" w:leftChars="0" w:hanging="425" w:firstLineChars="0"/>
              <w:jc w:val="center"/>
              <w:rPr>
                <w:rFonts w:hint="default"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41FC10E">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投标报价</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4F962F18">
            <w:pPr>
              <w:spacing w:line="360" w:lineRule="auto"/>
              <w:jc w:val="left"/>
              <w:rPr>
                <w:rFonts w:hint="eastAsia" w:ascii="宋体" w:eastAsia="宋体" w:cs="Times New Roman"/>
                <w:color w:val="auto"/>
                <w:sz w:val="24"/>
                <w:highlight w:val="none"/>
                <w:lang w:eastAsia="zh-CN"/>
              </w:rPr>
            </w:pPr>
            <w:r>
              <w:rPr>
                <w:rFonts w:hint="eastAsia" w:ascii="宋体" w:cs="Times New Roman"/>
                <w:color w:val="auto"/>
                <w:sz w:val="24"/>
                <w:highlight w:val="none"/>
                <w:lang w:val="en-US" w:eastAsia="zh-CN"/>
              </w:rPr>
              <w:t>1.</w:t>
            </w:r>
            <w:r>
              <w:rPr>
                <w:rFonts w:hint="eastAsia" w:ascii="宋体" w:eastAsia="宋体" w:cs="Times New Roman"/>
                <w:color w:val="auto"/>
                <w:sz w:val="24"/>
                <w:highlight w:val="none"/>
              </w:rPr>
              <w:t>投标人应在开标一览表中标明其提供的所有货物及相关工作范围内所有费用的总价。</w:t>
            </w:r>
          </w:p>
          <w:p w14:paraId="00B1AB09">
            <w:pPr>
              <w:spacing w:line="360" w:lineRule="auto"/>
              <w:jc w:val="left"/>
              <w:rPr>
                <w:rFonts w:hint="eastAsia" w:eastAsia="宋体" w:cs="Times New Roman"/>
                <w:color w:val="auto"/>
                <w:sz w:val="24"/>
                <w:highlight w:val="none"/>
                <w:lang w:eastAsia="zh-CN"/>
              </w:rPr>
            </w:pPr>
            <w:r>
              <w:rPr>
                <w:rFonts w:hint="eastAsia" w:cs="Times New Roman"/>
                <w:color w:val="auto"/>
                <w:sz w:val="24"/>
                <w:highlight w:val="none"/>
                <w:lang w:val="en-US" w:eastAsia="zh-CN"/>
              </w:rPr>
              <w:t>2.</w:t>
            </w:r>
            <w:r>
              <w:rPr>
                <w:rFonts w:hint="eastAsia" w:eastAsia="宋体" w:cs="Times New Roman"/>
                <w:color w:val="auto"/>
                <w:sz w:val="24"/>
                <w:highlight w:val="none"/>
                <w:lang w:eastAsia="zh-CN"/>
              </w:rPr>
              <w:t>投标人的报价应包括：</w:t>
            </w:r>
          </w:p>
          <w:p w14:paraId="5B5A25A0">
            <w:pPr>
              <w:spacing w:line="360" w:lineRule="auto"/>
              <w:jc w:val="left"/>
              <w:rPr>
                <w:rFonts w:hint="eastAsia" w:eastAsia="宋体" w:cs="Times New Roman"/>
                <w:color w:val="auto"/>
                <w:sz w:val="24"/>
                <w:highlight w:val="none"/>
                <w:lang w:eastAsia="zh-CN"/>
              </w:rPr>
            </w:pPr>
            <w:r>
              <w:rPr>
                <w:rFonts w:hint="eastAsia" w:cs="Times New Roman"/>
                <w:color w:val="auto"/>
                <w:sz w:val="24"/>
                <w:highlight w:val="none"/>
                <w:lang w:val="en-US" w:eastAsia="zh-CN"/>
              </w:rPr>
              <w:t>2.</w:t>
            </w:r>
            <w:r>
              <w:rPr>
                <w:rFonts w:hint="eastAsia" w:eastAsia="宋体" w:cs="Times New Roman"/>
                <w:color w:val="auto"/>
                <w:sz w:val="24"/>
                <w:highlight w:val="none"/>
                <w:lang w:val="en-US" w:eastAsia="zh-CN"/>
              </w:rPr>
              <w:t>1.</w:t>
            </w:r>
            <w:r>
              <w:rPr>
                <w:rFonts w:hint="eastAsia" w:eastAsia="宋体" w:cs="Times New Roman"/>
                <w:color w:val="auto"/>
                <w:sz w:val="24"/>
                <w:highlight w:val="none"/>
                <w:lang w:eastAsia="zh-CN"/>
              </w:rPr>
              <w:t>投标人的报价应包括为完成本项目所发生的一切费用和税费，招标人将不再支付报价以外的任何费用。投标人的报价应包括但不限于下列内容，《投标人须知资料表》中有特殊规定的，从其规定。</w:t>
            </w:r>
          </w:p>
          <w:p w14:paraId="79321759">
            <w:pPr>
              <w:spacing w:line="360" w:lineRule="auto"/>
              <w:jc w:val="left"/>
              <w:rPr>
                <w:rFonts w:hint="eastAsia" w:eastAsia="宋体" w:cs="Times New Roman"/>
                <w:color w:val="auto"/>
                <w:sz w:val="24"/>
                <w:highlight w:val="none"/>
                <w:lang w:eastAsia="zh-CN"/>
              </w:rPr>
            </w:pPr>
            <w:r>
              <w:rPr>
                <w:rFonts w:hint="eastAsia" w:cs="Times New Roman"/>
                <w:color w:val="auto"/>
                <w:sz w:val="24"/>
                <w:highlight w:val="none"/>
                <w:lang w:val="en-US" w:eastAsia="zh-CN"/>
              </w:rPr>
              <w:t>2.</w:t>
            </w:r>
            <w:r>
              <w:rPr>
                <w:rFonts w:hint="eastAsia" w:eastAsia="宋体" w:cs="Times New Roman"/>
                <w:color w:val="auto"/>
                <w:sz w:val="24"/>
                <w:highlight w:val="none"/>
                <w:lang w:val="en-US" w:eastAsia="zh-CN"/>
              </w:rPr>
              <w:t>2.</w:t>
            </w:r>
            <w:r>
              <w:rPr>
                <w:rFonts w:hint="eastAsia" w:eastAsia="宋体" w:cs="Times New Roman"/>
                <w:color w:val="auto"/>
                <w:sz w:val="24"/>
                <w:highlight w:val="none"/>
                <w:lang w:eastAsia="zh-CN"/>
              </w:rPr>
              <w:t>投标货物等的出厂价（包括已在中国国内的进口货物完税后的仓库交货价、展室交货价或货架交货价）和运至最终目的地的运输费和保险费、检验、培训、质量保证、售后服务、税费等按照招标文件要求完成本项目的全部相关服务费用；</w:t>
            </w:r>
          </w:p>
          <w:p w14:paraId="14D74BB3">
            <w:pPr>
              <w:spacing w:line="360" w:lineRule="auto"/>
              <w:rPr>
                <w:rFonts w:hint="eastAsia" w:eastAsia="宋体" w:cs="Times New Roman"/>
                <w:color w:val="auto"/>
                <w:sz w:val="24"/>
                <w:highlight w:val="none"/>
                <w:lang w:eastAsia="zh-CN"/>
              </w:rPr>
            </w:pPr>
            <w:r>
              <w:rPr>
                <w:rFonts w:hint="eastAsia" w:cs="Times New Roman"/>
                <w:color w:val="auto"/>
                <w:sz w:val="24"/>
                <w:highlight w:val="none"/>
                <w:lang w:val="en-US" w:eastAsia="zh-CN"/>
              </w:rPr>
              <w:t>2.</w:t>
            </w:r>
            <w:r>
              <w:rPr>
                <w:rFonts w:hint="eastAsia" w:eastAsia="宋体" w:cs="Times New Roman"/>
                <w:color w:val="auto"/>
                <w:sz w:val="24"/>
                <w:highlight w:val="none"/>
                <w:lang w:val="en-US" w:eastAsia="zh-CN"/>
              </w:rPr>
              <w:t>3.</w:t>
            </w:r>
            <w:r>
              <w:rPr>
                <w:rFonts w:hint="eastAsia" w:eastAsia="宋体" w:cs="Times New Roman"/>
                <w:color w:val="auto"/>
                <w:sz w:val="24"/>
                <w:highlight w:val="none"/>
                <w:lang w:eastAsia="zh-CN"/>
              </w:rPr>
              <w:t xml:space="preserve">按照招标文件要求完成本项目的全部相关服务费用。 </w:t>
            </w:r>
          </w:p>
          <w:p w14:paraId="3644B618">
            <w:pPr>
              <w:spacing w:line="360" w:lineRule="auto"/>
              <w:rPr>
                <w:rFonts w:hint="eastAsia" w:eastAsia="宋体" w:cs="Times New Roman"/>
                <w:color w:val="auto"/>
                <w:sz w:val="24"/>
                <w:highlight w:val="none"/>
                <w:lang w:eastAsia="zh-CN"/>
              </w:rPr>
            </w:pPr>
            <w:r>
              <w:rPr>
                <w:rFonts w:hint="eastAsia" w:cs="Times New Roman"/>
                <w:color w:val="auto"/>
                <w:sz w:val="24"/>
                <w:highlight w:val="none"/>
                <w:lang w:val="en-US" w:eastAsia="zh-CN"/>
              </w:rPr>
              <w:t>3.</w:t>
            </w:r>
            <w:r>
              <w:rPr>
                <w:rFonts w:hint="eastAsia" w:eastAsia="宋体" w:cs="Times New Roman"/>
                <w:color w:val="auto"/>
                <w:sz w:val="24"/>
                <w:highlight w:val="none"/>
                <w:lang w:eastAsia="zh-CN"/>
              </w:rPr>
              <w:t>本项目投标产品</w:t>
            </w:r>
            <w:r>
              <w:rPr>
                <w:rFonts w:hint="eastAsia" w:eastAsia="宋体" w:cs="Times New Roman"/>
                <w:b/>
                <w:bCs/>
                <w:color w:val="auto"/>
                <w:sz w:val="24"/>
                <w:highlight w:val="none"/>
                <w:lang w:eastAsia="zh-CN"/>
              </w:rPr>
              <w:t>不允许缺漏项</w:t>
            </w:r>
            <w:r>
              <w:rPr>
                <w:rFonts w:hint="eastAsia" w:eastAsia="宋体" w:cs="Times New Roman"/>
                <w:color w:val="auto"/>
                <w:sz w:val="24"/>
                <w:highlight w:val="none"/>
                <w:lang w:eastAsia="zh-CN"/>
              </w:rPr>
              <w:t>，否则视为非实质性响应招标文件要求。投标报价</w:t>
            </w:r>
            <w:r>
              <w:rPr>
                <w:rFonts w:hint="eastAsia" w:eastAsia="宋体" w:cs="Times New Roman"/>
                <w:b/>
                <w:bCs/>
                <w:color w:val="auto"/>
                <w:sz w:val="24"/>
                <w:highlight w:val="none"/>
                <w:lang w:eastAsia="zh-CN"/>
              </w:rPr>
              <w:t>不得有选择性报价和附有条件的报价</w:t>
            </w:r>
            <w:r>
              <w:rPr>
                <w:rFonts w:hint="eastAsia" w:eastAsia="宋体" w:cs="Times New Roman"/>
                <w:color w:val="auto"/>
                <w:sz w:val="24"/>
                <w:highlight w:val="none"/>
                <w:lang w:eastAsia="zh-CN"/>
              </w:rPr>
              <w:t>，且不得高于各标项各品种最高投标限价(单价)，投标供应商投标报价超过单价或单价合计金额的按无效投标处理。</w:t>
            </w:r>
          </w:p>
          <w:p w14:paraId="4C2F0AC0">
            <w:pPr>
              <w:spacing w:line="360" w:lineRule="auto"/>
              <w:rPr>
                <w:rFonts w:hint="default" w:eastAsia="宋体" w:cs="Times New Roman"/>
                <w:color w:val="auto"/>
                <w:sz w:val="24"/>
                <w:highlight w:val="none"/>
                <w:lang w:val="en-US" w:eastAsia="zh-CN"/>
              </w:rPr>
            </w:pPr>
            <w:r>
              <w:rPr>
                <w:rFonts w:hint="eastAsia" w:eastAsia="宋体" w:cs="Times New Roman"/>
                <w:color w:val="auto"/>
                <w:sz w:val="24"/>
                <w:highlight w:val="none"/>
                <w:lang w:eastAsia="zh-CN"/>
              </w:rPr>
              <w:t>该项目为单价采购，最终以实际发生量进行结算</w:t>
            </w:r>
            <w:r>
              <w:rPr>
                <w:rFonts w:hint="eastAsia" w:cs="Times New Roman"/>
                <w:color w:val="auto"/>
                <w:sz w:val="24"/>
                <w:highlight w:val="none"/>
                <w:lang w:eastAsia="zh-CN"/>
              </w:rPr>
              <w:t>。</w:t>
            </w:r>
          </w:p>
        </w:tc>
      </w:tr>
      <w:tr w14:paraId="0A24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0F6EE00">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3682D63">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最高限价</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9A5359D">
            <w:pPr>
              <w:spacing w:line="360" w:lineRule="auto"/>
              <w:ind w:left="14" w:leftChars="0" w:hanging="14" w:hangingChars="6"/>
              <w:rPr>
                <w:rFonts w:hint="eastAsia" w:ascii="宋体" w:cs="Times New Roman"/>
                <w:color w:val="auto"/>
                <w:sz w:val="24"/>
                <w:highlight w:val="none"/>
                <w:lang w:val="en-US" w:eastAsia="zh-CN"/>
              </w:rPr>
            </w:pPr>
            <w:r>
              <w:rPr>
                <w:rFonts w:hint="eastAsia" w:ascii="宋体" w:eastAsia="宋体" w:cs="Times New Roman"/>
                <w:color w:val="auto"/>
                <w:sz w:val="24"/>
                <w:highlight w:val="none"/>
              </w:rPr>
              <w:t>本次招标设置最高限价，</w:t>
            </w:r>
            <w:r>
              <w:rPr>
                <w:rFonts w:hint="eastAsia" w:ascii="宋体" w:cs="Times New Roman"/>
                <w:color w:val="auto"/>
                <w:sz w:val="24"/>
                <w:highlight w:val="none"/>
                <w:shd w:val="clear"/>
                <w:lang w:eastAsia="zh-CN"/>
              </w:rPr>
              <w:t>标项一：</w:t>
            </w:r>
            <w:r>
              <w:rPr>
                <w:rFonts w:hint="eastAsia" w:ascii="宋体" w:eastAsia="宋体" w:cs="Times New Roman"/>
                <w:color w:val="auto"/>
                <w:sz w:val="24"/>
                <w:highlight w:val="none"/>
                <w:shd w:val="clear"/>
              </w:rPr>
              <w:t>最高限价：</w:t>
            </w:r>
            <w:r>
              <w:rPr>
                <w:rFonts w:hint="eastAsia" w:ascii="宋体" w:cs="Times New Roman"/>
                <w:color w:val="auto"/>
                <w:sz w:val="24"/>
                <w:highlight w:val="none"/>
                <w:shd w:val="clear"/>
                <w:lang w:val="en-US" w:eastAsia="zh-CN"/>
              </w:rPr>
              <w:t>142217</w:t>
            </w:r>
            <w:r>
              <w:rPr>
                <w:rFonts w:hint="eastAsia" w:ascii="宋体" w:eastAsia="宋体" w:cs="Times New Roman"/>
                <w:color w:val="auto"/>
                <w:sz w:val="24"/>
                <w:highlight w:val="none"/>
                <w:shd w:val="clear"/>
                <w:lang w:val="en-US" w:eastAsia="zh-CN"/>
              </w:rPr>
              <w:t>元</w:t>
            </w:r>
            <w:r>
              <w:rPr>
                <w:rFonts w:hint="eastAsia" w:ascii="宋体" w:cs="Times New Roman"/>
                <w:color w:val="auto"/>
                <w:sz w:val="24"/>
                <w:highlight w:val="none"/>
                <w:shd w:val="clear"/>
                <w:lang w:val="en-US" w:eastAsia="zh-CN"/>
              </w:rPr>
              <w:t>；</w:t>
            </w:r>
            <w:r>
              <w:rPr>
                <w:rFonts w:hint="eastAsia" w:ascii="宋体" w:cs="Times New Roman"/>
                <w:color w:val="auto"/>
                <w:sz w:val="24"/>
                <w:highlight w:val="none"/>
                <w:shd w:val="clear"/>
                <w:lang w:eastAsia="zh-CN"/>
              </w:rPr>
              <w:t>标项二：</w:t>
            </w:r>
            <w:r>
              <w:rPr>
                <w:rFonts w:hint="eastAsia" w:ascii="宋体" w:eastAsia="宋体" w:cs="Times New Roman"/>
                <w:color w:val="auto"/>
                <w:sz w:val="24"/>
                <w:highlight w:val="none"/>
                <w:shd w:val="clear"/>
              </w:rPr>
              <w:t>最高限价：</w:t>
            </w:r>
            <w:r>
              <w:rPr>
                <w:rFonts w:hint="eastAsia" w:ascii="宋体" w:cs="Times New Roman"/>
                <w:color w:val="auto"/>
                <w:sz w:val="24"/>
                <w:highlight w:val="none"/>
                <w:shd w:val="clear"/>
                <w:lang w:val="en-US" w:eastAsia="zh-CN"/>
              </w:rPr>
              <w:t>142469</w:t>
            </w:r>
            <w:r>
              <w:rPr>
                <w:rFonts w:hint="eastAsia" w:ascii="宋体" w:eastAsia="宋体" w:cs="Times New Roman"/>
                <w:color w:val="auto"/>
                <w:sz w:val="24"/>
                <w:highlight w:val="none"/>
                <w:shd w:val="clear"/>
                <w:lang w:val="en-US" w:eastAsia="zh-CN"/>
              </w:rPr>
              <w:t>元</w:t>
            </w:r>
            <w:r>
              <w:rPr>
                <w:rFonts w:hint="eastAsia" w:ascii="宋体" w:cs="Times New Roman"/>
                <w:color w:val="auto"/>
                <w:sz w:val="24"/>
                <w:highlight w:val="none"/>
                <w:shd w:val="clear"/>
                <w:lang w:val="en-US" w:eastAsia="zh-CN"/>
              </w:rPr>
              <w:t>；</w:t>
            </w:r>
            <w:r>
              <w:rPr>
                <w:rFonts w:hint="eastAsia" w:ascii="宋体" w:cs="Times New Roman"/>
                <w:color w:val="auto"/>
                <w:sz w:val="24"/>
                <w:highlight w:val="none"/>
                <w:shd w:val="clear"/>
                <w:lang w:eastAsia="zh-CN"/>
              </w:rPr>
              <w:t>标项三：</w:t>
            </w:r>
            <w:r>
              <w:rPr>
                <w:rFonts w:hint="eastAsia" w:ascii="宋体" w:eastAsia="宋体" w:cs="Times New Roman"/>
                <w:color w:val="auto"/>
                <w:sz w:val="24"/>
                <w:highlight w:val="none"/>
                <w:shd w:val="clear"/>
              </w:rPr>
              <w:t>最高限价：</w:t>
            </w:r>
            <w:r>
              <w:rPr>
                <w:rFonts w:hint="eastAsia" w:ascii="宋体" w:cs="Times New Roman"/>
                <w:color w:val="auto"/>
                <w:sz w:val="24"/>
                <w:highlight w:val="none"/>
                <w:shd w:val="clear"/>
                <w:lang w:val="en-US" w:eastAsia="zh-CN"/>
              </w:rPr>
              <w:t>141509</w:t>
            </w:r>
            <w:r>
              <w:rPr>
                <w:rFonts w:hint="eastAsia" w:ascii="宋体" w:eastAsia="宋体" w:cs="Times New Roman"/>
                <w:color w:val="auto"/>
                <w:sz w:val="24"/>
                <w:highlight w:val="none"/>
                <w:shd w:val="clear"/>
                <w:lang w:val="en-US" w:eastAsia="zh-CN"/>
              </w:rPr>
              <w:t>元</w:t>
            </w:r>
            <w:r>
              <w:rPr>
                <w:rFonts w:hint="eastAsia" w:ascii="宋体" w:cs="Times New Roman"/>
                <w:color w:val="auto"/>
                <w:sz w:val="24"/>
                <w:highlight w:val="none"/>
                <w:shd w:val="clear"/>
                <w:lang w:val="en-US" w:eastAsia="zh-CN"/>
              </w:rPr>
              <w:t>；</w:t>
            </w:r>
            <w:r>
              <w:rPr>
                <w:rFonts w:hint="eastAsia" w:ascii="宋体" w:cs="Times New Roman"/>
                <w:color w:val="auto"/>
                <w:sz w:val="24"/>
                <w:highlight w:val="none"/>
                <w:shd w:val="clear"/>
                <w:lang w:eastAsia="zh-CN"/>
              </w:rPr>
              <w:t>标项四：</w:t>
            </w:r>
            <w:r>
              <w:rPr>
                <w:rFonts w:hint="eastAsia" w:ascii="宋体" w:eastAsia="宋体" w:cs="Times New Roman"/>
                <w:color w:val="auto"/>
                <w:sz w:val="24"/>
                <w:highlight w:val="none"/>
                <w:shd w:val="clear"/>
              </w:rPr>
              <w:t>最高限价：</w:t>
            </w:r>
            <w:r>
              <w:rPr>
                <w:rFonts w:hint="eastAsia" w:ascii="宋体" w:cs="Times New Roman"/>
                <w:color w:val="auto"/>
                <w:sz w:val="24"/>
                <w:highlight w:val="none"/>
                <w:shd w:val="clear"/>
                <w:lang w:val="en-US" w:eastAsia="zh-CN"/>
              </w:rPr>
              <w:t>141465</w:t>
            </w:r>
            <w:r>
              <w:rPr>
                <w:rFonts w:hint="eastAsia" w:ascii="宋体" w:eastAsia="宋体" w:cs="Times New Roman"/>
                <w:color w:val="auto"/>
                <w:sz w:val="24"/>
                <w:highlight w:val="none"/>
                <w:shd w:val="clear"/>
                <w:lang w:val="en-US" w:eastAsia="zh-CN"/>
              </w:rPr>
              <w:t>元</w:t>
            </w:r>
            <w:r>
              <w:rPr>
                <w:rFonts w:hint="eastAsia" w:ascii="宋体" w:cs="Times New Roman"/>
                <w:color w:val="auto"/>
                <w:sz w:val="24"/>
                <w:highlight w:val="none"/>
                <w:shd w:val="clear"/>
                <w:lang w:val="en-US" w:eastAsia="zh-CN"/>
              </w:rPr>
              <w:t>；</w:t>
            </w:r>
            <w:r>
              <w:rPr>
                <w:rFonts w:hint="eastAsia" w:ascii="宋体" w:cs="Times New Roman"/>
                <w:color w:val="auto"/>
                <w:sz w:val="24"/>
                <w:highlight w:val="none"/>
                <w:shd w:val="clear"/>
                <w:lang w:eastAsia="zh-CN"/>
              </w:rPr>
              <w:t>标项五：</w:t>
            </w:r>
            <w:r>
              <w:rPr>
                <w:rFonts w:hint="eastAsia" w:ascii="宋体" w:eastAsia="宋体" w:cs="Times New Roman"/>
                <w:color w:val="auto"/>
                <w:sz w:val="24"/>
                <w:highlight w:val="none"/>
                <w:shd w:val="clear"/>
              </w:rPr>
              <w:t>最高限价：</w:t>
            </w:r>
            <w:r>
              <w:rPr>
                <w:rFonts w:hint="eastAsia" w:ascii="宋体" w:cs="Times New Roman"/>
                <w:color w:val="auto"/>
                <w:sz w:val="24"/>
                <w:highlight w:val="none"/>
                <w:shd w:val="clear"/>
                <w:lang w:val="en-US" w:eastAsia="zh-CN"/>
              </w:rPr>
              <w:t>141760</w:t>
            </w:r>
            <w:r>
              <w:rPr>
                <w:rFonts w:hint="eastAsia" w:ascii="宋体" w:eastAsia="宋体" w:cs="Times New Roman"/>
                <w:color w:val="auto"/>
                <w:sz w:val="24"/>
                <w:highlight w:val="none"/>
                <w:shd w:val="clear"/>
                <w:lang w:val="en-US" w:eastAsia="zh-CN"/>
              </w:rPr>
              <w:t>元</w:t>
            </w:r>
            <w:r>
              <w:rPr>
                <w:rFonts w:hint="eastAsia" w:ascii="宋体" w:cs="Times New Roman"/>
                <w:color w:val="auto"/>
                <w:sz w:val="24"/>
                <w:highlight w:val="none"/>
                <w:shd w:val="clear"/>
                <w:lang w:val="en-US" w:eastAsia="zh-CN"/>
              </w:rPr>
              <w:t>；</w:t>
            </w:r>
          </w:p>
          <w:p w14:paraId="76D8DE66">
            <w:pPr>
              <w:spacing w:line="360" w:lineRule="auto"/>
              <w:ind w:left="14" w:leftChars="0" w:hanging="14" w:hangingChars="6"/>
              <w:rPr>
                <w:rFonts w:ascii="宋体" w:eastAsia="宋体" w:cs="Times New Roman"/>
                <w:color w:val="auto"/>
                <w:sz w:val="24"/>
                <w:highlight w:val="none"/>
              </w:rPr>
            </w:pPr>
            <w:r>
              <w:rPr>
                <w:rFonts w:hint="eastAsia" w:ascii="宋体" w:eastAsia="宋体" w:cs="Times New Roman"/>
                <w:color w:val="auto"/>
                <w:sz w:val="24"/>
                <w:highlight w:val="none"/>
                <w:lang w:val="en-US" w:eastAsia="zh-CN"/>
              </w:rPr>
              <w:t>详见“</w:t>
            </w:r>
            <w:r>
              <w:rPr>
                <w:rFonts w:hint="eastAsia" w:ascii="宋体" w:cs="Times New Roman"/>
                <w:color w:val="auto"/>
                <w:sz w:val="24"/>
                <w:highlight w:val="none"/>
                <w:lang w:val="en-US" w:eastAsia="zh-CN"/>
              </w:rPr>
              <w:t>附件《采购需求补充材料》</w:t>
            </w:r>
            <w:r>
              <w:rPr>
                <w:rFonts w:hint="eastAsia" w:ascii="宋体" w:eastAsia="宋体" w:cs="Times New Roman"/>
                <w:color w:val="auto"/>
                <w:sz w:val="24"/>
                <w:highlight w:val="none"/>
                <w:lang w:val="en-US" w:eastAsia="zh-CN"/>
              </w:rPr>
              <w:t>”</w:t>
            </w:r>
          </w:p>
          <w:p w14:paraId="176290E0">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各投标单位的总价</w:t>
            </w:r>
            <w:r>
              <w:rPr>
                <w:rFonts w:hint="eastAsia" w:ascii="宋体" w:eastAsia="宋体" w:cs="Times New Roman"/>
                <w:color w:val="auto"/>
                <w:sz w:val="24"/>
                <w:highlight w:val="none"/>
                <w:lang w:val="en-US" w:eastAsia="zh-CN"/>
              </w:rPr>
              <w:t>及</w:t>
            </w:r>
            <w:r>
              <w:rPr>
                <w:rFonts w:hint="eastAsia" w:ascii="宋体" w:cs="Times New Roman"/>
                <w:color w:val="auto"/>
                <w:sz w:val="24"/>
                <w:highlight w:val="none"/>
                <w:lang w:val="en-US" w:eastAsia="zh-CN"/>
              </w:rPr>
              <w:t>各产品</w:t>
            </w:r>
            <w:r>
              <w:rPr>
                <w:rFonts w:hint="eastAsia" w:ascii="宋体" w:eastAsia="宋体" w:cs="Times New Roman"/>
                <w:color w:val="auto"/>
                <w:sz w:val="24"/>
                <w:highlight w:val="none"/>
                <w:lang w:val="en-US" w:eastAsia="zh-CN"/>
              </w:rPr>
              <w:t>单价</w:t>
            </w:r>
            <w:r>
              <w:rPr>
                <w:rFonts w:hint="eastAsia" w:ascii="宋体" w:eastAsia="宋体" w:cs="Times New Roman"/>
                <w:color w:val="auto"/>
                <w:sz w:val="24"/>
                <w:highlight w:val="none"/>
              </w:rPr>
              <w:t>不得超出最高限价,否则将作废标处理。</w:t>
            </w:r>
          </w:p>
        </w:tc>
      </w:tr>
      <w:tr w14:paraId="0498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1" w:type="dxa"/>
            <w:tcBorders>
              <w:left w:val="single" w:color="auto" w:sz="4" w:space="0"/>
              <w:right w:val="single" w:color="auto" w:sz="4" w:space="0"/>
            </w:tcBorders>
            <w:noWrap w:val="0"/>
            <w:vAlign w:val="center"/>
          </w:tcPr>
          <w:p w14:paraId="39CE6962">
            <w:pPr>
              <w:numPr>
                <w:ilvl w:val="0"/>
                <w:numId w:val="28"/>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left w:val="single" w:color="auto" w:sz="4" w:space="0"/>
              <w:right w:val="single" w:color="auto" w:sz="4" w:space="0"/>
            </w:tcBorders>
            <w:noWrap w:val="0"/>
            <w:vAlign w:val="center"/>
          </w:tcPr>
          <w:p w14:paraId="16395F03">
            <w:pPr>
              <w:spacing w:line="360" w:lineRule="auto"/>
              <w:jc w:val="center"/>
              <w:rPr>
                <w:rFonts w:hint="eastAsia" w:ascii="宋体" w:eastAsia="宋体" w:cs="Times New Roman"/>
                <w:color w:val="auto"/>
                <w:spacing w:val="-14"/>
                <w:sz w:val="24"/>
                <w:highlight w:val="none"/>
              </w:rPr>
            </w:pPr>
            <w:r>
              <w:rPr>
                <w:rFonts w:hint="eastAsia" w:ascii="宋体" w:hAnsi="宋体" w:eastAsia="宋体" w:cs="Times New Roman"/>
                <w:color w:val="auto"/>
                <w:sz w:val="24"/>
                <w:highlight w:val="none"/>
              </w:rPr>
              <w:t>采购代理服务费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13B042E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收费标准：</w:t>
            </w:r>
            <w:r>
              <w:rPr>
                <w:rFonts w:hint="eastAsia" w:ascii="宋体" w:hAnsi="宋体" w:eastAsia="宋体" w:cs="Times New Roman"/>
                <w:color w:val="auto"/>
                <w:sz w:val="24"/>
                <w:highlight w:val="none"/>
              </w:rPr>
              <w:t>参照国家发展计划委员会文件（计价格[2002]1980号文）和（发改办价格[2003]857号文件）所规定标准由成交人向采购代理机构支付。</w:t>
            </w:r>
          </w:p>
          <w:p w14:paraId="0B82545C">
            <w:pPr>
              <w:spacing w:line="360" w:lineRule="auto"/>
              <w:rPr>
                <w:rFonts w:hint="eastAsia" w:eastAsia="宋体" w:cs="Times New Roman"/>
                <w:color w:val="auto"/>
                <w:highlight w:val="none"/>
              </w:rPr>
            </w:pPr>
            <w:r>
              <w:rPr>
                <w:rFonts w:hint="eastAsia" w:ascii="宋体" w:hAnsi="宋体" w:eastAsia="宋体" w:cs="Times New Roman"/>
                <w:color w:val="auto"/>
                <w:sz w:val="24"/>
                <w:highlight w:val="none"/>
              </w:rPr>
              <w:t>缴纳时间：中标人领取中标通知书时缴纳。</w:t>
            </w:r>
          </w:p>
        </w:tc>
      </w:tr>
      <w:tr w14:paraId="10BE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1" w:type="dxa"/>
            <w:tcBorders>
              <w:left w:val="single" w:color="auto" w:sz="4" w:space="0"/>
              <w:right w:val="single" w:color="auto" w:sz="4" w:space="0"/>
            </w:tcBorders>
            <w:noWrap w:val="0"/>
            <w:vAlign w:val="center"/>
          </w:tcPr>
          <w:p w14:paraId="7947F993">
            <w:pPr>
              <w:numPr>
                <w:ilvl w:val="0"/>
                <w:numId w:val="28"/>
              </w:numPr>
              <w:spacing w:line="360" w:lineRule="auto"/>
              <w:ind w:left="425" w:leftChars="0" w:hanging="425" w:firstLineChars="0"/>
              <w:jc w:val="center"/>
              <w:rPr>
                <w:rFonts w:hint="eastAsia" w:ascii="宋体" w:eastAsia="宋体" w:cs="Times New Roman"/>
                <w:color w:val="auto"/>
                <w:sz w:val="24"/>
                <w:highlight w:val="none"/>
                <w:lang w:val="en-US" w:eastAsia="zh-CN"/>
              </w:rPr>
            </w:pPr>
          </w:p>
        </w:tc>
        <w:tc>
          <w:tcPr>
            <w:tcW w:w="1762" w:type="dxa"/>
            <w:tcBorders>
              <w:left w:val="single" w:color="auto" w:sz="4" w:space="0"/>
              <w:right w:val="single" w:color="auto" w:sz="4" w:space="0"/>
            </w:tcBorders>
            <w:noWrap w:val="0"/>
            <w:vAlign w:val="center"/>
          </w:tcPr>
          <w:p w14:paraId="4A59CC1C">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其他补充事宜</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C407F3B">
            <w:pPr>
              <w:spacing w:line="360" w:lineRule="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招标文件中部分加“★为实质性条款，若不满足其投标文件将被拒绝</w:t>
            </w:r>
            <w:r>
              <w:rPr>
                <w:rFonts w:hint="eastAsia" w:ascii="仿宋" w:hAnsi="仿宋" w:eastAsia="仿宋" w:cs="仿宋"/>
                <w:b w:val="0"/>
                <w:bCs/>
                <w:color w:val="auto"/>
                <w:sz w:val="24"/>
                <w:highlight w:val="none"/>
              </w:rPr>
              <w:t>”，</w:t>
            </w:r>
            <w:r>
              <w:rPr>
                <w:rFonts w:hint="eastAsia" w:ascii="宋体" w:hAnsi="宋体" w:eastAsia="宋体" w:cs="宋体"/>
                <w:b w:val="0"/>
                <w:bCs/>
                <w:color w:val="auto"/>
                <w:sz w:val="24"/>
                <w:highlight w:val="none"/>
              </w:rPr>
              <w:t>文件中部分“加粗、加下划线、废标、无效标、响应被拒绝字样的条款”，为采购的实质性要求和条件，着重提醒各供应商注意，并认真查看招标文件中的每一个条款及要求，因误读招标文件而造成的后果，招标人概不负责。</w:t>
            </w:r>
          </w:p>
          <w:p w14:paraId="613FFD7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投标人应自行承担所有与准备和参加投标有关的费用，无论投标的结果如何，采购人或采购代理机构在任何情况下均无承担这些费用的义务和责任。</w:t>
            </w:r>
          </w:p>
          <w:p w14:paraId="794CCB1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3.样品递交截止时间及地点：</w:t>
            </w:r>
          </w:p>
          <w:p w14:paraId="0330DB35">
            <w:p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sz w:val="24"/>
                <w:highlight w:val="none"/>
              </w:rPr>
              <w:t>投标供应商应提供实物供现场评测:开标前，投标供应商必须按照招标文件规定的第</w:t>
            </w:r>
            <w:r>
              <w:rPr>
                <w:rFonts w:hint="eastAsia" w:ascii="宋体" w:hAnsi="宋体" w:cs="宋体"/>
                <w:b/>
                <w:color w:val="auto"/>
                <w:sz w:val="24"/>
                <w:highlight w:val="none"/>
                <w:lang w:eastAsia="zh-CN"/>
              </w:rPr>
              <w:t>五</w:t>
            </w:r>
            <w:r>
              <w:rPr>
                <w:rFonts w:hint="eastAsia" w:ascii="宋体" w:hAnsi="宋体" w:eastAsia="宋体" w:cs="宋体"/>
                <w:b/>
                <w:color w:val="auto"/>
                <w:sz w:val="24"/>
                <w:highlight w:val="none"/>
              </w:rPr>
              <w:t>部分《采购需求》提供所要求</w:t>
            </w:r>
            <w:r>
              <w:rPr>
                <w:rFonts w:hint="eastAsia" w:ascii="宋体" w:hAnsi="宋体" w:cs="宋体"/>
                <w:b/>
                <w:color w:val="auto"/>
                <w:sz w:val="24"/>
                <w:highlight w:val="none"/>
                <w:lang w:eastAsia="zh-CN"/>
              </w:rPr>
              <w:t>的</w:t>
            </w:r>
            <w:r>
              <w:rPr>
                <w:rFonts w:hint="eastAsia" w:ascii="宋体" w:hAnsi="宋体" w:eastAsia="宋体" w:cs="宋体"/>
                <w:b/>
                <w:color w:val="auto"/>
                <w:sz w:val="24"/>
                <w:highlight w:val="none"/>
              </w:rPr>
              <w:t>样品，各投标供应商须单独提供所述样品，在样品箱上，采用 210mm x 297mm（约 8.27 英寸 x 11.69 英寸）白色纸张，张贴样品清单及样品数量，显示供应商名称及联系人、联系方式，并密封完好</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所提供样品须与投标文件内</w:t>
            </w:r>
            <w:r>
              <w:rPr>
                <w:rFonts w:hint="eastAsia" w:ascii="宋体" w:hAnsi="宋体" w:cs="宋体"/>
                <w:b/>
                <w:color w:val="auto"/>
                <w:sz w:val="24"/>
                <w:highlight w:val="none"/>
                <w:lang w:eastAsia="zh-CN"/>
              </w:rPr>
              <w:t>所述内容</w:t>
            </w:r>
            <w:r>
              <w:rPr>
                <w:rFonts w:hint="eastAsia" w:ascii="宋体" w:hAnsi="宋体" w:eastAsia="宋体" w:cs="宋体"/>
                <w:b/>
                <w:color w:val="auto"/>
                <w:sz w:val="24"/>
                <w:highlight w:val="none"/>
              </w:rPr>
              <w:t>产品一致，且每个品种只能提供一种样品，投标供应商需按每种原厂最小包装规格准备样品</w:t>
            </w:r>
            <w:r>
              <w:rPr>
                <w:rFonts w:hint="eastAsia" w:ascii="宋体" w:hAnsi="宋体" w:cs="宋体"/>
                <w:b/>
                <w:color w:val="auto"/>
                <w:sz w:val="24"/>
                <w:highlight w:val="none"/>
                <w:lang w:eastAsia="zh-CN"/>
              </w:rPr>
              <w:t>；包装袋上需</w:t>
            </w:r>
            <w:r>
              <w:rPr>
                <w:rFonts w:hint="eastAsia" w:ascii="宋体" w:hAnsi="宋体" w:eastAsia="宋体" w:cs="宋体"/>
                <w:b/>
                <w:color w:val="auto"/>
                <w:sz w:val="24"/>
                <w:highlight w:val="none"/>
              </w:rPr>
              <w:t>标注药品的名称、产地</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生产厂家</w:t>
            </w:r>
            <w:r>
              <w:rPr>
                <w:rFonts w:hint="eastAsia" w:ascii="宋体" w:hAnsi="宋体" w:cs="宋体"/>
                <w:b/>
                <w:color w:val="auto"/>
                <w:sz w:val="24"/>
                <w:highlight w:val="none"/>
                <w:lang w:eastAsia="zh-CN"/>
              </w:rPr>
              <w:t>及产品溯源码；并单独提供完整、真实的所投产品的外包装袋，密封在样品箱中，和样品共同递交。</w:t>
            </w:r>
          </w:p>
          <w:p w14:paraId="318098A9">
            <w:p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sz w:val="24"/>
                <w:highlight w:val="none"/>
              </w:rPr>
              <w:t>如未按规定提供</w:t>
            </w:r>
            <w:r>
              <w:rPr>
                <w:rFonts w:hint="eastAsia" w:ascii="宋体" w:hAnsi="宋体" w:cs="宋体"/>
                <w:b/>
                <w:color w:val="auto"/>
                <w:sz w:val="24"/>
                <w:highlight w:val="none"/>
                <w:lang w:eastAsia="zh-CN"/>
              </w:rPr>
              <w:t>上述内容</w:t>
            </w:r>
            <w:r>
              <w:rPr>
                <w:rFonts w:hint="eastAsia" w:ascii="宋体" w:hAnsi="宋体" w:eastAsia="宋体" w:cs="宋体"/>
                <w:b/>
                <w:color w:val="auto"/>
                <w:sz w:val="24"/>
                <w:highlight w:val="none"/>
              </w:rPr>
              <w:t>则不作为评标依据，对评标结果产生的不良影响，由投标供应商自行承担</w:t>
            </w:r>
            <w:r>
              <w:rPr>
                <w:rFonts w:hint="eastAsia" w:ascii="宋体" w:hAnsi="宋体" w:cs="宋体"/>
                <w:b/>
                <w:color w:val="auto"/>
                <w:sz w:val="24"/>
                <w:highlight w:val="none"/>
                <w:lang w:eastAsia="zh-CN"/>
              </w:rPr>
              <w:t>。</w:t>
            </w:r>
          </w:p>
          <w:p w14:paraId="2A38EDC5">
            <w:p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sz w:val="24"/>
                <w:highlight w:val="none"/>
              </w:rPr>
              <w:t>递交时间:202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年1月</w:t>
            </w:r>
            <w:r>
              <w:rPr>
                <w:rFonts w:hint="eastAsia" w:ascii="宋体" w:hAnsi="宋体" w:cs="宋体"/>
                <w:b/>
                <w:color w:val="auto"/>
                <w:sz w:val="24"/>
                <w:highlight w:val="none"/>
                <w:lang w:val="en-US" w:eastAsia="zh-CN"/>
              </w:rPr>
              <w:t>26</w:t>
            </w:r>
            <w:r>
              <w:rPr>
                <w:rFonts w:hint="eastAsia" w:ascii="宋体" w:hAnsi="宋体" w:eastAsia="宋体" w:cs="宋体"/>
                <w:b/>
                <w:color w:val="auto"/>
                <w:sz w:val="24"/>
                <w:highlight w:val="none"/>
              </w:rPr>
              <w:t>日11:00 时 10:00-11:00(北京时间)截止时间:同提交(上传)投标文件截止时间</w:t>
            </w:r>
            <w:r>
              <w:rPr>
                <w:rFonts w:hint="eastAsia" w:ascii="宋体" w:hAnsi="宋体" w:cs="宋体"/>
                <w:b/>
                <w:color w:val="auto"/>
                <w:sz w:val="24"/>
                <w:highlight w:val="none"/>
                <w:lang w:eastAsia="zh-CN"/>
              </w:rPr>
              <w:t>。</w:t>
            </w:r>
          </w:p>
          <w:p w14:paraId="3CF2BB4B">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递交地点：乌鲁木齐市时代广场A座25A-F室(乘坐单层电梯至23楼，转乘对面电梯至24楼F室)</w:t>
            </w:r>
          </w:p>
          <w:p w14:paraId="63D59035">
            <w:pPr>
              <w:spacing w:line="360" w:lineRule="auto"/>
              <w:rPr>
                <w:rFonts w:hint="default"/>
                <w:highlight w:val="none"/>
                <w:lang w:val="en-US" w:eastAsia="zh-CN"/>
              </w:rPr>
            </w:pP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kern w:val="2"/>
                <w:sz w:val="24"/>
                <w:szCs w:val="24"/>
                <w:highlight w:val="none"/>
                <w:lang w:val="en-US" w:eastAsia="zh-CN" w:bidi="ar-SA"/>
              </w:rPr>
              <w:t>本项目兼投不兼中，按照顺序先评审标项一，如投标人在标项一中为第一中标候选人，在第二标项仍被确认为第一中标候选人，该投标人需在发布中标（成交）结果公告后放弃标项二中标</w:t>
            </w:r>
            <w:r>
              <w:rPr>
                <w:rFonts w:hint="eastAsia" w:ascii="宋体" w:hAnsi="宋体" w:cs="宋体"/>
                <w:b w:val="0"/>
                <w:bCs/>
                <w:color w:val="auto"/>
                <w:kern w:val="2"/>
                <w:sz w:val="24"/>
                <w:szCs w:val="24"/>
                <w:highlight w:val="none"/>
                <w:lang w:val="en-US" w:eastAsia="zh-CN" w:bidi="ar-SA"/>
              </w:rPr>
              <w:t>，以此类推</w:t>
            </w:r>
            <w:r>
              <w:rPr>
                <w:rFonts w:hint="eastAsia" w:ascii="宋体" w:hAnsi="宋体" w:eastAsia="宋体" w:cs="宋体"/>
                <w:b w:val="0"/>
                <w:bCs/>
                <w:color w:val="auto"/>
                <w:kern w:val="2"/>
                <w:sz w:val="24"/>
                <w:szCs w:val="24"/>
                <w:highlight w:val="none"/>
                <w:lang w:val="en-US" w:eastAsia="zh-CN" w:bidi="ar-SA"/>
              </w:rPr>
              <w:t>（注：本项目每标项第一中标候选人兼投不得兼中）</w:t>
            </w:r>
          </w:p>
        </w:tc>
      </w:tr>
    </w:tbl>
    <w:p w14:paraId="0A0D905D">
      <w:pPr>
        <w:jc w:val="center"/>
        <w:rPr>
          <w:rFonts w:hint="eastAsia" w:ascii="宋体"/>
          <w:b/>
          <w:color w:val="auto"/>
          <w:sz w:val="32"/>
          <w:szCs w:val="32"/>
          <w:highlight w:val="none"/>
        </w:rPr>
      </w:pPr>
      <w:bookmarkStart w:id="4" w:name="_Toc501639724"/>
      <w:r>
        <w:rPr>
          <w:rFonts w:hint="eastAsia" w:ascii="宋体"/>
          <w:b/>
          <w:color w:val="auto"/>
          <w:sz w:val="32"/>
          <w:szCs w:val="32"/>
          <w:highlight w:val="none"/>
        </w:rPr>
        <w:br w:type="page"/>
      </w:r>
      <w:r>
        <w:rPr>
          <w:rFonts w:hint="eastAsia" w:ascii="宋体"/>
          <w:b/>
          <w:color w:val="auto"/>
          <w:sz w:val="32"/>
          <w:szCs w:val="32"/>
          <w:highlight w:val="none"/>
        </w:rPr>
        <w:t>投标人须知</w:t>
      </w:r>
      <w:bookmarkEnd w:id="4"/>
    </w:p>
    <w:p w14:paraId="7FC33748">
      <w:pPr>
        <w:jc w:val="center"/>
        <w:rPr>
          <w:rFonts w:hint="eastAsia" w:ascii="宋体"/>
          <w:b/>
          <w:color w:val="auto"/>
          <w:sz w:val="32"/>
          <w:szCs w:val="32"/>
          <w:highlight w:val="none"/>
        </w:rPr>
      </w:pPr>
      <w:r>
        <w:rPr>
          <w:rFonts w:hint="eastAsia" w:ascii="宋体"/>
          <w:b/>
          <w:color w:val="auto"/>
          <w:sz w:val="32"/>
          <w:szCs w:val="32"/>
          <w:highlight w:val="none"/>
        </w:rPr>
        <w:t>一  说  明</w:t>
      </w:r>
    </w:p>
    <w:p w14:paraId="273CC062">
      <w:pPr>
        <w:numPr>
          <w:ilvl w:val="0"/>
          <w:numId w:val="29"/>
        </w:numPr>
        <w:tabs>
          <w:tab w:val="left" w:pos="360"/>
          <w:tab w:val="clear" w:pos="900"/>
        </w:tabs>
        <w:snapToGrid w:val="0"/>
        <w:spacing w:line="360" w:lineRule="auto"/>
        <w:ind w:left="357" w:hanging="357"/>
        <w:rPr>
          <w:color w:val="auto"/>
          <w:sz w:val="24"/>
          <w:highlight w:val="none"/>
        </w:rPr>
      </w:pPr>
      <w:bookmarkStart w:id="5" w:name="_Toc264969209"/>
      <w:bookmarkStart w:id="6" w:name="_Toc305158787"/>
      <w:bookmarkStart w:id="7" w:name="_Toc305158861"/>
      <w:bookmarkStart w:id="8" w:name="_Toc265228357"/>
      <w:r>
        <w:rPr>
          <w:color w:val="auto"/>
          <w:sz w:val="24"/>
          <w:highlight w:val="none"/>
        </w:rPr>
        <w:t>采购人、采购代理机构、投标人</w:t>
      </w:r>
      <w:bookmarkEnd w:id="5"/>
      <w:bookmarkEnd w:id="6"/>
      <w:bookmarkEnd w:id="7"/>
      <w:bookmarkEnd w:id="8"/>
      <w:r>
        <w:rPr>
          <w:rFonts w:hint="eastAsia"/>
          <w:color w:val="auto"/>
          <w:sz w:val="24"/>
          <w:highlight w:val="none"/>
        </w:rPr>
        <w:t>、联合体</w:t>
      </w:r>
    </w:p>
    <w:p w14:paraId="64AFD13C">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1.1</w:t>
      </w:r>
      <w:r>
        <w:rPr>
          <w:color w:val="auto"/>
          <w:sz w:val="24"/>
          <w:highlight w:val="none"/>
        </w:rPr>
        <w:t>采购人、采购代理机构：指依法进行政府采购的国家机关、事业单位、团体组织，及其委托的采购代理机构。本项目采购人、采购代理机构见第一章《投标邀请》。</w:t>
      </w:r>
    </w:p>
    <w:p w14:paraId="0B42FFF6">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1.2</w:t>
      </w: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14:paraId="0E612174">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1.3联合体：指两个以上的自然人、法人或者其他组织组成一个联合体，以一个供应商的身份共同参加政府采购。</w:t>
      </w:r>
    </w:p>
    <w:p w14:paraId="7B0E8047">
      <w:pPr>
        <w:numPr>
          <w:ilvl w:val="0"/>
          <w:numId w:val="29"/>
        </w:numPr>
        <w:tabs>
          <w:tab w:val="left" w:pos="360"/>
          <w:tab w:val="clear" w:pos="900"/>
        </w:tabs>
        <w:snapToGrid w:val="0"/>
        <w:spacing w:line="360" w:lineRule="auto"/>
        <w:ind w:left="357" w:hanging="357"/>
        <w:rPr>
          <w:color w:val="auto"/>
          <w:sz w:val="24"/>
          <w:highlight w:val="none"/>
        </w:rPr>
      </w:pPr>
      <w:bookmarkStart w:id="9" w:name="_Toc164608789"/>
      <w:bookmarkStart w:id="10" w:name="_Toc226337216"/>
      <w:bookmarkStart w:id="11" w:name="_Toc150774725"/>
      <w:bookmarkStart w:id="12" w:name="_Toc195842885"/>
      <w:bookmarkStart w:id="13" w:name="_Toc151193762"/>
      <w:bookmarkStart w:id="14" w:name="_Toc305158788"/>
      <w:bookmarkStart w:id="15" w:name="_Toc265228358"/>
      <w:bookmarkStart w:id="16" w:name="_Toc150480758"/>
      <w:bookmarkStart w:id="17" w:name="_Toc164608634"/>
      <w:bookmarkStart w:id="18" w:name="_Toc151193834"/>
      <w:bookmarkStart w:id="19" w:name="_Toc150774620"/>
      <w:bookmarkStart w:id="20" w:name="_Toc164229361"/>
      <w:bookmarkStart w:id="21" w:name="_Toc226309764"/>
      <w:bookmarkStart w:id="22" w:name="_Toc226965710"/>
      <w:bookmarkStart w:id="23" w:name="_Toc151190147"/>
      <w:bookmarkStart w:id="24" w:name="_Toc142311022"/>
      <w:bookmarkStart w:id="25" w:name="_Toc151193618"/>
      <w:bookmarkStart w:id="26" w:name="_Toc127151721"/>
      <w:bookmarkStart w:id="27" w:name="_Toc151193690"/>
      <w:bookmarkStart w:id="28" w:name="_Toc164351614"/>
      <w:bookmarkStart w:id="29" w:name="_Toc305158862"/>
      <w:bookmarkStart w:id="30" w:name="_Toc164229215"/>
      <w:bookmarkStart w:id="31" w:name="_Toc151193908"/>
      <w:bookmarkStart w:id="32" w:name="_Toc226965793"/>
      <w:bookmarkStart w:id="33" w:name="_Toc127151520"/>
      <w:bookmarkStart w:id="34" w:name="_Toc149720813"/>
      <w:bookmarkStart w:id="35" w:name="_Toc150509271"/>
      <w:bookmarkStart w:id="36" w:name="_Toc264969210"/>
      <w:bookmarkStart w:id="37" w:name="_Toc127161434"/>
      <w:r>
        <w:rPr>
          <w:color w:val="auto"/>
          <w:sz w:val="24"/>
          <w:highlight w:val="none"/>
        </w:rPr>
        <w:t>资金来源</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color w:val="auto"/>
          <w:sz w:val="24"/>
          <w:highlight w:val="none"/>
        </w:rPr>
        <w:t>、项目属性、科研仪器设备采购、核心产品</w:t>
      </w:r>
    </w:p>
    <w:p w14:paraId="3EB29BF6">
      <w:pPr>
        <w:tabs>
          <w:tab w:val="left" w:pos="1080"/>
          <w:tab w:val="left" w:pos="2014"/>
        </w:tabs>
        <w:snapToGrid w:val="0"/>
        <w:spacing w:line="360" w:lineRule="auto"/>
        <w:ind w:left="360"/>
        <w:rPr>
          <w:color w:val="auto"/>
          <w:sz w:val="24"/>
          <w:highlight w:val="none"/>
        </w:rPr>
      </w:pPr>
      <w:r>
        <w:rPr>
          <w:rFonts w:hint="eastAsia"/>
          <w:color w:val="auto"/>
          <w:sz w:val="24"/>
          <w:highlight w:val="none"/>
        </w:rPr>
        <w:t>2.1</w:t>
      </w:r>
      <w:r>
        <w:rPr>
          <w:color w:val="auto"/>
          <w:sz w:val="24"/>
          <w:highlight w:val="none"/>
        </w:rPr>
        <w:t>资金来源为财政性资金和/或本项目采购中无法与财政性资金分割的非财政性资金。</w:t>
      </w:r>
    </w:p>
    <w:p w14:paraId="35D91F76">
      <w:pPr>
        <w:tabs>
          <w:tab w:val="left" w:pos="1080"/>
          <w:tab w:val="left" w:pos="2014"/>
        </w:tabs>
        <w:snapToGrid w:val="0"/>
        <w:spacing w:line="360" w:lineRule="auto"/>
        <w:ind w:left="360"/>
        <w:rPr>
          <w:color w:val="auto"/>
          <w:sz w:val="24"/>
          <w:highlight w:val="none"/>
        </w:rPr>
      </w:pPr>
      <w:r>
        <w:rPr>
          <w:rFonts w:hint="eastAsia"/>
          <w:color w:val="auto"/>
          <w:sz w:val="24"/>
          <w:highlight w:val="none"/>
        </w:rPr>
        <w:t>2.2</w:t>
      </w:r>
      <w:r>
        <w:rPr>
          <w:color w:val="auto"/>
          <w:sz w:val="24"/>
          <w:highlight w:val="none"/>
        </w:rPr>
        <w:t>项目属性见《投标人须知资料表》。</w:t>
      </w:r>
    </w:p>
    <w:p w14:paraId="128E517F">
      <w:pPr>
        <w:tabs>
          <w:tab w:val="left" w:pos="1080"/>
          <w:tab w:val="left" w:pos="2014"/>
        </w:tabs>
        <w:snapToGrid w:val="0"/>
        <w:spacing w:line="360" w:lineRule="auto"/>
        <w:ind w:left="360"/>
        <w:rPr>
          <w:color w:val="auto"/>
          <w:sz w:val="24"/>
          <w:highlight w:val="none"/>
        </w:rPr>
      </w:pPr>
      <w:r>
        <w:rPr>
          <w:rFonts w:hint="eastAsia"/>
          <w:color w:val="auto"/>
          <w:sz w:val="24"/>
          <w:highlight w:val="none"/>
        </w:rPr>
        <w:t>2.3</w:t>
      </w:r>
      <w:r>
        <w:rPr>
          <w:color w:val="auto"/>
          <w:sz w:val="24"/>
          <w:highlight w:val="none"/>
        </w:rPr>
        <w:t>是否属于科研仪器设备采购见《投标人须知资料表》。</w:t>
      </w:r>
    </w:p>
    <w:p w14:paraId="76D7264D">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2.4</w:t>
      </w:r>
      <w:r>
        <w:rPr>
          <w:color w:val="auto"/>
          <w:sz w:val="24"/>
          <w:highlight w:val="none"/>
        </w:rPr>
        <w:t>核心产品见《投标人须知资料表》。</w:t>
      </w:r>
    </w:p>
    <w:p w14:paraId="559C28A5">
      <w:pPr>
        <w:numPr>
          <w:ilvl w:val="0"/>
          <w:numId w:val="29"/>
        </w:numPr>
        <w:tabs>
          <w:tab w:val="left" w:pos="360"/>
        </w:tabs>
        <w:snapToGrid w:val="0"/>
        <w:spacing w:line="360" w:lineRule="auto"/>
        <w:ind w:left="357" w:hanging="357"/>
        <w:rPr>
          <w:color w:val="auto"/>
          <w:sz w:val="24"/>
          <w:highlight w:val="none"/>
        </w:rPr>
      </w:pPr>
      <w:r>
        <w:rPr>
          <w:color w:val="auto"/>
          <w:sz w:val="24"/>
          <w:highlight w:val="none"/>
        </w:rPr>
        <w:t>现场考察、开标前答疑会</w:t>
      </w:r>
    </w:p>
    <w:p w14:paraId="7C61B97C">
      <w:pPr>
        <w:tabs>
          <w:tab w:val="left" w:pos="1080"/>
          <w:tab w:val="left" w:pos="2014"/>
        </w:tabs>
        <w:snapToGrid w:val="0"/>
        <w:spacing w:line="360" w:lineRule="auto"/>
        <w:ind w:left="360"/>
        <w:rPr>
          <w:color w:val="auto"/>
          <w:sz w:val="28"/>
          <w:highlight w:val="none"/>
        </w:rPr>
      </w:pPr>
      <w:r>
        <w:rPr>
          <w:rFonts w:hint="eastAsia"/>
          <w:color w:val="auto"/>
          <w:sz w:val="24"/>
          <w:highlight w:val="none"/>
        </w:rPr>
        <w:t>3.1</w:t>
      </w:r>
      <w:r>
        <w:rPr>
          <w:color w:val="auto"/>
          <w:sz w:val="24"/>
          <w:highlight w:val="none"/>
        </w:rPr>
        <w:t>若《投标人须知资料表》中规定了组织现场考察、召开开标前答疑会，则投标人应按要求在规定的时间和地点参加。</w:t>
      </w:r>
    </w:p>
    <w:p w14:paraId="7E0E223E">
      <w:pPr>
        <w:tabs>
          <w:tab w:val="left" w:pos="1080"/>
          <w:tab w:val="left" w:pos="2014"/>
        </w:tabs>
        <w:snapToGrid w:val="0"/>
        <w:spacing w:line="360" w:lineRule="auto"/>
        <w:ind w:left="360"/>
        <w:rPr>
          <w:color w:val="auto"/>
          <w:sz w:val="24"/>
          <w:highlight w:val="none"/>
        </w:rPr>
      </w:pPr>
      <w:r>
        <w:rPr>
          <w:rFonts w:hint="eastAsia"/>
          <w:color w:val="auto"/>
          <w:sz w:val="24"/>
          <w:highlight w:val="none"/>
        </w:rPr>
        <w:t>3.2</w:t>
      </w: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53BE328E">
      <w:pPr>
        <w:numPr>
          <w:ilvl w:val="0"/>
          <w:numId w:val="29"/>
        </w:numPr>
        <w:tabs>
          <w:tab w:val="left" w:pos="360"/>
        </w:tabs>
        <w:snapToGrid w:val="0"/>
        <w:spacing w:line="360" w:lineRule="auto"/>
        <w:ind w:left="357" w:hanging="357"/>
        <w:rPr>
          <w:color w:val="auto"/>
          <w:sz w:val="24"/>
          <w:highlight w:val="none"/>
        </w:rPr>
      </w:pPr>
      <w:r>
        <w:rPr>
          <w:color w:val="auto"/>
          <w:sz w:val="24"/>
          <w:highlight w:val="none"/>
        </w:rPr>
        <w:t>样品</w:t>
      </w:r>
    </w:p>
    <w:p w14:paraId="2538DC68">
      <w:pPr>
        <w:tabs>
          <w:tab w:val="left" w:pos="1080"/>
          <w:tab w:val="left" w:pos="2014"/>
        </w:tabs>
        <w:snapToGrid w:val="0"/>
        <w:spacing w:line="360" w:lineRule="auto"/>
        <w:ind w:left="360"/>
        <w:rPr>
          <w:color w:val="auto"/>
          <w:sz w:val="24"/>
          <w:highlight w:val="none"/>
        </w:rPr>
      </w:pPr>
      <w:r>
        <w:rPr>
          <w:rFonts w:hint="eastAsia"/>
          <w:color w:val="auto"/>
          <w:sz w:val="24"/>
          <w:highlight w:val="none"/>
        </w:rPr>
        <w:t>4.1</w:t>
      </w: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14:paraId="5DA06CB6">
      <w:pPr>
        <w:tabs>
          <w:tab w:val="left" w:pos="1080"/>
          <w:tab w:val="left" w:pos="2014"/>
        </w:tabs>
        <w:snapToGrid w:val="0"/>
        <w:spacing w:line="360" w:lineRule="auto"/>
        <w:ind w:left="360"/>
        <w:rPr>
          <w:color w:val="auto"/>
          <w:sz w:val="24"/>
          <w:highlight w:val="none"/>
        </w:rPr>
      </w:pPr>
      <w:r>
        <w:rPr>
          <w:rFonts w:hint="eastAsia"/>
          <w:color w:val="auto"/>
          <w:sz w:val="24"/>
          <w:highlight w:val="none"/>
        </w:rPr>
        <w:t>4.2</w:t>
      </w:r>
      <w:r>
        <w:rPr>
          <w:color w:val="auto"/>
          <w:sz w:val="24"/>
          <w:highlight w:val="none"/>
        </w:rPr>
        <w:t>样品的评审方法以及评审标准等内容见第四章《评标方法和评标标准》。</w:t>
      </w:r>
    </w:p>
    <w:p w14:paraId="5EEC117C">
      <w:pPr>
        <w:numPr>
          <w:ilvl w:val="0"/>
          <w:numId w:val="29"/>
        </w:numPr>
        <w:tabs>
          <w:tab w:val="left" w:pos="360"/>
          <w:tab w:val="clear" w:pos="900"/>
        </w:tabs>
        <w:snapToGrid w:val="0"/>
        <w:spacing w:line="360" w:lineRule="auto"/>
        <w:ind w:left="357" w:hanging="357"/>
        <w:rPr>
          <w:color w:val="auto"/>
          <w:sz w:val="24"/>
          <w:highlight w:val="none"/>
        </w:rPr>
      </w:pPr>
      <w:r>
        <w:rPr>
          <w:color w:val="auto"/>
          <w:sz w:val="24"/>
          <w:highlight w:val="none"/>
        </w:rPr>
        <w:t>政府采购政策（包括但不限于下列具体政策要求）</w:t>
      </w:r>
    </w:p>
    <w:p w14:paraId="212BB686">
      <w:pPr>
        <w:tabs>
          <w:tab w:val="left" w:pos="1080"/>
          <w:tab w:val="left" w:pos="2014"/>
        </w:tabs>
        <w:snapToGrid w:val="0"/>
        <w:spacing w:line="360" w:lineRule="auto"/>
        <w:ind w:left="360"/>
        <w:rPr>
          <w:color w:val="auto"/>
          <w:sz w:val="24"/>
          <w:highlight w:val="none"/>
        </w:rPr>
      </w:pPr>
      <w:r>
        <w:rPr>
          <w:rFonts w:hint="eastAsia"/>
          <w:color w:val="auto"/>
          <w:sz w:val="24"/>
          <w:highlight w:val="none"/>
        </w:rPr>
        <w:t>5.1</w:t>
      </w:r>
      <w:r>
        <w:rPr>
          <w:color w:val="auto"/>
          <w:sz w:val="24"/>
          <w:highlight w:val="none"/>
        </w:rPr>
        <w:t>进口产品</w:t>
      </w:r>
    </w:p>
    <w:p w14:paraId="3309C4D7">
      <w:pPr>
        <w:tabs>
          <w:tab w:val="left" w:pos="2014"/>
        </w:tabs>
        <w:snapToGrid w:val="0"/>
        <w:spacing w:line="360" w:lineRule="auto"/>
        <w:ind w:left="1080"/>
        <w:rPr>
          <w:color w:val="auto"/>
          <w:sz w:val="24"/>
          <w:highlight w:val="none"/>
        </w:rPr>
      </w:pPr>
      <w:r>
        <w:rPr>
          <w:rFonts w:hint="eastAsia"/>
          <w:color w:val="auto"/>
          <w:sz w:val="24"/>
          <w:highlight w:val="none"/>
        </w:rPr>
        <w:t>5.1.1</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96EBA3B">
      <w:pPr>
        <w:tabs>
          <w:tab w:val="left" w:pos="2014"/>
        </w:tabs>
        <w:snapToGrid w:val="0"/>
        <w:spacing w:line="360" w:lineRule="auto"/>
        <w:ind w:left="1080"/>
        <w:rPr>
          <w:color w:val="auto"/>
          <w:sz w:val="24"/>
          <w:highlight w:val="none"/>
        </w:rPr>
      </w:pPr>
      <w:r>
        <w:rPr>
          <w:rFonts w:hint="eastAsia"/>
          <w:color w:val="auto"/>
          <w:sz w:val="24"/>
          <w:highlight w:val="none"/>
        </w:rPr>
        <w:t>5.1.2</w:t>
      </w:r>
      <w:r>
        <w:rPr>
          <w:color w:val="auto"/>
          <w:sz w:val="24"/>
          <w:highlight w:val="none"/>
        </w:rPr>
        <w:t>本项目是否接受进口产品见第五章《采购需求》。</w:t>
      </w:r>
    </w:p>
    <w:p w14:paraId="3E70331A">
      <w:pPr>
        <w:tabs>
          <w:tab w:val="left" w:pos="1080"/>
          <w:tab w:val="left" w:pos="2014"/>
        </w:tabs>
        <w:snapToGrid w:val="0"/>
        <w:spacing w:line="360" w:lineRule="auto"/>
        <w:ind w:left="360"/>
        <w:rPr>
          <w:color w:val="auto"/>
          <w:sz w:val="24"/>
          <w:highlight w:val="none"/>
        </w:rPr>
      </w:pPr>
      <w:r>
        <w:rPr>
          <w:rFonts w:hint="eastAsia"/>
          <w:color w:val="auto"/>
          <w:sz w:val="24"/>
          <w:highlight w:val="none"/>
        </w:rPr>
        <w:t>5.2</w:t>
      </w:r>
      <w:r>
        <w:rPr>
          <w:color w:val="auto"/>
          <w:sz w:val="24"/>
          <w:highlight w:val="none"/>
        </w:rPr>
        <w:t>中小企业、监狱企业及残疾人福利性单位</w:t>
      </w:r>
    </w:p>
    <w:p w14:paraId="766CF392">
      <w:pPr>
        <w:snapToGrid w:val="0"/>
        <w:spacing w:line="360" w:lineRule="auto"/>
        <w:ind w:firstLine="720" w:firstLineChars="300"/>
        <w:rPr>
          <w:color w:val="auto"/>
          <w:sz w:val="24"/>
          <w:highlight w:val="none"/>
        </w:rPr>
      </w:pPr>
      <w:r>
        <w:rPr>
          <w:rFonts w:hint="eastAsia"/>
          <w:color w:val="auto"/>
          <w:sz w:val="24"/>
          <w:highlight w:val="none"/>
        </w:rPr>
        <w:t>5.2.1</w:t>
      </w:r>
      <w:r>
        <w:rPr>
          <w:color w:val="auto"/>
          <w:sz w:val="24"/>
          <w:highlight w:val="none"/>
        </w:rPr>
        <w:t>中小企业定义：</w:t>
      </w:r>
    </w:p>
    <w:p w14:paraId="5A748999">
      <w:pPr>
        <w:pStyle w:val="171"/>
        <w:numPr>
          <w:ilvl w:val="0"/>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375264D7">
      <w:pPr>
        <w:pStyle w:val="171"/>
        <w:numPr>
          <w:ilvl w:val="0"/>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52B48CB7">
      <w:pPr>
        <w:pStyle w:val="171"/>
        <w:numPr>
          <w:ilvl w:val="0"/>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0C92C8B2">
      <w:pPr>
        <w:pStyle w:val="171"/>
        <w:numPr>
          <w:ilvl w:val="0"/>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64D87338">
      <w:pPr>
        <w:pStyle w:val="171"/>
        <w:numPr>
          <w:ilvl w:val="0"/>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485CA08F">
      <w:pPr>
        <w:pStyle w:val="171"/>
        <w:numPr>
          <w:ilvl w:val="1"/>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6B5C404D">
      <w:pPr>
        <w:pStyle w:val="171"/>
        <w:numPr>
          <w:ilvl w:val="1"/>
          <w:numId w:val="30"/>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33198900">
      <w:pPr>
        <w:pStyle w:val="171"/>
        <w:numPr>
          <w:ilvl w:val="2"/>
          <w:numId w:val="30"/>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2D3068D1">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F44A72D">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5.2.1.2</w:t>
      </w:r>
      <w:r>
        <w:rPr>
          <w:color w:val="auto"/>
          <w:sz w:val="24"/>
          <w:highlight w:val="none"/>
        </w:rPr>
        <w:t>供应商提供的货物、工程或者服务符合下列情形的，享受中小企业扶持政策：</w:t>
      </w:r>
    </w:p>
    <w:p w14:paraId="2023B603">
      <w:pPr>
        <w:tabs>
          <w:tab w:val="left" w:pos="1980"/>
        </w:tabs>
        <w:snapToGrid w:val="0"/>
        <w:spacing w:line="360" w:lineRule="auto"/>
        <w:ind w:firstLine="1200" w:firstLineChars="500"/>
        <w:rPr>
          <w:color w:val="auto"/>
          <w:sz w:val="24"/>
          <w:highlight w:val="none"/>
        </w:rPr>
      </w:pPr>
      <w:r>
        <w:rPr>
          <w:color w:val="auto"/>
          <w:sz w:val="24"/>
          <w:highlight w:val="none"/>
        </w:rPr>
        <w:t>（1）在货物采购项目中，货物由中小企业制造，即货物由中小企业生产且使用该中小企业商号或者注册商标；</w:t>
      </w:r>
    </w:p>
    <w:p w14:paraId="01C01AB4">
      <w:pPr>
        <w:tabs>
          <w:tab w:val="left" w:pos="1980"/>
        </w:tabs>
        <w:snapToGrid w:val="0"/>
        <w:spacing w:line="360" w:lineRule="auto"/>
        <w:ind w:firstLine="1200" w:firstLineChars="500"/>
        <w:rPr>
          <w:color w:val="auto"/>
          <w:sz w:val="24"/>
          <w:highlight w:val="none"/>
        </w:rPr>
      </w:pPr>
      <w:r>
        <w:rPr>
          <w:color w:val="auto"/>
          <w:sz w:val="24"/>
          <w:highlight w:val="none"/>
        </w:rPr>
        <w:t>（2）在工程采购项目中，工程由中小企业承建，即工程施工单位为中小企业；</w:t>
      </w:r>
    </w:p>
    <w:p w14:paraId="606D4235">
      <w:pPr>
        <w:tabs>
          <w:tab w:val="left" w:pos="1980"/>
        </w:tabs>
        <w:snapToGrid w:val="0"/>
        <w:spacing w:line="360" w:lineRule="auto"/>
        <w:ind w:firstLine="1200" w:firstLineChars="50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14:paraId="106BEB0F">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5.2.1.3</w:t>
      </w:r>
      <w:r>
        <w:rPr>
          <w:color w:val="auto"/>
          <w:sz w:val="24"/>
          <w:highlight w:val="none"/>
        </w:rPr>
        <w:t>在货物采购项目中，供应商提供的货物既有中小企业制造货物，也有大型企业制造货物的，不享受中小企业扶持政策。</w:t>
      </w:r>
    </w:p>
    <w:p w14:paraId="4C2E75FD">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5.2.1.4</w:t>
      </w:r>
      <w:r>
        <w:rPr>
          <w:color w:val="auto"/>
          <w:sz w:val="24"/>
          <w:highlight w:val="none"/>
        </w:rPr>
        <w:t>以联合体形式参加政府采购活动，联合体各方均为中小企业的，联合体视同中小企业。其中，联合体各方均为小微企业的，联合体视同小微企业。</w:t>
      </w:r>
    </w:p>
    <w:p w14:paraId="243FBA6D">
      <w:pPr>
        <w:snapToGrid w:val="0"/>
        <w:spacing w:line="360" w:lineRule="auto"/>
        <w:ind w:firstLine="720" w:firstLineChars="300"/>
        <w:rPr>
          <w:color w:val="auto"/>
          <w:sz w:val="24"/>
          <w:highlight w:val="none"/>
        </w:rPr>
      </w:pPr>
      <w:r>
        <w:rPr>
          <w:rFonts w:hint="eastAsia"/>
          <w:color w:val="auto"/>
          <w:sz w:val="24"/>
          <w:highlight w:val="none"/>
        </w:rPr>
        <w:t>5.2.2</w:t>
      </w: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FF4A1C">
      <w:pPr>
        <w:snapToGrid w:val="0"/>
        <w:spacing w:line="360" w:lineRule="auto"/>
        <w:ind w:firstLine="720" w:firstLineChars="300"/>
        <w:rPr>
          <w:color w:val="auto"/>
          <w:sz w:val="24"/>
          <w:highlight w:val="none"/>
        </w:rPr>
      </w:pPr>
      <w:r>
        <w:rPr>
          <w:rFonts w:hint="eastAsia"/>
          <w:color w:val="auto"/>
          <w:sz w:val="24"/>
          <w:highlight w:val="none"/>
        </w:rPr>
        <w:t>5.2.3</w:t>
      </w:r>
      <w:r>
        <w:rPr>
          <w:color w:val="auto"/>
          <w:sz w:val="24"/>
          <w:highlight w:val="none"/>
        </w:rPr>
        <w:t>残疾人福利单位定义：享受政府采购支持政策的残疾人福利性单位应当同时满足以下条件：</w:t>
      </w:r>
    </w:p>
    <w:p w14:paraId="2F6DCCF1">
      <w:pPr>
        <w:pStyle w:val="171"/>
        <w:numPr>
          <w:ilvl w:val="2"/>
          <w:numId w:val="30"/>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2470F3C6">
      <w:pPr>
        <w:pStyle w:val="171"/>
        <w:numPr>
          <w:ilvl w:val="2"/>
          <w:numId w:val="30"/>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49CBEEAD">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5.2.3.1</w:t>
      </w:r>
      <w:r>
        <w:rPr>
          <w:color w:val="auto"/>
          <w:sz w:val="24"/>
          <w:highlight w:val="none"/>
        </w:rPr>
        <w:t>安置的残疾人占本单位在职职工人数的比例不低于25%（含25%），并且安置的残疾人人数不少于10 人（含10 人）；</w:t>
      </w:r>
    </w:p>
    <w:p w14:paraId="566B57BD">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5.2.3.2</w:t>
      </w:r>
      <w:r>
        <w:rPr>
          <w:color w:val="auto"/>
          <w:sz w:val="24"/>
          <w:highlight w:val="none"/>
        </w:rPr>
        <w:t>依法与安置的每位残疾人签订了一年以上（含一年）的劳动合同或服务协议；</w:t>
      </w:r>
    </w:p>
    <w:p w14:paraId="0F7E2DA9">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5.2.3.3</w:t>
      </w:r>
      <w:r>
        <w:rPr>
          <w:color w:val="auto"/>
          <w:sz w:val="24"/>
          <w:highlight w:val="none"/>
        </w:rPr>
        <w:t>为安置的每位残疾人按月足额缴纳了基本养老保险、基本医疗保险、失业保险、工伤保险和生育保险等社会保险费；</w:t>
      </w:r>
    </w:p>
    <w:p w14:paraId="4F26AB51">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5.2.3.4</w:t>
      </w:r>
      <w:r>
        <w:rPr>
          <w:color w:val="auto"/>
          <w:sz w:val="24"/>
          <w:highlight w:val="none"/>
        </w:rPr>
        <w:t>通过银行等金融机构向安置的每位残疾人，按月支付了不低于单位所在区县适用的经省级人民政府批准的月最低工资标准的工资；</w:t>
      </w:r>
    </w:p>
    <w:p w14:paraId="48D1F36E">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5.2.3.5</w:t>
      </w: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062DBDDE">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5.2.3.6</w:t>
      </w: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E86EE47">
      <w:pPr>
        <w:snapToGrid w:val="0"/>
        <w:spacing w:line="360" w:lineRule="auto"/>
        <w:ind w:firstLine="720" w:firstLineChars="300"/>
        <w:rPr>
          <w:color w:val="auto"/>
          <w:sz w:val="24"/>
          <w:highlight w:val="none"/>
        </w:rPr>
      </w:pPr>
      <w:r>
        <w:rPr>
          <w:rFonts w:hint="eastAsia"/>
          <w:color w:val="auto"/>
          <w:sz w:val="24"/>
          <w:highlight w:val="none"/>
        </w:rPr>
        <w:t>5.2.4</w:t>
      </w:r>
      <w:r>
        <w:rPr>
          <w:color w:val="auto"/>
          <w:sz w:val="24"/>
          <w:highlight w:val="none"/>
        </w:rPr>
        <w:t>本项目是否专门面向中小企业预留采购份额见第一章《投标邀请》。</w:t>
      </w:r>
    </w:p>
    <w:p w14:paraId="2456DEC9">
      <w:pPr>
        <w:snapToGrid w:val="0"/>
        <w:spacing w:line="360" w:lineRule="auto"/>
        <w:ind w:firstLine="720" w:firstLineChars="300"/>
        <w:rPr>
          <w:color w:val="auto"/>
          <w:sz w:val="24"/>
          <w:highlight w:val="none"/>
        </w:rPr>
      </w:pPr>
      <w:r>
        <w:rPr>
          <w:rFonts w:hint="eastAsia"/>
          <w:color w:val="auto"/>
          <w:sz w:val="24"/>
          <w:highlight w:val="none"/>
        </w:rPr>
        <w:t>5.2.5</w:t>
      </w:r>
      <w:r>
        <w:rPr>
          <w:color w:val="auto"/>
          <w:sz w:val="24"/>
          <w:highlight w:val="none"/>
        </w:rPr>
        <w:t>采购标的对应的中小企业划分标准所属行业见《投标人须知资料表》。</w:t>
      </w:r>
    </w:p>
    <w:p w14:paraId="0631E622">
      <w:pPr>
        <w:snapToGrid w:val="0"/>
        <w:spacing w:line="360" w:lineRule="auto"/>
        <w:ind w:firstLine="720" w:firstLineChars="300"/>
        <w:rPr>
          <w:color w:val="auto"/>
          <w:sz w:val="24"/>
          <w:highlight w:val="none"/>
        </w:rPr>
      </w:pPr>
      <w:r>
        <w:rPr>
          <w:rFonts w:hint="eastAsia"/>
          <w:color w:val="auto"/>
          <w:sz w:val="24"/>
          <w:highlight w:val="none"/>
        </w:rPr>
        <w:t>5.2.6</w:t>
      </w:r>
      <w:r>
        <w:rPr>
          <w:color w:val="auto"/>
          <w:sz w:val="24"/>
          <w:highlight w:val="none"/>
        </w:rPr>
        <w:t>小微企业价格评审优惠的政策调整：见第四章《评标方法和评标标准》。</w:t>
      </w:r>
    </w:p>
    <w:p w14:paraId="374337DD">
      <w:pPr>
        <w:tabs>
          <w:tab w:val="left" w:pos="1080"/>
          <w:tab w:val="left" w:pos="2014"/>
        </w:tabs>
        <w:snapToGrid w:val="0"/>
        <w:spacing w:line="360" w:lineRule="auto"/>
        <w:ind w:left="360"/>
        <w:rPr>
          <w:color w:val="auto"/>
          <w:sz w:val="24"/>
          <w:highlight w:val="none"/>
        </w:rPr>
      </w:pPr>
      <w:r>
        <w:rPr>
          <w:rFonts w:hint="eastAsia"/>
          <w:color w:val="auto"/>
          <w:sz w:val="24"/>
          <w:highlight w:val="none"/>
        </w:rPr>
        <w:t>5.3</w:t>
      </w:r>
      <w:r>
        <w:rPr>
          <w:color w:val="auto"/>
          <w:sz w:val="24"/>
          <w:highlight w:val="none"/>
        </w:rPr>
        <w:t>政府采购节能产品、环境标志产品</w:t>
      </w:r>
    </w:p>
    <w:p w14:paraId="45AE9786">
      <w:pPr>
        <w:snapToGrid w:val="0"/>
        <w:spacing w:line="360" w:lineRule="auto"/>
        <w:ind w:firstLine="720" w:firstLineChars="300"/>
        <w:rPr>
          <w:color w:val="auto"/>
          <w:sz w:val="24"/>
          <w:highlight w:val="none"/>
        </w:rPr>
      </w:pPr>
      <w:r>
        <w:rPr>
          <w:rFonts w:hint="eastAsia"/>
          <w:color w:val="auto"/>
          <w:sz w:val="24"/>
          <w:highlight w:val="none"/>
        </w:rPr>
        <w:t>5.3.1</w:t>
      </w: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6DE7899">
      <w:pPr>
        <w:snapToGrid w:val="0"/>
        <w:spacing w:line="360" w:lineRule="auto"/>
        <w:ind w:firstLine="720" w:firstLineChars="300"/>
        <w:rPr>
          <w:color w:val="auto"/>
          <w:sz w:val="24"/>
          <w:highlight w:val="none"/>
        </w:rPr>
      </w:pPr>
      <w:r>
        <w:rPr>
          <w:rFonts w:hint="eastAsia"/>
          <w:color w:val="auto"/>
          <w:sz w:val="24"/>
          <w:highlight w:val="none"/>
        </w:rPr>
        <w:t>5.3.2</w:t>
      </w: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A5DA579">
      <w:pPr>
        <w:snapToGrid w:val="0"/>
        <w:spacing w:line="360" w:lineRule="auto"/>
        <w:ind w:firstLine="720" w:firstLineChars="300"/>
        <w:rPr>
          <w:color w:val="auto"/>
          <w:sz w:val="24"/>
          <w:highlight w:val="none"/>
        </w:rPr>
      </w:pPr>
      <w:r>
        <w:rPr>
          <w:rFonts w:hint="eastAsia"/>
          <w:color w:val="auto"/>
          <w:sz w:val="24"/>
          <w:highlight w:val="none"/>
        </w:rPr>
        <w:t>5.3.3</w:t>
      </w: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6ACC7605">
      <w:pPr>
        <w:snapToGrid w:val="0"/>
        <w:spacing w:line="360" w:lineRule="auto"/>
        <w:ind w:firstLine="720" w:firstLineChars="300"/>
        <w:rPr>
          <w:color w:val="auto"/>
          <w:sz w:val="24"/>
          <w:highlight w:val="none"/>
        </w:rPr>
      </w:pPr>
      <w:r>
        <w:rPr>
          <w:rFonts w:hint="eastAsia"/>
          <w:color w:val="auto"/>
          <w:sz w:val="24"/>
          <w:highlight w:val="none"/>
        </w:rPr>
        <w:t>5.3.4</w:t>
      </w:r>
      <w:r>
        <w:rPr>
          <w:color w:val="auto"/>
          <w:sz w:val="24"/>
          <w:highlight w:val="none"/>
        </w:rPr>
        <w:t>非政府强制采购的节能产品或环境标志产品，依据品目清单和认证证书实施政府优先采购。优先采购的具体规定见第四章《评标方法和评标标准》（如涉及）。</w:t>
      </w:r>
    </w:p>
    <w:p w14:paraId="03D05834">
      <w:pPr>
        <w:tabs>
          <w:tab w:val="left" w:pos="1080"/>
          <w:tab w:val="left" w:pos="2014"/>
        </w:tabs>
        <w:snapToGrid w:val="0"/>
        <w:spacing w:line="360" w:lineRule="auto"/>
        <w:ind w:left="360"/>
        <w:rPr>
          <w:color w:val="auto"/>
          <w:sz w:val="24"/>
          <w:highlight w:val="none"/>
        </w:rPr>
      </w:pPr>
      <w:r>
        <w:rPr>
          <w:rFonts w:hint="eastAsia"/>
          <w:color w:val="auto"/>
          <w:sz w:val="24"/>
          <w:highlight w:val="none"/>
        </w:rPr>
        <w:t>5.4</w:t>
      </w:r>
      <w:r>
        <w:rPr>
          <w:color w:val="auto"/>
          <w:sz w:val="24"/>
          <w:highlight w:val="none"/>
        </w:rPr>
        <w:t>支持乡村产业振兴管理</w:t>
      </w:r>
    </w:p>
    <w:p w14:paraId="1E5AFF7B">
      <w:pPr>
        <w:tabs>
          <w:tab w:val="left" w:pos="2014"/>
        </w:tabs>
        <w:snapToGrid w:val="0"/>
        <w:spacing w:line="360" w:lineRule="auto"/>
        <w:ind w:firstLine="720" w:firstLineChars="300"/>
        <w:rPr>
          <w:color w:val="auto"/>
          <w:sz w:val="24"/>
          <w:highlight w:val="none"/>
        </w:rPr>
      </w:pPr>
      <w:r>
        <w:rPr>
          <w:rFonts w:hint="eastAsia"/>
          <w:color w:val="auto"/>
          <w:sz w:val="24"/>
          <w:highlight w:val="none"/>
        </w:rPr>
        <w:t>5.4.1</w:t>
      </w:r>
      <w:r>
        <w:rPr>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63951DC5">
      <w:pPr>
        <w:tabs>
          <w:tab w:val="left" w:pos="1080"/>
          <w:tab w:val="left" w:pos="2014"/>
        </w:tabs>
        <w:snapToGrid w:val="0"/>
        <w:spacing w:line="360" w:lineRule="auto"/>
        <w:ind w:left="360"/>
        <w:rPr>
          <w:color w:val="auto"/>
          <w:sz w:val="24"/>
          <w:highlight w:val="none"/>
        </w:rPr>
      </w:pPr>
      <w:r>
        <w:rPr>
          <w:rFonts w:hint="eastAsia"/>
          <w:color w:val="auto"/>
          <w:sz w:val="24"/>
          <w:highlight w:val="none"/>
        </w:rPr>
        <w:t>5.5</w:t>
      </w:r>
      <w:r>
        <w:rPr>
          <w:color w:val="auto"/>
          <w:sz w:val="24"/>
          <w:highlight w:val="none"/>
        </w:rPr>
        <w:t>正版软件</w:t>
      </w:r>
    </w:p>
    <w:p w14:paraId="395E8AB1">
      <w:pPr>
        <w:snapToGrid w:val="0"/>
        <w:spacing w:line="360" w:lineRule="auto"/>
        <w:ind w:firstLine="720" w:firstLineChars="300"/>
        <w:rPr>
          <w:color w:val="auto"/>
          <w:sz w:val="24"/>
          <w:highlight w:val="none"/>
        </w:rPr>
      </w:pPr>
      <w:r>
        <w:rPr>
          <w:rFonts w:hint="eastAsia"/>
          <w:color w:val="auto"/>
          <w:sz w:val="24"/>
          <w:highlight w:val="none"/>
        </w:rPr>
        <w:t>5.5.1</w:t>
      </w: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DE852C1">
      <w:pPr>
        <w:snapToGrid w:val="0"/>
        <w:spacing w:line="360" w:lineRule="auto"/>
        <w:ind w:firstLine="720" w:firstLineChars="300"/>
        <w:rPr>
          <w:color w:val="auto"/>
          <w:sz w:val="24"/>
          <w:highlight w:val="none"/>
        </w:rPr>
      </w:pPr>
      <w:r>
        <w:rPr>
          <w:rFonts w:hint="eastAsia"/>
          <w:color w:val="auto"/>
          <w:sz w:val="24"/>
          <w:highlight w:val="none"/>
        </w:rPr>
        <w:t>5.5.2</w:t>
      </w: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FA1CE9D">
      <w:pPr>
        <w:tabs>
          <w:tab w:val="left" w:pos="1080"/>
          <w:tab w:val="left" w:pos="2014"/>
        </w:tabs>
        <w:snapToGrid w:val="0"/>
        <w:spacing w:line="360" w:lineRule="auto"/>
        <w:ind w:left="360"/>
        <w:rPr>
          <w:color w:val="auto"/>
          <w:sz w:val="24"/>
          <w:highlight w:val="none"/>
        </w:rPr>
      </w:pPr>
      <w:r>
        <w:rPr>
          <w:rFonts w:hint="eastAsia"/>
          <w:color w:val="auto"/>
          <w:sz w:val="24"/>
          <w:highlight w:val="none"/>
        </w:rPr>
        <w:t>5.6</w:t>
      </w:r>
      <w:r>
        <w:rPr>
          <w:color w:val="auto"/>
          <w:sz w:val="24"/>
          <w:highlight w:val="none"/>
        </w:rPr>
        <w:t>信息安全产品</w:t>
      </w:r>
    </w:p>
    <w:p w14:paraId="501DF568">
      <w:pPr>
        <w:tabs>
          <w:tab w:val="left" w:pos="2014"/>
        </w:tabs>
        <w:snapToGrid w:val="0"/>
        <w:spacing w:line="360" w:lineRule="auto"/>
        <w:ind w:firstLine="720" w:firstLineChars="300"/>
        <w:rPr>
          <w:color w:val="auto"/>
          <w:sz w:val="24"/>
          <w:highlight w:val="none"/>
        </w:rPr>
      </w:pPr>
      <w:r>
        <w:rPr>
          <w:rFonts w:hint="eastAsia"/>
          <w:color w:val="auto"/>
          <w:sz w:val="24"/>
          <w:highlight w:val="none"/>
        </w:rPr>
        <w:t>5.6.1</w:t>
      </w:r>
      <w:r>
        <w:rPr>
          <w:color w:val="auto"/>
          <w:sz w:val="24"/>
          <w:highlight w:val="none"/>
        </w:rPr>
        <w:t>所投产品属于《关于调整信息安全产品强制性认证实施要求的公告》（2009 年第33 号）范围的，采购经国家认证的信息安全产品，</w:t>
      </w:r>
      <w:r>
        <w:rPr>
          <w:color w:val="auto"/>
          <w:kern w:val="0"/>
          <w:sz w:val="24"/>
          <w:highlight w:val="none"/>
        </w:rPr>
        <w:t>否则</w:t>
      </w:r>
      <w:r>
        <w:rPr>
          <w:b/>
          <w:color w:val="auto"/>
          <w:kern w:val="0"/>
          <w:sz w:val="24"/>
          <w:highlight w:val="none"/>
        </w:rPr>
        <w:t>投标无效</w:t>
      </w:r>
      <w:r>
        <w:rPr>
          <w:color w:val="auto"/>
          <w:sz w:val="24"/>
          <w:highlight w:val="none"/>
        </w:rPr>
        <w:t>。关于信息安全相关规定依据《关于信息安全产品实施政府采购的通知》（财库〔2010〕48 号）。</w:t>
      </w:r>
    </w:p>
    <w:p w14:paraId="3F9285AB">
      <w:pPr>
        <w:numPr>
          <w:ilvl w:val="0"/>
          <w:numId w:val="29"/>
        </w:numPr>
        <w:tabs>
          <w:tab w:val="left" w:pos="360"/>
        </w:tabs>
        <w:snapToGrid w:val="0"/>
        <w:spacing w:line="360" w:lineRule="auto"/>
        <w:ind w:left="357" w:hanging="357"/>
        <w:rPr>
          <w:color w:val="auto"/>
          <w:sz w:val="24"/>
          <w:highlight w:val="none"/>
        </w:rPr>
      </w:pPr>
      <w:r>
        <w:rPr>
          <w:color w:val="auto"/>
          <w:sz w:val="24"/>
          <w:highlight w:val="none"/>
        </w:rPr>
        <w:t>投标费用</w:t>
      </w:r>
    </w:p>
    <w:p w14:paraId="7EC00E41">
      <w:pPr>
        <w:tabs>
          <w:tab w:val="left" w:pos="1080"/>
          <w:tab w:val="left" w:pos="2014"/>
        </w:tabs>
        <w:snapToGrid w:val="0"/>
        <w:spacing w:line="360" w:lineRule="auto"/>
        <w:ind w:left="360"/>
        <w:rPr>
          <w:color w:val="auto"/>
          <w:sz w:val="24"/>
          <w:highlight w:val="none"/>
        </w:rPr>
      </w:pPr>
      <w:r>
        <w:rPr>
          <w:rFonts w:hint="eastAsia"/>
          <w:color w:val="auto"/>
          <w:sz w:val="24"/>
          <w:highlight w:val="none"/>
        </w:rPr>
        <w:t>6.1</w:t>
      </w:r>
      <w:r>
        <w:rPr>
          <w:color w:val="auto"/>
          <w:sz w:val="24"/>
          <w:highlight w:val="none"/>
        </w:rPr>
        <w:t>投标人应自行承担所有与准备和参加投标有关的费用，无论投标的结果如何，采购人或采购代理机构在任何情况下均无承担这些费用的义务和责任。</w:t>
      </w:r>
    </w:p>
    <w:p w14:paraId="0B727D21">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  招标文件</w:t>
      </w:r>
    </w:p>
    <w:p w14:paraId="08B36074">
      <w:pPr>
        <w:numPr>
          <w:ilvl w:val="0"/>
          <w:numId w:val="29"/>
        </w:numPr>
        <w:tabs>
          <w:tab w:val="left" w:pos="360"/>
        </w:tabs>
        <w:snapToGrid w:val="0"/>
        <w:spacing w:line="360" w:lineRule="auto"/>
        <w:ind w:left="357" w:hanging="357"/>
        <w:rPr>
          <w:color w:val="auto"/>
          <w:sz w:val="24"/>
          <w:highlight w:val="none"/>
        </w:rPr>
      </w:pPr>
      <w:bookmarkStart w:id="38" w:name="_Toc127151523"/>
      <w:bookmarkStart w:id="39" w:name="_Toc164229364"/>
      <w:bookmarkStart w:id="40" w:name="_Toc151193693"/>
      <w:bookmarkStart w:id="41" w:name="_Toc150509274"/>
      <w:bookmarkStart w:id="42" w:name="_Toc150774728"/>
      <w:bookmarkStart w:id="43" w:name="_Toc305158865"/>
      <w:bookmarkStart w:id="44" w:name="_Toc305158791"/>
      <w:bookmarkStart w:id="45" w:name="_Toc150774623"/>
      <w:bookmarkStart w:id="46" w:name="_Toc151193837"/>
      <w:bookmarkStart w:id="47" w:name="_Toc149720816"/>
      <w:bookmarkStart w:id="48" w:name="_Toc151193621"/>
      <w:bookmarkStart w:id="49" w:name="_Toc142311025"/>
      <w:bookmarkStart w:id="50" w:name="_Toc226965713"/>
      <w:bookmarkStart w:id="51" w:name="_Toc151193765"/>
      <w:bookmarkStart w:id="52" w:name="_Toc164229218"/>
      <w:bookmarkStart w:id="53" w:name="_Toc164351617"/>
      <w:bookmarkStart w:id="54" w:name="_Toc127151724"/>
      <w:bookmarkStart w:id="55" w:name="_Toc195842888"/>
      <w:bookmarkStart w:id="56" w:name="_Toc264969213"/>
      <w:bookmarkStart w:id="57" w:name="_Toc226965796"/>
      <w:bookmarkStart w:id="58" w:name="_Toc226309767"/>
      <w:bookmarkStart w:id="59" w:name="_Toc164608637"/>
      <w:bookmarkStart w:id="60" w:name="_Toc151193911"/>
      <w:bookmarkStart w:id="61" w:name="_Toc127161437"/>
      <w:bookmarkStart w:id="62" w:name="_Toc164608792"/>
      <w:bookmarkStart w:id="63" w:name="_Toc520356147"/>
      <w:bookmarkStart w:id="64" w:name="_Toc150480761"/>
      <w:bookmarkStart w:id="65" w:name="_Toc226337219"/>
      <w:bookmarkStart w:id="66" w:name="_Toc151190150"/>
      <w:bookmarkStart w:id="67" w:name="_Toc265228361"/>
      <w:r>
        <w:rPr>
          <w:color w:val="auto"/>
          <w:sz w:val="24"/>
          <w:highlight w:val="none"/>
        </w:rPr>
        <w:t>招标文件构</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color w:val="auto"/>
          <w:sz w:val="24"/>
          <w:highlight w:val="none"/>
        </w:rPr>
        <w:t>成</w:t>
      </w:r>
    </w:p>
    <w:p w14:paraId="4E102692">
      <w:pPr>
        <w:tabs>
          <w:tab w:val="left" w:pos="1080"/>
          <w:tab w:val="left" w:pos="2014"/>
        </w:tabs>
        <w:snapToGrid w:val="0"/>
        <w:spacing w:line="360" w:lineRule="auto"/>
        <w:ind w:left="360"/>
        <w:rPr>
          <w:color w:val="auto"/>
          <w:sz w:val="24"/>
          <w:highlight w:val="none"/>
        </w:rPr>
      </w:pPr>
      <w:r>
        <w:rPr>
          <w:rFonts w:hint="eastAsia"/>
          <w:color w:val="auto"/>
          <w:sz w:val="24"/>
          <w:highlight w:val="none"/>
        </w:rPr>
        <w:t>7.1</w:t>
      </w:r>
      <w:r>
        <w:rPr>
          <w:color w:val="auto"/>
          <w:sz w:val="24"/>
          <w:highlight w:val="none"/>
        </w:rPr>
        <w:t>招标文件包括以下部分：</w:t>
      </w:r>
    </w:p>
    <w:p w14:paraId="16C888C1">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第一章 </w:t>
      </w:r>
      <w:r>
        <w:rPr>
          <w:color w:val="auto"/>
          <w:sz w:val="24"/>
          <w:highlight w:val="none"/>
        </w:rPr>
        <w:t>投标邀请</w:t>
      </w:r>
    </w:p>
    <w:p w14:paraId="53C3F033">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第二章 </w:t>
      </w:r>
      <w:r>
        <w:rPr>
          <w:color w:val="auto"/>
          <w:sz w:val="24"/>
          <w:highlight w:val="none"/>
        </w:rPr>
        <w:t>投标人须知</w:t>
      </w:r>
    </w:p>
    <w:p w14:paraId="7D7D5A62">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第三章 </w:t>
      </w:r>
      <w:r>
        <w:rPr>
          <w:color w:val="auto"/>
          <w:sz w:val="24"/>
          <w:highlight w:val="none"/>
        </w:rPr>
        <w:t>资格审查</w:t>
      </w:r>
    </w:p>
    <w:p w14:paraId="1C743F92">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第四章 </w:t>
      </w:r>
      <w:r>
        <w:rPr>
          <w:color w:val="auto"/>
          <w:sz w:val="24"/>
          <w:highlight w:val="none"/>
        </w:rPr>
        <w:t>评标程序、评标方法和评标标准</w:t>
      </w:r>
    </w:p>
    <w:p w14:paraId="33136769">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第五章 </w:t>
      </w:r>
      <w:r>
        <w:rPr>
          <w:color w:val="auto"/>
          <w:sz w:val="24"/>
          <w:highlight w:val="none"/>
        </w:rPr>
        <w:t>采购需求</w:t>
      </w:r>
    </w:p>
    <w:p w14:paraId="2C6C9193">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第六章 </w:t>
      </w:r>
      <w:r>
        <w:rPr>
          <w:color w:val="auto"/>
          <w:sz w:val="24"/>
          <w:highlight w:val="none"/>
        </w:rPr>
        <w:t>拟签订的合同文本</w:t>
      </w:r>
    </w:p>
    <w:p w14:paraId="1CC9FCA5">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第七章 </w:t>
      </w:r>
      <w:r>
        <w:rPr>
          <w:color w:val="auto"/>
          <w:sz w:val="24"/>
          <w:highlight w:val="none"/>
        </w:rPr>
        <w:t>投标文件格式</w:t>
      </w:r>
    </w:p>
    <w:p w14:paraId="295D8178">
      <w:pPr>
        <w:tabs>
          <w:tab w:val="left" w:pos="1080"/>
          <w:tab w:val="left" w:pos="2014"/>
        </w:tabs>
        <w:snapToGrid w:val="0"/>
        <w:spacing w:line="360" w:lineRule="auto"/>
        <w:ind w:left="360"/>
        <w:rPr>
          <w:color w:val="auto"/>
          <w:sz w:val="24"/>
          <w:highlight w:val="none"/>
        </w:rPr>
      </w:pPr>
      <w:r>
        <w:rPr>
          <w:rFonts w:hint="eastAsia"/>
          <w:color w:val="auto"/>
          <w:sz w:val="24"/>
          <w:highlight w:val="none"/>
        </w:rPr>
        <w:t>7.2</w:t>
      </w: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29B9C38D">
      <w:pPr>
        <w:tabs>
          <w:tab w:val="left" w:pos="1080"/>
          <w:tab w:val="left" w:pos="2014"/>
        </w:tabs>
        <w:snapToGrid w:val="0"/>
        <w:spacing w:line="360" w:lineRule="auto"/>
        <w:rPr>
          <w:color w:val="auto"/>
          <w:sz w:val="24"/>
          <w:highlight w:val="none"/>
        </w:rPr>
      </w:pPr>
      <w:r>
        <w:rPr>
          <w:rFonts w:hint="eastAsia"/>
          <w:color w:val="auto"/>
          <w:sz w:val="24"/>
          <w:highlight w:val="none"/>
        </w:rPr>
        <w:t xml:space="preserve">8  </w:t>
      </w:r>
      <w:r>
        <w:rPr>
          <w:color w:val="auto"/>
          <w:sz w:val="24"/>
          <w:highlight w:val="none"/>
        </w:rPr>
        <w:t>对招标文件的澄清或修改</w:t>
      </w:r>
    </w:p>
    <w:p w14:paraId="55F03033">
      <w:pPr>
        <w:tabs>
          <w:tab w:val="left" w:pos="1080"/>
          <w:tab w:val="left" w:pos="1561"/>
          <w:tab w:val="left" w:pos="2014"/>
        </w:tabs>
        <w:snapToGrid w:val="0"/>
        <w:spacing w:line="360" w:lineRule="auto"/>
        <w:ind w:left="360"/>
        <w:rPr>
          <w:color w:val="auto"/>
          <w:sz w:val="24"/>
          <w:highlight w:val="none"/>
        </w:rPr>
      </w:pPr>
      <w:r>
        <w:rPr>
          <w:rFonts w:hint="eastAsia"/>
          <w:color w:val="auto"/>
          <w:sz w:val="24"/>
          <w:highlight w:val="none"/>
        </w:rPr>
        <w:t>8.1</w:t>
      </w:r>
      <w:r>
        <w:rPr>
          <w:color w:val="auto"/>
          <w:sz w:val="24"/>
          <w:highlight w:val="none"/>
        </w:rPr>
        <w:t>采购人或采购代理机构对已发出的招标文件进行必要澄清或者修改的，将在原公告发布媒体上发布更正公告，</w:t>
      </w:r>
      <w:r>
        <w:rPr>
          <w:rFonts w:hint="eastAsia"/>
          <w:color w:val="auto"/>
          <w:sz w:val="24"/>
          <w:highlight w:val="none"/>
        </w:rPr>
        <w:t>如未及时查看领取造成的一切后果，由投标人自行承担</w:t>
      </w:r>
      <w:r>
        <w:rPr>
          <w:color w:val="auto"/>
          <w:sz w:val="24"/>
          <w:highlight w:val="none"/>
        </w:rPr>
        <w:t>。</w:t>
      </w:r>
    </w:p>
    <w:p w14:paraId="6C6EDBFC">
      <w:pPr>
        <w:tabs>
          <w:tab w:val="left" w:pos="1080"/>
          <w:tab w:val="left" w:pos="1561"/>
          <w:tab w:val="left" w:pos="2014"/>
        </w:tabs>
        <w:snapToGrid w:val="0"/>
        <w:spacing w:line="360" w:lineRule="auto"/>
        <w:ind w:left="360"/>
        <w:rPr>
          <w:rFonts w:hint="eastAsia" w:ascii="宋体" w:hAnsi="宋体"/>
          <w:bCs/>
          <w:color w:val="auto"/>
          <w:sz w:val="28"/>
          <w:szCs w:val="28"/>
          <w:highlight w:val="none"/>
        </w:rPr>
      </w:pPr>
      <w:r>
        <w:rPr>
          <w:rFonts w:hint="eastAsia"/>
          <w:color w:val="auto"/>
          <w:sz w:val="24"/>
          <w:highlight w:val="none"/>
        </w:rPr>
        <w:t>8.2</w:t>
      </w:r>
      <w:r>
        <w:rPr>
          <w:rFonts w:ascii="宋体" w:hAnsi="宋体" w:eastAsia="宋体" w:cs="宋体"/>
          <w:sz w:val="24"/>
          <w:szCs w:val="24"/>
          <w:highlight w:val="none"/>
        </w:rPr>
        <w:t>澄清或者修改的内容为招标文件的组成部分，并对所有获取招标文件的潜在投标 人具有约束力。澄清或者修改的内容可能影响投标文件编制的，将在投标截止时间 至少15日前，通知所有获取招标文件的潜在投标人；不足15日的，将顺延提交投 标文件的截止时间和开标时间。</w:t>
      </w:r>
    </w:p>
    <w:p w14:paraId="3A0B001A">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三  投标文件的编制</w:t>
      </w:r>
    </w:p>
    <w:p w14:paraId="1DFF2A33">
      <w:pPr>
        <w:tabs>
          <w:tab w:val="left" w:pos="360"/>
        </w:tabs>
        <w:snapToGrid w:val="0"/>
        <w:spacing w:line="360" w:lineRule="auto"/>
        <w:rPr>
          <w:color w:val="auto"/>
          <w:sz w:val="24"/>
          <w:highlight w:val="none"/>
        </w:rPr>
      </w:pPr>
      <w:bookmarkStart w:id="68" w:name="_Toc150774627"/>
      <w:bookmarkStart w:id="69" w:name="_Toc151193769"/>
      <w:bookmarkStart w:id="70" w:name="_Toc305158795"/>
      <w:bookmarkStart w:id="71" w:name="_Toc516367021"/>
      <w:bookmarkStart w:id="72" w:name="_Toc127151728"/>
      <w:bookmarkStart w:id="73" w:name="_Toc305158869"/>
      <w:bookmarkStart w:id="74" w:name="_Toc226337223"/>
      <w:bookmarkStart w:id="75" w:name="_Toc151193915"/>
      <w:bookmarkStart w:id="76" w:name="_Toc164608641"/>
      <w:bookmarkStart w:id="77" w:name="_Toc151193697"/>
      <w:bookmarkStart w:id="78" w:name="_Toc164608796"/>
      <w:bookmarkStart w:id="79" w:name="_Toc151190154"/>
      <w:bookmarkStart w:id="80" w:name="_Toc520356151"/>
      <w:bookmarkStart w:id="81" w:name="_Toc142311029"/>
      <w:bookmarkStart w:id="82" w:name="_Toc150774732"/>
      <w:bookmarkStart w:id="83" w:name="_Toc226309771"/>
      <w:bookmarkStart w:id="84" w:name="_Toc226965717"/>
      <w:bookmarkStart w:id="85" w:name="_Toc150480765"/>
      <w:bookmarkStart w:id="86" w:name="_Toc127161441"/>
      <w:bookmarkStart w:id="87" w:name="_Toc226965800"/>
      <w:bookmarkStart w:id="88" w:name="_Toc265228365"/>
      <w:bookmarkStart w:id="89" w:name="_Toc164351621"/>
      <w:bookmarkStart w:id="90" w:name="_Toc150509278"/>
      <w:bookmarkStart w:id="91" w:name="_Toc195842892"/>
      <w:bookmarkStart w:id="92" w:name="_Toc149720820"/>
      <w:bookmarkStart w:id="93" w:name="_Toc127151527"/>
      <w:bookmarkStart w:id="94" w:name="_Toc264969217"/>
      <w:bookmarkStart w:id="95" w:name="_Toc151193841"/>
      <w:bookmarkStart w:id="96" w:name="_Toc164229368"/>
      <w:bookmarkStart w:id="97" w:name="_Toc151193625"/>
      <w:bookmarkStart w:id="98" w:name="_Toc164229222"/>
      <w:r>
        <w:rPr>
          <w:rFonts w:hint="eastAsia"/>
          <w:color w:val="auto"/>
          <w:sz w:val="24"/>
          <w:highlight w:val="none"/>
        </w:rPr>
        <w:t xml:space="preserve">9  </w:t>
      </w:r>
      <w:r>
        <w:rPr>
          <w:color w:val="auto"/>
          <w:sz w:val="24"/>
          <w:highlight w:val="none"/>
        </w:rPr>
        <w:t>投标范围、投标文件中计量单位的使用</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color w:val="auto"/>
          <w:sz w:val="24"/>
          <w:highlight w:val="none"/>
        </w:rPr>
        <w:t>及投标语言</w:t>
      </w:r>
    </w:p>
    <w:p w14:paraId="758B4362">
      <w:pPr>
        <w:tabs>
          <w:tab w:val="left" w:pos="1080"/>
          <w:tab w:val="left" w:pos="2014"/>
        </w:tabs>
        <w:snapToGrid w:val="0"/>
        <w:spacing w:line="360" w:lineRule="auto"/>
        <w:ind w:left="360"/>
        <w:rPr>
          <w:color w:val="auto"/>
          <w:sz w:val="24"/>
          <w:highlight w:val="none"/>
        </w:rPr>
      </w:pPr>
      <w:r>
        <w:rPr>
          <w:rFonts w:hint="eastAsia"/>
          <w:color w:val="auto"/>
          <w:sz w:val="24"/>
          <w:highlight w:val="none"/>
        </w:rPr>
        <w:t>9.1</w:t>
      </w: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14:paraId="114286F6">
      <w:pPr>
        <w:tabs>
          <w:tab w:val="left" w:pos="1080"/>
          <w:tab w:val="left" w:pos="2014"/>
        </w:tabs>
        <w:snapToGrid w:val="0"/>
        <w:spacing w:line="360" w:lineRule="auto"/>
        <w:ind w:left="360"/>
        <w:rPr>
          <w:color w:val="auto"/>
          <w:sz w:val="24"/>
          <w:highlight w:val="none"/>
        </w:rPr>
      </w:pPr>
      <w:r>
        <w:rPr>
          <w:rFonts w:hint="eastAsia"/>
          <w:color w:val="auto"/>
          <w:sz w:val="24"/>
          <w:highlight w:val="none"/>
        </w:rPr>
        <w:t>9.2</w:t>
      </w:r>
      <w:r>
        <w:rPr>
          <w:color w:val="auto"/>
          <w:sz w:val="24"/>
          <w:highlight w:val="none"/>
        </w:rPr>
        <w:t>除招标文件有特殊要求外，本项目投标所使用的计量单位，应采用中华人民共和国法定计量单位。</w:t>
      </w:r>
    </w:p>
    <w:p w14:paraId="05580FE2">
      <w:pPr>
        <w:tabs>
          <w:tab w:val="left" w:pos="1080"/>
          <w:tab w:val="left" w:pos="2014"/>
        </w:tabs>
        <w:snapToGrid w:val="0"/>
        <w:spacing w:line="360" w:lineRule="auto"/>
        <w:ind w:left="360"/>
        <w:rPr>
          <w:color w:val="auto"/>
          <w:sz w:val="24"/>
          <w:highlight w:val="none"/>
        </w:rPr>
      </w:pPr>
      <w:r>
        <w:rPr>
          <w:rFonts w:hint="eastAsia"/>
          <w:color w:val="auto"/>
          <w:sz w:val="24"/>
          <w:highlight w:val="none"/>
        </w:rPr>
        <w:t>9.3</w:t>
      </w: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7A01CF6">
      <w:pPr>
        <w:tabs>
          <w:tab w:val="left" w:pos="360"/>
        </w:tabs>
        <w:snapToGrid w:val="0"/>
        <w:spacing w:line="360" w:lineRule="auto"/>
        <w:rPr>
          <w:color w:val="auto"/>
          <w:sz w:val="24"/>
          <w:highlight w:val="none"/>
        </w:rPr>
      </w:pPr>
      <w:bookmarkStart w:id="99" w:name="_Ref467306195"/>
      <w:bookmarkStart w:id="100" w:name="_Toc516367022"/>
      <w:bookmarkStart w:id="101" w:name="_Ref467306676"/>
      <w:bookmarkStart w:id="102" w:name="_Toc151190155"/>
      <w:bookmarkStart w:id="103" w:name="_Toc226337224"/>
      <w:bookmarkStart w:id="104" w:name="_Toc150774628"/>
      <w:bookmarkStart w:id="105" w:name="_Toc264969218"/>
      <w:bookmarkStart w:id="106" w:name="_Toc226309772"/>
      <w:bookmarkStart w:id="107" w:name="_Toc149720821"/>
      <w:bookmarkStart w:id="108" w:name="_Toc164608642"/>
      <w:bookmarkStart w:id="109" w:name="_Toc127151729"/>
      <w:bookmarkStart w:id="110" w:name="_Toc151193916"/>
      <w:bookmarkStart w:id="111" w:name="_Toc150509279"/>
      <w:bookmarkStart w:id="112" w:name="_Toc305158796"/>
      <w:bookmarkStart w:id="113" w:name="_Toc265228366"/>
      <w:bookmarkStart w:id="114" w:name="_Toc164229369"/>
      <w:bookmarkStart w:id="115" w:name="_Toc164351622"/>
      <w:bookmarkStart w:id="116" w:name="_Toc150774733"/>
      <w:bookmarkStart w:id="117" w:name="_Toc127151528"/>
      <w:bookmarkStart w:id="118" w:name="_Toc151193770"/>
      <w:bookmarkStart w:id="119" w:name="_Toc226965801"/>
      <w:bookmarkStart w:id="120" w:name="_Toc305158870"/>
      <w:bookmarkStart w:id="121" w:name="_Toc127161442"/>
      <w:bookmarkStart w:id="122" w:name="_Toc150480766"/>
      <w:bookmarkStart w:id="123" w:name="_Toc164229223"/>
      <w:bookmarkStart w:id="124" w:name="_Toc151193626"/>
      <w:bookmarkStart w:id="125" w:name="_Toc151193698"/>
      <w:bookmarkStart w:id="126" w:name="_Toc164608797"/>
      <w:bookmarkStart w:id="127" w:name="_Toc195842893"/>
      <w:bookmarkStart w:id="128" w:name="_Toc142311030"/>
      <w:bookmarkStart w:id="129" w:name="_Toc520356152"/>
      <w:bookmarkStart w:id="130" w:name="_Toc226965718"/>
      <w:bookmarkStart w:id="131" w:name="_Toc151193842"/>
      <w:r>
        <w:rPr>
          <w:rFonts w:hint="eastAsia"/>
          <w:color w:val="auto"/>
          <w:sz w:val="24"/>
          <w:highlight w:val="none"/>
        </w:rPr>
        <w:t xml:space="preserve">10  </w:t>
      </w:r>
      <w:r>
        <w:rPr>
          <w:color w:val="auto"/>
          <w:sz w:val="24"/>
          <w:highlight w:val="none"/>
        </w:rPr>
        <w:t>投标文件</w:t>
      </w:r>
      <w:bookmarkEnd w:id="99"/>
      <w:bookmarkEnd w:id="100"/>
      <w:bookmarkEnd w:id="101"/>
      <w:r>
        <w:rPr>
          <w:color w:val="auto"/>
          <w:sz w:val="24"/>
          <w:highlight w:val="none"/>
        </w:rPr>
        <w:t>构成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A32A0EF">
      <w:pPr>
        <w:tabs>
          <w:tab w:val="left" w:pos="1080"/>
          <w:tab w:val="left" w:pos="2014"/>
        </w:tabs>
        <w:snapToGrid w:val="0"/>
        <w:spacing w:line="360" w:lineRule="auto"/>
        <w:ind w:left="357"/>
        <w:rPr>
          <w:color w:val="auto"/>
          <w:sz w:val="24"/>
          <w:highlight w:val="none"/>
        </w:rPr>
      </w:pPr>
      <w:bookmarkStart w:id="132" w:name="_Ref467052588"/>
      <w:r>
        <w:rPr>
          <w:rFonts w:hint="eastAsia"/>
          <w:color w:val="auto"/>
          <w:sz w:val="24"/>
          <w:highlight w:val="none"/>
        </w:rPr>
        <w:t>10.1</w:t>
      </w:r>
      <w:r>
        <w:rPr>
          <w:color w:val="auto"/>
          <w:sz w:val="24"/>
          <w:highlight w:val="none"/>
        </w:rPr>
        <w:t>投标人应当按照招标文件的要求编制投标文件。投标文件应由《资格证明文件》、《商务技术文件》两部分构成。投标文件的部分格式要求，见第七章《投标文件格式》。</w:t>
      </w:r>
    </w:p>
    <w:p w14:paraId="3B7B41F0">
      <w:pPr>
        <w:tabs>
          <w:tab w:val="left" w:pos="1080"/>
          <w:tab w:val="left" w:pos="2014"/>
        </w:tabs>
        <w:snapToGrid w:val="0"/>
        <w:spacing w:line="360" w:lineRule="auto"/>
        <w:ind w:left="357"/>
        <w:rPr>
          <w:color w:val="auto"/>
          <w:sz w:val="24"/>
          <w:highlight w:val="none"/>
        </w:rPr>
      </w:pPr>
      <w:r>
        <w:rPr>
          <w:rFonts w:hint="eastAsia"/>
          <w:color w:val="auto"/>
          <w:kern w:val="0"/>
          <w:sz w:val="24"/>
          <w:highlight w:val="none"/>
        </w:rPr>
        <w:t>10.2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4DD43F49">
      <w:pPr>
        <w:tabs>
          <w:tab w:val="left" w:pos="1080"/>
          <w:tab w:val="left" w:pos="2014"/>
        </w:tabs>
        <w:snapToGrid w:val="0"/>
        <w:spacing w:line="360" w:lineRule="auto"/>
        <w:ind w:left="357"/>
        <w:rPr>
          <w:color w:val="auto"/>
          <w:sz w:val="24"/>
          <w:highlight w:val="none"/>
        </w:rPr>
      </w:pPr>
      <w:r>
        <w:rPr>
          <w:rFonts w:hint="eastAsia"/>
          <w:color w:val="auto"/>
          <w:sz w:val="24"/>
          <w:highlight w:val="none"/>
        </w:rPr>
        <w:t>10.3</w:t>
      </w:r>
      <w:r>
        <w:rPr>
          <w:color w:val="auto"/>
          <w:sz w:val="24"/>
          <w:highlight w:val="none"/>
        </w:rPr>
        <w:t>第四章《评标程序、评标方法和评标标准》中涉及的证明文件。</w:t>
      </w:r>
    </w:p>
    <w:p w14:paraId="7D117A0F">
      <w:pPr>
        <w:tabs>
          <w:tab w:val="left" w:pos="1080"/>
          <w:tab w:val="left" w:pos="2014"/>
        </w:tabs>
        <w:snapToGrid w:val="0"/>
        <w:spacing w:line="360" w:lineRule="auto"/>
        <w:ind w:left="357"/>
        <w:rPr>
          <w:color w:val="auto"/>
          <w:sz w:val="24"/>
          <w:highlight w:val="none"/>
        </w:rPr>
      </w:pPr>
      <w:r>
        <w:rPr>
          <w:rFonts w:hint="eastAsia"/>
          <w:color w:val="auto"/>
          <w:sz w:val="24"/>
          <w:highlight w:val="none"/>
        </w:rPr>
        <w:t>10.4</w:t>
      </w: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55F6193">
      <w:pPr>
        <w:tabs>
          <w:tab w:val="left" w:pos="1080"/>
          <w:tab w:val="left" w:pos="2014"/>
        </w:tabs>
        <w:snapToGrid w:val="0"/>
        <w:spacing w:line="360" w:lineRule="auto"/>
        <w:ind w:left="357"/>
        <w:rPr>
          <w:color w:val="auto"/>
          <w:sz w:val="24"/>
          <w:highlight w:val="none"/>
        </w:rPr>
      </w:pPr>
      <w:r>
        <w:rPr>
          <w:rFonts w:hint="eastAsia"/>
          <w:color w:val="auto"/>
          <w:sz w:val="24"/>
          <w:highlight w:val="none"/>
        </w:rPr>
        <w:t>10.5</w:t>
      </w:r>
      <w:r>
        <w:rPr>
          <w:color w:val="auto"/>
          <w:sz w:val="24"/>
          <w:highlight w:val="none"/>
        </w:rPr>
        <w:t>投标人认为应附的其他材料。</w:t>
      </w:r>
      <w:bookmarkEnd w:id="132"/>
    </w:p>
    <w:p w14:paraId="20293AD6">
      <w:pPr>
        <w:tabs>
          <w:tab w:val="left" w:pos="360"/>
        </w:tabs>
        <w:snapToGrid w:val="0"/>
        <w:spacing w:line="360" w:lineRule="auto"/>
        <w:rPr>
          <w:color w:val="auto"/>
          <w:sz w:val="24"/>
          <w:highlight w:val="none"/>
        </w:rPr>
      </w:pPr>
      <w:bookmarkStart w:id="133" w:name="_Toc151190157"/>
      <w:bookmarkStart w:id="134" w:name="_Toc150774630"/>
      <w:bookmarkStart w:id="135" w:name="_Toc127161444"/>
      <w:bookmarkStart w:id="136" w:name="_Toc151193844"/>
      <w:bookmarkStart w:id="137" w:name="_Toc149720823"/>
      <w:bookmarkStart w:id="138" w:name="_Toc127151731"/>
      <w:bookmarkStart w:id="139" w:name="_Toc151193918"/>
      <w:bookmarkStart w:id="140" w:name="_Toc150509281"/>
      <w:bookmarkStart w:id="141" w:name="_Toc151193628"/>
      <w:bookmarkStart w:id="142" w:name="_Toc164229225"/>
      <w:bookmarkStart w:id="143" w:name="_Toc151193700"/>
      <w:bookmarkStart w:id="144" w:name="_Toc164608644"/>
      <w:bookmarkStart w:id="145" w:name="_Toc195842895"/>
      <w:bookmarkStart w:id="146" w:name="_Toc520356155"/>
      <w:bookmarkStart w:id="147" w:name="_Toc164351624"/>
      <w:bookmarkStart w:id="148" w:name="_Toc164608799"/>
      <w:bookmarkStart w:id="149" w:name="_Toc164229371"/>
      <w:bookmarkStart w:id="150" w:name="_Toc151193772"/>
      <w:bookmarkStart w:id="151" w:name="_Toc127151530"/>
      <w:bookmarkStart w:id="152" w:name="_Toc150774735"/>
      <w:bookmarkStart w:id="153" w:name="_Toc142311032"/>
      <w:bookmarkStart w:id="154" w:name="_Toc150480768"/>
      <w:r>
        <w:rPr>
          <w:rFonts w:hint="eastAsia"/>
          <w:color w:val="auto"/>
          <w:sz w:val="24"/>
          <w:highlight w:val="none"/>
        </w:rPr>
        <w:t xml:space="preserve">11  </w:t>
      </w:r>
      <w:r>
        <w:rPr>
          <w:color w:val="auto"/>
          <w:sz w:val="24"/>
          <w:highlight w:val="none"/>
        </w:rPr>
        <w:t>投标报价</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E0C4976">
      <w:pPr>
        <w:tabs>
          <w:tab w:val="left" w:pos="1080"/>
          <w:tab w:val="left" w:pos="2014"/>
        </w:tabs>
        <w:snapToGrid w:val="0"/>
        <w:spacing w:line="360" w:lineRule="auto"/>
        <w:ind w:left="357"/>
        <w:rPr>
          <w:color w:val="auto"/>
          <w:sz w:val="24"/>
          <w:highlight w:val="none"/>
        </w:rPr>
      </w:pPr>
      <w:r>
        <w:rPr>
          <w:rFonts w:hint="eastAsia"/>
          <w:color w:val="auto"/>
          <w:sz w:val="24"/>
          <w:highlight w:val="none"/>
        </w:rPr>
        <w:t>11.1</w:t>
      </w:r>
      <w:r>
        <w:rPr>
          <w:color w:val="auto"/>
          <w:sz w:val="24"/>
          <w:highlight w:val="none"/>
        </w:rPr>
        <w:t>所有投标均以人民币报价。</w:t>
      </w:r>
    </w:p>
    <w:p w14:paraId="1AFC8B09">
      <w:pPr>
        <w:tabs>
          <w:tab w:val="left" w:pos="1080"/>
          <w:tab w:val="left" w:pos="2014"/>
        </w:tabs>
        <w:snapToGrid w:val="0"/>
        <w:spacing w:line="360" w:lineRule="auto"/>
        <w:ind w:left="357"/>
        <w:rPr>
          <w:color w:val="auto"/>
          <w:sz w:val="24"/>
          <w:highlight w:val="none"/>
        </w:rPr>
      </w:pPr>
      <w:r>
        <w:rPr>
          <w:rFonts w:hint="eastAsia"/>
          <w:color w:val="auto"/>
          <w:sz w:val="24"/>
          <w:highlight w:val="none"/>
        </w:rPr>
        <w:t>11.2</w:t>
      </w: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14:paraId="7A6E49F2">
      <w:pPr>
        <w:snapToGrid w:val="0"/>
        <w:spacing w:line="360" w:lineRule="auto"/>
        <w:ind w:left="1080"/>
        <w:rPr>
          <w:color w:val="auto"/>
          <w:sz w:val="24"/>
          <w:highlight w:val="none"/>
        </w:rPr>
      </w:pPr>
      <w:r>
        <w:rPr>
          <w:rFonts w:hint="eastAsia"/>
          <w:color w:val="auto"/>
          <w:sz w:val="24"/>
          <w:highlight w:val="none"/>
        </w:rPr>
        <w:t>11.2.1</w:t>
      </w: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DBE1B64">
      <w:pPr>
        <w:snapToGrid w:val="0"/>
        <w:spacing w:line="360" w:lineRule="auto"/>
        <w:ind w:left="1080"/>
        <w:rPr>
          <w:color w:val="auto"/>
          <w:sz w:val="24"/>
          <w:highlight w:val="none"/>
        </w:rPr>
      </w:pPr>
      <w:r>
        <w:rPr>
          <w:rFonts w:hint="eastAsia"/>
          <w:color w:val="auto"/>
          <w:sz w:val="24"/>
          <w:highlight w:val="none"/>
        </w:rPr>
        <w:t>11.2.2</w:t>
      </w:r>
      <w:r>
        <w:rPr>
          <w:color w:val="auto"/>
          <w:sz w:val="24"/>
          <w:highlight w:val="none"/>
        </w:rPr>
        <w:t xml:space="preserve">按照招标文件要求完成本项目的全部相关服务费用。 </w:t>
      </w:r>
    </w:p>
    <w:p w14:paraId="27A68F62">
      <w:pPr>
        <w:tabs>
          <w:tab w:val="left" w:pos="1080"/>
          <w:tab w:val="left" w:pos="2014"/>
        </w:tabs>
        <w:snapToGrid w:val="0"/>
        <w:spacing w:line="360" w:lineRule="auto"/>
        <w:ind w:left="357"/>
        <w:rPr>
          <w:color w:val="auto"/>
          <w:sz w:val="24"/>
          <w:highlight w:val="none"/>
        </w:rPr>
      </w:pPr>
      <w:r>
        <w:rPr>
          <w:rFonts w:hint="eastAsia"/>
          <w:color w:val="auto"/>
          <w:sz w:val="24"/>
          <w:highlight w:val="none"/>
        </w:rPr>
        <w:t>11.3</w:t>
      </w:r>
      <w:r>
        <w:rPr>
          <w:color w:val="auto"/>
          <w:sz w:val="24"/>
          <w:highlight w:val="none"/>
        </w:rPr>
        <w:t>采购人不得向供应商索要或者接受其给予的赠品、回扣或者与采购无关的其他商品、服务。</w:t>
      </w:r>
    </w:p>
    <w:p w14:paraId="689233AD">
      <w:pPr>
        <w:tabs>
          <w:tab w:val="left" w:pos="1080"/>
          <w:tab w:val="left" w:pos="2014"/>
        </w:tabs>
        <w:snapToGrid w:val="0"/>
        <w:spacing w:line="360" w:lineRule="auto"/>
        <w:ind w:left="360"/>
        <w:rPr>
          <w:color w:val="auto"/>
          <w:sz w:val="24"/>
          <w:highlight w:val="none"/>
        </w:rPr>
      </w:pPr>
      <w:r>
        <w:rPr>
          <w:rFonts w:hint="eastAsia"/>
          <w:color w:val="auto"/>
          <w:sz w:val="24"/>
          <w:highlight w:val="none"/>
        </w:rPr>
        <w:t>11.4</w:t>
      </w: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14:paraId="6B48F2C9">
      <w:pPr>
        <w:tabs>
          <w:tab w:val="left" w:pos="360"/>
        </w:tabs>
        <w:snapToGrid w:val="0"/>
        <w:spacing w:line="360" w:lineRule="auto"/>
        <w:rPr>
          <w:color w:val="auto"/>
          <w:sz w:val="24"/>
          <w:highlight w:val="none"/>
        </w:rPr>
      </w:pPr>
      <w:bookmarkStart w:id="155" w:name="_Toc164608645"/>
      <w:bookmarkStart w:id="156" w:name="_Toc150774631"/>
      <w:bookmarkStart w:id="157" w:name="_Toc151193701"/>
      <w:bookmarkStart w:id="158" w:name="_Toc151193845"/>
      <w:bookmarkStart w:id="159" w:name="_Toc264969221"/>
      <w:bookmarkStart w:id="160" w:name="_Toc226309775"/>
      <w:bookmarkStart w:id="161" w:name="_Toc195842896"/>
      <w:bookmarkStart w:id="162" w:name="_Toc127151732"/>
      <w:bookmarkStart w:id="163" w:name="_Toc226337227"/>
      <w:bookmarkStart w:id="164" w:name="_Toc265228369"/>
      <w:bookmarkStart w:id="165" w:name="_Toc127151531"/>
      <w:bookmarkStart w:id="166" w:name="_Toc164229372"/>
      <w:bookmarkStart w:id="167" w:name="_Toc305158799"/>
      <w:bookmarkStart w:id="168" w:name="_Toc305158873"/>
      <w:bookmarkStart w:id="169" w:name="_Toc164608800"/>
      <w:bookmarkStart w:id="170" w:name="_Toc164351625"/>
      <w:bookmarkStart w:id="171" w:name="_Toc150774736"/>
      <w:bookmarkStart w:id="172" w:name="_Toc226965721"/>
      <w:bookmarkStart w:id="173" w:name="_Toc164229226"/>
      <w:bookmarkStart w:id="174" w:name="_Toc150480769"/>
      <w:bookmarkStart w:id="175" w:name="_Toc151193919"/>
      <w:bookmarkStart w:id="176" w:name="_Toc150509282"/>
      <w:bookmarkStart w:id="177" w:name="_Toc127161445"/>
      <w:bookmarkStart w:id="178" w:name="_Toc226965804"/>
      <w:bookmarkStart w:id="179" w:name="_Ref467306513"/>
      <w:bookmarkStart w:id="180" w:name="_Toc151193773"/>
      <w:bookmarkStart w:id="181" w:name="_Toc142311033"/>
      <w:bookmarkStart w:id="182" w:name="_Toc151193629"/>
      <w:bookmarkStart w:id="183" w:name="_Toc151190158"/>
      <w:bookmarkStart w:id="184" w:name="_Toc149720824"/>
      <w:bookmarkStart w:id="185" w:name="_Toc520356156"/>
      <w:r>
        <w:rPr>
          <w:rFonts w:hint="eastAsia"/>
          <w:color w:val="auto"/>
          <w:sz w:val="24"/>
          <w:highlight w:val="none"/>
        </w:rPr>
        <w:t xml:space="preserve">12  </w:t>
      </w:r>
      <w:r>
        <w:rPr>
          <w:color w:val="auto"/>
          <w:sz w:val="24"/>
          <w:highlight w:val="none"/>
        </w:rPr>
        <w:t>投标保证金</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1E40398">
      <w:pPr>
        <w:tabs>
          <w:tab w:val="left" w:pos="1080"/>
          <w:tab w:val="left" w:pos="2014"/>
        </w:tabs>
        <w:snapToGrid w:val="0"/>
        <w:spacing w:line="360" w:lineRule="auto"/>
        <w:ind w:left="357"/>
        <w:rPr>
          <w:color w:val="auto"/>
          <w:sz w:val="24"/>
          <w:highlight w:val="none"/>
        </w:rPr>
      </w:pPr>
      <w:bookmarkStart w:id="186" w:name="_Ref467306302"/>
      <w:r>
        <w:rPr>
          <w:rFonts w:hint="eastAsia"/>
          <w:color w:val="auto"/>
          <w:sz w:val="24"/>
          <w:highlight w:val="none"/>
        </w:rPr>
        <w:t>12.1</w:t>
      </w:r>
      <w:r>
        <w:rPr>
          <w:color w:val="auto"/>
          <w:sz w:val="24"/>
          <w:highlight w:val="none"/>
        </w:rPr>
        <w:t>投标人应按《投标人须知资料表》中规定的金额及要求交纳投标保证金</w:t>
      </w:r>
      <w:bookmarkEnd w:id="186"/>
      <w:r>
        <w:rPr>
          <w:color w:val="auto"/>
          <w:sz w:val="24"/>
          <w:highlight w:val="none"/>
        </w:rPr>
        <w:t>，并作为其投标的一部分。</w:t>
      </w:r>
    </w:p>
    <w:p w14:paraId="6B38E032">
      <w:pPr>
        <w:tabs>
          <w:tab w:val="left" w:pos="1080"/>
          <w:tab w:val="left" w:pos="2014"/>
        </w:tabs>
        <w:snapToGrid w:val="0"/>
        <w:spacing w:line="360" w:lineRule="auto"/>
        <w:ind w:left="357"/>
        <w:rPr>
          <w:color w:val="auto"/>
          <w:sz w:val="24"/>
          <w:highlight w:val="none"/>
        </w:rPr>
      </w:pPr>
      <w:r>
        <w:rPr>
          <w:rFonts w:hint="eastAsia"/>
          <w:color w:val="auto"/>
          <w:sz w:val="24"/>
          <w:highlight w:val="none"/>
        </w:rPr>
        <w:t>12.2</w:t>
      </w:r>
      <w:r>
        <w:rPr>
          <w:color w:val="auto"/>
          <w:sz w:val="24"/>
          <w:highlight w:val="none"/>
        </w:rPr>
        <w:t>交纳投标保证金可采用的形式：政府采购法律法规接受的支票、汇票、本票、网上银行支付或者金融机构、担保机构出具的保函等非现金形式。</w:t>
      </w:r>
    </w:p>
    <w:p w14:paraId="4A48CADC">
      <w:pPr>
        <w:tabs>
          <w:tab w:val="left" w:pos="1080"/>
          <w:tab w:val="left" w:pos="2014"/>
        </w:tabs>
        <w:snapToGrid w:val="0"/>
        <w:spacing w:line="360" w:lineRule="auto"/>
        <w:ind w:left="357"/>
        <w:rPr>
          <w:color w:val="auto"/>
          <w:sz w:val="24"/>
          <w:highlight w:val="none"/>
        </w:rPr>
      </w:pPr>
      <w:r>
        <w:rPr>
          <w:rFonts w:hint="eastAsia"/>
          <w:color w:val="auto"/>
          <w:sz w:val="24"/>
          <w:highlight w:val="none"/>
        </w:rPr>
        <w:t>12.3</w:t>
      </w: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14:paraId="13BEB5BE">
      <w:pPr>
        <w:tabs>
          <w:tab w:val="left" w:pos="1080"/>
          <w:tab w:val="left" w:pos="2014"/>
        </w:tabs>
        <w:snapToGrid w:val="0"/>
        <w:spacing w:line="360" w:lineRule="auto"/>
        <w:ind w:left="357"/>
        <w:rPr>
          <w:color w:val="auto"/>
          <w:sz w:val="24"/>
          <w:highlight w:val="none"/>
        </w:rPr>
      </w:pPr>
      <w:r>
        <w:rPr>
          <w:rFonts w:hint="eastAsia"/>
          <w:color w:val="auto"/>
          <w:sz w:val="24"/>
          <w:highlight w:val="none"/>
        </w:rPr>
        <w:t>12.4</w:t>
      </w:r>
      <w:r>
        <w:rPr>
          <w:color w:val="auto"/>
          <w:sz w:val="24"/>
          <w:highlight w:val="none"/>
        </w:rPr>
        <w:t>投标保证金（保函）有效期同投标有效期。</w:t>
      </w:r>
    </w:p>
    <w:p w14:paraId="3587EAA1">
      <w:pPr>
        <w:tabs>
          <w:tab w:val="left" w:pos="1080"/>
          <w:tab w:val="left" w:pos="2014"/>
        </w:tabs>
        <w:snapToGrid w:val="0"/>
        <w:spacing w:line="360" w:lineRule="auto"/>
        <w:ind w:left="357"/>
        <w:rPr>
          <w:color w:val="auto"/>
          <w:sz w:val="24"/>
          <w:highlight w:val="none"/>
        </w:rPr>
      </w:pPr>
      <w:r>
        <w:rPr>
          <w:rFonts w:hint="eastAsia"/>
          <w:color w:val="auto"/>
          <w:sz w:val="24"/>
          <w:highlight w:val="none"/>
        </w:rPr>
        <w:t>12.5</w:t>
      </w:r>
      <w:r>
        <w:rPr>
          <w:color w:val="auto"/>
          <w:sz w:val="24"/>
          <w:highlight w:val="none"/>
        </w:rPr>
        <w:t>联合体投标的，可以由联合体中的一方或者共同提交投标保证金，以一方名义提交投标保证金的，对联合体各方均具有约束力。</w:t>
      </w:r>
    </w:p>
    <w:p w14:paraId="6435667B">
      <w:pPr>
        <w:tabs>
          <w:tab w:val="left" w:pos="1080"/>
          <w:tab w:val="left" w:pos="2014"/>
        </w:tabs>
        <w:snapToGrid w:val="0"/>
        <w:spacing w:line="360" w:lineRule="auto"/>
        <w:ind w:left="357"/>
        <w:rPr>
          <w:color w:val="auto"/>
          <w:sz w:val="24"/>
          <w:highlight w:val="none"/>
        </w:rPr>
      </w:pPr>
      <w:r>
        <w:rPr>
          <w:rFonts w:hint="eastAsia"/>
          <w:color w:val="auto"/>
          <w:sz w:val="24"/>
          <w:highlight w:val="none"/>
        </w:rPr>
        <w:t>12.6</w:t>
      </w: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保证金，经供应商同意后采购人、采购代理机构可以不再退还，但因投标人自身原因导致无法及时退还的除外：</w:t>
      </w:r>
    </w:p>
    <w:p w14:paraId="3B6E4F49">
      <w:pPr>
        <w:snapToGrid w:val="0"/>
        <w:spacing w:line="360" w:lineRule="auto"/>
        <w:ind w:left="1080"/>
        <w:rPr>
          <w:color w:val="auto"/>
          <w:sz w:val="24"/>
          <w:highlight w:val="none"/>
        </w:rPr>
      </w:pPr>
      <w:r>
        <w:rPr>
          <w:rFonts w:hint="eastAsia"/>
          <w:color w:val="auto"/>
          <w:sz w:val="24"/>
          <w:highlight w:val="none"/>
        </w:rPr>
        <w:t>12.6.1</w:t>
      </w:r>
      <w:r>
        <w:rPr>
          <w:color w:val="auto"/>
          <w:sz w:val="24"/>
          <w:highlight w:val="none"/>
        </w:rPr>
        <w:t>投标人在投标截止时间前撤回已提交的投标文件的，自收到投标人书面撤回通知之日起5个工作日内退还已收取的投标保证金；</w:t>
      </w:r>
    </w:p>
    <w:p w14:paraId="487B22DA">
      <w:pPr>
        <w:snapToGrid w:val="0"/>
        <w:spacing w:line="360" w:lineRule="auto"/>
        <w:ind w:left="1080"/>
        <w:rPr>
          <w:color w:val="auto"/>
          <w:sz w:val="24"/>
          <w:highlight w:val="none"/>
        </w:rPr>
      </w:pPr>
      <w:r>
        <w:rPr>
          <w:rFonts w:hint="eastAsia"/>
          <w:color w:val="auto"/>
          <w:sz w:val="24"/>
          <w:highlight w:val="none"/>
        </w:rPr>
        <w:t>12.6.2</w:t>
      </w:r>
      <w:r>
        <w:rPr>
          <w:color w:val="auto"/>
          <w:sz w:val="24"/>
          <w:highlight w:val="none"/>
        </w:rPr>
        <w:t>中标人的投标保证金，自采购合同签订之日起5个工作日内退还中标人；</w:t>
      </w:r>
    </w:p>
    <w:p w14:paraId="1ED67C2E">
      <w:pPr>
        <w:snapToGrid w:val="0"/>
        <w:spacing w:line="360" w:lineRule="auto"/>
        <w:ind w:left="1080"/>
        <w:rPr>
          <w:color w:val="auto"/>
          <w:sz w:val="24"/>
          <w:highlight w:val="none"/>
        </w:rPr>
      </w:pPr>
      <w:r>
        <w:rPr>
          <w:rFonts w:hint="eastAsia"/>
          <w:color w:val="auto"/>
          <w:sz w:val="24"/>
          <w:highlight w:val="none"/>
        </w:rPr>
        <w:t>12.6.3</w:t>
      </w:r>
      <w:r>
        <w:rPr>
          <w:color w:val="auto"/>
          <w:sz w:val="24"/>
          <w:highlight w:val="none"/>
        </w:rPr>
        <w:t>未中标投标人的投标保证金，自中标通知书发出之日起5个工作日内退还未中标人；</w:t>
      </w:r>
    </w:p>
    <w:p w14:paraId="1723AED3">
      <w:pPr>
        <w:snapToGrid w:val="0"/>
        <w:spacing w:line="360" w:lineRule="auto"/>
        <w:ind w:left="1080"/>
        <w:rPr>
          <w:color w:val="auto"/>
          <w:sz w:val="24"/>
          <w:highlight w:val="none"/>
        </w:rPr>
      </w:pPr>
      <w:r>
        <w:rPr>
          <w:rFonts w:hint="eastAsia"/>
          <w:color w:val="auto"/>
          <w:sz w:val="24"/>
          <w:highlight w:val="none"/>
        </w:rPr>
        <w:t>12.6.4</w:t>
      </w:r>
      <w:r>
        <w:rPr>
          <w:color w:val="auto"/>
          <w:sz w:val="24"/>
          <w:highlight w:val="none"/>
        </w:rPr>
        <w:t>终止招标项目已经收取投标保证金的，自终止采购活动后5个工作日内退还已收取的投标保证金。</w:t>
      </w:r>
    </w:p>
    <w:p w14:paraId="499E6DE4">
      <w:pPr>
        <w:tabs>
          <w:tab w:val="left" w:pos="1080"/>
          <w:tab w:val="left" w:pos="2014"/>
        </w:tabs>
        <w:snapToGrid w:val="0"/>
        <w:spacing w:line="360" w:lineRule="auto"/>
        <w:ind w:left="357"/>
        <w:rPr>
          <w:color w:val="auto"/>
          <w:sz w:val="24"/>
          <w:highlight w:val="none"/>
        </w:rPr>
      </w:pPr>
      <w:r>
        <w:rPr>
          <w:rFonts w:hint="eastAsia"/>
          <w:color w:val="auto"/>
          <w:sz w:val="24"/>
          <w:highlight w:val="none"/>
        </w:rPr>
        <w:t>12.7</w:t>
      </w:r>
      <w:r>
        <w:rPr>
          <w:color w:val="auto"/>
          <w:sz w:val="24"/>
          <w:highlight w:val="none"/>
        </w:rPr>
        <w:t>有下列情形之一的，采购人或采购代理机构可以不予退还投标保证金：</w:t>
      </w:r>
    </w:p>
    <w:p w14:paraId="02548494">
      <w:pPr>
        <w:snapToGrid w:val="0"/>
        <w:spacing w:line="360" w:lineRule="auto"/>
        <w:ind w:left="1080"/>
        <w:rPr>
          <w:color w:val="auto"/>
          <w:sz w:val="24"/>
          <w:highlight w:val="none"/>
        </w:rPr>
      </w:pPr>
      <w:r>
        <w:rPr>
          <w:rFonts w:hint="eastAsia"/>
          <w:color w:val="auto"/>
          <w:sz w:val="24"/>
          <w:highlight w:val="none"/>
        </w:rPr>
        <w:t>12.7.1</w:t>
      </w:r>
      <w:r>
        <w:rPr>
          <w:color w:val="auto"/>
          <w:sz w:val="24"/>
          <w:highlight w:val="none"/>
        </w:rPr>
        <w:t>投标有效期内投标人撤销投标文件的；</w:t>
      </w:r>
    </w:p>
    <w:p w14:paraId="50FC5267">
      <w:pPr>
        <w:tabs>
          <w:tab w:val="left" w:pos="900"/>
          <w:tab w:val="left" w:pos="1080"/>
          <w:tab w:val="left" w:pos="2014"/>
        </w:tabs>
        <w:snapToGrid w:val="0"/>
        <w:spacing w:line="360" w:lineRule="auto"/>
        <w:ind w:left="1080"/>
        <w:rPr>
          <w:color w:val="auto"/>
          <w:sz w:val="24"/>
          <w:highlight w:val="none"/>
        </w:rPr>
      </w:pPr>
      <w:r>
        <w:rPr>
          <w:rFonts w:hint="eastAsia"/>
          <w:color w:val="auto"/>
          <w:sz w:val="24"/>
          <w:highlight w:val="none"/>
        </w:rPr>
        <w:t>12.7.2</w:t>
      </w:r>
      <w:r>
        <w:rPr>
          <w:color w:val="auto"/>
          <w:sz w:val="24"/>
          <w:highlight w:val="none"/>
        </w:rPr>
        <w:t>《投标人须知资料表》中规定的其他情形。</w:t>
      </w:r>
    </w:p>
    <w:p w14:paraId="650E24A7">
      <w:pPr>
        <w:tabs>
          <w:tab w:val="left" w:pos="360"/>
        </w:tabs>
        <w:snapToGrid w:val="0"/>
        <w:spacing w:line="360" w:lineRule="auto"/>
        <w:rPr>
          <w:color w:val="auto"/>
          <w:sz w:val="24"/>
          <w:highlight w:val="none"/>
        </w:rPr>
      </w:pPr>
      <w:bookmarkStart w:id="187" w:name="_Toc226337228"/>
      <w:bookmarkStart w:id="188" w:name="_Toc226965805"/>
      <w:bookmarkStart w:id="189" w:name="_Toc151193702"/>
      <w:bookmarkStart w:id="190" w:name="_Toc127151733"/>
      <w:bookmarkStart w:id="191" w:name="_Toc149720825"/>
      <w:bookmarkStart w:id="192" w:name="_Toc164351626"/>
      <w:bookmarkStart w:id="193" w:name="_Toc305158800"/>
      <w:bookmarkStart w:id="194" w:name="_Toc142311034"/>
      <w:bookmarkStart w:id="195" w:name="_Toc264969222"/>
      <w:bookmarkStart w:id="196" w:name="_Toc151190159"/>
      <w:bookmarkStart w:id="197" w:name="_Toc127161446"/>
      <w:bookmarkStart w:id="198" w:name="_Toc164229227"/>
      <w:bookmarkStart w:id="199" w:name="_Toc226965722"/>
      <w:bookmarkStart w:id="200" w:name="_Toc150480770"/>
      <w:bookmarkStart w:id="201" w:name="_Toc150509283"/>
      <w:bookmarkStart w:id="202" w:name="_Toc150774632"/>
      <w:bookmarkStart w:id="203" w:name="_Toc127151532"/>
      <w:bookmarkStart w:id="204" w:name="_Toc151193846"/>
      <w:bookmarkStart w:id="205" w:name="_Toc265228370"/>
      <w:bookmarkStart w:id="206" w:name="_Toc151193630"/>
      <w:bookmarkStart w:id="207" w:name="_Toc226309776"/>
      <w:bookmarkStart w:id="208" w:name="_Toc520356157"/>
      <w:bookmarkStart w:id="209" w:name="_Toc164229373"/>
      <w:bookmarkStart w:id="210" w:name="_Toc150774737"/>
      <w:bookmarkStart w:id="211" w:name="_Toc195842897"/>
      <w:bookmarkStart w:id="212" w:name="_Toc305158874"/>
      <w:bookmarkStart w:id="213" w:name="_Toc164608801"/>
      <w:bookmarkStart w:id="214" w:name="_Toc151193920"/>
      <w:bookmarkStart w:id="215" w:name="_Toc151193774"/>
      <w:bookmarkStart w:id="216" w:name="_Toc164608646"/>
      <w:r>
        <w:rPr>
          <w:rFonts w:hint="eastAsia"/>
          <w:color w:val="auto"/>
          <w:sz w:val="24"/>
          <w:highlight w:val="none"/>
        </w:rPr>
        <w:t xml:space="preserve">13  </w:t>
      </w:r>
      <w:r>
        <w:rPr>
          <w:color w:val="auto"/>
          <w:sz w:val="24"/>
          <w:highlight w:val="none"/>
        </w:rPr>
        <w:t>投标有效期</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3E95677">
      <w:pPr>
        <w:tabs>
          <w:tab w:val="left" w:pos="1080"/>
          <w:tab w:val="left" w:pos="2014"/>
        </w:tabs>
        <w:snapToGrid w:val="0"/>
        <w:spacing w:line="360" w:lineRule="auto"/>
        <w:ind w:left="357"/>
        <w:rPr>
          <w:color w:val="auto"/>
          <w:sz w:val="24"/>
          <w:highlight w:val="none"/>
        </w:rPr>
      </w:pPr>
      <w:r>
        <w:rPr>
          <w:rFonts w:hint="eastAsia"/>
          <w:color w:val="auto"/>
          <w:sz w:val="24"/>
          <w:highlight w:val="none"/>
        </w:rPr>
        <w:t>13.1</w:t>
      </w: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515C6A8A">
      <w:pPr>
        <w:tabs>
          <w:tab w:val="left" w:pos="360"/>
        </w:tabs>
        <w:snapToGrid w:val="0"/>
        <w:spacing w:line="360" w:lineRule="auto"/>
        <w:rPr>
          <w:color w:val="auto"/>
          <w:sz w:val="24"/>
          <w:highlight w:val="none"/>
        </w:rPr>
      </w:pPr>
      <w:bookmarkStart w:id="217" w:name="_Toc265228371"/>
      <w:bookmarkStart w:id="218" w:name="_Toc151193631"/>
      <w:bookmarkStart w:id="219" w:name="_Toc151193775"/>
      <w:bookmarkStart w:id="220" w:name="_Toc264969223"/>
      <w:bookmarkStart w:id="221" w:name="_Toc226309777"/>
      <w:bookmarkStart w:id="222" w:name="_Toc127151734"/>
      <w:bookmarkStart w:id="223" w:name="_Toc226337229"/>
      <w:bookmarkStart w:id="224" w:name="_Toc142311035"/>
      <w:bookmarkStart w:id="225" w:name="_Toc127161447"/>
      <w:bookmarkStart w:id="226" w:name="_Toc150774633"/>
      <w:bookmarkStart w:id="227" w:name="_Toc164608802"/>
      <w:bookmarkStart w:id="228" w:name="_Toc305158875"/>
      <w:bookmarkStart w:id="229" w:name="_Toc164229374"/>
      <w:bookmarkStart w:id="230" w:name="_Toc150480771"/>
      <w:bookmarkStart w:id="231" w:name="_Toc164608647"/>
      <w:bookmarkStart w:id="232" w:name="_Toc195842898"/>
      <w:bookmarkStart w:id="233" w:name="_Toc226965806"/>
      <w:bookmarkStart w:id="234" w:name="_Toc151193921"/>
      <w:bookmarkStart w:id="235" w:name="_Toc164229228"/>
      <w:bookmarkStart w:id="236" w:name="_Toc150774738"/>
      <w:bookmarkStart w:id="237" w:name="_Toc149720826"/>
      <w:bookmarkStart w:id="238" w:name="_Toc226965723"/>
      <w:bookmarkStart w:id="239" w:name="_Toc305158801"/>
      <w:bookmarkStart w:id="240" w:name="_Toc150509284"/>
      <w:bookmarkStart w:id="241" w:name="_Toc164351627"/>
      <w:bookmarkStart w:id="242" w:name="_Toc520356158"/>
      <w:bookmarkStart w:id="243" w:name="_Toc127151533"/>
      <w:bookmarkStart w:id="244" w:name="_Toc151193703"/>
      <w:bookmarkStart w:id="245" w:name="_Toc151193847"/>
      <w:bookmarkStart w:id="246" w:name="_Toc151190160"/>
      <w:r>
        <w:rPr>
          <w:rFonts w:hint="eastAsia"/>
          <w:color w:val="auto"/>
          <w:sz w:val="24"/>
          <w:highlight w:val="none"/>
        </w:rPr>
        <w:t xml:space="preserve">14  </w:t>
      </w:r>
      <w:r>
        <w:rPr>
          <w:color w:val="auto"/>
          <w:sz w:val="24"/>
          <w:highlight w:val="none"/>
        </w:rPr>
        <w:t>投标文件的签署</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color w:val="auto"/>
          <w:sz w:val="24"/>
          <w:highlight w:val="none"/>
        </w:rPr>
        <w:t>、盖章</w:t>
      </w:r>
    </w:p>
    <w:p w14:paraId="0C90606E">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490C7907">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14.2 投标截止时间以政府采购云平台电子交易平台显示的时间为准，逾期系统将自动关闭，未完成上传的投标文件视为逾期送达，将被拒绝。</w:t>
      </w:r>
    </w:p>
    <w:p w14:paraId="57059455">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14.3 如果投标人未按上述要求密封及加写标记，采购代理机构对投标文件的误投和提前启封概不负责。对由此造成提前开封的投标文件，采购代理机构有权予以拒绝，并退回投标人。</w:t>
      </w:r>
    </w:p>
    <w:p w14:paraId="60319153">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14.4 是否采用不见面开标方式详见投标人须知前附表，若本项目采用不见面开标，无需提供电子投标文件U盘、纸质投标文件。</w:t>
      </w:r>
    </w:p>
    <w:p w14:paraId="4A2881D1">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14.5 如果投标文件未按上述要求密封，采购人、采购代理机构应当拒收。</w:t>
      </w:r>
    </w:p>
    <w:p w14:paraId="084C9AB7">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14.6任何行间插字、涂改和增删，必须由投标人法定代表人或经其正式授权的代表签字后才有效。</w:t>
      </w:r>
    </w:p>
    <w:p w14:paraId="08C15AF6">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14.7投标文件因字迹潦草或表达不清所引起的后果由投标人负责。</w:t>
      </w:r>
    </w:p>
    <w:p w14:paraId="1EB807EF">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14.8本招标文件中所要求加盖的投标人公章是指与投标人名称全称相一致的</w:t>
      </w:r>
      <w:r>
        <w:rPr>
          <w:rFonts w:ascii="宋体" w:hAnsi="宋体"/>
          <w:bCs/>
          <w:color w:val="auto"/>
          <w:sz w:val="24"/>
          <w:highlight w:val="none"/>
        </w:rPr>
        <w:t xml:space="preserve"> “</w:t>
      </w:r>
      <w:r>
        <w:rPr>
          <w:rFonts w:hint="eastAsia" w:ascii="宋体" w:hAnsi="宋体"/>
          <w:bCs/>
          <w:color w:val="auto"/>
          <w:sz w:val="24"/>
          <w:highlight w:val="none"/>
        </w:rPr>
        <w:t>行政公章</w:t>
      </w:r>
      <w:r>
        <w:rPr>
          <w:rFonts w:ascii="宋体" w:hAnsi="宋体"/>
          <w:bCs/>
          <w:color w:val="auto"/>
          <w:sz w:val="24"/>
          <w:highlight w:val="none"/>
        </w:rPr>
        <w:t>”</w:t>
      </w:r>
      <w:r>
        <w:rPr>
          <w:rFonts w:hint="eastAsia" w:ascii="宋体" w:hAnsi="宋体"/>
          <w:bCs/>
          <w:color w:val="auto"/>
          <w:sz w:val="24"/>
          <w:highlight w:val="none"/>
        </w:rPr>
        <w:t>原章，不得加盖其它</w:t>
      </w:r>
      <w:r>
        <w:rPr>
          <w:rFonts w:ascii="宋体" w:hAnsi="宋体"/>
          <w:bCs/>
          <w:color w:val="auto"/>
          <w:sz w:val="24"/>
          <w:highlight w:val="none"/>
        </w:rPr>
        <w:t>“</w:t>
      </w:r>
      <w:r>
        <w:rPr>
          <w:rFonts w:hint="eastAsia" w:ascii="宋体" w:hAnsi="宋体"/>
          <w:bCs/>
          <w:color w:val="auto"/>
          <w:sz w:val="24"/>
          <w:highlight w:val="none"/>
        </w:rPr>
        <w:t>合同专用章、投标专用章、财务专用章</w:t>
      </w:r>
      <w:r>
        <w:rPr>
          <w:rFonts w:ascii="宋体" w:hAnsi="宋体"/>
          <w:bCs/>
          <w:color w:val="auto"/>
          <w:sz w:val="24"/>
          <w:highlight w:val="none"/>
        </w:rPr>
        <w:t>”</w:t>
      </w:r>
      <w:r>
        <w:rPr>
          <w:rFonts w:hint="eastAsia" w:ascii="宋体" w:hAnsi="宋体"/>
          <w:bCs/>
          <w:color w:val="auto"/>
          <w:sz w:val="24"/>
          <w:highlight w:val="none"/>
        </w:rPr>
        <w:t>等非行政公章；</w:t>
      </w:r>
      <w:r>
        <w:rPr>
          <w:rFonts w:ascii="宋体" w:hAnsi="宋体"/>
          <w:bCs/>
          <w:color w:val="auto"/>
          <w:sz w:val="24"/>
          <w:highlight w:val="none"/>
        </w:rPr>
        <w:t>“</w:t>
      </w:r>
      <w:r>
        <w:rPr>
          <w:rFonts w:hint="eastAsia" w:ascii="宋体" w:hAnsi="宋体"/>
          <w:bCs/>
          <w:color w:val="auto"/>
          <w:sz w:val="24"/>
          <w:highlight w:val="none"/>
        </w:rPr>
        <w:t>签字</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是指投标人法定代表人或授权代表在招标文件规定处亲笔写上本人姓名；</w:t>
      </w:r>
      <w:r>
        <w:rPr>
          <w:rFonts w:ascii="宋体" w:hAnsi="宋体"/>
          <w:bCs/>
          <w:color w:val="auto"/>
          <w:sz w:val="24"/>
          <w:highlight w:val="none"/>
        </w:rPr>
        <w:t>“</w:t>
      </w:r>
      <w:r>
        <w:rPr>
          <w:rFonts w:hint="eastAsia" w:ascii="宋体" w:hAnsi="宋体"/>
          <w:bCs/>
          <w:color w:val="auto"/>
          <w:sz w:val="24"/>
          <w:highlight w:val="none"/>
        </w:rPr>
        <w:t>法定代表人或授权代表盖章</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是指投标人法定代表人或授权代表在招标文件规定处加盖个人名章、手签章、印鉴等。</w:t>
      </w:r>
    </w:p>
    <w:p w14:paraId="47C53ADD">
      <w:pPr>
        <w:pStyle w:val="445"/>
        <w:spacing w:line="360" w:lineRule="auto"/>
        <w:jc w:val="center"/>
        <w:rPr>
          <w:color w:val="auto"/>
          <w:sz w:val="24"/>
          <w:highlight w:val="none"/>
        </w:rPr>
      </w:pPr>
    </w:p>
    <w:p w14:paraId="35D43E3D">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  投标文件的提交</w:t>
      </w:r>
    </w:p>
    <w:p w14:paraId="5FC799A7">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15.投标文件的提交方式</w:t>
      </w:r>
    </w:p>
    <w:p w14:paraId="0631652D">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15.1 投标人应当在招标文件要求提交投标文件的截止时间前在政采云平台递交投标文件。</w:t>
      </w:r>
    </w:p>
    <w:p w14:paraId="3B0508FA">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15.2 在招标文件要求提交投标文件的截止时间之后送达的投标文件，为无效投标文件，采购代理机构将拒绝接收。</w:t>
      </w:r>
    </w:p>
    <w:p w14:paraId="620644C6">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15.3 是否采用不见面开标详见投标人须知前附表，若项目采用不见面开标。只需将加密电子投标文件在投标截止时间前通过政府采购云平台电子交易平台上传完成。上传时必须得到电脑“上传成功”的确认回复后方为上传成功。逾期上传的或者未上传到平台的投标文件，采购人不予受理。</w:t>
      </w:r>
    </w:p>
    <w:p w14:paraId="46753290">
      <w:pPr>
        <w:pStyle w:val="445"/>
        <w:spacing w:line="360" w:lineRule="auto"/>
        <w:rPr>
          <w:rFonts w:hint="eastAsia" w:ascii="宋体" w:hAnsi="宋体"/>
          <w:bCs/>
          <w:color w:val="auto"/>
          <w:sz w:val="24"/>
          <w:highlight w:val="none"/>
        </w:rPr>
      </w:pPr>
      <w:r>
        <w:rPr>
          <w:rFonts w:hint="eastAsia" w:ascii="宋体" w:hAnsi="宋体"/>
          <w:bCs/>
          <w:color w:val="auto"/>
          <w:sz w:val="24"/>
          <w:highlight w:val="none"/>
        </w:rPr>
        <w:t>16.投标文件的修改和撒回</w:t>
      </w:r>
    </w:p>
    <w:p w14:paraId="6C0650C9">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16.1 投标人在投标截止时间前，可以对所递交的投标文件进行补充、修改或者撤回，并书面通知采购人或者采购代理机构。</w:t>
      </w:r>
    </w:p>
    <w:p w14:paraId="7A2CCFEF">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16.2 投标人补充、修改的内容应当按照招标文件要求签署、盖章、密封后，作为投标文件的组成部分。</w:t>
      </w:r>
    </w:p>
    <w:p w14:paraId="0594A1C8">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16.3 在投标截止时间之后，投标人不得对其投标文件做任何补充或修改。</w:t>
      </w:r>
    </w:p>
    <w:p w14:paraId="6B577BF6">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16.4 从投标截止时间至投标人在投标文件中确定的投标有效期之间，投标人不得撤销其投标，否则其投标保证金将按照本须知的规定不予退还。</w:t>
      </w:r>
    </w:p>
    <w:p w14:paraId="571A91FE">
      <w:pPr>
        <w:pStyle w:val="27"/>
        <w:rPr>
          <w:rFonts w:hint="eastAsia"/>
          <w:color w:val="auto"/>
          <w:highlight w:val="none"/>
        </w:rPr>
      </w:pPr>
    </w:p>
    <w:p w14:paraId="428662B4">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五  开标、资格审查及评标</w:t>
      </w:r>
    </w:p>
    <w:p w14:paraId="5C26281B">
      <w:pPr>
        <w:pStyle w:val="445"/>
        <w:spacing w:line="360" w:lineRule="auto"/>
        <w:jc w:val="left"/>
        <w:rPr>
          <w:rFonts w:ascii="宋体" w:hAnsi="宋体"/>
          <w:color w:val="auto"/>
          <w:sz w:val="24"/>
          <w:highlight w:val="none"/>
        </w:rPr>
      </w:pPr>
      <w:r>
        <w:rPr>
          <w:rFonts w:hint="eastAsia" w:ascii="宋体" w:hAnsi="宋体"/>
          <w:color w:val="auto"/>
          <w:sz w:val="24"/>
          <w:highlight w:val="none"/>
        </w:rPr>
        <w:t>17  开标</w:t>
      </w:r>
    </w:p>
    <w:p w14:paraId="49518F95">
      <w:pPr>
        <w:pStyle w:val="445"/>
        <w:spacing w:line="360" w:lineRule="auto"/>
        <w:jc w:val="left"/>
        <w:rPr>
          <w:rFonts w:hint="eastAsia" w:ascii="宋体" w:hAnsi="宋体"/>
          <w:color w:val="auto"/>
          <w:sz w:val="24"/>
          <w:highlight w:val="none"/>
        </w:rPr>
      </w:pPr>
      <w:r>
        <w:rPr>
          <w:rFonts w:hint="eastAsia" w:ascii="宋体" w:hAnsi="宋体"/>
          <w:color w:val="auto"/>
          <w:sz w:val="24"/>
          <w:highlight w:val="none"/>
        </w:rPr>
        <w:t>18  开标方式：本项目采用不见面开标方式</w:t>
      </w:r>
    </w:p>
    <w:p w14:paraId="4B347768">
      <w:pPr>
        <w:pStyle w:val="445"/>
        <w:spacing w:line="360" w:lineRule="auto"/>
        <w:ind w:firstLine="480" w:firstLineChars="200"/>
        <w:rPr>
          <w:rFonts w:hint="eastAsia" w:hAnsi="宋体"/>
          <w:bCs/>
          <w:color w:val="auto"/>
          <w:sz w:val="24"/>
          <w:highlight w:val="none"/>
        </w:rPr>
      </w:pPr>
      <w:r>
        <w:rPr>
          <w:rFonts w:hint="eastAsia" w:ascii="宋体" w:hAnsi="宋体"/>
          <w:bCs/>
          <w:color w:val="auto"/>
          <w:sz w:val="24"/>
          <w:highlight w:val="none"/>
        </w:rPr>
        <w:t>18.1招标人在规定的投标截止时间（开标时间）和投标人须知前附表规定的地点开标。投标人的法定代表人或其委托代理人无需到达开标现场，仅需在任意地点通过政府采购云平台电子交易平台，使用CA密钥完成远程解密、提疑澄清、开标唱标、结果公布等交互环节。</w:t>
      </w:r>
    </w:p>
    <w:p w14:paraId="46648944">
      <w:pPr>
        <w:pStyle w:val="445"/>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18.2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119876F">
      <w:pPr>
        <w:pStyle w:val="445"/>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18.3公开招标采购项目开标结束后，采购人或者采购代理机构应当依法对投标人的资格进行审查。</w:t>
      </w:r>
    </w:p>
    <w:p w14:paraId="6B60C989">
      <w:pPr>
        <w:pStyle w:val="445"/>
        <w:spacing w:line="360" w:lineRule="auto"/>
        <w:ind w:firstLine="480" w:firstLineChars="200"/>
        <w:rPr>
          <w:rFonts w:ascii="宋体" w:hAnsi="宋体"/>
          <w:bCs/>
          <w:color w:val="auto"/>
          <w:highlight w:val="none"/>
        </w:rPr>
      </w:pPr>
      <w:r>
        <w:rPr>
          <w:rFonts w:hint="eastAsia" w:ascii="宋体" w:hAnsi="宋体"/>
          <w:bCs/>
          <w:color w:val="auto"/>
          <w:sz w:val="24"/>
          <w:highlight w:val="none"/>
        </w:rPr>
        <w:t>18.4采购代理机构将对开标过程进行记录，由参加开标的各投标人代表和相关工作人员签字确认，并存档备查。投标人未参加开标的，视同认可开标结果。</w:t>
      </w:r>
    </w:p>
    <w:p w14:paraId="249B2FB7">
      <w:pPr>
        <w:pStyle w:val="445"/>
        <w:spacing w:line="360" w:lineRule="auto"/>
        <w:rPr>
          <w:rFonts w:hint="eastAsia" w:ascii="宋体" w:hAnsi="宋体"/>
          <w:color w:val="auto"/>
          <w:sz w:val="24"/>
          <w:highlight w:val="none"/>
        </w:rPr>
      </w:pPr>
      <w:r>
        <w:rPr>
          <w:rFonts w:hint="eastAsia" w:ascii="宋体" w:hAnsi="宋体"/>
          <w:color w:val="auto"/>
          <w:sz w:val="24"/>
          <w:highlight w:val="none"/>
        </w:rPr>
        <w:t>19  资格审查</w:t>
      </w:r>
    </w:p>
    <w:p w14:paraId="56BCEE85">
      <w:pPr>
        <w:pStyle w:val="445"/>
        <w:spacing w:line="360" w:lineRule="auto"/>
        <w:ind w:firstLine="480" w:firstLineChars="200"/>
        <w:rPr>
          <w:color w:val="auto"/>
          <w:sz w:val="24"/>
          <w:highlight w:val="none"/>
        </w:rPr>
      </w:pPr>
      <w:r>
        <w:rPr>
          <w:rFonts w:hint="eastAsia" w:ascii="宋体" w:hAnsi="宋体"/>
          <w:bCs/>
          <w:color w:val="auto"/>
          <w:sz w:val="24"/>
          <w:highlight w:val="none"/>
        </w:rPr>
        <w:t>19.1</w:t>
      </w:r>
      <w:r>
        <w:rPr>
          <w:color w:val="auto"/>
          <w:sz w:val="24"/>
          <w:highlight w:val="none"/>
        </w:rPr>
        <w:t>见第三章《资格审查》。</w:t>
      </w:r>
    </w:p>
    <w:p w14:paraId="2EDA0D03">
      <w:pPr>
        <w:pStyle w:val="445"/>
        <w:spacing w:line="360" w:lineRule="auto"/>
        <w:rPr>
          <w:rFonts w:hint="eastAsia"/>
          <w:color w:val="auto"/>
          <w:sz w:val="24"/>
          <w:highlight w:val="none"/>
        </w:rPr>
      </w:pPr>
      <w:r>
        <w:rPr>
          <w:rFonts w:hint="eastAsia" w:ascii="宋体" w:hAnsi="宋体"/>
          <w:color w:val="auto"/>
          <w:sz w:val="24"/>
          <w:highlight w:val="none"/>
        </w:rPr>
        <w:t xml:space="preserve">20 </w:t>
      </w:r>
      <w:r>
        <w:rPr>
          <w:rFonts w:hint="eastAsia"/>
          <w:color w:val="auto"/>
          <w:sz w:val="24"/>
          <w:highlight w:val="none"/>
        </w:rPr>
        <w:t xml:space="preserve"> 评标委员会</w:t>
      </w:r>
    </w:p>
    <w:p w14:paraId="4050F161">
      <w:pPr>
        <w:pStyle w:val="445"/>
        <w:spacing w:line="360" w:lineRule="auto"/>
        <w:ind w:firstLine="480" w:firstLineChars="200"/>
        <w:rPr>
          <w:rFonts w:hint="eastAsia"/>
          <w:color w:val="auto"/>
          <w:sz w:val="24"/>
          <w:highlight w:val="none"/>
        </w:rPr>
      </w:pPr>
      <w:r>
        <w:rPr>
          <w:rFonts w:hint="eastAsia" w:ascii="宋体" w:hAnsi="宋体"/>
          <w:bCs/>
          <w:color w:val="auto"/>
          <w:sz w:val="24"/>
          <w:highlight w:val="none"/>
        </w:rPr>
        <w:t>20.1</w:t>
      </w:r>
      <w:r>
        <w:rPr>
          <w:rFonts w:hint="eastAsia"/>
          <w:color w:val="auto"/>
          <w:sz w:val="24"/>
          <w:highlight w:val="none"/>
        </w:rPr>
        <w:t>评标委员会根据政府采购有关规定和本次招标采购项目的特点进行组建，并负责具体评标事务，独立履行职责。</w:t>
      </w:r>
    </w:p>
    <w:p w14:paraId="3D1C8DB2">
      <w:pPr>
        <w:pStyle w:val="445"/>
        <w:spacing w:line="360" w:lineRule="auto"/>
        <w:ind w:firstLine="480" w:firstLineChars="200"/>
        <w:rPr>
          <w:color w:val="auto"/>
          <w:sz w:val="24"/>
          <w:highlight w:val="none"/>
        </w:rPr>
      </w:pPr>
      <w:r>
        <w:rPr>
          <w:rFonts w:hint="eastAsia" w:ascii="宋体" w:hAnsi="宋体"/>
          <w:bCs/>
          <w:color w:val="auto"/>
          <w:sz w:val="24"/>
          <w:highlight w:val="none"/>
        </w:rPr>
        <w:t>20.2</w:t>
      </w:r>
      <w:r>
        <w:rPr>
          <w:rFonts w:hint="eastAsia"/>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1E630CAA">
      <w:pPr>
        <w:pStyle w:val="445"/>
        <w:spacing w:line="360" w:lineRule="auto"/>
        <w:rPr>
          <w:color w:val="auto"/>
          <w:sz w:val="24"/>
          <w:highlight w:val="none"/>
        </w:rPr>
      </w:pPr>
      <w:r>
        <w:rPr>
          <w:rFonts w:hint="eastAsia" w:ascii="宋体" w:hAnsi="宋体"/>
          <w:color w:val="auto"/>
          <w:sz w:val="24"/>
          <w:highlight w:val="none"/>
        </w:rPr>
        <w:t xml:space="preserve">21 </w:t>
      </w:r>
      <w:r>
        <w:rPr>
          <w:color w:val="auto"/>
          <w:sz w:val="24"/>
          <w:highlight w:val="none"/>
        </w:rPr>
        <w:t>评标程序、评标方法和评标标准</w:t>
      </w:r>
    </w:p>
    <w:p w14:paraId="2EFF6283">
      <w:pPr>
        <w:pStyle w:val="445"/>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21.1见第四章《评标程序、评标方法和评标标准》。</w:t>
      </w:r>
    </w:p>
    <w:p w14:paraId="692BA71E">
      <w:pPr>
        <w:pStyle w:val="44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  确定中标</w:t>
      </w:r>
    </w:p>
    <w:p w14:paraId="505383A7">
      <w:pPr>
        <w:pStyle w:val="445"/>
        <w:spacing w:line="360" w:lineRule="auto"/>
        <w:rPr>
          <w:rFonts w:hint="eastAsia" w:ascii="宋体" w:hAnsi="宋体"/>
          <w:color w:val="auto"/>
          <w:sz w:val="24"/>
          <w:highlight w:val="none"/>
        </w:rPr>
      </w:pPr>
      <w:r>
        <w:rPr>
          <w:rFonts w:hint="eastAsia" w:ascii="宋体" w:hAnsi="宋体"/>
          <w:color w:val="auto"/>
          <w:sz w:val="24"/>
          <w:highlight w:val="none"/>
        </w:rPr>
        <w:t>22  确定中标人</w:t>
      </w:r>
    </w:p>
    <w:p w14:paraId="4D2BD062">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23B0326">
      <w:pPr>
        <w:pStyle w:val="445"/>
        <w:spacing w:line="360" w:lineRule="auto"/>
        <w:rPr>
          <w:rFonts w:hint="eastAsia" w:ascii="宋体" w:hAnsi="宋体"/>
          <w:color w:val="auto"/>
          <w:sz w:val="24"/>
          <w:highlight w:val="none"/>
        </w:rPr>
      </w:pPr>
      <w:r>
        <w:rPr>
          <w:rFonts w:hint="eastAsia" w:ascii="宋体" w:hAnsi="宋体"/>
          <w:color w:val="auto"/>
          <w:sz w:val="24"/>
          <w:highlight w:val="none"/>
        </w:rPr>
        <w:t xml:space="preserve">23  </w:t>
      </w:r>
      <w:bookmarkStart w:id="247" w:name="_Toc305158891"/>
      <w:bookmarkStart w:id="248" w:name="_Toc305158817"/>
      <w:r>
        <w:rPr>
          <w:rFonts w:hint="eastAsia" w:ascii="宋体" w:hAnsi="宋体"/>
          <w:color w:val="auto"/>
          <w:sz w:val="24"/>
          <w:highlight w:val="none"/>
        </w:rPr>
        <w:t>中标公告与中标通知书</w:t>
      </w:r>
      <w:bookmarkEnd w:id="247"/>
      <w:bookmarkEnd w:id="248"/>
    </w:p>
    <w:p w14:paraId="631FA3BF">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23.1 采购人或采购代理机构自中标人确定之日起2个工作日内，在新疆政府采购网公告中标结果，同时向中标人发出中标通知书，中标公告期限为1个工作日。</w:t>
      </w:r>
    </w:p>
    <w:p w14:paraId="03C30486">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23.2中标通知书对采购人和中标供应商均具有法律效力。中标通知书发出后，采购人改变中标结果的，或者中标供应商放弃中标项目的，应当依法承担法律责任。</w:t>
      </w:r>
    </w:p>
    <w:p w14:paraId="642A6702">
      <w:pPr>
        <w:pStyle w:val="445"/>
        <w:spacing w:line="360" w:lineRule="auto"/>
        <w:rPr>
          <w:rFonts w:hint="eastAsia" w:ascii="宋体" w:hAnsi="宋体"/>
          <w:color w:val="auto"/>
          <w:sz w:val="24"/>
          <w:highlight w:val="none"/>
        </w:rPr>
      </w:pPr>
      <w:r>
        <w:rPr>
          <w:rFonts w:hint="eastAsia" w:ascii="宋体" w:hAnsi="宋体"/>
          <w:color w:val="auto"/>
          <w:sz w:val="24"/>
          <w:highlight w:val="none"/>
        </w:rPr>
        <w:t>24  废标</w:t>
      </w:r>
    </w:p>
    <w:p w14:paraId="65E9AAC7">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24.1在招标采购中，出现下列情形之一的，应予废标：</w:t>
      </w:r>
    </w:p>
    <w:p w14:paraId="343F6784">
      <w:pPr>
        <w:pStyle w:val="445"/>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24.1.1</w:t>
      </w:r>
      <w:r>
        <w:rPr>
          <w:color w:val="auto"/>
          <w:sz w:val="24"/>
          <w:highlight w:val="none"/>
        </w:rPr>
        <w:t>符合专业条件的供应商或者对招标文件作实质响应的供应商不足三家的；</w:t>
      </w:r>
    </w:p>
    <w:p w14:paraId="07ABA746">
      <w:pPr>
        <w:pStyle w:val="445"/>
        <w:spacing w:line="360" w:lineRule="auto"/>
        <w:ind w:firstLine="480" w:firstLineChars="200"/>
        <w:rPr>
          <w:color w:val="auto"/>
          <w:sz w:val="24"/>
          <w:highlight w:val="none"/>
        </w:rPr>
      </w:pPr>
      <w:r>
        <w:rPr>
          <w:rFonts w:hint="eastAsia" w:ascii="宋体" w:hAnsi="宋体"/>
          <w:color w:val="auto"/>
          <w:sz w:val="24"/>
          <w:highlight w:val="none"/>
        </w:rPr>
        <w:t xml:space="preserve">   24.1.2</w:t>
      </w:r>
      <w:r>
        <w:rPr>
          <w:color w:val="auto"/>
          <w:sz w:val="24"/>
          <w:highlight w:val="none"/>
        </w:rPr>
        <w:t>出现影响采购公正的违法、违规行为的；</w:t>
      </w:r>
    </w:p>
    <w:p w14:paraId="4C8063EC">
      <w:pPr>
        <w:pStyle w:val="445"/>
        <w:spacing w:line="360" w:lineRule="auto"/>
        <w:ind w:firstLine="480" w:firstLineChars="200"/>
        <w:rPr>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24.1.3</w:t>
      </w:r>
      <w:r>
        <w:rPr>
          <w:color w:val="auto"/>
          <w:sz w:val="24"/>
          <w:highlight w:val="none"/>
        </w:rPr>
        <w:t>投标人的报价均超过了采购预算，采购人不能支付的；</w:t>
      </w:r>
    </w:p>
    <w:p w14:paraId="1AAB63C5">
      <w:pPr>
        <w:pStyle w:val="445"/>
        <w:spacing w:line="360" w:lineRule="auto"/>
        <w:ind w:firstLine="480" w:firstLineChars="200"/>
        <w:rPr>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24.1.4</w:t>
      </w:r>
      <w:r>
        <w:rPr>
          <w:color w:val="auto"/>
          <w:sz w:val="24"/>
          <w:highlight w:val="none"/>
        </w:rPr>
        <w:t>因重大变故，采购任务取消的。</w:t>
      </w:r>
    </w:p>
    <w:p w14:paraId="313ECAE2">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24.2废标后，采购人或采购代理机构将废标理由通知所有投标人。</w:t>
      </w:r>
    </w:p>
    <w:p w14:paraId="508F8014">
      <w:pPr>
        <w:pStyle w:val="445"/>
        <w:spacing w:line="360" w:lineRule="auto"/>
        <w:rPr>
          <w:color w:val="auto"/>
          <w:sz w:val="24"/>
          <w:highlight w:val="none"/>
        </w:rPr>
      </w:pPr>
      <w:r>
        <w:rPr>
          <w:rFonts w:hint="eastAsia" w:ascii="宋体" w:hAnsi="宋体"/>
          <w:color w:val="auto"/>
          <w:sz w:val="24"/>
          <w:highlight w:val="none"/>
        </w:rPr>
        <w:t>25</w:t>
      </w:r>
      <w:bookmarkStart w:id="249" w:name="_Toc127151751"/>
      <w:bookmarkStart w:id="250" w:name="_Toc305158818"/>
      <w:bookmarkStart w:id="251" w:name="_Toc226965823"/>
      <w:bookmarkStart w:id="252" w:name="_Toc127161464"/>
      <w:bookmarkStart w:id="253" w:name="_Toc164229245"/>
      <w:bookmarkStart w:id="254" w:name="_Toc151193938"/>
      <w:bookmarkStart w:id="255" w:name="_Toc164608819"/>
      <w:bookmarkStart w:id="256" w:name="_Toc127151550"/>
      <w:bookmarkStart w:id="257" w:name="_Ref467307204"/>
      <w:bookmarkStart w:id="258" w:name="_Toc164608664"/>
      <w:bookmarkStart w:id="259" w:name="_Toc195842915"/>
      <w:bookmarkStart w:id="260" w:name="_Toc226337246"/>
      <w:bookmarkStart w:id="261" w:name="_Ref467307062"/>
      <w:bookmarkStart w:id="262" w:name="_Toc142311052"/>
      <w:bookmarkStart w:id="263" w:name="_Toc150480788"/>
      <w:bookmarkStart w:id="264" w:name="_Toc151193720"/>
      <w:bookmarkStart w:id="265" w:name="_Toc164351644"/>
      <w:bookmarkStart w:id="266" w:name="_Toc226309794"/>
      <w:bookmarkStart w:id="267" w:name="_Toc150774650"/>
      <w:bookmarkStart w:id="268" w:name="_Toc151193864"/>
      <w:bookmarkStart w:id="269" w:name="_Toc150509301"/>
      <w:bookmarkStart w:id="270" w:name="_Ref467306978"/>
      <w:bookmarkStart w:id="271" w:name="_Toc150774755"/>
      <w:bookmarkStart w:id="272" w:name="_Toc164229391"/>
      <w:bookmarkStart w:id="273" w:name="_Toc520356175"/>
      <w:bookmarkStart w:id="274" w:name="_Ref467306377"/>
      <w:bookmarkStart w:id="275" w:name="_Toc151193648"/>
      <w:bookmarkStart w:id="276" w:name="_Toc151190177"/>
      <w:bookmarkStart w:id="277" w:name="_Toc265228388"/>
      <w:bookmarkStart w:id="278" w:name="_Toc226965740"/>
      <w:bookmarkStart w:id="279" w:name="_Toc264969240"/>
      <w:bookmarkStart w:id="280" w:name="_Toc149720843"/>
      <w:bookmarkStart w:id="281" w:name="_Toc151193792"/>
      <w:bookmarkStart w:id="282" w:name="_Toc305158892"/>
      <w:r>
        <w:rPr>
          <w:rFonts w:hint="eastAsia" w:ascii="宋体" w:hAnsi="宋体"/>
          <w:color w:val="auto"/>
          <w:sz w:val="24"/>
          <w:highlight w:val="none"/>
        </w:rPr>
        <w:t xml:space="preserve">  </w:t>
      </w:r>
      <w:r>
        <w:rPr>
          <w:color w:val="auto"/>
          <w:sz w:val="24"/>
          <w:highlight w:val="none"/>
        </w:rPr>
        <w:t>签订合同</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4BB88C4">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25.1中标人、采购人应当自中标通知书发出之日起30日内，按照招标文件和中标人投标文件的规定签订书面合同。所签订的合同不得对招标文件确定的事项和中标人投标文件作实质性修改。</w:t>
      </w:r>
    </w:p>
    <w:p w14:paraId="298D56FD">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25.2中标人拒绝与采购人签订合同的，采购人可以按照评标报告推荐的中标候选人名单排序，确定下一候选人为中标人，也可以重新开展政府采购活动。</w:t>
      </w:r>
    </w:p>
    <w:p w14:paraId="44ACABDD">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25.3联合体中标的，联合体各方应当共同与采购人签订合同，就中标项目向采购人承担连带责任。</w:t>
      </w:r>
    </w:p>
    <w:p w14:paraId="5C135A23">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25.4政府采购合同不能转包。</w:t>
      </w:r>
    </w:p>
    <w:p w14:paraId="6CF12927">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6749021E">
      <w:pPr>
        <w:pStyle w:val="445"/>
        <w:spacing w:line="360" w:lineRule="auto"/>
        <w:rPr>
          <w:rFonts w:hint="eastAsia" w:ascii="宋体" w:hAnsi="宋体"/>
          <w:color w:val="auto"/>
          <w:sz w:val="24"/>
          <w:highlight w:val="none"/>
        </w:rPr>
      </w:pPr>
      <w:r>
        <w:rPr>
          <w:rFonts w:hint="eastAsia" w:ascii="宋体" w:hAnsi="宋体"/>
          <w:color w:val="auto"/>
          <w:sz w:val="24"/>
          <w:highlight w:val="none"/>
        </w:rPr>
        <w:t>26  询问与质疑</w:t>
      </w:r>
    </w:p>
    <w:p w14:paraId="0B1877CC">
      <w:pPr>
        <w:pStyle w:val="445"/>
        <w:spacing w:line="360" w:lineRule="auto"/>
        <w:ind w:firstLine="480" w:firstLineChars="200"/>
        <w:rPr>
          <w:color w:val="auto"/>
          <w:sz w:val="24"/>
          <w:highlight w:val="none"/>
        </w:rPr>
      </w:pPr>
      <w:r>
        <w:rPr>
          <w:rFonts w:hint="eastAsia" w:ascii="宋体" w:hAnsi="宋体"/>
          <w:color w:val="auto"/>
          <w:sz w:val="24"/>
          <w:highlight w:val="none"/>
        </w:rPr>
        <w:t>26.1</w:t>
      </w:r>
      <w:r>
        <w:rPr>
          <w:color w:val="auto"/>
          <w:sz w:val="24"/>
          <w:highlight w:val="none"/>
        </w:rPr>
        <w:t>询问</w:t>
      </w:r>
    </w:p>
    <w:p w14:paraId="5BF6E544">
      <w:pPr>
        <w:pStyle w:val="445"/>
        <w:spacing w:line="360" w:lineRule="auto"/>
        <w:ind w:firstLine="960" w:firstLineChars="400"/>
        <w:rPr>
          <w:color w:val="auto"/>
          <w:sz w:val="24"/>
          <w:highlight w:val="none"/>
        </w:rPr>
      </w:pPr>
      <w:r>
        <w:rPr>
          <w:rFonts w:hint="eastAsia" w:ascii="宋体" w:hAnsi="宋体"/>
          <w:color w:val="auto"/>
          <w:sz w:val="24"/>
          <w:highlight w:val="none"/>
        </w:rPr>
        <w:t>26.1.1</w:t>
      </w:r>
      <w:r>
        <w:rPr>
          <w:color w:val="auto"/>
          <w:sz w:val="24"/>
          <w:highlight w:val="none"/>
        </w:rPr>
        <w:t>投标人对政府采购活动事项有疑问的，可依法提出询问，并按《投标人须知资料表》载明的形式送达采购人或采购代理机构。</w:t>
      </w:r>
    </w:p>
    <w:p w14:paraId="66198F52">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26.1.2采购人或采购代理机构对供应商依法提出的询问，在3个工作日内作出答复，但答复的内容不得涉及商业秘密。</w:t>
      </w:r>
    </w:p>
    <w:p w14:paraId="349BB328">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26.2  质疑</w:t>
      </w:r>
    </w:p>
    <w:p w14:paraId="4D6D55CF">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26.2.1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4526BE40">
      <w:pPr>
        <w:pStyle w:val="445"/>
        <w:spacing w:line="360" w:lineRule="auto"/>
        <w:ind w:firstLine="960" w:firstLineChars="400"/>
        <w:rPr>
          <w:color w:val="auto"/>
          <w:sz w:val="24"/>
          <w:highlight w:val="none"/>
        </w:rPr>
      </w:pPr>
      <w:r>
        <w:rPr>
          <w:rFonts w:hint="eastAsia" w:ascii="宋体" w:hAnsi="宋体"/>
          <w:color w:val="auto"/>
          <w:sz w:val="24"/>
          <w:highlight w:val="none"/>
        </w:rPr>
        <w:t>26.2.2</w:t>
      </w:r>
      <w:r>
        <w:rPr>
          <w:color w:val="auto"/>
          <w:sz w:val="24"/>
          <w:highlight w:val="none"/>
        </w:rPr>
        <w:t>质疑函须使用财政部制定的范本文件。</w:t>
      </w:r>
    </w:p>
    <w:p w14:paraId="6EB916DF">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26.2.3投标人为自然人的，应当由本人签字；投标人为法人或者其他组织的，应当由法定代表人、主要负责人，或者其授权代表签字或者盖章，并加盖公章。</w:t>
      </w:r>
    </w:p>
    <w:p w14:paraId="1DFA63CE">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26.2.4投标人应在法定质疑期内一次性提出针对同一采购程序环节的质疑，法定质疑期内针对同一采购程序环节再次提出的质疑，采购人、采购代理机构有权不予答复。</w:t>
      </w:r>
    </w:p>
    <w:p w14:paraId="67B1FD1B">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26.3接收询问和质疑的联系部门、联系电话和通讯地址见《投标人须知资料表》。</w:t>
      </w:r>
    </w:p>
    <w:p w14:paraId="4D3F0113">
      <w:pPr>
        <w:pStyle w:val="445"/>
        <w:spacing w:line="360" w:lineRule="auto"/>
        <w:rPr>
          <w:rFonts w:hint="eastAsia" w:ascii="宋体" w:hAnsi="宋体"/>
          <w:color w:val="auto"/>
          <w:sz w:val="24"/>
          <w:highlight w:val="none"/>
        </w:rPr>
      </w:pPr>
      <w:r>
        <w:rPr>
          <w:rFonts w:hint="eastAsia" w:ascii="宋体" w:hAnsi="宋体"/>
          <w:color w:val="auto"/>
          <w:sz w:val="24"/>
          <w:highlight w:val="none"/>
        </w:rPr>
        <w:t>27  代理费</w:t>
      </w:r>
    </w:p>
    <w:p w14:paraId="2945C974">
      <w:pPr>
        <w:pStyle w:val="445"/>
        <w:spacing w:line="360" w:lineRule="auto"/>
        <w:ind w:firstLine="480" w:firstLineChars="200"/>
        <w:jc w:val="center"/>
        <w:rPr>
          <w:rFonts w:hint="eastAsia"/>
          <w:color w:val="auto"/>
          <w:highlight w:val="none"/>
        </w:rPr>
      </w:pPr>
      <w:r>
        <w:rPr>
          <w:rFonts w:hint="eastAsia" w:ascii="宋体" w:hAnsi="宋体"/>
          <w:color w:val="auto"/>
          <w:sz w:val="24"/>
          <w:highlight w:val="none"/>
        </w:rPr>
        <w:t>27.1收费对象、收费标准及缴纳时间见《投标人须知资料表》。由中标人支付的，中标人须一次性向采购代理机构缴纳代理费，投标报价应包含代理费用。</w:t>
      </w:r>
      <w:bookmarkStart w:id="283" w:name="_Toc22387"/>
      <w:r>
        <w:rPr>
          <w:rFonts w:hint="eastAsia" w:ascii="宋体"/>
          <w:b/>
          <w:color w:val="auto"/>
          <w:sz w:val="36"/>
          <w:szCs w:val="36"/>
          <w:highlight w:val="none"/>
        </w:rPr>
        <w:br w:type="page"/>
      </w:r>
      <w:r>
        <w:rPr>
          <w:rFonts w:hint="eastAsia" w:ascii="宋体"/>
          <w:b/>
          <w:color w:val="auto"/>
          <w:sz w:val="36"/>
          <w:szCs w:val="36"/>
          <w:highlight w:val="none"/>
        </w:rPr>
        <w:t>第三章  资格审查</w:t>
      </w:r>
      <w:bookmarkEnd w:id="283"/>
    </w:p>
    <w:p w14:paraId="4E923CEA">
      <w:pPr>
        <w:pStyle w:val="80"/>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一、资格审查程序</w:t>
      </w:r>
    </w:p>
    <w:p w14:paraId="49174780">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1.开标结束后，采购人或采购代理机构将根据《资格审查要求》中的规定，对投标人进行资格审查，并形成资格审查结果。</w:t>
      </w:r>
    </w:p>
    <w:p w14:paraId="1E950A98">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2.《资格审查要求》中对格式有要求的，除招标文件另有规定外，均为“实质性格式”文件。</w:t>
      </w:r>
    </w:p>
    <w:p w14:paraId="4B9FD423">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3.投标人《资格证明文件》有任何一项不符合《资格审查要求》的，资格审查不合格，其投标无效。</w:t>
      </w:r>
    </w:p>
    <w:p w14:paraId="59A64C2D">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4.资格审查合格的投标人不足3家的，不进行评标。</w:t>
      </w:r>
    </w:p>
    <w:p w14:paraId="69DB2C52">
      <w:pPr>
        <w:pStyle w:val="80"/>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二、资格审查要求</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017"/>
        <w:gridCol w:w="4151"/>
        <w:gridCol w:w="2311"/>
      </w:tblGrid>
      <w:tr w14:paraId="7727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top"/>
          </w:tcPr>
          <w:p w14:paraId="2DFB0A62">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2017" w:type="dxa"/>
            <w:noWrap w:val="0"/>
            <w:vAlign w:val="top"/>
          </w:tcPr>
          <w:p w14:paraId="4DC564D7">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审查因素</w:t>
            </w:r>
          </w:p>
        </w:tc>
        <w:tc>
          <w:tcPr>
            <w:tcW w:w="4151" w:type="dxa"/>
            <w:noWrap w:val="0"/>
            <w:vAlign w:val="top"/>
          </w:tcPr>
          <w:p w14:paraId="7CF8DA6F">
            <w:pPr>
              <w:pStyle w:val="27"/>
              <w:jc w:val="center"/>
              <w:outlineLvl w:val="1"/>
              <w:rPr>
                <w:rFonts w:ascii="宋体" w:hAnsi="宋体" w:eastAsia="宋体" w:cs="宋体"/>
                <w:b/>
                <w:color w:val="auto"/>
                <w:szCs w:val="24"/>
                <w:highlight w:val="none"/>
              </w:rPr>
            </w:pPr>
            <w:r>
              <w:rPr>
                <w:rFonts w:hint="eastAsia" w:ascii="宋体" w:hAnsi="宋体" w:eastAsia="宋体" w:cs="宋体"/>
                <w:b/>
                <w:color w:val="auto"/>
                <w:szCs w:val="24"/>
                <w:highlight w:val="none"/>
              </w:rPr>
              <w:t>审查内容</w:t>
            </w:r>
          </w:p>
        </w:tc>
        <w:tc>
          <w:tcPr>
            <w:tcW w:w="2311" w:type="dxa"/>
            <w:noWrap w:val="0"/>
            <w:vAlign w:val="top"/>
          </w:tcPr>
          <w:p w14:paraId="770B583C">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格式要求</w:t>
            </w:r>
          </w:p>
        </w:tc>
      </w:tr>
      <w:tr w14:paraId="405F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atLeast"/>
        </w:trPr>
        <w:tc>
          <w:tcPr>
            <w:tcW w:w="763" w:type="dxa"/>
            <w:noWrap w:val="0"/>
            <w:vAlign w:val="center"/>
          </w:tcPr>
          <w:p w14:paraId="74ACF56A">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p>
        </w:tc>
        <w:tc>
          <w:tcPr>
            <w:tcW w:w="2017" w:type="dxa"/>
            <w:noWrap w:val="0"/>
            <w:vAlign w:val="center"/>
          </w:tcPr>
          <w:p w14:paraId="230E6CEE">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营业执照等证明文件</w:t>
            </w:r>
          </w:p>
        </w:tc>
        <w:tc>
          <w:tcPr>
            <w:tcW w:w="4151" w:type="dxa"/>
            <w:noWrap w:val="0"/>
            <w:vAlign w:val="center"/>
          </w:tcPr>
          <w:p w14:paraId="1932F3EE">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投标人为企业（包括合伙企业）的，应提供有效的“营业执照”；</w:t>
            </w:r>
          </w:p>
          <w:p w14:paraId="307B7648">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投标人为事业单位的，应提供有效的“事业单位法人证书”；</w:t>
            </w:r>
          </w:p>
          <w:p w14:paraId="473226D2">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投标人是非企业机构的，应提供有效的“执业许可证”、“登记证书”等证明文件；</w:t>
            </w:r>
          </w:p>
          <w:p w14:paraId="1763901C">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投标人是个体工商户的，应提供有效的“个体工商户营业执照”；</w:t>
            </w:r>
          </w:p>
          <w:p w14:paraId="1FBE5023">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投标人是自然人的，应提供有效的自然人身份证明。</w:t>
            </w:r>
          </w:p>
          <w:p w14:paraId="3477E82F">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kern w:val="0"/>
                <w:szCs w:val="28"/>
                <w:highlight w:val="none"/>
              </w:rPr>
              <w:t>若本项目允许分支机构参加投标，则分支机构参加投标的，此处可提供该分支机构或其所属法人或其他组织的相应证明文件。</w:t>
            </w:r>
          </w:p>
        </w:tc>
        <w:tc>
          <w:tcPr>
            <w:tcW w:w="2311" w:type="dxa"/>
            <w:noWrap w:val="0"/>
            <w:vAlign w:val="center"/>
          </w:tcPr>
          <w:p w14:paraId="2B5EDFD0">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提供证明文件原件的扫描件加盖公章或原件的复印件加盖公章</w:t>
            </w:r>
          </w:p>
        </w:tc>
      </w:tr>
      <w:tr w14:paraId="6815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noWrap w:val="0"/>
            <w:vAlign w:val="center"/>
          </w:tcPr>
          <w:p w14:paraId="52ED203F">
            <w:pPr>
              <w:pStyle w:val="27"/>
              <w:jc w:val="center"/>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2</w:t>
            </w:r>
          </w:p>
        </w:tc>
        <w:tc>
          <w:tcPr>
            <w:tcW w:w="2017" w:type="dxa"/>
            <w:noWrap w:val="0"/>
            <w:vAlign w:val="center"/>
          </w:tcPr>
          <w:p w14:paraId="78254157">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有依法缴纳税收和社会保障资金的良好记录</w:t>
            </w:r>
          </w:p>
        </w:tc>
        <w:tc>
          <w:tcPr>
            <w:tcW w:w="4151" w:type="dxa"/>
            <w:noWrap w:val="0"/>
            <w:vAlign w:val="center"/>
          </w:tcPr>
          <w:p w14:paraId="0A1D85C4">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提供近一年内</w:t>
            </w:r>
            <w:r>
              <w:rPr>
                <w:rFonts w:hint="eastAsia" w:ascii="宋体" w:hAnsi="宋体" w:eastAsia="宋体" w:cs="宋体"/>
                <w:bCs/>
                <w:color w:val="auto"/>
                <w:szCs w:val="24"/>
                <w:highlight w:val="none"/>
                <w:lang w:eastAsia="zh-CN"/>
              </w:rPr>
              <w:t>任意一个月</w:t>
            </w:r>
            <w:r>
              <w:rPr>
                <w:rFonts w:hint="eastAsia" w:ascii="宋体" w:hAnsi="宋体" w:eastAsia="宋体" w:cs="宋体"/>
                <w:bCs/>
                <w:color w:val="auto"/>
                <w:szCs w:val="24"/>
                <w:highlight w:val="none"/>
              </w:rPr>
              <w:t>缴纳税收及社保证明原件</w:t>
            </w:r>
            <w:r>
              <w:rPr>
                <w:rFonts w:hint="eastAsia" w:ascii="宋体" w:hAnsi="宋体" w:eastAsia="宋体" w:cs="宋体"/>
                <w:bCs/>
                <w:color w:val="auto"/>
                <w:szCs w:val="24"/>
                <w:highlight w:val="none"/>
                <w:lang w:eastAsia="zh-CN"/>
              </w:rPr>
              <w:t>的扫描件</w:t>
            </w:r>
            <w:r>
              <w:rPr>
                <w:rFonts w:hint="eastAsia" w:ascii="宋体" w:hAnsi="宋体" w:eastAsia="宋体" w:cs="宋体"/>
                <w:bCs/>
                <w:color w:val="auto"/>
                <w:szCs w:val="24"/>
                <w:highlight w:val="none"/>
              </w:rPr>
              <w:t>或复印件加盖公章（公司成立不到</w:t>
            </w:r>
            <w:r>
              <w:rPr>
                <w:rFonts w:hint="eastAsia" w:ascii="宋体" w:hAnsi="宋体" w:eastAsia="宋体" w:cs="宋体"/>
                <w:bCs/>
                <w:color w:val="auto"/>
                <w:szCs w:val="24"/>
                <w:highlight w:val="none"/>
                <w:lang w:eastAsia="zh-CN"/>
              </w:rPr>
              <w:t>一</w:t>
            </w:r>
            <w:r>
              <w:rPr>
                <w:rFonts w:hint="eastAsia" w:ascii="宋体" w:hAnsi="宋体" w:eastAsia="宋体" w:cs="宋体"/>
                <w:bCs/>
                <w:color w:val="auto"/>
                <w:szCs w:val="24"/>
                <w:highlight w:val="none"/>
              </w:rPr>
              <w:t>个月的从成立之日起算）</w:t>
            </w:r>
          </w:p>
        </w:tc>
        <w:tc>
          <w:tcPr>
            <w:tcW w:w="2311" w:type="dxa"/>
            <w:noWrap w:val="0"/>
            <w:vAlign w:val="center"/>
          </w:tcPr>
          <w:p w14:paraId="74E545A4">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w:t>
            </w:r>
            <w:r>
              <w:rPr>
                <w:rFonts w:hint="eastAsia" w:ascii="宋体" w:hAnsi="宋体" w:eastAsia="宋体" w:cs="宋体"/>
                <w:bCs/>
                <w:color w:val="auto"/>
                <w:szCs w:val="24"/>
                <w:highlight w:val="none"/>
                <w:lang w:eastAsia="zh-CN"/>
              </w:rPr>
              <w:t>的扫描件</w:t>
            </w:r>
            <w:r>
              <w:rPr>
                <w:rFonts w:hint="eastAsia" w:ascii="宋体" w:hAnsi="宋体" w:eastAsia="宋体" w:cs="宋体"/>
                <w:bCs/>
                <w:color w:val="auto"/>
                <w:szCs w:val="24"/>
                <w:highlight w:val="none"/>
              </w:rPr>
              <w:t>或复印件加盖公章</w:t>
            </w:r>
          </w:p>
        </w:tc>
      </w:tr>
      <w:tr w14:paraId="656A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noWrap w:val="0"/>
            <w:vAlign w:val="center"/>
          </w:tcPr>
          <w:p w14:paraId="32DB96D4">
            <w:pPr>
              <w:pStyle w:val="27"/>
              <w:jc w:val="center"/>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3</w:t>
            </w:r>
          </w:p>
        </w:tc>
        <w:tc>
          <w:tcPr>
            <w:tcW w:w="2017" w:type="dxa"/>
            <w:noWrap w:val="0"/>
            <w:vAlign w:val="center"/>
          </w:tcPr>
          <w:p w14:paraId="3F2D21CE">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投标人声明函</w:t>
            </w:r>
          </w:p>
        </w:tc>
        <w:tc>
          <w:tcPr>
            <w:tcW w:w="4151" w:type="dxa"/>
            <w:noWrap w:val="0"/>
            <w:vAlign w:val="center"/>
          </w:tcPr>
          <w:p w14:paraId="5033740C">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提供了参加政府采购活动前三年内，在经营活动中没有重大违法记录的书面声明函（格式后附）。</w:t>
            </w:r>
          </w:p>
        </w:tc>
        <w:tc>
          <w:tcPr>
            <w:tcW w:w="2311" w:type="dxa"/>
            <w:noWrap w:val="0"/>
            <w:vAlign w:val="center"/>
          </w:tcPr>
          <w:p w14:paraId="3BA4E33F">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格式见《投标文件格式》</w:t>
            </w:r>
          </w:p>
        </w:tc>
      </w:tr>
      <w:tr w14:paraId="156F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noWrap w:val="0"/>
            <w:vAlign w:val="center"/>
          </w:tcPr>
          <w:p w14:paraId="54774B09">
            <w:pPr>
              <w:pStyle w:val="27"/>
              <w:jc w:val="center"/>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4</w:t>
            </w:r>
          </w:p>
        </w:tc>
        <w:tc>
          <w:tcPr>
            <w:tcW w:w="2017" w:type="dxa"/>
            <w:noWrap w:val="0"/>
            <w:vAlign w:val="center"/>
          </w:tcPr>
          <w:p w14:paraId="6DCF03C3">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投标人信用记录</w:t>
            </w:r>
          </w:p>
        </w:tc>
        <w:tc>
          <w:tcPr>
            <w:tcW w:w="4151" w:type="dxa"/>
            <w:noWrap w:val="0"/>
            <w:vAlign w:val="center"/>
          </w:tcPr>
          <w:p w14:paraId="3026456B">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查询渠道：信用中国网站和中国政府采购网（www.creditchina.gov.cn、www.ccgp.gov.cn）；</w:t>
            </w:r>
          </w:p>
          <w:p w14:paraId="17994A8E">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截止时点：投标截止时间以后、资格审查阶段采购人或采购代理机构的实际查询时间；</w:t>
            </w:r>
          </w:p>
          <w:p w14:paraId="6C509713">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信用信息查询记录和证据留存具体方式：查询结果网页打印页作为查询记录和证据，与其他采购文件一并保存；</w:t>
            </w:r>
          </w:p>
          <w:p w14:paraId="1D9DF2C3">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2311" w:type="dxa"/>
            <w:noWrap w:val="0"/>
            <w:vAlign w:val="center"/>
          </w:tcPr>
          <w:p w14:paraId="6A08AA57">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无须投标人提供，由采购人或采购代理机构查询。</w:t>
            </w:r>
          </w:p>
        </w:tc>
      </w:tr>
      <w:tr w14:paraId="06EC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63" w:type="dxa"/>
            <w:noWrap w:val="0"/>
            <w:vAlign w:val="center"/>
          </w:tcPr>
          <w:p w14:paraId="2EE13612">
            <w:pPr>
              <w:pStyle w:val="27"/>
              <w:jc w:val="center"/>
              <w:outlineLvl w:val="1"/>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5</w:t>
            </w:r>
          </w:p>
        </w:tc>
        <w:tc>
          <w:tcPr>
            <w:tcW w:w="2017" w:type="dxa"/>
            <w:noWrap w:val="0"/>
            <w:vAlign w:val="center"/>
          </w:tcPr>
          <w:p w14:paraId="4D23851C">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财务报告</w:t>
            </w:r>
          </w:p>
        </w:tc>
        <w:tc>
          <w:tcPr>
            <w:tcW w:w="4151" w:type="dxa"/>
            <w:noWrap w:val="0"/>
            <w:vAlign w:val="center"/>
          </w:tcPr>
          <w:p w14:paraId="40A525D7">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提供会计师事务所出具</w:t>
            </w:r>
            <w:r>
              <w:rPr>
                <w:rFonts w:hint="eastAsia" w:ascii="宋体" w:hAnsi="宋体" w:eastAsia="宋体" w:cs="宋体"/>
                <w:bCs/>
                <w:color w:val="auto"/>
                <w:szCs w:val="24"/>
                <w:highlight w:val="none"/>
                <w:lang w:eastAsia="zh-CN"/>
              </w:rPr>
              <w:t>2023年度财务</w:t>
            </w:r>
            <w:r>
              <w:rPr>
                <w:rFonts w:hint="eastAsia" w:ascii="宋体" w:hAnsi="宋体" w:eastAsia="宋体" w:cs="宋体"/>
                <w:bCs/>
                <w:color w:val="auto"/>
                <w:szCs w:val="24"/>
                <w:highlight w:val="none"/>
              </w:rPr>
              <w:t>审计报告复印件或银行在开标日前三个月内开具的资信证明</w:t>
            </w:r>
            <w:r>
              <w:rPr>
                <w:rFonts w:hint="eastAsia" w:ascii="宋体" w:hAnsi="宋体" w:eastAsia="宋体" w:cs="宋体"/>
                <w:bCs/>
                <w:color w:val="auto"/>
                <w:szCs w:val="24"/>
                <w:highlight w:val="none"/>
                <w:lang w:eastAsia="zh-CN"/>
              </w:rPr>
              <w:t>（新成立公司提供自成立以来的财务报表）</w:t>
            </w:r>
            <w:r>
              <w:rPr>
                <w:rFonts w:hint="eastAsia" w:ascii="宋体" w:hAnsi="宋体" w:eastAsia="宋体" w:cs="宋体"/>
                <w:bCs/>
                <w:color w:val="auto"/>
                <w:szCs w:val="24"/>
                <w:highlight w:val="none"/>
              </w:rPr>
              <w:t>；</w:t>
            </w:r>
          </w:p>
        </w:tc>
        <w:tc>
          <w:tcPr>
            <w:tcW w:w="2311" w:type="dxa"/>
            <w:noWrap w:val="0"/>
            <w:vAlign w:val="center"/>
          </w:tcPr>
          <w:p w14:paraId="7EDB9711">
            <w:pPr>
              <w:pStyle w:val="27"/>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提供证明文件原件的扫描件加盖公章或原件的复印件加盖公章</w:t>
            </w:r>
          </w:p>
        </w:tc>
      </w:tr>
      <w:tr w14:paraId="7F19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63" w:type="dxa"/>
            <w:noWrap w:val="0"/>
            <w:vAlign w:val="center"/>
          </w:tcPr>
          <w:p w14:paraId="131FCD71">
            <w:pPr>
              <w:pStyle w:val="27"/>
              <w:jc w:val="center"/>
              <w:outlineLvl w:val="1"/>
              <w:rPr>
                <w:rFonts w:hint="default"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6</w:t>
            </w:r>
          </w:p>
        </w:tc>
        <w:tc>
          <w:tcPr>
            <w:tcW w:w="2017" w:type="dxa"/>
            <w:noWrap w:val="0"/>
            <w:vAlign w:val="center"/>
          </w:tcPr>
          <w:p w14:paraId="70B5080F">
            <w:pPr>
              <w:pStyle w:val="27"/>
              <w:outlineLvl w:val="1"/>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特定资质</w:t>
            </w:r>
          </w:p>
        </w:tc>
        <w:tc>
          <w:tcPr>
            <w:tcW w:w="4151" w:type="dxa"/>
            <w:noWrap w:val="0"/>
            <w:vAlign w:val="center"/>
          </w:tcPr>
          <w:p w14:paraId="36EDB2B0">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供应商为生产企业的，须依法取得《药品生产许可证》（中药饮片），具有相应生产认证范围并提供《药品生产许可证》内含有医疗用毒性药品（中药饮片）；投标供应商为经营企业或代理公司的须依法取得《药品经营许可证》（中药饮片），具有相应经营范围并提供《药品经营许可证》内含有医疗用毒性药品（中药饮片）；</w:t>
            </w:r>
          </w:p>
        </w:tc>
        <w:tc>
          <w:tcPr>
            <w:tcW w:w="2311" w:type="dxa"/>
            <w:noWrap w:val="0"/>
            <w:vAlign w:val="center"/>
          </w:tcPr>
          <w:p w14:paraId="3729B928">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提供证明文件原件的扫描件加盖公章或原件的复印件加盖公章</w:t>
            </w:r>
          </w:p>
        </w:tc>
      </w:tr>
    </w:tbl>
    <w:p w14:paraId="041B4ED0">
      <w:pPr>
        <w:pStyle w:val="27"/>
        <w:jc w:val="center"/>
        <w:outlineLvl w:val="0"/>
        <w:rPr>
          <w:rFonts w:hint="eastAsia" w:ascii="宋体" w:hAnsi="宋体" w:eastAsia="宋体" w:cs="宋体"/>
          <w:b/>
          <w:color w:val="auto"/>
          <w:sz w:val="36"/>
          <w:szCs w:val="36"/>
          <w:highlight w:val="none"/>
        </w:rPr>
      </w:pPr>
      <w:r>
        <w:rPr>
          <w:rFonts w:hint="eastAsia" w:ascii="宋体"/>
          <w:b/>
          <w:color w:val="auto"/>
          <w:sz w:val="32"/>
          <w:szCs w:val="32"/>
          <w:highlight w:val="none"/>
        </w:rPr>
        <w:br w:type="page"/>
      </w:r>
      <w:bookmarkStart w:id="284" w:name="_Toc24895"/>
      <w:r>
        <w:rPr>
          <w:rFonts w:hint="eastAsia" w:ascii="宋体" w:hAnsi="宋体" w:eastAsia="宋体" w:cs="宋体"/>
          <w:b/>
          <w:color w:val="auto"/>
          <w:sz w:val="36"/>
          <w:szCs w:val="36"/>
          <w:highlight w:val="none"/>
        </w:rPr>
        <w:t>第四章 评标程序、评标方法和评标标准</w:t>
      </w:r>
      <w:bookmarkEnd w:id="284"/>
    </w:p>
    <w:p w14:paraId="002475BD">
      <w:pPr>
        <w:jc w:val="center"/>
        <w:rPr>
          <w:rFonts w:hint="eastAsia"/>
          <w:b/>
          <w:bCs/>
          <w:color w:val="auto"/>
          <w:sz w:val="24"/>
          <w:highlight w:val="none"/>
        </w:rPr>
      </w:pPr>
      <w:r>
        <w:rPr>
          <w:rFonts w:hint="eastAsia"/>
          <w:b/>
          <w:bCs/>
          <w:color w:val="auto"/>
          <w:sz w:val="24"/>
          <w:highlight w:val="none"/>
        </w:rPr>
        <w:t>一、评标方法</w:t>
      </w:r>
    </w:p>
    <w:p w14:paraId="35855C03">
      <w:pPr>
        <w:pStyle w:val="34"/>
        <w:tabs>
          <w:tab w:val="left" w:pos="957"/>
        </w:tabs>
        <w:kinsoku w:val="0"/>
        <w:overflowPunct w:val="0"/>
        <w:spacing w:before="46" w:line="360" w:lineRule="auto"/>
        <w:ind w:right="109"/>
        <w:rPr>
          <w:rFonts w:hint="eastAsia" w:hAnsi="宋体"/>
          <w:color w:val="auto"/>
          <w:highlight w:val="none"/>
          <w:lang w:val="en-US" w:eastAsia="zh-CN"/>
        </w:rPr>
      </w:pPr>
      <w:bookmarkStart w:id="285" w:name="_Toc164608655"/>
      <w:bookmarkStart w:id="286" w:name="_Toc127151541"/>
      <w:bookmarkStart w:id="287" w:name="_Toc149720834"/>
      <w:bookmarkStart w:id="288" w:name="_Toc151190168"/>
      <w:bookmarkStart w:id="289" w:name="_Toc150509292"/>
      <w:bookmarkStart w:id="290" w:name="_Toc226965731"/>
      <w:bookmarkStart w:id="291" w:name="_Toc127151742"/>
      <w:bookmarkStart w:id="292" w:name="_Toc226337237"/>
      <w:bookmarkStart w:id="293" w:name="_Toc127161455"/>
      <w:bookmarkStart w:id="294" w:name="_Toc226309785"/>
      <w:bookmarkStart w:id="295" w:name="_Toc164229382"/>
      <w:bookmarkStart w:id="296" w:name="_Toc164351635"/>
      <w:bookmarkStart w:id="297" w:name="_Toc195842906"/>
      <w:bookmarkStart w:id="298" w:name="_Toc151193929"/>
      <w:bookmarkStart w:id="299" w:name="_Toc305158809"/>
      <w:bookmarkStart w:id="300" w:name="_Toc151193639"/>
      <w:bookmarkStart w:id="301" w:name="_Toc151193783"/>
      <w:bookmarkStart w:id="302" w:name="_Toc226965814"/>
      <w:bookmarkStart w:id="303" w:name="_Toc142311043"/>
      <w:bookmarkStart w:id="304" w:name="_Toc150774641"/>
      <w:bookmarkStart w:id="305" w:name="_Toc164608810"/>
      <w:bookmarkStart w:id="306" w:name="_Toc265228379"/>
      <w:bookmarkStart w:id="307" w:name="_Toc305158883"/>
      <w:bookmarkStart w:id="308" w:name="_Toc264969231"/>
      <w:bookmarkStart w:id="309" w:name="_Toc150774746"/>
      <w:bookmarkStart w:id="310" w:name="_Toc150480779"/>
      <w:bookmarkStart w:id="311" w:name="_Toc151193711"/>
      <w:bookmarkStart w:id="312" w:name="_Toc164229236"/>
      <w:bookmarkStart w:id="313" w:name="_Toc151193855"/>
      <w:r>
        <w:rPr>
          <w:rFonts w:hint="eastAsia" w:hAnsi="宋体"/>
          <w:color w:val="auto"/>
          <w:highlight w:val="none"/>
          <w:lang w:val="en-US" w:eastAsia="zh-CN"/>
        </w:rPr>
        <w:t>1  投标文件的符合性审查</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7B590E2">
      <w:pPr>
        <w:pStyle w:val="86"/>
        <w:spacing w:line="360" w:lineRule="auto"/>
        <w:ind w:firstLine="0" w:firstLineChars="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highlight w:val="none"/>
          <w:lang w:val="en-US" w:eastAsia="zh-CN"/>
        </w:rPr>
        <w:t xml:space="preserve"> </w:t>
      </w:r>
      <w:r>
        <w:rPr>
          <w:rFonts w:hint="eastAsia" w:hAnsi="宋体" w:cs="宋体"/>
          <w:color w:val="auto"/>
          <w:sz w:val="24"/>
          <w:highlight w:val="none"/>
          <w:lang w:val="en-US" w:eastAsia="zh-CN"/>
        </w:rPr>
        <w:t>1.1评标委员会对资格审查合格的投标人的投标文件进行符合性审查，以确定其是否满足招标文件的实质性要求。</w:t>
      </w:r>
    </w:p>
    <w:p w14:paraId="0695FF34">
      <w:pPr>
        <w:pStyle w:val="68"/>
        <w:spacing w:line="360" w:lineRule="auto"/>
        <w:ind w:left="0" w:leftChars="0"/>
        <w:rPr>
          <w:rFonts w:hint="eastAsia" w:ascii="宋体" w:hAnsi="宋体" w:cs="宋体"/>
          <w:b/>
          <w:bCs/>
          <w:color w:val="auto"/>
          <w:sz w:val="24"/>
          <w:highlight w:val="none"/>
        </w:rPr>
      </w:pPr>
      <w:r>
        <w:rPr>
          <w:rFonts w:hint="eastAsia" w:ascii="宋体" w:hAnsi="宋体" w:cs="宋体"/>
          <w:color w:val="auto"/>
          <w:sz w:val="24"/>
          <w:highlight w:val="none"/>
        </w:rPr>
        <w:t xml:space="preserve">   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cs="宋体"/>
          <w:b/>
          <w:bCs/>
          <w:color w:val="auto"/>
          <w:sz w:val="24"/>
          <w:highlight w:val="none"/>
        </w:rPr>
        <w:t>投标无效。</w:t>
      </w:r>
    </w:p>
    <w:p w14:paraId="0354DE26">
      <w:pPr>
        <w:jc w:val="center"/>
        <w:rPr>
          <w:rFonts w:hint="eastAsia"/>
          <w:b/>
          <w:bCs/>
          <w:color w:val="auto"/>
          <w:highlight w:val="none"/>
        </w:rPr>
      </w:pPr>
    </w:p>
    <w:p w14:paraId="6BCA6084">
      <w:pPr>
        <w:jc w:val="center"/>
        <w:rPr>
          <w:rFonts w:hint="eastAsia"/>
          <w:b/>
          <w:bCs/>
          <w:color w:val="auto"/>
          <w:sz w:val="24"/>
          <w:highlight w:val="none"/>
        </w:rPr>
      </w:pPr>
      <w:r>
        <w:rPr>
          <w:rFonts w:hint="eastAsia"/>
          <w:b/>
          <w:bCs/>
          <w:color w:val="auto"/>
          <w:sz w:val="24"/>
          <w:highlight w:val="none"/>
        </w:rPr>
        <w:t>符合性审查要求</w:t>
      </w:r>
    </w:p>
    <w:tbl>
      <w:tblPr>
        <w:tblStyle w:val="8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55"/>
        <w:gridCol w:w="6657"/>
      </w:tblGrid>
      <w:tr w14:paraId="04E6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6A08187C">
            <w:pPr>
              <w:pStyle w:val="86"/>
              <w:ind w:firstLine="0" w:firstLineChars="0"/>
              <w:rPr>
                <w:rFonts w:ascii="Calibri" w:eastAsia="宋体" w:cs="Times New Roman"/>
                <w:b/>
                <w:bCs/>
                <w:color w:val="auto"/>
                <w:highlight w:val="none"/>
                <w:lang w:val="en-US" w:eastAsia="zh-CN"/>
              </w:rPr>
            </w:pPr>
            <w:r>
              <w:rPr>
                <w:rFonts w:hint="eastAsia" w:ascii="Calibri" w:eastAsia="宋体" w:cs="Times New Roman"/>
                <w:b/>
                <w:bCs/>
                <w:color w:val="auto"/>
                <w:highlight w:val="none"/>
                <w:lang w:val="en-US" w:eastAsia="zh-CN"/>
              </w:rPr>
              <w:t>序号</w:t>
            </w:r>
          </w:p>
        </w:tc>
        <w:tc>
          <w:tcPr>
            <w:tcW w:w="1755" w:type="dxa"/>
            <w:noWrap w:val="0"/>
            <w:vAlign w:val="center"/>
          </w:tcPr>
          <w:p w14:paraId="615707A6">
            <w:pPr>
              <w:pStyle w:val="86"/>
              <w:ind w:firstLine="211"/>
              <w:jc w:val="center"/>
              <w:rPr>
                <w:rFonts w:ascii="Calibri" w:eastAsia="宋体" w:cs="Times New Roman"/>
                <w:b/>
                <w:bCs/>
                <w:color w:val="auto"/>
                <w:highlight w:val="none"/>
                <w:lang w:val="en-US" w:eastAsia="zh-CN"/>
              </w:rPr>
            </w:pPr>
            <w:r>
              <w:rPr>
                <w:rFonts w:hint="eastAsia" w:ascii="Calibri" w:eastAsia="宋体" w:cs="Times New Roman"/>
                <w:b/>
                <w:bCs/>
                <w:color w:val="auto"/>
                <w:highlight w:val="none"/>
                <w:lang w:val="en-US" w:eastAsia="zh-CN"/>
              </w:rPr>
              <w:t>审查因素</w:t>
            </w:r>
          </w:p>
        </w:tc>
        <w:tc>
          <w:tcPr>
            <w:tcW w:w="6657" w:type="dxa"/>
            <w:noWrap w:val="0"/>
            <w:vAlign w:val="center"/>
          </w:tcPr>
          <w:p w14:paraId="139244D7">
            <w:pPr>
              <w:pStyle w:val="86"/>
              <w:ind w:firstLine="211"/>
              <w:jc w:val="center"/>
              <w:rPr>
                <w:rFonts w:ascii="Calibri" w:eastAsia="宋体" w:cs="Times New Roman"/>
                <w:b/>
                <w:bCs/>
                <w:color w:val="auto"/>
                <w:highlight w:val="none"/>
                <w:lang w:val="en-US" w:eastAsia="zh-CN"/>
              </w:rPr>
            </w:pPr>
            <w:r>
              <w:rPr>
                <w:rFonts w:hint="eastAsia" w:ascii="Calibri" w:eastAsia="宋体" w:cs="Times New Roman"/>
                <w:b/>
                <w:bCs/>
                <w:color w:val="auto"/>
                <w:highlight w:val="none"/>
                <w:lang w:val="en-US" w:eastAsia="zh-CN"/>
              </w:rPr>
              <w:t>审查内容</w:t>
            </w:r>
          </w:p>
        </w:tc>
      </w:tr>
      <w:tr w14:paraId="7E10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noWrap w:val="0"/>
            <w:vAlign w:val="center"/>
          </w:tcPr>
          <w:p w14:paraId="513EF3CC">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1755" w:type="dxa"/>
            <w:noWrap w:val="0"/>
            <w:vAlign w:val="center"/>
          </w:tcPr>
          <w:p w14:paraId="16B54C40">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法定代表人授权书</w:t>
            </w:r>
          </w:p>
        </w:tc>
        <w:tc>
          <w:tcPr>
            <w:tcW w:w="6657" w:type="dxa"/>
            <w:noWrap w:val="0"/>
            <w:vAlign w:val="center"/>
          </w:tcPr>
          <w:p w14:paraId="650A9B25">
            <w:pPr>
              <w:pStyle w:val="86"/>
              <w:ind w:firstLine="240"/>
              <w:jc w:val="center"/>
              <w:rPr>
                <w:rFonts w:hint="eastAsia" w:hAnsi="宋体" w:eastAsia="宋体" w:cs="宋体"/>
                <w:color w:val="auto"/>
                <w:sz w:val="24"/>
                <w:highlight w:val="none"/>
                <w:lang w:val="en-US" w:eastAsia="zh-CN"/>
              </w:rPr>
            </w:pPr>
            <w:r>
              <w:rPr>
                <w:rFonts w:hint="eastAsia" w:ascii="宋体" w:hAnsi="宋体" w:eastAsia="宋体" w:cs="宋体"/>
                <w:color w:val="auto"/>
                <w:spacing w:val="-2"/>
                <w:kern w:val="0"/>
                <w:sz w:val="24"/>
                <w:szCs w:val="20"/>
                <w:highlight w:val="none"/>
              </w:rPr>
              <w:t>投标文件提供法定代表人授权委托书或提供法定代表人身份证明；</w:t>
            </w:r>
          </w:p>
        </w:tc>
      </w:tr>
      <w:tr w14:paraId="436D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noWrap w:val="0"/>
            <w:vAlign w:val="center"/>
          </w:tcPr>
          <w:p w14:paraId="7CCF7CC2">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1755" w:type="dxa"/>
            <w:noWrap w:val="0"/>
            <w:vAlign w:val="center"/>
          </w:tcPr>
          <w:p w14:paraId="7463D722">
            <w:pPr>
              <w:pStyle w:val="86"/>
              <w:ind w:firstLine="240"/>
              <w:jc w:val="center"/>
              <w:rPr>
                <w:rFonts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投标完整性</w:t>
            </w:r>
          </w:p>
        </w:tc>
        <w:tc>
          <w:tcPr>
            <w:tcW w:w="6657" w:type="dxa"/>
            <w:noWrap w:val="0"/>
            <w:vAlign w:val="center"/>
          </w:tcPr>
          <w:p w14:paraId="7C45ACAA">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sz w:val="24"/>
                <w:highlight w:val="none"/>
                <w:lang w:val="en-US" w:eastAsia="zh-CN"/>
              </w:rPr>
              <w:t>未</w:t>
            </w:r>
            <w:r>
              <w:rPr>
                <w:rFonts w:ascii="Calibri" w:eastAsia="宋体" w:cs="Times New Roman"/>
                <w:color w:val="auto"/>
                <w:sz w:val="24"/>
                <w:highlight w:val="none"/>
                <w:lang w:val="en-US" w:eastAsia="zh-CN"/>
              </w:rPr>
              <w:t>将一个采购包中的内容拆开投标；</w:t>
            </w:r>
          </w:p>
        </w:tc>
      </w:tr>
      <w:tr w14:paraId="5911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4A447837">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3</w:t>
            </w:r>
          </w:p>
        </w:tc>
        <w:tc>
          <w:tcPr>
            <w:tcW w:w="1755" w:type="dxa"/>
            <w:noWrap w:val="0"/>
            <w:vAlign w:val="center"/>
          </w:tcPr>
          <w:p w14:paraId="07317E89">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投标报价</w:t>
            </w:r>
          </w:p>
        </w:tc>
        <w:tc>
          <w:tcPr>
            <w:tcW w:w="6657" w:type="dxa"/>
            <w:noWrap w:val="0"/>
            <w:vAlign w:val="center"/>
          </w:tcPr>
          <w:p w14:paraId="57B96B68">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投标报价未超过招标文件中规定的预算金额或者</w:t>
            </w:r>
            <w:r>
              <w:rPr>
                <w:rFonts w:hint="eastAsia" w:hAnsi="宋体" w:cs="宋体"/>
                <w:color w:val="auto"/>
                <w:sz w:val="24"/>
                <w:highlight w:val="none"/>
                <w:lang w:val="en-US" w:eastAsia="zh-CN"/>
              </w:rPr>
              <w:t>或者最高单价限价或</w:t>
            </w:r>
            <w:r>
              <w:rPr>
                <w:rFonts w:hint="eastAsia" w:hAnsi="宋体" w:eastAsia="宋体" w:cs="宋体"/>
                <w:color w:val="auto"/>
                <w:sz w:val="24"/>
                <w:highlight w:val="none"/>
                <w:lang w:val="en-US" w:eastAsia="zh-CN"/>
              </w:rPr>
              <w:t>最高限价；</w:t>
            </w:r>
          </w:p>
        </w:tc>
      </w:tr>
      <w:tr w14:paraId="5F9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6C78119A">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4</w:t>
            </w:r>
          </w:p>
        </w:tc>
        <w:tc>
          <w:tcPr>
            <w:tcW w:w="1755" w:type="dxa"/>
            <w:noWrap w:val="0"/>
            <w:vAlign w:val="center"/>
          </w:tcPr>
          <w:p w14:paraId="23187C34">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报价唯一性</w:t>
            </w:r>
          </w:p>
        </w:tc>
        <w:tc>
          <w:tcPr>
            <w:tcW w:w="6657" w:type="dxa"/>
            <w:noWrap w:val="0"/>
            <w:vAlign w:val="center"/>
          </w:tcPr>
          <w:p w14:paraId="02C8B1CD">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投标文件未出现可选择性或可调整的报价（招标文件另有规定的除外）；</w:t>
            </w:r>
          </w:p>
        </w:tc>
      </w:tr>
      <w:tr w14:paraId="1CA4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68E5FE7B">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5</w:t>
            </w:r>
          </w:p>
        </w:tc>
        <w:tc>
          <w:tcPr>
            <w:tcW w:w="1755" w:type="dxa"/>
            <w:noWrap w:val="0"/>
            <w:vAlign w:val="center"/>
          </w:tcPr>
          <w:p w14:paraId="73A93759">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投标有效期</w:t>
            </w:r>
          </w:p>
        </w:tc>
        <w:tc>
          <w:tcPr>
            <w:tcW w:w="6657" w:type="dxa"/>
            <w:noWrap w:val="0"/>
            <w:vAlign w:val="center"/>
          </w:tcPr>
          <w:p w14:paraId="6B106D2C">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投标文件中承诺的投标有效期满足招标文件中载明的投标有效期的；</w:t>
            </w:r>
          </w:p>
        </w:tc>
      </w:tr>
      <w:tr w14:paraId="562E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0" w:type="dxa"/>
            <w:noWrap w:val="0"/>
            <w:vAlign w:val="center"/>
          </w:tcPr>
          <w:p w14:paraId="42C2125C">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6</w:t>
            </w:r>
          </w:p>
        </w:tc>
        <w:tc>
          <w:tcPr>
            <w:tcW w:w="1755" w:type="dxa"/>
            <w:noWrap w:val="0"/>
            <w:vAlign w:val="center"/>
          </w:tcPr>
          <w:p w14:paraId="54674C0F">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签署、盖章</w:t>
            </w:r>
          </w:p>
        </w:tc>
        <w:tc>
          <w:tcPr>
            <w:tcW w:w="6657" w:type="dxa"/>
            <w:noWrap w:val="0"/>
            <w:vAlign w:val="center"/>
          </w:tcPr>
          <w:p w14:paraId="064757FA">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按照招标文件要求签署、盖章的；</w:t>
            </w:r>
          </w:p>
        </w:tc>
      </w:tr>
      <w:tr w14:paraId="034D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7C63C76C">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7</w:t>
            </w:r>
          </w:p>
        </w:tc>
        <w:tc>
          <w:tcPr>
            <w:tcW w:w="1755" w:type="dxa"/>
            <w:noWrap w:val="0"/>
            <w:vAlign w:val="center"/>
          </w:tcPr>
          <w:p w14:paraId="16FC5723">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实质性格式</w:t>
            </w:r>
          </w:p>
        </w:tc>
        <w:tc>
          <w:tcPr>
            <w:tcW w:w="6657" w:type="dxa"/>
            <w:noWrap w:val="0"/>
            <w:vAlign w:val="center"/>
          </w:tcPr>
          <w:p w14:paraId="5944366B">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标记为</w:t>
            </w:r>
            <w:r>
              <w:rPr>
                <w:rFonts w:ascii="Calibri" w:eastAsia="宋体" w:cs="Times New Roman"/>
                <w:color w:val="auto"/>
                <w:kern w:val="0"/>
                <w:sz w:val="24"/>
                <w:highlight w:val="none"/>
                <w:lang w:val="en-US" w:eastAsia="zh-CN"/>
              </w:rPr>
              <w:t>“实质性格式”的</w:t>
            </w:r>
            <w:r>
              <w:rPr>
                <w:rFonts w:hint="eastAsia" w:ascii="Calibri" w:eastAsia="宋体" w:cs="Times New Roman"/>
                <w:color w:val="auto"/>
                <w:kern w:val="0"/>
                <w:sz w:val="24"/>
                <w:highlight w:val="none"/>
                <w:lang w:val="en-US" w:eastAsia="zh-CN"/>
              </w:rPr>
              <w:t>文件均按</w:t>
            </w:r>
            <w:r>
              <w:rPr>
                <w:rFonts w:ascii="Calibri" w:eastAsia="宋体" w:cs="Times New Roman"/>
                <w:color w:val="auto"/>
                <w:kern w:val="0"/>
                <w:sz w:val="24"/>
                <w:highlight w:val="none"/>
                <w:lang w:val="en-US" w:eastAsia="zh-CN"/>
              </w:rPr>
              <w:t>招标文件</w:t>
            </w:r>
            <w:r>
              <w:rPr>
                <w:rFonts w:hint="eastAsia" w:ascii="Calibri" w:eastAsia="宋体" w:cs="Times New Roman"/>
                <w:color w:val="auto"/>
                <w:kern w:val="0"/>
                <w:sz w:val="24"/>
                <w:highlight w:val="none"/>
                <w:lang w:val="en-US" w:eastAsia="zh-CN"/>
              </w:rPr>
              <w:t>要求提供；</w:t>
            </w:r>
          </w:p>
        </w:tc>
      </w:tr>
      <w:tr w14:paraId="3750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5DD08947">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8</w:t>
            </w:r>
          </w:p>
        </w:tc>
        <w:tc>
          <w:tcPr>
            <w:tcW w:w="1755" w:type="dxa"/>
            <w:noWrap w:val="0"/>
            <w:vAlign w:val="center"/>
          </w:tcPr>
          <w:p w14:paraId="0B5A1C1C">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附加条件</w:t>
            </w:r>
          </w:p>
        </w:tc>
        <w:tc>
          <w:tcPr>
            <w:tcW w:w="6657" w:type="dxa"/>
            <w:noWrap w:val="0"/>
            <w:vAlign w:val="center"/>
          </w:tcPr>
          <w:p w14:paraId="633299B8">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投标文件</w:t>
            </w:r>
            <w:r>
              <w:rPr>
                <w:rFonts w:hint="eastAsia" w:ascii="Calibri" w:eastAsia="宋体" w:cs="Times New Roman"/>
                <w:color w:val="auto"/>
                <w:kern w:val="0"/>
                <w:sz w:val="24"/>
                <w:highlight w:val="none"/>
                <w:lang w:val="en-US" w:eastAsia="zh-CN"/>
              </w:rPr>
              <w:t>未</w:t>
            </w:r>
            <w:r>
              <w:rPr>
                <w:rFonts w:ascii="Calibri" w:eastAsia="宋体" w:cs="Times New Roman"/>
                <w:color w:val="auto"/>
                <w:kern w:val="0"/>
                <w:sz w:val="24"/>
                <w:highlight w:val="none"/>
                <w:lang w:val="en-US" w:eastAsia="zh-CN"/>
              </w:rPr>
              <w:t>含有采购人不能接受的附加条件的；</w:t>
            </w:r>
          </w:p>
        </w:tc>
      </w:tr>
      <w:tr w14:paraId="54C6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3FF06A76">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9</w:t>
            </w:r>
          </w:p>
        </w:tc>
        <w:tc>
          <w:tcPr>
            <w:tcW w:w="1755" w:type="dxa"/>
            <w:noWrap w:val="0"/>
            <w:vAlign w:val="center"/>
          </w:tcPr>
          <w:p w14:paraId="4D4A07A9">
            <w:pPr>
              <w:pStyle w:val="86"/>
              <w:ind w:firstLine="240"/>
              <w:jc w:val="center"/>
              <w:rPr>
                <w:rFonts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报价的修正（如有）</w:t>
            </w:r>
          </w:p>
        </w:tc>
        <w:tc>
          <w:tcPr>
            <w:tcW w:w="6657" w:type="dxa"/>
            <w:noWrap w:val="0"/>
            <w:vAlign w:val="center"/>
          </w:tcPr>
          <w:p w14:paraId="5A117646">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不涉及报价修正</w:t>
            </w:r>
            <w:r>
              <w:rPr>
                <w:rFonts w:ascii="Calibri" w:eastAsia="宋体" w:cs="Times New Roman"/>
                <w:color w:val="auto"/>
                <w:kern w:val="0"/>
                <w:sz w:val="24"/>
                <w:highlight w:val="none"/>
                <w:lang w:val="en-US" w:eastAsia="zh-CN"/>
              </w:rPr>
              <w:t>，或投标文件报价出现前后不一致</w:t>
            </w:r>
            <w:r>
              <w:rPr>
                <w:rFonts w:hint="eastAsia" w:ascii="Calibri" w:eastAsia="宋体" w:cs="Times New Roman"/>
                <w:color w:val="auto"/>
                <w:kern w:val="0"/>
                <w:sz w:val="24"/>
                <w:highlight w:val="none"/>
                <w:lang w:val="en-US" w:eastAsia="zh-CN"/>
              </w:rPr>
              <w:t>时</w:t>
            </w:r>
            <w:r>
              <w:rPr>
                <w:rFonts w:ascii="Calibri" w:eastAsia="宋体" w:cs="Times New Roman"/>
                <w:color w:val="auto"/>
                <w:kern w:val="0"/>
                <w:sz w:val="24"/>
                <w:highlight w:val="none"/>
                <w:lang w:val="en-US" w:eastAsia="zh-CN"/>
              </w:rPr>
              <w:t>，投标人对修正后的报价予</w:t>
            </w:r>
            <w:r>
              <w:rPr>
                <w:rFonts w:hint="eastAsia" w:ascii="Calibri" w:eastAsia="宋体" w:cs="Times New Roman"/>
                <w:color w:val="auto"/>
                <w:kern w:val="0"/>
                <w:sz w:val="24"/>
                <w:highlight w:val="none"/>
                <w:lang w:val="en-US" w:eastAsia="zh-CN"/>
              </w:rPr>
              <w:t>以</w:t>
            </w:r>
            <w:r>
              <w:rPr>
                <w:rFonts w:ascii="Calibri" w:eastAsia="宋体" w:cs="Times New Roman"/>
                <w:color w:val="auto"/>
                <w:kern w:val="0"/>
                <w:sz w:val="24"/>
                <w:highlight w:val="none"/>
                <w:lang w:val="en-US" w:eastAsia="zh-CN"/>
              </w:rPr>
              <w:t>确认；（如有）</w:t>
            </w:r>
          </w:p>
        </w:tc>
      </w:tr>
      <w:tr w14:paraId="3C97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1502D65B">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10</w:t>
            </w:r>
          </w:p>
        </w:tc>
        <w:tc>
          <w:tcPr>
            <w:tcW w:w="1755" w:type="dxa"/>
            <w:noWrap w:val="0"/>
            <w:vAlign w:val="center"/>
          </w:tcPr>
          <w:p w14:paraId="023738EA">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公平竞争</w:t>
            </w:r>
          </w:p>
        </w:tc>
        <w:tc>
          <w:tcPr>
            <w:tcW w:w="6657" w:type="dxa"/>
            <w:noWrap w:val="0"/>
            <w:vAlign w:val="center"/>
          </w:tcPr>
          <w:p w14:paraId="20C7FB5E">
            <w:pPr>
              <w:pStyle w:val="86"/>
              <w:ind w:firstLine="240"/>
              <w:jc w:val="center"/>
              <w:rPr>
                <w:rFonts w:hint="eastAsia"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投标人遵循公平竞争的原则，不存在恶意串通，妨碍其他投标人的竞争行为，不存在损害采购人或者其他投标人的合法权益情形的；</w:t>
            </w:r>
          </w:p>
        </w:tc>
      </w:tr>
      <w:tr w14:paraId="034F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2C0017AA">
            <w:pPr>
              <w:pStyle w:val="86"/>
              <w:ind w:firstLine="240"/>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11</w:t>
            </w:r>
          </w:p>
        </w:tc>
        <w:tc>
          <w:tcPr>
            <w:tcW w:w="1755" w:type="dxa"/>
            <w:noWrap w:val="0"/>
            <w:vAlign w:val="center"/>
          </w:tcPr>
          <w:p w14:paraId="5D5B02B5">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投标保证金</w:t>
            </w:r>
          </w:p>
        </w:tc>
        <w:tc>
          <w:tcPr>
            <w:tcW w:w="6657" w:type="dxa"/>
            <w:noWrap w:val="0"/>
            <w:vAlign w:val="top"/>
          </w:tcPr>
          <w:p w14:paraId="2568AF6F">
            <w:pPr>
              <w:spacing w:line="360" w:lineRule="auto"/>
              <w:jc w:val="center"/>
              <w:rPr>
                <w:rFonts w:hint="eastAsia" w:ascii="宋体" w:hAnsi="宋体" w:eastAsia="宋体" w:cs="宋体"/>
                <w:color w:val="auto"/>
                <w:spacing w:val="-2"/>
                <w:kern w:val="0"/>
                <w:sz w:val="24"/>
                <w:szCs w:val="20"/>
                <w:highlight w:val="none"/>
              </w:rPr>
            </w:pPr>
            <w:r>
              <w:rPr>
                <w:rFonts w:hint="eastAsia" w:ascii="宋体" w:hAnsi="宋体" w:eastAsia="宋体" w:cs="宋体"/>
                <w:color w:val="auto"/>
                <w:spacing w:val="-2"/>
                <w:kern w:val="0"/>
                <w:sz w:val="24"/>
                <w:szCs w:val="20"/>
                <w:highlight w:val="none"/>
              </w:rPr>
              <w:t>按照招标文件的规定提交投标保证金。</w:t>
            </w:r>
          </w:p>
        </w:tc>
      </w:tr>
      <w:tr w14:paraId="4B91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1B14B3B1">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12</w:t>
            </w:r>
          </w:p>
        </w:tc>
        <w:tc>
          <w:tcPr>
            <w:tcW w:w="1755" w:type="dxa"/>
            <w:noWrap w:val="0"/>
            <w:vAlign w:val="center"/>
          </w:tcPr>
          <w:p w14:paraId="3916F402">
            <w:pPr>
              <w:pStyle w:val="86"/>
              <w:ind w:firstLine="240"/>
              <w:jc w:val="center"/>
              <w:rPr>
                <w:rFonts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其他无效情形</w:t>
            </w:r>
          </w:p>
        </w:tc>
        <w:tc>
          <w:tcPr>
            <w:tcW w:w="6657" w:type="dxa"/>
            <w:noWrap w:val="0"/>
            <w:vAlign w:val="center"/>
          </w:tcPr>
          <w:p w14:paraId="037B2CE6">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sz w:val="24"/>
                <w:highlight w:val="none"/>
                <w:lang w:val="en-US" w:eastAsia="zh-CN"/>
              </w:rPr>
              <w:t>投标人、投标文件</w:t>
            </w:r>
            <w:r>
              <w:rPr>
                <w:rFonts w:hint="eastAsia" w:ascii="Calibri" w:eastAsia="宋体" w:cs="Times New Roman"/>
                <w:color w:val="auto"/>
                <w:sz w:val="24"/>
                <w:highlight w:val="none"/>
                <w:lang w:val="en-US" w:eastAsia="zh-CN"/>
              </w:rPr>
              <w:t>不存在</w:t>
            </w:r>
            <w:r>
              <w:rPr>
                <w:rFonts w:ascii="Calibri" w:eastAsia="宋体" w:cs="Times New Roman"/>
                <w:color w:val="auto"/>
                <w:sz w:val="24"/>
                <w:highlight w:val="none"/>
                <w:lang w:val="en-US" w:eastAsia="zh-CN"/>
              </w:rPr>
              <w:t>不符合法律、法规和招标文件规定的其他无效情形。</w:t>
            </w:r>
          </w:p>
        </w:tc>
      </w:tr>
    </w:tbl>
    <w:p w14:paraId="1A1E58B8">
      <w:pPr>
        <w:pStyle w:val="86"/>
        <w:ind w:firstLine="0" w:firstLineChars="0"/>
        <w:jc w:val="left"/>
        <w:rPr>
          <w:rFonts w:hint="eastAsia" w:hAnsi="宋体" w:cs="宋体"/>
          <w:color w:val="auto"/>
          <w:sz w:val="24"/>
          <w:highlight w:val="none"/>
          <w:lang w:val="en-US" w:eastAsia="zh-CN"/>
        </w:rPr>
      </w:pPr>
    </w:p>
    <w:p w14:paraId="01FC387F">
      <w:pPr>
        <w:pStyle w:val="86"/>
        <w:ind w:firstLine="0" w:firstLineChars="0"/>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   投标文件有关事项的澄清或者说明</w:t>
      </w:r>
    </w:p>
    <w:p w14:paraId="0B537B52">
      <w:pPr>
        <w:pStyle w:val="68"/>
        <w:spacing w:line="360" w:lineRule="auto"/>
        <w:ind w:left="0" w:leftChars="0"/>
        <w:rPr>
          <w:color w:val="auto"/>
          <w:highlight w:val="none"/>
        </w:rPr>
      </w:pPr>
      <w:r>
        <w:rPr>
          <w:rFonts w:hint="eastAsia" w:ascii="宋体" w:hAnsi="宋体" w:cs="宋体"/>
          <w:color w:val="auto"/>
          <w:sz w:val="24"/>
          <w:highlight w:val="none"/>
        </w:rPr>
        <w:t xml:space="preserve">  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164D3C7">
      <w:pPr>
        <w:pStyle w:val="86"/>
        <w:spacing w:line="360" w:lineRule="auto"/>
        <w:ind w:firstLine="240"/>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8C861F9">
      <w:pPr>
        <w:pStyle w:val="68"/>
        <w:spacing w:line="360" w:lineRule="auto"/>
        <w:ind w:left="0" w:leftChars="0" w:firstLine="240" w:firstLineChars="100"/>
        <w:rPr>
          <w:rFonts w:hint="eastAsia" w:ascii="宋体" w:hAnsi="宋体" w:cs="宋体"/>
          <w:b/>
          <w:bCs/>
          <w:color w:val="auto"/>
          <w:sz w:val="24"/>
          <w:highlight w:val="none"/>
        </w:rPr>
      </w:pPr>
      <w:r>
        <w:rPr>
          <w:rFonts w:hint="eastAsia" w:ascii="宋体" w:hAnsi="宋体" w:cs="宋体"/>
          <w:color w:val="auto"/>
          <w:sz w:val="24"/>
          <w:highlight w:val="none"/>
        </w:rPr>
        <w:t>2.3投标报价须包含招标文件全部内容，如分项报价表有缺漏项视为将一个采购包中的内容拆开投标，</w:t>
      </w:r>
      <w:r>
        <w:rPr>
          <w:rFonts w:hint="eastAsia" w:ascii="宋体" w:hAnsi="宋体" w:cs="宋体"/>
          <w:b/>
          <w:bCs/>
          <w:color w:val="auto"/>
          <w:sz w:val="24"/>
          <w:highlight w:val="none"/>
        </w:rPr>
        <w:t>其投标无效。</w:t>
      </w:r>
    </w:p>
    <w:p w14:paraId="60B3AD66">
      <w:pPr>
        <w:pStyle w:val="68"/>
        <w:spacing w:line="360" w:lineRule="auto"/>
        <w:ind w:left="0" w:leftChars="0" w:firstLine="240" w:firstLineChars="100"/>
        <w:rPr>
          <w:rFonts w:hint="eastAsia" w:ascii="宋体" w:hAnsi="宋体" w:cs="宋体"/>
          <w:color w:val="auto"/>
          <w:sz w:val="24"/>
          <w:highlight w:val="none"/>
        </w:rPr>
      </w:pPr>
      <w:r>
        <w:rPr>
          <w:rFonts w:hint="eastAsia" w:ascii="宋体" w:hAnsi="宋体" w:cs="宋体"/>
          <w:color w:val="auto"/>
          <w:sz w:val="24"/>
          <w:highlight w:val="none"/>
        </w:rPr>
        <w:t>2.4投标文件报价出现前后不一致的，按照下列规定修正：</w:t>
      </w:r>
    </w:p>
    <w:p w14:paraId="078138FA">
      <w:pPr>
        <w:pStyle w:val="68"/>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   2.4.1单独递交的开标一览表（报价表）与投标文件中开标一览表（报价表）内容不一致的，以单独递交的开标一览表（报价表）为准；</w:t>
      </w:r>
    </w:p>
    <w:p w14:paraId="7161B3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2.4.2投标文件中开标一览表（报价表）内容与投标文件中相应内容不一致的，以开标一览表（报价表）为准；</w:t>
      </w:r>
    </w:p>
    <w:p w14:paraId="0C9E34A6">
      <w:pPr>
        <w:pStyle w:val="86"/>
        <w:spacing w:line="360" w:lineRule="auto"/>
        <w:ind w:firstLine="240"/>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2.4.3大写金额和小写金额不一致的，以大写金额为准；</w:t>
      </w:r>
    </w:p>
    <w:p w14:paraId="02B5A37E">
      <w:pPr>
        <w:pStyle w:val="86"/>
        <w:spacing w:line="360" w:lineRule="auto"/>
        <w:ind w:firstLine="21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2.4.4单价金额小数点或者百分比有明显错位的，以开标一览表的总价为准，并修改单价；</w:t>
      </w:r>
    </w:p>
    <w:p w14:paraId="28E88BE3">
      <w:pPr>
        <w:pStyle w:val="86"/>
        <w:spacing w:line="360" w:lineRule="auto"/>
        <w:ind w:firstLine="240"/>
        <w:rPr>
          <w:color w:val="auto"/>
          <w:sz w:val="24"/>
          <w:highlight w:val="none"/>
        </w:rPr>
      </w:pPr>
      <w:r>
        <w:rPr>
          <w:rFonts w:hint="eastAsia" w:hAnsi="宋体" w:cs="宋体"/>
          <w:color w:val="auto"/>
          <w:sz w:val="24"/>
          <w:highlight w:val="none"/>
          <w:lang w:val="en-US" w:eastAsia="zh-CN"/>
        </w:rPr>
        <w:t xml:space="preserve">   2.4.5</w:t>
      </w:r>
      <w:r>
        <w:rPr>
          <w:color w:val="auto"/>
          <w:sz w:val="24"/>
          <w:highlight w:val="none"/>
        </w:rPr>
        <w:t>总价金额与按单价汇总金额不一致的，以单价金额计算结果为准。</w:t>
      </w:r>
    </w:p>
    <w:p w14:paraId="3ADB9237">
      <w:pPr>
        <w:pStyle w:val="68"/>
        <w:spacing w:line="360" w:lineRule="auto"/>
        <w:ind w:left="0" w:leftChars="0"/>
        <w:rPr>
          <w:rFonts w:hint="eastAsia"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 xml:space="preserve"> 2.4.6同时出现两种以上不一致的，按照前款规定的顺序修正。修正后的报价经投标人书面确认后产生约束力，投标人不确认的，其投标无效。</w:t>
      </w:r>
    </w:p>
    <w:p w14:paraId="139FB2A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2.5落实政府采购政策的价格调整：只有符合第二章《投标人须知》5.2条规定情形的，可以享受中小企业扶持政策，用扣除后的价格参加评审；否则，评标时价格不予扣除。</w:t>
      </w:r>
    </w:p>
    <w:p w14:paraId="263EAA9D">
      <w:pPr>
        <w:pStyle w:val="86"/>
        <w:tabs>
          <w:tab w:val="left" w:pos="840"/>
        </w:tabs>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2.5.1对于未预留份额专门面向中小企业采购的采购项目，以及预留份额项目中的非预留部分采购包，对小微企业报价给予</w:t>
      </w:r>
      <w:r>
        <w:rPr>
          <w:rFonts w:hint="eastAsia" w:hAnsi="宋体" w:cs="宋体"/>
          <w:color w:val="auto"/>
          <w:sz w:val="24"/>
          <w:highlight w:val="none"/>
          <w:u w:val="single"/>
          <w:lang w:val="en-US" w:eastAsia="zh-CN"/>
        </w:rPr>
        <w:t>10</w:t>
      </w:r>
      <w:r>
        <w:rPr>
          <w:rFonts w:hint="eastAsia" w:hAnsi="宋体" w:cs="宋体"/>
          <w:color w:val="auto"/>
          <w:sz w:val="24"/>
          <w:highlight w:val="none"/>
          <w:lang w:val="en-US" w:eastAsia="zh-CN"/>
        </w:rPr>
        <w:t>%的扣除，用扣除后的价格参加评审。</w:t>
      </w:r>
    </w:p>
    <w:p w14:paraId="679CE18F">
      <w:pPr>
        <w:pStyle w:val="86"/>
        <w:tabs>
          <w:tab w:val="left" w:pos="840"/>
        </w:tabs>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hAnsi="宋体" w:cs="宋体"/>
          <w:color w:val="auto"/>
          <w:sz w:val="24"/>
          <w:highlight w:val="none"/>
          <w:u w:val="single"/>
          <w:lang w:val="en-US" w:eastAsia="zh-CN"/>
        </w:rPr>
        <w:t>10</w:t>
      </w:r>
      <w:r>
        <w:rPr>
          <w:rFonts w:hint="eastAsia" w:hAnsi="宋体" w:cs="宋体"/>
          <w:color w:val="auto"/>
          <w:sz w:val="24"/>
          <w:highlight w:val="none"/>
          <w:lang w:val="en-US" w:eastAsia="zh-CN"/>
        </w:rPr>
        <w:t>%的扣除，用扣除后的价格参加评审。</w:t>
      </w:r>
    </w:p>
    <w:p w14:paraId="3B591F90">
      <w:pPr>
        <w:pStyle w:val="86"/>
        <w:tabs>
          <w:tab w:val="left" w:pos="840"/>
        </w:tabs>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2.5.3组成联合体或者接受分包的小微企业与联合体内其他企业、分包企业之间存在直接控股、管理关系的，不享受价格扣除优惠政策。</w:t>
      </w:r>
    </w:p>
    <w:p w14:paraId="01E51A75">
      <w:pPr>
        <w:pStyle w:val="86"/>
        <w:tabs>
          <w:tab w:val="left" w:pos="840"/>
        </w:tabs>
        <w:spacing w:line="360" w:lineRule="auto"/>
        <w:ind w:firstLine="638" w:firstLineChars="266"/>
        <w:rPr>
          <w:color w:val="auto"/>
          <w:sz w:val="24"/>
          <w:highlight w:val="none"/>
        </w:rPr>
      </w:pPr>
      <w:r>
        <w:rPr>
          <w:rFonts w:hint="eastAsia" w:hAnsi="宋体" w:cs="宋体"/>
          <w:color w:val="auto"/>
          <w:sz w:val="24"/>
          <w:highlight w:val="none"/>
          <w:lang w:val="en-US" w:eastAsia="zh-CN"/>
        </w:rPr>
        <w:t>2.5.4</w:t>
      </w:r>
      <w:r>
        <w:rPr>
          <w:color w:val="auto"/>
          <w:sz w:val="24"/>
          <w:highlight w:val="none"/>
        </w:rPr>
        <w:t>价格扣除比例对小型企业和微型企业同等对待，不作区分。</w:t>
      </w:r>
    </w:p>
    <w:p w14:paraId="01680594">
      <w:pPr>
        <w:pStyle w:val="68"/>
        <w:spacing w:line="360" w:lineRule="auto"/>
        <w:ind w:left="0" w:leftChars="0"/>
        <w:rPr>
          <w:rFonts w:hint="eastAsia"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2.5.5中小企业参加政府采购活动，应当按照招标文件给定的格式出具《中小企业声明函》，否则不得享受相关中小企业扶持政策。</w:t>
      </w:r>
    </w:p>
    <w:p w14:paraId="49BDA21A">
      <w:pPr>
        <w:pStyle w:val="68"/>
        <w:spacing w:line="360" w:lineRule="auto"/>
        <w:ind w:left="0" w:leftChars="0" w:firstLine="638" w:firstLineChars="266"/>
        <w:rPr>
          <w:rFonts w:hint="eastAsia" w:ascii="宋体" w:hAnsi="宋体" w:cs="宋体"/>
          <w:color w:val="auto"/>
          <w:sz w:val="24"/>
          <w:highlight w:val="none"/>
        </w:rPr>
      </w:pPr>
      <w:r>
        <w:rPr>
          <w:rFonts w:hint="eastAsia" w:ascii="宋体" w:hAnsi="宋体" w:cs="宋体"/>
          <w:color w:val="auto"/>
          <w:sz w:val="24"/>
          <w:highlight w:val="none"/>
        </w:rPr>
        <w:t>2.5.6监狱企业提供了由省级以上监狱管理局、戒毒管理局（含新疆生产建设兵团）出具的属于监狱企业的证明文件的，视同小微企业。</w:t>
      </w:r>
    </w:p>
    <w:p w14:paraId="61D1BAAD">
      <w:pPr>
        <w:pStyle w:val="68"/>
        <w:spacing w:line="360" w:lineRule="auto"/>
        <w:ind w:left="0" w:leftChars="0"/>
        <w:rPr>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2.5.7</w:t>
      </w:r>
      <w:r>
        <w:rPr>
          <w:color w:val="auto"/>
          <w:sz w:val="24"/>
          <w:highlight w:val="none"/>
        </w:rPr>
        <w:t>残疾人福利性单位按招标文件要求提供了《残疾人福利性单位声明函》（见附件）的，视同小微企业。</w:t>
      </w:r>
    </w:p>
    <w:p w14:paraId="358A482C">
      <w:pPr>
        <w:spacing w:line="360" w:lineRule="auto"/>
        <w:rPr>
          <w:rFonts w:hint="eastAsia"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2.5.8若投标人同时属于小型或微型企业、监狱企业、残疾人福利性单位中的两种及以上，将不重复享受小微企业价格扣减的优惠政策。</w:t>
      </w:r>
    </w:p>
    <w:p w14:paraId="205850D1">
      <w:pPr>
        <w:pStyle w:val="86"/>
        <w:spacing w:line="360" w:lineRule="auto"/>
        <w:ind w:firstLine="0" w:firstLineChars="0"/>
        <w:rPr>
          <w:color w:val="auto"/>
          <w:sz w:val="24"/>
          <w:highlight w:val="none"/>
        </w:rPr>
      </w:pPr>
      <w:r>
        <w:rPr>
          <w:rFonts w:hint="eastAsia" w:hAnsi="宋体" w:cs="宋体"/>
          <w:color w:val="auto"/>
          <w:sz w:val="24"/>
          <w:highlight w:val="none"/>
          <w:lang w:val="en-US" w:eastAsia="zh-CN"/>
        </w:rPr>
        <w:t xml:space="preserve">3  </w:t>
      </w:r>
      <w:r>
        <w:rPr>
          <w:color w:val="auto"/>
          <w:sz w:val="24"/>
          <w:highlight w:val="none"/>
        </w:rPr>
        <w:t>投标文件的比较和评价</w:t>
      </w:r>
    </w:p>
    <w:p w14:paraId="0D89E963">
      <w:pPr>
        <w:pStyle w:val="86"/>
        <w:spacing w:line="360" w:lineRule="auto"/>
        <w:ind w:firstLine="0" w:firstLineChars="0"/>
        <w:rPr>
          <w:rFonts w:hint="eastAsia" w:hAnsi="宋体" w:cs="宋体"/>
          <w:color w:val="auto"/>
          <w:sz w:val="24"/>
          <w:highlight w:val="none"/>
          <w:lang w:val="en-US" w:eastAsia="zh-CN"/>
        </w:rPr>
      </w:pPr>
      <w:r>
        <w:rPr>
          <w:rFonts w:hint="eastAsia"/>
          <w:color w:val="auto"/>
          <w:sz w:val="24"/>
          <w:highlight w:val="none"/>
          <w:lang w:val="en-US" w:eastAsia="zh-CN"/>
        </w:rPr>
        <w:t xml:space="preserve"> </w:t>
      </w:r>
      <w:r>
        <w:rPr>
          <w:rFonts w:hint="eastAsia" w:hAnsi="宋体" w:cs="宋体"/>
          <w:color w:val="auto"/>
          <w:sz w:val="24"/>
          <w:highlight w:val="none"/>
          <w:lang w:val="en-US" w:eastAsia="zh-CN"/>
        </w:rPr>
        <w:t xml:space="preserve"> 3.1评标委员会将按照招标文件中规定的评标方法和标准，对符合性审查合格的投标文件进行商务和技术评估，综合比较与评价；未通过符合性审查的投标文件不得进入比较与评价。</w:t>
      </w:r>
    </w:p>
    <w:p w14:paraId="515569AC">
      <w:pPr>
        <w:pStyle w:val="86"/>
        <w:spacing w:line="360" w:lineRule="auto"/>
        <w:ind w:firstLine="0" w:firstLineChars="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3.2评标方法和评标标准</w:t>
      </w:r>
    </w:p>
    <w:p w14:paraId="40A32D18">
      <w:pPr>
        <w:pStyle w:val="86"/>
        <w:spacing w:line="360" w:lineRule="auto"/>
        <w:ind w:firstLine="0" w:firstLineChars="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 xml:space="preserve">   3.2.1本项目采用的评标方法为：</w:t>
      </w:r>
    </w:p>
    <w:p w14:paraId="107CAD27">
      <w:pPr>
        <w:pStyle w:val="86"/>
        <w:spacing w:line="360" w:lineRule="auto"/>
        <w:ind w:firstLine="1050" w:firstLineChars="500"/>
        <w:rPr>
          <w:color w:val="auto"/>
          <w:sz w:val="24"/>
          <w:highlight w:val="none"/>
        </w:rPr>
      </w:pPr>
      <w:r>
        <w:rPr>
          <w:rFonts w:hint="eastAsia"/>
          <w:color w:val="auto"/>
          <w:highlight w:val="none"/>
          <w:lang w:val="en-US" w:eastAsia="zh-CN"/>
        </w:rPr>
        <w:t xml:space="preserve"> </w:t>
      </w:r>
      <w:r>
        <w:rPr>
          <w:color w:val="auto"/>
          <w:sz w:val="24"/>
          <w:highlight w:val="none"/>
        </w:rPr>
        <w:sym w:font="Wingdings 2" w:char="0052"/>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3F945B15">
      <w:pPr>
        <w:pStyle w:val="86"/>
        <w:spacing w:line="360" w:lineRule="auto"/>
        <w:ind w:firstLine="1200" w:firstLineChars="500"/>
        <w:rPr>
          <w:rFonts w:hint="eastAsia"/>
          <w:color w:val="auto"/>
          <w:highlight w:val="none"/>
          <w:lang w:val="en-US" w:eastAsia="zh-CN"/>
        </w:rPr>
      </w:pPr>
      <w:r>
        <w:rPr>
          <w:color w:val="auto"/>
          <w:sz w:val="24"/>
          <w:highlight w:val="none"/>
        </w:rPr>
        <w:t>□最低评标价法，指投标文件满足招标文件全部实质性要求，且投标报价最低的投标人为中标候选人的评标方法。</w:t>
      </w:r>
      <w:r>
        <w:rPr>
          <w:rFonts w:hint="eastAsia"/>
          <w:color w:val="auto"/>
          <w:highlight w:val="none"/>
          <w:lang w:val="en-US" w:eastAsia="zh-CN"/>
        </w:rPr>
        <w:t xml:space="preserve"> </w:t>
      </w:r>
    </w:p>
    <w:p w14:paraId="7F1C8DC1">
      <w:pPr>
        <w:pStyle w:val="86"/>
        <w:spacing w:line="360" w:lineRule="auto"/>
        <w:ind w:firstLine="218" w:firstLineChars="104"/>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 xml:space="preserve"> 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C30A5CF">
      <w:pPr>
        <w:pStyle w:val="86"/>
        <w:spacing w:line="360" w:lineRule="auto"/>
        <w:ind w:firstLine="240"/>
        <w:rPr>
          <w:rFonts w:hint="eastAsia" w:hAnsi="宋体" w:cs="宋体"/>
          <w:color w:val="auto"/>
          <w:sz w:val="24"/>
          <w:highlight w:val="none"/>
          <w:lang w:val="en-US" w:eastAsia="zh-CN"/>
        </w:rPr>
      </w:pPr>
      <w:r>
        <w:rPr>
          <w:color w:val="auto"/>
          <w:sz w:val="24"/>
          <w:highlight w:val="none"/>
        </w:rPr>
        <w:t>□</w:t>
      </w:r>
      <w:r>
        <w:rPr>
          <w:rFonts w:hint="eastAsia" w:hAnsi="宋体" w:cs="宋体"/>
          <w:color w:val="auto"/>
          <w:sz w:val="24"/>
          <w:highlight w:val="none"/>
          <w:lang w:val="en-US" w:eastAsia="zh-CN"/>
        </w:rPr>
        <w:t>随机抽取</w:t>
      </w:r>
    </w:p>
    <w:p w14:paraId="68DD7089">
      <w:pPr>
        <w:pStyle w:val="86"/>
        <w:spacing w:line="360" w:lineRule="auto"/>
        <w:ind w:firstLine="240"/>
        <w:rPr>
          <w:rFonts w:hint="eastAsia" w:hAnsi="宋体" w:cs="宋体"/>
          <w:color w:val="auto"/>
          <w:sz w:val="24"/>
          <w:highlight w:val="none"/>
          <w:u w:val="single"/>
          <w:lang w:val="en-US" w:eastAsia="zh-CN"/>
        </w:rPr>
      </w:pPr>
      <w:r>
        <w:rPr>
          <w:rFonts w:hint="eastAsia" w:hAnsi="宋体" w:cs="宋体"/>
          <w:color w:val="auto"/>
          <w:sz w:val="24"/>
          <w:highlight w:val="none"/>
          <w:lang w:val="en-US" w:eastAsia="zh-CN"/>
        </w:rPr>
        <w:t>■其他方式，具体要求：</w:t>
      </w:r>
      <w:r>
        <w:rPr>
          <w:rFonts w:hint="eastAsia" w:hAnsi="宋体" w:cs="宋体"/>
          <w:color w:val="auto"/>
          <w:sz w:val="24"/>
          <w:highlight w:val="none"/>
          <w:u w:val="single"/>
          <w:lang w:val="en-US" w:eastAsia="zh-CN"/>
        </w:rPr>
        <w:t>采购人确定</w:t>
      </w:r>
    </w:p>
    <w:p w14:paraId="38FE9F3A">
      <w:pPr>
        <w:pStyle w:val="86"/>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3.2.3非政府强制采购的节能产品或环境标志产品，依据品目清单和认证证书实施政府优先采购。优先采购的具体规定（如涉及）_____。</w:t>
      </w:r>
    </w:p>
    <w:p w14:paraId="7D14788E">
      <w:pPr>
        <w:pStyle w:val="86"/>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3.2.4 关于无线局域网认证产品政府采购清单中的产品，优先采购的具体规定（如涉及）_____。</w:t>
      </w:r>
    </w:p>
    <w:p w14:paraId="472B191F">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4  确定</w:t>
      </w:r>
      <w:bookmarkStart w:id="314" w:name="_Toc226965819"/>
      <w:bookmarkStart w:id="315" w:name="_Toc127151747"/>
      <w:bookmarkStart w:id="316" w:name="_Toc150509297"/>
      <w:bookmarkStart w:id="317" w:name="_Toc305158888"/>
      <w:bookmarkStart w:id="318" w:name="_Toc151190173"/>
      <w:bookmarkStart w:id="319" w:name="_Toc226309790"/>
      <w:bookmarkStart w:id="320" w:name="_Toc164608660"/>
      <w:bookmarkStart w:id="321" w:name="_Toc264969236"/>
      <w:bookmarkStart w:id="322" w:name="_Toc151193860"/>
      <w:bookmarkStart w:id="323" w:name="_Toc151193788"/>
      <w:bookmarkStart w:id="324" w:name="_Toc150774751"/>
      <w:bookmarkStart w:id="325" w:name="_Toc151193716"/>
      <w:bookmarkStart w:id="326" w:name="_Toc149720839"/>
      <w:bookmarkStart w:id="327" w:name="_Toc164608815"/>
      <w:bookmarkStart w:id="328" w:name="_Toc226337242"/>
      <w:bookmarkStart w:id="329" w:name="_Toc127161460"/>
      <w:bookmarkStart w:id="330" w:name="_Toc164229241"/>
      <w:bookmarkStart w:id="331" w:name="_Toc151193644"/>
      <w:bookmarkStart w:id="332" w:name="_Toc305158814"/>
      <w:bookmarkStart w:id="333" w:name="_Toc164351640"/>
      <w:bookmarkStart w:id="334" w:name="_Toc151193934"/>
      <w:bookmarkStart w:id="335" w:name="_Toc164229387"/>
      <w:bookmarkStart w:id="336" w:name="_Toc150480784"/>
      <w:bookmarkStart w:id="337" w:name="_Toc226965736"/>
      <w:bookmarkStart w:id="338" w:name="_Toc265228384"/>
      <w:bookmarkStart w:id="339" w:name="_Toc127151546"/>
      <w:bookmarkStart w:id="340" w:name="_Toc142311048"/>
      <w:bookmarkStart w:id="341" w:name="_Toc520356170"/>
      <w:bookmarkStart w:id="342" w:name="_Toc195842911"/>
      <w:bookmarkStart w:id="343" w:name="_Toc150774646"/>
      <w:bookmarkStart w:id="344" w:name="_Ref467307010"/>
      <w:r>
        <w:rPr>
          <w:rFonts w:hint="eastAsia" w:ascii="宋体" w:hAnsi="宋体" w:cs="宋体"/>
          <w:color w:val="auto"/>
          <w:sz w:val="24"/>
          <w:highlight w:val="none"/>
        </w:rPr>
        <w:t>中标候选人名单</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BFFC679">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A798E63">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color w:val="auto"/>
          <w:sz w:val="24"/>
          <w:highlight w:val="none"/>
        </w:rPr>
        <w:sym w:font="Wingdings 2" w:char="00A3"/>
      </w:r>
      <w:r>
        <w:rPr>
          <w:rFonts w:hint="eastAsia" w:ascii="宋体" w:hAnsi="宋体" w:cs="宋体"/>
          <w:color w:val="auto"/>
          <w:sz w:val="24"/>
          <w:highlight w:val="none"/>
        </w:rPr>
        <w:t>随机抽取</w:t>
      </w:r>
    </w:p>
    <w:p w14:paraId="3984F0F7">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rFonts w:hint="eastAsia"/>
          <w:color w:val="auto"/>
          <w:sz w:val="24"/>
          <w:highlight w:val="none"/>
          <w:lang w:eastAsia="zh-CN"/>
        </w:rPr>
        <w:t>☑</w:t>
      </w:r>
      <w:r>
        <w:rPr>
          <w:rFonts w:hint="eastAsia" w:ascii="宋体" w:hAnsi="宋体" w:cs="宋体"/>
          <w:color w:val="auto"/>
          <w:sz w:val="24"/>
          <w:highlight w:val="none"/>
        </w:rPr>
        <w:t>其他方式，具体要求：</w:t>
      </w:r>
      <w:r>
        <w:rPr>
          <w:rFonts w:hint="eastAsia" w:ascii="宋体" w:hAnsi="宋体" w:cs="宋体"/>
          <w:color w:val="auto"/>
          <w:sz w:val="24"/>
          <w:highlight w:val="none"/>
          <w:u w:val="single"/>
          <w:lang w:eastAsia="zh-CN"/>
        </w:rPr>
        <w:t>采购人决定</w:t>
      </w:r>
    </w:p>
    <w:p w14:paraId="4D0FC14A">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C9E062">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4.3采用最低评标价法时，评标结果按本章2.4、2.5调整后的投标报价由低到高顺序排列。投标报价相同的并列。投标文件满足招标文件全部实质性要求且投标报价最低的投标人为排名第一的中标候选人。</w:t>
      </w:r>
    </w:p>
    <w:p w14:paraId="7281F1CC">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4.4评标委员会要对评分汇总情况进行复核，特别是对排名第一的、报价最低的、投标或响应文件被认定为无效的情形进行重点复核。</w:t>
      </w:r>
    </w:p>
    <w:p w14:paraId="58378884">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4.5评标委员会将根据各投标人的评标排序，依次推荐本项目（各采购包）的中标候选人，起草并签署评标报告。本项目（各采购包）评标委员会共（各）推荐</w:t>
      </w:r>
      <w:r>
        <w:rPr>
          <w:rFonts w:hint="eastAsia" w:ascii="宋体" w:hAnsi="宋体" w:cs="宋体"/>
          <w:color w:val="auto"/>
          <w:sz w:val="24"/>
          <w:highlight w:val="none"/>
          <w:u w:val="single"/>
        </w:rPr>
        <w:t>1-3</w:t>
      </w:r>
      <w:r>
        <w:rPr>
          <w:rFonts w:hint="eastAsia" w:ascii="宋体" w:hAnsi="宋体" w:cs="宋体"/>
          <w:color w:val="auto"/>
          <w:sz w:val="24"/>
          <w:highlight w:val="none"/>
        </w:rPr>
        <w:t>名中标候选人。</w:t>
      </w:r>
    </w:p>
    <w:p w14:paraId="114703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  报告违法行为</w:t>
      </w:r>
    </w:p>
    <w:p w14:paraId="270E42D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5.1评标委员会在评标过程中发现投标人有行贿、提供虚假材料或者串通等违法行为时，有向采购人、采购代理机构或者有关部门报告的职责。</w:t>
      </w:r>
    </w:p>
    <w:p w14:paraId="1E3CD323">
      <w:pPr>
        <w:rPr>
          <w:color w:val="auto"/>
          <w:highlight w:val="none"/>
        </w:rPr>
      </w:pPr>
    </w:p>
    <w:p w14:paraId="30607278">
      <w:pPr>
        <w:pStyle w:val="445"/>
        <w:spacing w:line="360" w:lineRule="auto"/>
        <w:rPr>
          <w:rFonts w:hint="eastAsia" w:ascii="宋体" w:hAnsi="宋体"/>
          <w:bCs/>
          <w:color w:val="auto"/>
          <w:sz w:val="24"/>
          <w:highlight w:val="none"/>
        </w:rPr>
      </w:pPr>
      <w:r>
        <w:rPr>
          <w:rFonts w:hint="eastAsia" w:ascii="宋体" w:hAnsi="宋体"/>
          <w:b/>
          <w:bCs/>
          <w:color w:val="auto"/>
          <w:sz w:val="24"/>
          <w:highlight w:val="none"/>
        </w:rPr>
        <w:t>二、评标标准</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96"/>
        <w:gridCol w:w="897"/>
        <w:gridCol w:w="3550"/>
        <w:gridCol w:w="2588"/>
      </w:tblGrid>
      <w:tr w14:paraId="5429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79F5A2A8">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96" w:type="dxa"/>
            <w:noWrap w:val="0"/>
            <w:vAlign w:val="top"/>
          </w:tcPr>
          <w:p w14:paraId="601BA290">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897" w:type="dxa"/>
            <w:noWrap w:val="0"/>
            <w:vAlign w:val="top"/>
          </w:tcPr>
          <w:p w14:paraId="023051D3">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3550" w:type="dxa"/>
            <w:noWrap w:val="0"/>
            <w:vAlign w:val="top"/>
          </w:tcPr>
          <w:p w14:paraId="743A8C4C">
            <w:pPr>
              <w:pStyle w:val="445"/>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2588" w:type="dxa"/>
            <w:noWrap w:val="0"/>
            <w:vAlign w:val="top"/>
          </w:tcPr>
          <w:p w14:paraId="1DABD3BE">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tc>
      </w:tr>
      <w:tr w14:paraId="60ED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E5FF409">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noWrap w:val="0"/>
            <w:vAlign w:val="center"/>
          </w:tcPr>
          <w:p w14:paraId="244BD71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投标报价</w:t>
            </w:r>
          </w:p>
        </w:tc>
        <w:tc>
          <w:tcPr>
            <w:tcW w:w="897" w:type="dxa"/>
            <w:noWrap w:val="0"/>
            <w:vAlign w:val="center"/>
          </w:tcPr>
          <w:p w14:paraId="3FD643B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30分</w:t>
            </w:r>
          </w:p>
        </w:tc>
        <w:tc>
          <w:tcPr>
            <w:tcW w:w="3550" w:type="dxa"/>
            <w:noWrap w:val="0"/>
            <w:vAlign w:val="center"/>
          </w:tcPr>
          <w:p w14:paraId="0C1BC869">
            <w:pPr>
              <w:spacing w:line="360" w:lineRule="auto"/>
              <w:jc w:val="left"/>
              <w:rPr>
                <w:rFonts w:ascii="宋体" w:hAnsi="宋体" w:cs="宋体"/>
                <w:color w:val="auto"/>
                <w:sz w:val="24"/>
                <w:highlight w:val="none"/>
              </w:rPr>
            </w:pPr>
            <w:r>
              <w:rPr>
                <w:rFonts w:hint="eastAsia" w:ascii="宋体" w:hAnsi="宋体" w:cs="宋体"/>
                <w:color w:val="auto"/>
                <w:sz w:val="24"/>
                <w:highlight w:val="none"/>
              </w:rPr>
              <w:t>满足招标文件要求且投标价格最低的投标报价为评标基准价，其价格分为满分。其他投标人的价格分统一按照下列公式计算：</w:t>
            </w:r>
          </w:p>
          <w:p w14:paraId="7CC938F8">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rPr>
              <w:t>投标报价得分＝（评标基准价/投标报价）×分值。</w:t>
            </w:r>
          </w:p>
        </w:tc>
        <w:tc>
          <w:tcPr>
            <w:tcW w:w="2588" w:type="dxa"/>
            <w:noWrap w:val="0"/>
            <w:vAlign w:val="center"/>
          </w:tcPr>
          <w:p w14:paraId="263F98DC">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rPr>
              <w:t>此处投标报价指经过报价修正，及因落实政府采购政策进行价格调整后的报价，详见第四章《评标方法和评标标准》2.4及2.5。</w:t>
            </w:r>
          </w:p>
        </w:tc>
      </w:tr>
      <w:tr w14:paraId="1102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4" w:hRule="atLeast"/>
        </w:trPr>
        <w:tc>
          <w:tcPr>
            <w:tcW w:w="775" w:type="dxa"/>
            <w:noWrap w:val="0"/>
            <w:vAlign w:val="center"/>
          </w:tcPr>
          <w:p w14:paraId="3D0A95C1">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noWrap w:val="0"/>
            <w:vAlign w:val="center"/>
          </w:tcPr>
          <w:p w14:paraId="23C4CA4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业   绩</w:t>
            </w:r>
          </w:p>
        </w:tc>
        <w:tc>
          <w:tcPr>
            <w:tcW w:w="897" w:type="dxa"/>
            <w:noWrap w:val="0"/>
            <w:vAlign w:val="center"/>
          </w:tcPr>
          <w:p w14:paraId="45176F2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3550" w:type="dxa"/>
            <w:noWrap w:val="0"/>
            <w:vAlign w:val="center"/>
          </w:tcPr>
          <w:p w14:paraId="31658EF6">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投标供应商</w:t>
            </w:r>
            <w:r>
              <w:rPr>
                <w:rFonts w:hint="eastAsia" w:ascii="宋体" w:hAnsi="宋体" w:cs="宋体"/>
                <w:color w:val="auto"/>
                <w:sz w:val="24"/>
                <w:highlight w:val="none"/>
                <w:lang w:eastAsia="zh-CN"/>
              </w:rPr>
              <w:t>提供</w:t>
            </w:r>
            <w:r>
              <w:rPr>
                <w:rFonts w:hint="eastAsia" w:ascii="宋体" w:hAnsi="宋体" w:eastAsia="宋体" w:cs="宋体"/>
                <w:color w:val="auto"/>
                <w:sz w:val="24"/>
                <w:highlight w:val="none"/>
                <w:lang w:eastAsia="zh-CN"/>
              </w:rPr>
              <w:t>2021年1月1日至投标截止日期之日止独立承担的同类项目的成功实施案例，每提供1份完整有效证明材料得1分，最高为</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分，未提供或缺项不得分。</w:t>
            </w:r>
          </w:p>
          <w:p w14:paraId="6CF29B9A">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注：同一个项目内包含：中药饮片供应、配送等服务</w:t>
            </w:r>
            <w:r>
              <w:rPr>
                <w:rFonts w:hint="eastAsia" w:ascii="宋体" w:hAnsi="宋体" w:cs="宋体"/>
                <w:color w:val="auto"/>
                <w:sz w:val="24"/>
                <w:highlight w:val="none"/>
                <w:lang w:eastAsia="zh-CN"/>
              </w:rPr>
              <w:t>。</w:t>
            </w:r>
          </w:p>
        </w:tc>
        <w:tc>
          <w:tcPr>
            <w:tcW w:w="2588" w:type="dxa"/>
            <w:noWrap w:val="0"/>
            <w:vAlign w:val="center"/>
          </w:tcPr>
          <w:p w14:paraId="624ACD2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证明资料：指合同关键页或中标通知书</w:t>
            </w:r>
            <w:r>
              <w:rPr>
                <w:rFonts w:hint="eastAsia" w:ascii="宋体" w:hAnsi="宋体" w:cs="宋体"/>
                <w:color w:val="auto"/>
                <w:sz w:val="24"/>
                <w:highlight w:val="none"/>
                <w:lang w:eastAsia="zh-CN"/>
              </w:rPr>
              <w:t>、</w:t>
            </w:r>
            <w:r>
              <w:rPr>
                <w:rFonts w:hint="eastAsia" w:ascii="宋体" w:hAnsi="宋体" w:cs="宋体"/>
                <w:color w:val="auto"/>
                <w:sz w:val="24"/>
                <w:highlight w:val="none"/>
              </w:rPr>
              <w:t>该项目的甲方单位使用评价</w:t>
            </w:r>
            <w:r>
              <w:rPr>
                <w:rFonts w:hint="eastAsia" w:ascii="宋体" w:hAnsi="宋体" w:cs="宋体"/>
                <w:color w:val="auto"/>
                <w:sz w:val="24"/>
                <w:highlight w:val="none"/>
                <w:lang w:eastAsia="zh-CN"/>
              </w:rPr>
              <w:t>及发票</w:t>
            </w:r>
            <w:r>
              <w:rPr>
                <w:rFonts w:hint="eastAsia" w:ascii="宋体" w:hAnsi="宋体" w:cs="宋体"/>
                <w:color w:val="auto"/>
                <w:sz w:val="24"/>
                <w:highlight w:val="none"/>
              </w:rPr>
              <w:t>（合同关键页需提供复印件并加盖投标供应商公章，复印件内容需体现合同名称、签订时间、主要服务内容以及双方签字盖章页，中标通知书需提供复印件并加盖投标人公章，复印件内容需体现项目名称、项目内容等，提供该项目业主评价，需加盖甲方单位公章并体现评价良好及对应项目名称，因涉及商业秘密而遮盖上述主要内容的将不被认可，不予得分。）</w:t>
            </w:r>
          </w:p>
        </w:tc>
      </w:tr>
      <w:tr w14:paraId="1604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14:paraId="6BA86963">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vMerge w:val="restart"/>
            <w:noWrap w:val="0"/>
            <w:vAlign w:val="center"/>
          </w:tcPr>
          <w:p w14:paraId="3AD4DB44">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产品质量</w:t>
            </w:r>
          </w:p>
        </w:tc>
        <w:tc>
          <w:tcPr>
            <w:tcW w:w="897" w:type="dxa"/>
            <w:noWrap w:val="0"/>
            <w:vAlign w:val="center"/>
          </w:tcPr>
          <w:p w14:paraId="66BAC1A9">
            <w:pPr>
              <w:spacing w:line="360" w:lineRule="auto"/>
              <w:ind w:firstLine="240" w:firstLineChars="100"/>
              <w:jc w:val="center"/>
              <w:rPr>
                <w:rFonts w:hint="eastAsia" w:ascii="宋体" w:hAnsi="宋体" w:cs="宋体"/>
                <w:color w:val="auto"/>
                <w:sz w:val="24"/>
                <w:highlight w:val="none"/>
                <w:lang w:val="en-US" w:eastAsia="zh-CN"/>
              </w:rPr>
            </w:pPr>
          </w:p>
          <w:p w14:paraId="3F6D224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8.5分</w:t>
            </w:r>
          </w:p>
        </w:tc>
        <w:tc>
          <w:tcPr>
            <w:tcW w:w="3550" w:type="dxa"/>
            <w:noWrap w:val="0"/>
            <w:vAlign w:val="center"/>
          </w:tcPr>
          <w:p w14:paraId="3823AC7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投标人每提供一份</w:t>
            </w:r>
            <w:r>
              <w:rPr>
                <w:rFonts w:hint="eastAsia" w:ascii="宋体" w:hAnsi="宋体" w:cs="宋体"/>
                <w:color w:val="auto"/>
                <w:sz w:val="24"/>
                <w:highlight w:val="none"/>
                <w:lang w:eastAsia="zh-CN"/>
              </w:rPr>
              <w:t>重要</w:t>
            </w:r>
            <w:r>
              <w:rPr>
                <w:rFonts w:hint="eastAsia" w:ascii="宋体" w:hAnsi="宋体" w:cs="宋体"/>
                <w:color w:val="auto"/>
                <w:sz w:val="24"/>
                <w:highlight w:val="none"/>
              </w:rPr>
              <w:t>产品</w:t>
            </w:r>
            <w:r>
              <w:rPr>
                <w:rFonts w:hint="eastAsia" w:ascii="宋体" w:hAnsi="宋体" w:cs="宋体"/>
                <w:color w:val="auto"/>
                <w:sz w:val="24"/>
                <w:highlight w:val="none"/>
                <w:lang w:eastAsia="zh-CN"/>
              </w:rPr>
              <w:t>近一年内（</w:t>
            </w:r>
            <w:r>
              <w:rPr>
                <w:rFonts w:hint="eastAsia" w:ascii="宋体" w:hAnsi="宋体" w:cs="宋体"/>
                <w:color w:val="auto"/>
                <w:sz w:val="24"/>
                <w:highlight w:val="none"/>
                <w:lang w:val="en-US" w:eastAsia="zh-CN"/>
              </w:rPr>
              <w:t>2024年1月至投标截止时间</w:t>
            </w:r>
            <w:r>
              <w:rPr>
                <w:rFonts w:hint="eastAsia" w:ascii="宋体" w:hAnsi="宋体" w:cs="宋体"/>
                <w:color w:val="auto"/>
                <w:sz w:val="24"/>
                <w:highlight w:val="none"/>
                <w:lang w:eastAsia="zh-CN"/>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中药饮片检测报告</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r>
              <w:rPr>
                <w:rFonts w:hint="eastAsia" w:ascii="宋体" w:hAnsi="宋体" w:cs="宋体"/>
                <w:color w:val="auto"/>
                <w:sz w:val="24"/>
                <w:highlight w:val="none"/>
                <w:lang w:eastAsia="zh-CN"/>
              </w:rPr>
              <w:t>，满分</w:t>
            </w:r>
            <w:r>
              <w:rPr>
                <w:rFonts w:hint="eastAsia" w:ascii="宋体" w:hAnsi="宋体" w:cs="宋体"/>
                <w:color w:val="auto"/>
                <w:sz w:val="24"/>
                <w:highlight w:val="none"/>
                <w:lang w:val="en-US" w:eastAsia="zh-CN"/>
              </w:rPr>
              <w:t>8.5分。</w:t>
            </w:r>
          </w:p>
          <w:p w14:paraId="66875249">
            <w:pPr>
              <w:spacing w:line="360" w:lineRule="auto"/>
              <w:jc w:val="left"/>
              <w:rPr>
                <w:rFonts w:hint="default"/>
                <w:color w:val="auto"/>
                <w:highlight w:val="none"/>
                <w:lang w:val="en-US" w:eastAsia="zh-CN"/>
              </w:rPr>
            </w:pPr>
            <w:r>
              <w:rPr>
                <w:rFonts w:hint="eastAsia" w:hAnsi="宋体" w:cs="宋体"/>
                <w:b w:val="0"/>
                <w:bCs w:val="0"/>
                <w:color w:val="auto"/>
                <w:sz w:val="24"/>
                <w:highlight w:val="none"/>
                <w:lang w:val="en-US" w:eastAsia="zh-CN"/>
              </w:rPr>
              <w:t>注：重要产</w:t>
            </w:r>
            <w:r>
              <w:rPr>
                <w:rFonts w:hint="eastAsia" w:ascii="宋体" w:hAnsi="宋体" w:eastAsia="宋体" w:cs="宋体"/>
                <w:b w:val="0"/>
                <w:bCs w:val="0"/>
                <w:color w:val="auto"/>
                <w:sz w:val="24"/>
                <w:highlight w:val="none"/>
                <w:lang w:val="en-US" w:eastAsia="zh-CN"/>
              </w:rPr>
              <w:t>品为本次招标目录中2024、2025年国药抽检品目。</w:t>
            </w:r>
          </w:p>
        </w:tc>
        <w:tc>
          <w:tcPr>
            <w:tcW w:w="2588" w:type="dxa"/>
            <w:noWrap w:val="0"/>
            <w:vAlign w:val="center"/>
          </w:tcPr>
          <w:p w14:paraId="36ED1DE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证明材料：按照国家药品抽检的规范标准出具近一年内（</w:t>
            </w:r>
            <w:r>
              <w:rPr>
                <w:rFonts w:hint="eastAsia" w:ascii="宋体" w:hAnsi="宋体" w:cs="宋体"/>
                <w:color w:val="auto"/>
                <w:sz w:val="24"/>
                <w:highlight w:val="none"/>
                <w:lang w:val="en-US" w:eastAsia="zh-CN"/>
              </w:rPr>
              <w:t>2024年1月至投标截止时间</w:t>
            </w:r>
            <w:r>
              <w:rPr>
                <w:rFonts w:hint="eastAsia" w:ascii="宋体" w:hAnsi="宋体" w:cs="宋体"/>
                <w:color w:val="auto"/>
                <w:sz w:val="24"/>
                <w:highlight w:val="none"/>
                <w:lang w:eastAsia="zh-CN"/>
              </w:rPr>
              <w:t>）完整、清晰、有效的中药饮片第三方检测报告，同时提供检测单位资质证书证明其具有承担检测中药饮片的能力，所提供的检测单位证书应与检测报告中所列检测单位名称一致。以上内容需全部具备，否则视为未提供。</w:t>
            </w:r>
          </w:p>
        </w:tc>
      </w:tr>
      <w:tr w14:paraId="1599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14:paraId="01C9894C">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vMerge w:val="continue"/>
            <w:noWrap w:val="0"/>
            <w:vAlign w:val="center"/>
          </w:tcPr>
          <w:p w14:paraId="66F107E9">
            <w:pPr>
              <w:spacing w:line="360" w:lineRule="auto"/>
              <w:jc w:val="center"/>
              <w:rPr>
                <w:rFonts w:hint="eastAsia" w:ascii="宋体" w:hAnsi="宋体" w:cs="宋体"/>
                <w:color w:val="auto"/>
                <w:sz w:val="24"/>
                <w:highlight w:val="none"/>
                <w:lang w:val="en-US" w:eastAsia="zh-CN"/>
              </w:rPr>
            </w:pPr>
          </w:p>
        </w:tc>
        <w:tc>
          <w:tcPr>
            <w:tcW w:w="897" w:type="dxa"/>
            <w:noWrap w:val="0"/>
            <w:vAlign w:val="center"/>
          </w:tcPr>
          <w:p w14:paraId="46F07FD6">
            <w:pPr>
              <w:spacing w:line="360" w:lineRule="auto"/>
              <w:ind w:firstLine="240" w:firstLineChars="10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3分</w:t>
            </w:r>
          </w:p>
        </w:tc>
        <w:tc>
          <w:tcPr>
            <w:tcW w:w="3550" w:type="dxa"/>
            <w:noWrap w:val="0"/>
            <w:vAlign w:val="center"/>
          </w:tcPr>
          <w:p w14:paraId="30A50AF7">
            <w:pPr>
              <w:spacing w:line="360" w:lineRule="auto"/>
              <w:jc w:val="left"/>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招标品种里有野生动物的（海马、金钱白花蛇）需提供该品种的中国野生动物</w:t>
            </w:r>
            <w:r>
              <w:rPr>
                <w:rFonts w:hint="eastAsia" w:ascii="宋体" w:hAnsi="宋体" w:eastAsia="宋体" w:cs="宋体"/>
                <w:b w:val="0"/>
                <w:bCs w:val="0"/>
                <w:color w:val="auto"/>
                <w:sz w:val="24"/>
                <w:highlight w:val="none"/>
                <w:lang w:val="en-US" w:eastAsia="zh-CN"/>
              </w:rPr>
              <w:t>管理专用标识的证明材料，满足得3分。未提供或无法辨识不得分。</w:t>
            </w:r>
          </w:p>
        </w:tc>
        <w:tc>
          <w:tcPr>
            <w:tcW w:w="2588" w:type="dxa"/>
            <w:noWrap w:val="0"/>
            <w:vAlign w:val="center"/>
          </w:tcPr>
          <w:p w14:paraId="5499D9E4">
            <w:pPr>
              <w:spacing w:line="360" w:lineRule="auto"/>
              <w:jc w:val="left"/>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证明材料：完整、清晰的中国野生动物管理专用标识，否则视为未提供</w:t>
            </w:r>
          </w:p>
        </w:tc>
      </w:tr>
      <w:tr w14:paraId="039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14:paraId="0C117649">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vMerge w:val="continue"/>
            <w:noWrap w:val="0"/>
            <w:vAlign w:val="center"/>
          </w:tcPr>
          <w:p w14:paraId="2F6876A7">
            <w:pPr>
              <w:spacing w:line="360" w:lineRule="auto"/>
              <w:jc w:val="center"/>
              <w:rPr>
                <w:rFonts w:hint="eastAsia" w:ascii="宋体" w:hAnsi="宋体" w:cs="宋体"/>
                <w:color w:val="auto"/>
                <w:sz w:val="24"/>
                <w:highlight w:val="none"/>
                <w:lang w:val="en-US" w:eastAsia="zh-CN"/>
              </w:rPr>
            </w:pPr>
          </w:p>
        </w:tc>
        <w:tc>
          <w:tcPr>
            <w:tcW w:w="897" w:type="dxa"/>
            <w:noWrap w:val="0"/>
            <w:vAlign w:val="center"/>
          </w:tcPr>
          <w:p w14:paraId="10B1C884">
            <w:pPr>
              <w:spacing w:line="360" w:lineRule="auto"/>
              <w:ind w:firstLine="240" w:firstLineChars="10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3分</w:t>
            </w:r>
          </w:p>
        </w:tc>
        <w:tc>
          <w:tcPr>
            <w:tcW w:w="3550" w:type="dxa"/>
            <w:noWrap w:val="0"/>
            <w:vAlign w:val="center"/>
          </w:tcPr>
          <w:p w14:paraId="31D342FF">
            <w:pPr>
              <w:spacing w:line="360" w:lineRule="auto"/>
              <w:jc w:val="left"/>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投标产品中含甘草、麻黄的需提供生产企业《甘草、</w:t>
            </w:r>
            <w:r>
              <w:rPr>
                <w:rFonts w:hint="eastAsia" w:ascii="宋体" w:hAnsi="宋体" w:eastAsia="宋体" w:cs="宋体"/>
                <w:b w:val="0"/>
                <w:bCs w:val="0"/>
                <w:color w:val="auto"/>
                <w:sz w:val="24"/>
                <w:highlight w:val="none"/>
                <w:lang w:val="en-US" w:eastAsia="zh-CN"/>
              </w:rPr>
              <w:t>麻黄收购许可证》的证明材料。全部满足得3分。未提供或无法</w:t>
            </w:r>
            <w:r>
              <w:rPr>
                <w:rFonts w:hint="eastAsia" w:hAnsi="宋体" w:cs="宋体"/>
                <w:b w:val="0"/>
                <w:bCs w:val="0"/>
                <w:color w:val="auto"/>
                <w:sz w:val="24"/>
                <w:highlight w:val="none"/>
                <w:lang w:val="en-US" w:eastAsia="zh-CN"/>
              </w:rPr>
              <w:t>辨识不得分。</w:t>
            </w:r>
          </w:p>
        </w:tc>
        <w:tc>
          <w:tcPr>
            <w:tcW w:w="2588" w:type="dxa"/>
            <w:noWrap w:val="0"/>
            <w:vAlign w:val="center"/>
          </w:tcPr>
          <w:p w14:paraId="62331DCD">
            <w:pPr>
              <w:spacing w:line="360" w:lineRule="auto"/>
              <w:jc w:val="left"/>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证明材料：完整、清晰的《甘草、麻黄收购许可证》，否则视为未提供</w:t>
            </w:r>
          </w:p>
        </w:tc>
      </w:tr>
      <w:tr w14:paraId="441E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75" w:type="dxa"/>
            <w:vMerge w:val="continue"/>
            <w:noWrap w:val="0"/>
            <w:vAlign w:val="center"/>
          </w:tcPr>
          <w:p w14:paraId="2A92C344">
            <w:pPr>
              <w:numPr>
                <w:ilvl w:val="0"/>
                <w:numId w:val="0"/>
              </w:numPr>
              <w:spacing w:line="360" w:lineRule="auto"/>
              <w:ind w:left="210" w:leftChars="0"/>
              <w:rPr>
                <w:rFonts w:hint="eastAsia" w:ascii="宋体" w:hAnsi="宋体" w:eastAsia="宋体" w:cs="宋体"/>
                <w:color w:val="auto"/>
                <w:sz w:val="24"/>
                <w:highlight w:val="none"/>
              </w:rPr>
            </w:pPr>
          </w:p>
        </w:tc>
        <w:tc>
          <w:tcPr>
            <w:tcW w:w="1296" w:type="dxa"/>
            <w:vMerge w:val="continue"/>
            <w:noWrap w:val="0"/>
            <w:vAlign w:val="center"/>
          </w:tcPr>
          <w:p w14:paraId="1E84999F">
            <w:pPr>
              <w:spacing w:line="360" w:lineRule="auto"/>
              <w:jc w:val="center"/>
              <w:rPr>
                <w:rFonts w:hint="eastAsia" w:ascii="宋体" w:hAnsi="宋体" w:eastAsia="宋体" w:cs="宋体"/>
                <w:color w:val="auto"/>
                <w:sz w:val="24"/>
                <w:highlight w:val="none"/>
                <w:lang w:val="en-US" w:eastAsia="zh-CN"/>
              </w:rPr>
            </w:pPr>
          </w:p>
        </w:tc>
        <w:tc>
          <w:tcPr>
            <w:tcW w:w="897" w:type="dxa"/>
            <w:noWrap w:val="0"/>
            <w:vAlign w:val="center"/>
          </w:tcPr>
          <w:p w14:paraId="64F2F341">
            <w:pPr>
              <w:spacing w:line="360" w:lineRule="auto"/>
              <w:ind w:firstLine="240" w:firstLineChars="10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550" w:type="dxa"/>
            <w:noWrap w:val="0"/>
            <w:vAlign w:val="center"/>
          </w:tcPr>
          <w:p w14:paraId="345CC5E0">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企业应按照《中国药典》四部检验通则要求保证产品的质量,进行的相关项目的检测应有符合要求的报告，根据所投产品提供相应的出厂检测报告或第三方检测报告，完整提供得5分，每缺少一个产品的检测报告扣0.5分，扣完为止。（检验报告里应该有品名、规格、批号、报告日期、报告书编号、检验依据、检验项目、标准规定、检验结果、结论、签名等。未提供或不符合要求不计分）</w:t>
            </w:r>
          </w:p>
        </w:tc>
        <w:tc>
          <w:tcPr>
            <w:tcW w:w="2588" w:type="dxa"/>
            <w:noWrap w:val="0"/>
            <w:vAlign w:val="center"/>
          </w:tcPr>
          <w:p w14:paraId="50EBC3DD">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rPr>
              <w:t>证明材料：</w:t>
            </w:r>
            <w:r>
              <w:rPr>
                <w:rFonts w:hint="eastAsia" w:ascii="宋体" w:hAnsi="宋体" w:eastAsia="宋体" w:cs="宋体"/>
                <w:color w:val="auto"/>
                <w:sz w:val="24"/>
                <w:highlight w:val="none"/>
                <w:lang w:eastAsia="zh-CN"/>
              </w:rPr>
              <w:t>所投产品提供相应的出厂检测报告或第三方检测报告</w:t>
            </w:r>
          </w:p>
        </w:tc>
      </w:tr>
      <w:tr w14:paraId="0894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5" w:type="dxa"/>
            <w:vMerge w:val="continue"/>
            <w:noWrap w:val="0"/>
            <w:vAlign w:val="center"/>
          </w:tcPr>
          <w:p w14:paraId="5DB3F607">
            <w:pPr>
              <w:numPr>
                <w:ilvl w:val="0"/>
                <w:numId w:val="0"/>
              </w:numPr>
              <w:spacing w:line="360" w:lineRule="auto"/>
              <w:ind w:left="210" w:leftChars="0"/>
              <w:rPr>
                <w:rFonts w:hint="eastAsia" w:ascii="宋体" w:hAnsi="宋体" w:eastAsia="宋体" w:cs="宋体"/>
                <w:color w:val="auto"/>
                <w:sz w:val="24"/>
                <w:highlight w:val="none"/>
              </w:rPr>
            </w:pPr>
          </w:p>
        </w:tc>
        <w:tc>
          <w:tcPr>
            <w:tcW w:w="1296" w:type="dxa"/>
            <w:vMerge w:val="continue"/>
            <w:noWrap w:val="0"/>
            <w:vAlign w:val="center"/>
          </w:tcPr>
          <w:p w14:paraId="5F8DED15">
            <w:pPr>
              <w:spacing w:line="360" w:lineRule="auto"/>
              <w:jc w:val="center"/>
              <w:rPr>
                <w:rFonts w:hint="eastAsia" w:ascii="宋体" w:hAnsi="宋体" w:eastAsia="宋体" w:cs="宋体"/>
                <w:color w:val="auto"/>
                <w:sz w:val="24"/>
                <w:highlight w:val="none"/>
                <w:lang w:val="en-US" w:eastAsia="zh-CN"/>
              </w:rPr>
            </w:pPr>
          </w:p>
        </w:tc>
        <w:tc>
          <w:tcPr>
            <w:tcW w:w="897" w:type="dxa"/>
            <w:noWrap w:val="0"/>
            <w:vAlign w:val="center"/>
          </w:tcPr>
          <w:p w14:paraId="1923E8F5">
            <w:pPr>
              <w:spacing w:line="360" w:lineRule="auto"/>
              <w:jc w:val="center"/>
              <w:rPr>
                <w:rFonts w:hint="eastAsia" w:ascii="宋体" w:hAnsi="宋体" w:cs="宋体"/>
                <w:color w:val="auto"/>
                <w:sz w:val="24"/>
                <w:highlight w:val="none"/>
                <w:lang w:val="en-US" w:eastAsia="zh-CN"/>
              </w:rPr>
            </w:pPr>
          </w:p>
          <w:p w14:paraId="349B356D">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20分</w:t>
            </w:r>
          </w:p>
        </w:tc>
        <w:tc>
          <w:tcPr>
            <w:tcW w:w="3550" w:type="dxa"/>
            <w:noWrap w:val="0"/>
            <w:vAlign w:val="center"/>
          </w:tcPr>
          <w:p w14:paraId="00284799">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样品数量80种，</w:t>
            </w:r>
            <w:r>
              <w:rPr>
                <w:rFonts w:hint="eastAsia" w:ascii="宋体" w:hAnsi="宋体" w:cs="宋体"/>
                <w:color w:val="auto"/>
                <w:sz w:val="24"/>
                <w:highlight w:val="none"/>
                <w:lang w:eastAsia="zh-CN"/>
              </w:rPr>
              <w:t>每种样品得分</w:t>
            </w:r>
            <w:r>
              <w:rPr>
                <w:rFonts w:hint="eastAsia" w:ascii="宋体" w:hAnsi="宋体" w:cs="宋体"/>
                <w:color w:val="auto"/>
                <w:sz w:val="24"/>
                <w:highlight w:val="none"/>
                <w:lang w:val="en-US" w:eastAsia="zh-CN"/>
              </w:rPr>
              <w:t>0.25分。（样品目录详见第五章采购需求）</w:t>
            </w:r>
          </w:p>
          <w:p w14:paraId="78657ABE">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专家依据传统经验鉴别方式（看、摸、闻、尝等）对每种样品的外观、气味、触觉、味觉、颜色、纹理、药材的轻重质感、断面的光滑与粗糙程度等进行评审：</w:t>
            </w:r>
          </w:p>
          <w:p w14:paraId="449DE31F">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1、看：样品片形规整均一，大小、长短、薄厚适宜，色泽自然，表面及切面纹理及质感清晰自然。2、摸：轻重质感，有无明显杂质。3、闻：色泽自然，气味醇正，特有芳香气息浓烈。</w:t>
            </w:r>
          </w:p>
          <w:p w14:paraId="52AFC34E">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4、尝：无异味，无腐败变质等异味。</w:t>
            </w:r>
          </w:p>
          <w:p w14:paraId="673F48D8">
            <w:pPr>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优得</w:t>
            </w:r>
            <w:r>
              <w:rPr>
                <w:rFonts w:hint="eastAsia" w:ascii="宋体" w:hAnsi="宋体" w:cs="宋体"/>
                <w:color w:val="auto"/>
                <w:sz w:val="24"/>
                <w:highlight w:val="none"/>
                <w:lang w:val="en-US" w:eastAsia="zh-CN"/>
              </w:rPr>
              <w:t>0.25</w:t>
            </w:r>
            <w:r>
              <w:rPr>
                <w:rFonts w:hint="eastAsia" w:ascii="宋体" w:hAnsi="宋体" w:eastAsia="宋体" w:cs="宋体"/>
                <w:color w:val="auto"/>
                <w:sz w:val="24"/>
                <w:highlight w:val="none"/>
                <w:lang w:eastAsia="zh-CN"/>
              </w:rPr>
              <w:t>分，良得</w:t>
            </w:r>
            <w:r>
              <w:rPr>
                <w:rFonts w:hint="eastAsia" w:ascii="宋体" w:hAnsi="宋体" w:cs="宋体"/>
                <w:color w:val="auto"/>
                <w:sz w:val="24"/>
                <w:highlight w:val="none"/>
                <w:lang w:val="en-US" w:eastAsia="zh-CN"/>
              </w:rPr>
              <w:t>0.15</w:t>
            </w:r>
            <w:r>
              <w:rPr>
                <w:rFonts w:hint="eastAsia" w:ascii="宋体" w:hAnsi="宋体" w:eastAsia="宋体" w:cs="宋体"/>
                <w:color w:val="auto"/>
                <w:sz w:val="24"/>
                <w:highlight w:val="none"/>
                <w:lang w:eastAsia="zh-CN"/>
              </w:rPr>
              <w:t>分，中等得</w:t>
            </w:r>
            <w:r>
              <w:rPr>
                <w:rFonts w:hint="eastAsia" w:ascii="宋体" w:hAnsi="宋体" w:cs="宋体"/>
                <w:color w:val="auto"/>
                <w:sz w:val="24"/>
                <w:highlight w:val="none"/>
                <w:lang w:val="en-US" w:eastAsia="zh-CN"/>
              </w:rPr>
              <w:t>0.025</w:t>
            </w:r>
            <w:r>
              <w:rPr>
                <w:rFonts w:hint="eastAsia" w:ascii="宋体" w:hAnsi="宋体" w:eastAsia="宋体" w:cs="宋体"/>
                <w:color w:val="auto"/>
                <w:sz w:val="24"/>
                <w:highlight w:val="none"/>
                <w:lang w:eastAsia="zh-CN"/>
              </w:rPr>
              <w:t>分，较差得</w:t>
            </w:r>
            <w:r>
              <w:rPr>
                <w:rFonts w:hint="eastAsia" w:ascii="宋体" w:hAnsi="宋体" w:cs="宋体"/>
                <w:color w:val="auto"/>
                <w:sz w:val="24"/>
                <w:highlight w:val="none"/>
                <w:lang w:val="en-US" w:eastAsia="zh-CN"/>
              </w:rPr>
              <w:t>0.01</w:t>
            </w:r>
            <w:r>
              <w:rPr>
                <w:rFonts w:hint="eastAsia" w:ascii="宋体" w:hAnsi="宋体" w:eastAsia="宋体" w:cs="宋体"/>
                <w:color w:val="auto"/>
                <w:sz w:val="24"/>
                <w:highlight w:val="none"/>
                <w:lang w:eastAsia="zh-CN"/>
              </w:rPr>
              <w:t>分；</w:t>
            </w:r>
            <w:r>
              <w:rPr>
                <w:rFonts w:hint="eastAsia" w:ascii="宋体" w:hAnsi="宋体" w:cs="宋体"/>
                <w:color w:val="auto"/>
                <w:sz w:val="24"/>
                <w:highlight w:val="none"/>
                <w:lang w:eastAsia="zh-CN"/>
              </w:rPr>
              <w:t>满分</w:t>
            </w:r>
            <w:r>
              <w:rPr>
                <w:rFonts w:hint="eastAsia" w:ascii="宋体" w:hAnsi="宋体" w:cs="宋体"/>
                <w:color w:val="auto"/>
                <w:sz w:val="24"/>
                <w:highlight w:val="none"/>
                <w:lang w:val="en-US" w:eastAsia="zh-CN"/>
              </w:rPr>
              <w:t>20分。</w:t>
            </w:r>
          </w:p>
          <w:p w14:paraId="1F4F8C4A">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未完整提供所有样品或未按要求提供外包装及内部标书的，该项不计分；出现1种以上假劣药品样品，该项不计分）</w:t>
            </w:r>
          </w:p>
        </w:tc>
        <w:tc>
          <w:tcPr>
            <w:tcW w:w="2588" w:type="dxa"/>
            <w:noWrap w:val="0"/>
            <w:vAlign w:val="center"/>
          </w:tcPr>
          <w:p w14:paraId="5562D340">
            <w:pPr>
              <w:spacing w:line="360" w:lineRule="auto"/>
              <w:ind w:firstLine="240" w:firstLineChars="100"/>
              <w:rPr>
                <w:rFonts w:hint="eastAsia" w:ascii="宋体" w:hAnsi="宋体" w:cs="宋体"/>
                <w:color w:val="auto"/>
                <w:sz w:val="24"/>
                <w:highlight w:val="none"/>
              </w:rPr>
            </w:pPr>
          </w:p>
        </w:tc>
      </w:tr>
      <w:tr w14:paraId="69E3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75" w:type="dxa"/>
            <w:noWrap w:val="0"/>
            <w:vAlign w:val="center"/>
          </w:tcPr>
          <w:p w14:paraId="3129D0B7">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noWrap w:val="0"/>
            <w:vAlign w:val="center"/>
          </w:tcPr>
          <w:p w14:paraId="6359C0D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中药饮片追溯</w:t>
            </w:r>
            <w:r>
              <w:rPr>
                <w:rFonts w:hint="eastAsia" w:ascii="宋体" w:hAnsi="宋体" w:cs="宋体"/>
                <w:color w:val="auto"/>
                <w:sz w:val="24"/>
                <w:highlight w:val="none"/>
                <w:lang w:eastAsia="zh-CN"/>
              </w:rPr>
              <w:t>档案</w:t>
            </w:r>
            <w:r>
              <w:rPr>
                <w:rFonts w:hint="eastAsia" w:ascii="宋体" w:hAnsi="宋体" w:cs="宋体"/>
                <w:color w:val="auto"/>
                <w:sz w:val="24"/>
                <w:highlight w:val="none"/>
              </w:rPr>
              <w:t xml:space="preserve"> </w:t>
            </w:r>
          </w:p>
        </w:tc>
        <w:tc>
          <w:tcPr>
            <w:tcW w:w="897" w:type="dxa"/>
            <w:noWrap w:val="0"/>
            <w:vAlign w:val="center"/>
          </w:tcPr>
          <w:p w14:paraId="7627AA3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6分</w:t>
            </w:r>
          </w:p>
        </w:tc>
        <w:tc>
          <w:tcPr>
            <w:tcW w:w="3550" w:type="dxa"/>
            <w:noWrap w:val="0"/>
            <w:vAlign w:val="center"/>
          </w:tcPr>
          <w:p w14:paraId="70C3B4A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投标人或投标人所投产品的生产企业具备中药饮片</w:t>
            </w:r>
            <w:r>
              <w:rPr>
                <w:rFonts w:hint="eastAsia" w:ascii="宋体" w:hAnsi="宋体" w:cs="宋体"/>
                <w:color w:val="auto"/>
                <w:sz w:val="24"/>
                <w:highlight w:val="none"/>
                <w:lang w:eastAsia="zh-CN"/>
              </w:rPr>
              <w:t>二维码</w:t>
            </w:r>
            <w:r>
              <w:rPr>
                <w:rFonts w:hint="eastAsia" w:ascii="宋体" w:hAnsi="宋体" w:cs="宋体"/>
                <w:color w:val="auto"/>
                <w:sz w:val="24"/>
                <w:highlight w:val="none"/>
              </w:rPr>
              <w:t>溯源</w:t>
            </w:r>
            <w:r>
              <w:rPr>
                <w:rFonts w:hint="eastAsia" w:ascii="宋体" w:hAnsi="宋体" w:cs="宋体"/>
                <w:color w:val="auto"/>
                <w:sz w:val="24"/>
                <w:highlight w:val="none"/>
                <w:lang w:eastAsia="zh-CN"/>
              </w:rPr>
              <w:t>档案</w:t>
            </w:r>
            <w:r>
              <w:rPr>
                <w:rFonts w:hint="eastAsia" w:ascii="宋体" w:hAnsi="宋体" w:cs="宋体"/>
                <w:color w:val="auto"/>
                <w:sz w:val="24"/>
                <w:highlight w:val="none"/>
              </w:rPr>
              <w:t>的。</w:t>
            </w:r>
            <w:r>
              <w:rPr>
                <w:rFonts w:hint="eastAsia" w:ascii="宋体" w:hAnsi="宋体" w:cs="宋体"/>
                <w:color w:val="auto"/>
                <w:sz w:val="24"/>
                <w:highlight w:val="none"/>
                <w:lang w:eastAsia="zh-CN"/>
              </w:rPr>
              <w:t>并</w:t>
            </w:r>
            <w:r>
              <w:rPr>
                <w:rFonts w:hint="eastAsia" w:ascii="宋体" w:hAnsi="宋体" w:cs="宋体"/>
                <w:color w:val="auto"/>
                <w:sz w:val="24"/>
                <w:highlight w:val="none"/>
              </w:rPr>
              <w:t>提供：扫描二维码查询中药饮片溯源档案，溯源档案能体现中药饮片名称、产地、生产批号、生产日期、质检报告、生产厂家相关图片信息的</w:t>
            </w:r>
            <w:r>
              <w:rPr>
                <w:rFonts w:hint="eastAsia" w:ascii="宋体" w:hAnsi="宋体" w:cs="宋体"/>
                <w:color w:val="auto"/>
                <w:sz w:val="24"/>
                <w:highlight w:val="none"/>
                <w:lang w:eastAsia="zh-CN"/>
              </w:rPr>
              <w:t>，需提供证明材料。</w:t>
            </w:r>
            <w:r>
              <w:rPr>
                <w:rFonts w:hint="eastAsia" w:ascii="宋体" w:hAnsi="宋体" w:cs="宋体"/>
                <w:color w:val="auto"/>
                <w:sz w:val="24"/>
                <w:highlight w:val="none"/>
              </w:rPr>
              <w:t>（提供50种以上（不含本数）得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分，提供100种以上（不含本数）得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，提供1</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eastAsia="zh-CN"/>
              </w:rPr>
              <w:t>种以上（不含本数）得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分，提供</w:t>
            </w:r>
            <w:r>
              <w:rPr>
                <w:rFonts w:hint="eastAsia" w:ascii="宋体" w:hAnsi="宋体" w:cs="宋体"/>
                <w:color w:val="auto"/>
                <w:sz w:val="24"/>
                <w:highlight w:val="none"/>
                <w:lang w:val="en-US" w:eastAsia="zh-CN"/>
              </w:rPr>
              <w:t>200</w:t>
            </w:r>
            <w:r>
              <w:rPr>
                <w:rFonts w:hint="eastAsia" w:ascii="宋体" w:hAnsi="宋体" w:cs="宋体"/>
                <w:color w:val="auto"/>
                <w:sz w:val="24"/>
                <w:highlight w:val="none"/>
                <w:lang w:eastAsia="zh-CN"/>
              </w:rPr>
              <w:t>种以上（不含本数）得</w:t>
            </w:r>
            <w:r>
              <w:rPr>
                <w:rFonts w:hint="eastAsia" w:ascii="宋体" w:hAnsi="宋体" w:cs="宋体"/>
                <w:color w:val="auto"/>
                <w:sz w:val="24"/>
                <w:highlight w:val="none"/>
                <w:lang w:val="en-US" w:eastAsia="zh-CN"/>
              </w:rPr>
              <w:t>5分，</w:t>
            </w:r>
            <w:r>
              <w:rPr>
                <w:rFonts w:hint="eastAsia" w:ascii="宋体" w:hAnsi="宋体" w:cs="宋体"/>
                <w:color w:val="auto"/>
                <w:sz w:val="24"/>
                <w:highlight w:val="none"/>
                <w:lang w:eastAsia="zh-CN"/>
              </w:rPr>
              <w:t>提供</w:t>
            </w:r>
            <w:r>
              <w:rPr>
                <w:rFonts w:hint="eastAsia" w:ascii="宋体" w:hAnsi="宋体" w:cs="宋体"/>
                <w:color w:val="auto"/>
                <w:sz w:val="24"/>
                <w:highlight w:val="none"/>
                <w:lang w:val="en-US" w:eastAsia="zh-CN"/>
              </w:rPr>
              <w:t>250</w:t>
            </w:r>
            <w:r>
              <w:rPr>
                <w:rFonts w:hint="eastAsia" w:ascii="宋体" w:hAnsi="宋体" w:cs="宋体"/>
                <w:color w:val="auto"/>
                <w:sz w:val="24"/>
                <w:highlight w:val="none"/>
                <w:lang w:eastAsia="zh-CN"/>
              </w:rPr>
              <w:t>种以上（不含本数）得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分，</w:t>
            </w:r>
            <w:r>
              <w:rPr>
                <w:rFonts w:hint="eastAsia" w:ascii="宋体" w:hAnsi="宋体" w:cs="宋体"/>
                <w:color w:val="auto"/>
                <w:sz w:val="24"/>
                <w:highlight w:val="none"/>
              </w:rPr>
              <w:t>如无证明材料则不得分，最高得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2588" w:type="dxa"/>
            <w:noWrap w:val="0"/>
            <w:vAlign w:val="center"/>
          </w:tcPr>
          <w:p w14:paraId="620DAB91">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证明材料：有效的二维码图片；经二维码扫描后呈现的相关数据包括：中药饮片名称、产地、生产批号、生产日期、质检报告、生产厂家。</w:t>
            </w:r>
          </w:p>
        </w:tc>
      </w:tr>
      <w:tr w14:paraId="0BE7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75" w:type="dxa"/>
            <w:vMerge w:val="restart"/>
            <w:noWrap w:val="0"/>
            <w:vAlign w:val="center"/>
          </w:tcPr>
          <w:p w14:paraId="4CA3DBEE">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vMerge w:val="restart"/>
            <w:noWrap w:val="0"/>
            <w:vAlign w:val="center"/>
          </w:tcPr>
          <w:p w14:paraId="12ED1DF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人员要求</w:t>
            </w:r>
          </w:p>
        </w:tc>
        <w:tc>
          <w:tcPr>
            <w:tcW w:w="897" w:type="dxa"/>
            <w:noWrap w:val="0"/>
            <w:vAlign w:val="center"/>
          </w:tcPr>
          <w:p w14:paraId="1DF1A4E3">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1分</w:t>
            </w:r>
          </w:p>
        </w:tc>
        <w:tc>
          <w:tcPr>
            <w:tcW w:w="3550" w:type="dxa"/>
            <w:noWrap w:val="0"/>
            <w:vAlign w:val="center"/>
          </w:tcPr>
          <w:p w14:paraId="03799ED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拟投入本项目服务团队人员：</w:t>
            </w:r>
            <w:r>
              <w:rPr>
                <w:rFonts w:hint="eastAsia" w:ascii="宋体" w:hAnsi="宋体" w:cs="宋体"/>
                <w:color w:val="auto"/>
                <w:sz w:val="24"/>
                <w:highlight w:val="none"/>
                <w:lang w:val="en-US" w:eastAsia="zh-CN"/>
              </w:rPr>
              <w:t>包括但不限于项目负责人、质量管控人员（需具有执业中药师资格证）、调度人员、配送人员、售后服务人员等5</w:t>
            </w:r>
            <w:r>
              <w:rPr>
                <w:rFonts w:hint="eastAsia" w:ascii="宋体" w:hAnsi="宋体" w:cs="宋体"/>
                <w:color w:val="auto"/>
                <w:sz w:val="24"/>
                <w:highlight w:val="none"/>
              </w:rPr>
              <w:t>人或以上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满足</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每缺少一人扣0.2分。</w:t>
            </w:r>
          </w:p>
          <w:p w14:paraId="48C9BF26">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需</w:t>
            </w:r>
            <w:r>
              <w:rPr>
                <w:rFonts w:hint="eastAsia" w:ascii="宋体" w:hAnsi="宋体" w:cs="宋体"/>
                <w:color w:val="auto"/>
                <w:sz w:val="24"/>
                <w:highlight w:val="none"/>
              </w:rPr>
              <w:t>提供</w:t>
            </w:r>
            <w:r>
              <w:rPr>
                <w:rFonts w:hint="eastAsia" w:ascii="宋体" w:hAnsi="宋体" w:cs="宋体"/>
                <w:color w:val="auto"/>
                <w:sz w:val="24"/>
                <w:highlight w:val="none"/>
                <w:lang w:eastAsia="zh-CN"/>
              </w:rPr>
              <w:t>证明材料，未提供不得分。</w:t>
            </w:r>
          </w:p>
        </w:tc>
        <w:tc>
          <w:tcPr>
            <w:tcW w:w="2588" w:type="dxa"/>
            <w:noWrap w:val="0"/>
            <w:vAlign w:val="center"/>
          </w:tcPr>
          <w:p w14:paraId="6B9F32D9">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证明材料：提供</w:t>
            </w:r>
            <w:r>
              <w:rPr>
                <w:rFonts w:hint="eastAsia" w:ascii="宋体" w:hAnsi="宋体" w:cs="宋体"/>
                <w:color w:val="auto"/>
                <w:sz w:val="24"/>
                <w:highlight w:val="none"/>
              </w:rPr>
              <w:t>专业人员资格证明扫描件</w:t>
            </w:r>
            <w:r>
              <w:rPr>
                <w:rFonts w:hint="eastAsia" w:ascii="宋体" w:hAnsi="宋体" w:cs="宋体"/>
                <w:color w:val="auto"/>
                <w:sz w:val="24"/>
                <w:highlight w:val="none"/>
                <w:lang w:eastAsia="zh-CN"/>
              </w:rPr>
              <w:t>、</w:t>
            </w:r>
            <w:r>
              <w:rPr>
                <w:rFonts w:hint="eastAsia" w:ascii="宋体" w:hAnsi="宋体" w:cs="宋体"/>
                <w:color w:val="auto"/>
                <w:sz w:val="24"/>
                <w:highlight w:val="none"/>
              </w:rPr>
              <w:t>提供拟派</w:t>
            </w:r>
            <w:r>
              <w:rPr>
                <w:rFonts w:hint="eastAsia" w:ascii="宋体" w:hAnsi="宋体" w:cs="宋体"/>
                <w:color w:val="auto"/>
                <w:sz w:val="24"/>
                <w:highlight w:val="none"/>
                <w:lang w:eastAsia="zh-CN"/>
              </w:rPr>
              <w:t>专职</w:t>
            </w:r>
            <w:r>
              <w:rPr>
                <w:rFonts w:hint="eastAsia" w:ascii="宋体" w:hAnsi="宋体" w:cs="宋体"/>
                <w:color w:val="auto"/>
                <w:sz w:val="24"/>
                <w:highlight w:val="none"/>
              </w:rPr>
              <w:t>人员</w:t>
            </w:r>
            <w:r>
              <w:rPr>
                <w:rFonts w:hint="eastAsia" w:ascii="宋体" w:hAnsi="宋体" w:cs="宋体"/>
                <w:color w:val="auto"/>
                <w:sz w:val="24"/>
                <w:highlight w:val="none"/>
                <w:lang w:val="en-US" w:eastAsia="zh-CN"/>
              </w:rPr>
              <w:t>本单位</w:t>
            </w:r>
            <w:r>
              <w:rPr>
                <w:rFonts w:hint="eastAsia" w:ascii="宋体" w:hAnsi="宋体" w:cs="宋体"/>
                <w:color w:val="auto"/>
                <w:sz w:val="24"/>
                <w:highlight w:val="none"/>
              </w:rPr>
              <w:t>缴纳社保证明，未提供不得分。</w:t>
            </w:r>
          </w:p>
        </w:tc>
      </w:tr>
      <w:tr w14:paraId="179C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noWrap w:val="0"/>
            <w:vAlign w:val="center"/>
          </w:tcPr>
          <w:p w14:paraId="19A8BBF8">
            <w:pPr>
              <w:numPr>
                <w:ilvl w:val="0"/>
                <w:numId w:val="0"/>
              </w:numPr>
              <w:spacing w:line="360" w:lineRule="auto"/>
              <w:ind w:left="210" w:leftChars="0"/>
              <w:rPr>
                <w:rFonts w:hint="eastAsia" w:ascii="宋体" w:hAnsi="宋体" w:eastAsia="宋体" w:cs="宋体"/>
                <w:color w:val="auto"/>
                <w:sz w:val="24"/>
                <w:highlight w:val="none"/>
                <w:lang w:eastAsia="zh-CN"/>
              </w:rPr>
            </w:pPr>
          </w:p>
        </w:tc>
        <w:tc>
          <w:tcPr>
            <w:tcW w:w="1296" w:type="dxa"/>
            <w:vMerge w:val="continue"/>
            <w:noWrap w:val="0"/>
            <w:vAlign w:val="center"/>
          </w:tcPr>
          <w:p w14:paraId="5E6DB077">
            <w:pPr>
              <w:spacing w:line="360" w:lineRule="auto"/>
              <w:jc w:val="center"/>
              <w:rPr>
                <w:rFonts w:hint="eastAsia" w:ascii="宋体" w:hAnsi="宋体" w:cs="宋体"/>
                <w:color w:val="auto"/>
                <w:sz w:val="24"/>
                <w:highlight w:val="none"/>
              </w:rPr>
            </w:pPr>
          </w:p>
        </w:tc>
        <w:tc>
          <w:tcPr>
            <w:tcW w:w="897" w:type="dxa"/>
            <w:noWrap w:val="0"/>
            <w:vAlign w:val="center"/>
          </w:tcPr>
          <w:p w14:paraId="247211C4">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2分</w:t>
            </w:r>
          </w:p>
        </w:tc>
        <w:tc>
          <w:tcPr>
            <w:tcW w:w="3550" w:type="dxa"/>
            <w:noWrap w:val="0"/>
            <w:vAlign w:val="center"/>
          </w:tcPr>
          <w:p w14:paraId="4ECD444D">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需提供至少2名常驻专职人员，配合采购人完成</w:t>
            </w:r>
            <w:r>
              <w:rPr>
                <w:rFonts w:hint="eastAsia" w:ascii="宋体" w:hAnsi="宋体" w:cs="宋体"/>
                <w:color w:val="auto"/>
                <w:sz w:val="24"/>
                <w:highlight w:val="none"/>
                <w:lang w:eastAsia="zh-CN"/>
              </w:rPr>
              <w:t>草药房工作需求</w:t>
            </w:r>
            <w:r>
              <w:rPr>
                <w:rFonts w:hint="eastAsia" w:ascii="宋体" w:hAnsi="宋体" w:cs="宋体"/>
                <w:color w:val="auto"/>
                <w:sz w:val="24"/>
                <w:highlight w:val="none"/>
                <w:lang w:val="en-US" w:eastAsia="zh-CN"/>
              </w:rPr>
              <w:t>，满足得0.5分。再此基础上每增加1名加0.5分，本项最高得2分。</w:t>
            </w:r>
          </w:p>
          <w:p w14:paraId="42B3718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需</w:t>
            </w:r>
            <w:r>
              <w:rPr>
                <w:rFonts w:hint="eastAsia" w:ascii="宋体" w:hAnsi="宋体" w:cs="宋体"/>
                <w:color w:val="auto"/>
                <w:sz w:val="24"/>
                <w:highlight w:val="none"/>
              </w:rPr>
              <w:t>提供</w:t>
            </w:r>
            <w:r>
              <w:rPr>
                <w:rFonts w:hint="eastAsia" w:ascii="宋体" w:hAnsi="宋体" w:cs="宋体"/>
                <w:color w:val="auto"/>
                <w:sz w:val="24"/>
                <w:highlight w:val="none"/>
                <w:lang w:eastAsia="zh-CN"/>
              </w:rPr>
              <w:t>证明材料，未提供不得分。</w:t>
            </w:r>
          </w:p>
        </w:tc>
        <w:tc>
          <w:tcPr>
            <w:tcW w:w="2588" w:type="dxa"/>
            <w:noWrap w:val="0"/>
            <w:vAlign w:val="center"/>
          </w:tcPr>
          <w:p w14:paraId="205D9B93">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证明材料：</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常驻</w:t>
            </w:r>
            <w:r>
              <w:rPr>
                <w:rFonts w:hint="eastAsia" w:ascii="宋体" w:hAnsi="宋体" w:cs="宋体"/>
                <w:color w:val="auto"/>
                <w:sz w:val="24"/>
                <w:highlight w:val="none"/>
                <w:lang w:eastAsia="zh-CN"/>
              </w:rPr>
              <w:t>专职</w:t>
            </w:r>
            <w:r>
              <w:rPr>
                <w:rFonts w:hint="eastAsia" w:ascii="宋体" w:hAnsi="宋体" w:cs="宋体"/>
                <w:color w:val="auto"/>
                <w:sz w:val="24"/>
                <w:highlight w:val="none"/>
              </w:rPr>
              <w:t>人员</w:t>
            </w:r>
            <w:r>
              <w:rPr>
                <w:rFonts w:hint="eastAsia" w:ascii="宋体" w:hAnsi="宋体" w:cs="宋体"/>
                <w:color w:val="auto"/>
                <w:sz w:val="24"/>
                <w:highlight w:val="none"/>
                <w:lang w:eastAsia="zh-CN"/>
              </w:rPr>
              <w:t>身份证扫描件、</w:t>
            </w:r>
            <w:r>
              <w:rPr>
                <w:rFonts w:hint="eastAsia" w:ascii="宋体" w:hAnsi="宋体" w:cs="宋体"/>
                <w:color w:val="auto"/>
                <w:sz w:val="24"/>
                <w:highlight w:val="none"/>
                <w:lang w:val="en-US" w:eastAsia="zh-CN"/>
              </w:rPr>
              <w:t>本单位</w:t>
            </w:r>
            <w:r>
              <w:rPr>
                <w:rFonts w:hint="eastAsia" w:ascii="宋体" w:hAnsi="宋体" w:cs="宋体"/>
                <w:color w:val="auto"/>
                <w:sz w:val="24"/>
                <w:highlight w:val="none"/>
              </w:rPr>
              <w:t>缴纳社保证明，未提供不得分。</w:t>
            </w:r>
          </w:p>
        </w:tc>
      </w:tr>
      <w:tr w14:paraId="3AA7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14:paraId="51A8F74D">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vMerge w:val="restart"/>
            <w:noWrap w:val="0"/>
            <w:vAlign w:val="center"/>
          </w:tcPr>
          <w:p w14:paraId="52224AB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仓储和现</w:t>
            </w:r>
          </w:p>
          <w:p w14:paraId="0DFF268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代化物流及运行设备</w:t>
            </w:r>
          </w:p>
        </w:tc>
        <w:tc>
          <w:tcPr>
            <w:tcW w:w="897" w:type="dxa"/>
            <w:noWrap w:val="0"/>
            <w:vAlign w:val="center"/>
          </w:tcPr>
          <w:p w14:paraId="166E8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tc>
        <w:tc>
          <w:tcPr>
            <w:tcW w:w="3550" w:type="dxa"/>
            <w:noWrap w:val="0"/>
            <w:vAlign w:val="center"/>
          </w:tcPr>
          <w:p w14:paraId="1703DD1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中药饮片库</w:t>
            </w:r>
            <w:r>
              <w:rPr>
                <w:rFonts w:hint="eastAsia" w:ascii="宋体" w:hAnsi="宋体" w:cs="宋体"/>
                <w:color w:val="auto"/>
                <w:sz w:val="24"/>
                <w:highlight w:val="none"/>
              </w:rPr>
              <w:t>仓储面积能够保证医院药材供应，仓储和现代化物流程度优良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供应商仓储面积进行相应评审：</w:t>
            </w:r>
          </w:p>
          <w:p w14:paraId="6F51508D">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中药饮片库仓储面积在1000㎡及以下的，得0.5分；</w:t>
            </w:r>
          </w:p>
          <w:p w14:paraId="4865DEA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中药饮片库仓储面积在1000㎡至2000（含）㎡的，得1分；</w:t>
            </w:r>
          </w:p>
          <w:p w14:paraId="0A88A257">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中药饮片库仓储面积在2000㎡及以上的，得1.5分。</w:t>
            </w:r>
          </w:p>
          <w:p w14:paraId="7482CF38">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需提供证明材料，未提供证明材料、无法辨识证明材料内容或证明材料信息不一致的不得分）注：只包含中药饮片库，不包含西药库。</w:t>
            </w:r>
          </w:p>
        </w:tc>
        <w:tc>
          <w:tcPr>
            <w:tcW w:w="2588" w:type="dxa"/>
            <w:noWrap w:val="0"/>
            <w:vAlign w:val="center"/>
          </w:tcPr>
          <w:p w14:paraId="36F79937">
            <w:pPr>
              <w:spacing w:line="360" w:lineRule="auto"/>
              <w:jc w:val="center"/>
              <w:rPr>
                <w:rFonts w:hint="eastAsia"/>
                <w:color w:val="auto"/>
                <w:highlight w:val="none"/>
                <w:lang w:val="en-US" w:eastAsia="zh-CN"/>
              </w:rPr>
            </w:pPr>
            <w:r>
              <w:rPr>
                <w:rFonts w:hint="eastAsia" w:ascii="宋体" w:hAnsi="宋体" w:cs="宋体"/>
                <w:color w:val="auto"/>
                <w:sz w:val="24"/>
                <w:highlight w:val="none"/>
                <w:lang w:val="en-US" w:eastAsia="zh-CN"/>
              </w:rPr>
              <w:t>证明材料：提供库房平面图（明确体现中药饮片库）、库房照片、库房租赁合同或产权证明等证明材料（库房租赁合同或产权证明上相应信息需与</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供应商药品经营许可证上单位名称、库房地址、库房面积一致，未提供证明材料、无法辨识证明材料内容或证明材料信息不一致的不得分）</w:t>
            </w:r>
          </w:p>
        </w:tc>
      </w:tr>
      <w:tr w14:paraId="1D83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14:paraId="72C13DA4">
            <w:pPr>
              <w:numPr>
                <w:ilvl w:val="0"/>
                <w:numId w:val="0"/>
              </w:numPr>
              <w:spacing w:line="360" w:lineRule="auto"/>
              <w:ind w:left="210" w:leftChars="0"/>
              <w:rPr>
                <w:rFonts w:hint="eastAsia" w:ascii="宋体" w:hAnsi="宋体" w:eastAsia="宋体" w:cs="宋体"/>
                <w:color w:val="auto"/>
                <w:sz w:val="24"/>
                <w:highlight w:val="none"/>
              </w:rPr>
            </w:pPr>
          </w:p>
        </w:tc>
        <w:tc>
          <w:tcPr>
            <w:tcW w:w="1296" w:type="dxa"/>
            <w:vMerge w:val="continue"/>
            <w:noWrap w:val="0"/>
            <w:vAlign w:val="center"/>
          </w:tcPr>
          <w:p w14:paraId="3F9DA8E2">
            <w:pPr>
              <w:spacing w:line="360" w:lineRule="auto"/>
              <w:jc w:val="center"/>
              <w:rPr>
                <w:rFonts w:hint="eastAsia" w:ascii="宋体" w:hAnsi="宋体" w:eastAsia="宋体" w:cs="宋体"/>
                <w:color w:val="auto"/>
                <w:sz w:val="24"/>
                <w:highlight w:val="none"/>
                <w:lang w:val="en-US" w:eastAsia="zh-CN"/>
              </w:rPr>
            </w:pPr>
          </w:p>
        </w:tc>
        <w:tc>
          <w:tcPr>
            <w:tcW w:w="897" w:type="dxa"/>
            <w:noWrap w:val="0"/>
            <w:vAlign w:val="center"/>
          </w:tcPr>
          <w:p w14:paraId="0EED5C17">
            <w:pPr>
              <w:spacing w:line="360" w:lineRule="auto"/>
              <w:jc w:val="center"/>
              <w:rPr>
                <w:rFonts w:hint="default" w:eastAsia="宋体" w:cs="Times New Roman"/>
                <w:color w:val="auto"/>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tc>
        <w:tc>
          <w:tcPr>
            <w:tcW w:w="3550" w:type="dxa"/>
            <w:noWrap w:val="0"/>
            <w:vAlign w:val="center"/>
          </w:tcPr>
          <w:p w14:paraId="4147CC21">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保障中药储存的质量要求，设有常温库、阴凉库等。</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供应商或其产品的生产厂家具有中药的购销、储存、养护和运输管理的条件及设施设备。</w:t>
            </w:r>
          </w:p>
          <w:p w14:paraId="0D89C6A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常温库、阴凉库、留样室需提供相关证明材料；需提供合同并注明用途，提供证明材料，全部满足要求得1分，否则不得分；②需具备信息识别管理设备、存储设备、视频监控设备、库内输送设备、仓库配置空调机组、空调柜机、温湿度监测及控制设备、抽湿机、排气扇、灭蚊灯、门禁管理系统防止药品被盗替换或混入假药、双回路供电系统或者备用发电机组等，全部满足得8分，每缺少一种设备扣1分，扣完为止。</w:t>
            </w:r>
          </w:p>
          <w:p w14:paraId="696A9335">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注：未提供证明材料或未按要求提供或提供得证明材料不清晰导致无法判断的不得分。</w:t>
            </w:r>
          </w:p>
        </w:tc>
        <w:tc>
          <w:tcPr>
            <w:tcW w:w="2588" w:type="dxa"/>
            <w:noWrap w:val="0"/>
            <w:vAlign w:val="center"/>
          </w:tcPr>
          <w:p w14:paraId="401BFF9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证明材料：①需提供产权证明或租赁合同及场地照片，未提供证明材料、无法辨识证明材料内容或证明材料信息不一致的不得分）；② 需提供设备购置发票扫描件、规格型号、设备照片。</w:t>
            </w:r>
          </w:p>
          <w:p w14:paraId="5B8DD727">
            <w:pPr>
              <w:spacing w:line="360" w:lineRule="auto"/>
              <w:jc w:val="center"/>
              <w:rPr>
                <w:rFonts w:hint="eastAsia" w:ascii="宋体" w:hAnsi="宋体" w:eastAsia="宋体" w:cs="宋体"/>
                <w:color w:val="auto"/>
                <w:sz w:val="24"/>
                <w:highlight w:val="none"/>
                <w:lang w:val="en-US" w:eastAsia="zh-CN"/>
              </w:rPr>
            </w:pPr>
          </w:p>
        </w:tc>
      </w:tr>
      <w:tr w14:paraId="04F3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64B63853">
            <w:pPr>
              <w:numPr>
                <w:ilvl w:val="0"/>
                <w:numId w:val="31"/>
              </w:numPr>
              <w:spacing w:line="360" w:lineRule="auto"/>
              <w:ind w:left="635" w:leftChars="0" w:hanging="425" w:firstLineChars="0"/>
              <w:rPr>
                <w:rFonts w:hint="eastAsia" w:ascii="宋体" w:hAnsi="宋体" w:eastAsia="宋体" w:cs="宋体"/>
                <w:color w:val="auto"/>
                <w:sz w:val="24"/>
                <w:highlight w:val="none"/>
              </w:rPr>
            </w:pPr>
          </w:p>
        </w:tc>
        <w:tc>
          <w:tcPr>
            <w:tcW w:w="1296" w:type="dxa"/>
            <w:noWrap w:val="0"/>
            <w:vAlign w:val="center"/>
          </w:tcPr>
          <w:p w14:paraId="3AAA100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售后服务</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及承诺</w:t>
            </w:r>
          </w:p>
        </w:tc>
        <w:tc>
          <w:tcPr>
            <w:tcW w:w="897" w:type="dxa"/>
            <w:noWrap w:val="0"/>
            <w:vAlign w:val="center"/>
          </w:tcPr>
          <w:p w14:paraId="5497420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3550" w:type="dxa"/>
            <w:noWrap w:val="0"/>
            <w:vAlign w:val="center"/>
          </w:tcPr>
          <w:p w14:paraId="158ECDD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根据投标人提供的售后服务方案包括</w:t>
            </w:r>
            <w:r>
              <w:rPr>
                <w:rFonts w:hint="eastAsia" w:ascii="宋体" w:hAnsi="宋体" w:cs="宋体"/>
                <w:color w:val="auto"/>
                <w:sz w:val="24"/>
                <w:highlight w:val="none"/>
                <w:lang w:eastAsia="zh-CN"/>
              </w:rPr>
              <w:t>但不限于</w:t>
            </w:r>
            <w:r>
              <w:rPr>
                <w:rFonts w:hint="eastAsia" w:ascii="宋体" w:hAnsi="宋体" w:cs="宋体"/>
                <w:color w:val="auto"/>
                <w:sz w:val="24"/>
                <w:highlight w:val="none"/>
              </w:rPr>
              <w:t>售后服务计划、退换货措施、针对医疗纠纷</w:t>
            </w:r>
            <w:r>
              <w:rPr>
                <w:rFonts w:hint="eastAsia" w:ascii="宋体" w:hAnsi="宋体" w:cs="宋体"/>
                <w:color w:val="auto"/>
                <w:sz w:val="24"/>
                <w:highlight w:val="none"/>
                <w:lang w:eastAsia="zh-CN"/>
              </w:rPr>
              <w:t>、</w:t>
            </w:r>
            <w:r>
              <w:rPr>
                <w:rFonts w:hint="eastAsia" w:ascii="宋体" w:hAnsi="宋体" w:cs="宋体"/>
                <w:color w:val="auto"/>
                <w:sz w:val="24"/>
                <w:highlight w:val="none"/>
              </w:rPr>
              <w:t>替代产品匹配及供应、售后服务保障措施、附带服务</w:t>
            </w:r>
            <w:r>
              <w:rPr>
                <w:rFonts w:hint="eastAsia" w:ascii="宋体" w:hAnsi="宋体" w:cs="宋体"/>
                <w:color w:val="auto"/>
                <w:sz w:val="24"/>
                <w:highlight w:val="none"/>
                <w:lang w:eastAsia="zh-CN"/>
              </w:rPr>
              <w:t>、药检质量问题、不良反应等特殊情况的应对措施）及服务承诺（包括但不限于配合采购人价格调整、应急供货、质量保证的承诺）；最高得</w:t>
            </w:r>
            <w:r>
              <w:rPr>
                <w:rFonts w:hint="eastAsia" w:ascii="宋体" w:hAnsi="宋体" w:cs="宋体"/>
                <w:color w:val="auto"/>
                <w:sz w:val="24"/>
                <w:highlight w:val="none"/>
                <w:lang w:val="en-US" w:eastAsia="zh-CN"/>
              </w:rPr>
              <w:t>8分。</w:t>
            </w:r>
            <w:r>
              <w:rPr>
                <w:rFonts w:hint="eastAsia" w:ascii="宋体" w:hAnsi="宋体" w:cs="宋体"/>
                <w:color w:val="auto"/>
                <w:sz w:val="24"/>
                <w:highlight w:val="none"/>
                <w:lang w:eastAsia="zh-CN"/>
              </w:rPr>
              <w:t>每有一项内容存在缺陷扣</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分，未提供不得分，</w:t>
            </w:r>
            <w:r>
              <w:rPr>
                <w:rFonts w:hint="eastAsia" w:ascii="宋体" w:hAnsi="宋体" w:cs="宋体"/>
                <w:color w:val="auto"/>
                <w:sz w:val="24"/>
                <w:highlight w:val="none"/>
              </w:rPr>
              <w:t>未提供对应方案的不得分。</w:t>
            </w:r>
          </w:p>
          <w:p w14:paraId="779E0F2D">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缺陷是指①存在项目实施对象错误（例：本项目招标人为实施对象，投标人套用模板错误表述实施对象），②内容前后逻辑错误（例：同一内容前后表述不一致）、③涉及的规范、标准错误或错误的使用专业术语（例：引用非最新的规范或标准、使用非专业性语句或词语</w:t>
            </w:r>
            <w:r>
              <w:rPr>
                <w:rFonts w:hint="eastAsia" w:ascii="宋体" w:hAnsi="宋体" w:cs="宋体"/>
                <w:color w:val="auto"/>
                <w:sz w:val="24"/>
                <w:highlight w:val="none"/>
                <w:lang w:eastAsia="zh-CN"/>
              </w:rPr>
              <w:t>描述设备专业</w:t>
            </w:r>
            <w:r>
              <w:rPr>
                <w:rFonts w:hint="eastAsia" w:ascii="宋体" w:hAnsi="宋体" w:cs="宋体"/>
                <w:color w:val="auto"/>
                <w:sz w:val="24"/>
                <w:highlight w:val="none"/>
              </w:rPr>
              <w:t>功能、非专业的英文缩写、关键数据的错误，导致评审专家理解上的混淆）</w:t>
            </w:r>
            <w:r>
              <w:rPr>
                <w:rFonts w:hint="eastAsia" w:ascii="宋体" w:hAnsi="宋体" w:cs="宋体"/>
                <w:color w:val="auto"/>
                <w:sz w:val="24"/>
                <w:highlight w:val="none"/>
                <w:lang w:eastAsia="zh-CN"/>
              </w:rPr>
              <w:t>，④</w:t>
            </w:r>
            <w:r>
              <w:rPr>
                <w:rFonts w:hint="eastAsia" w:ascii="宋体" w:hAnsi="宋体" w:cs="宋体"/>
                <w:color w:val="auto"/>
                <w:sz w:val="24"/>
                <w:highlight w:val="none"/>
              </w:rPr>
              <w:t>地点区域错误（例：实施地在乌鲁木齐，投标人投标表述为其他地区）</w:t>
            </w:r>
            <w:r>
              <w:rPr>
                <w:rFonts w:hint="eastAsia" w:ascii="宋体" w:hAnsi="宋体" w:cs="宋体"/>
                <w:color w:val="auto"/>
                <w:sz w:val="24"/>
                <w:highlight w:val="none"/>
                <w:lang w:eastAsia="zh-CN"/>
              </w:rPr>
              <w:t>，⑤</w:t>
            </w:r>
            <w:r>
              <w:rPr>
                <w:rFonts w:hint="eastAsia" w:ascii="宋体" w:hAnsi="宋体" w:cs="宋体"/>
                <w:color w:val="auto"/>
                <w:sz w:val="24"/>
                <w:highlight w:val="none"/>
              </w:rPr>
              <w:t>内容遗漏及不符合采购需求等（例：只简单描写标题内容，未能展开表述对应</w:t>
            </w:r>
            <w:r>
              <w:rPr>
                <w:rFonts w:hint="eastAsia" w:ascii="宋体" w:hAnsi="宋体" w:cs="宋体"/>
                <w:color w:val="auto"/>
                <w:sz w:val="24"/>
                <w:highlight w:val="none"/>
                <w:lang w:eastAsia="zh-CN"/>
              </w:rPr>
              <w:t>售后</w:t>
            </w:r>
            <w:r>
              <w:rPr>
                <w:rFonts w:hint="eastAsia" w:ascii="宋体" w:hAnsi="宋体" w:cs="宋体"/>
                <w:color w:val="auto"/>
                <w:sz w:val="24"/>
                <w:highlight w:val="none"/>
              </w:rPr>
              <w:t>内容需要注意的事项或相关的指导文件要求等，导致评审人员对</w:t>
            </w:r>
            <w:r>
              <w:rPr>
                <w:rFonts w:hint="eastAsia" w:ascii="宋体" w:hAnsi="宋体" w:cs="宋体"/>
                <w:color w:val="auto"/>
                <w:sz w:val="24"/>
                <w:highlight w:val="none"/>
                <w:lang w:eastAsia="zh-CN"/>
              </w:rPr>
              <w:t>售后</w:t>
            </w:r>
            <w:r>
              <w:rPr>
                <w:rFonts w:hint="eastAsia" w:ascii="宋体" w:hAnsi="宋体" w:cs="宋体"/>
                <w:color w:val="auto"/>
                <w:sz w:val="24"/>
                <w:highlight w:val="none"/>
              </w:rPr>
              <w:t>方案是否具备专业能力做出合理判断，影响了措施方案的完整性；采购需求要求中要求的内容与投标人递交的方案内容不符）。</w:t>
            </w:r>
          </w:p>
        </w:tc>
        <w:tc>
          <w:tcPr>
            <w:tcW w:w="2588" w:type="dxa"/>
            <w:noWrap w:val="0"/>
            <w:vAlign w:val="center"/>
          </w:tcPr>
          <w:p w14:paraId="7674797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证明材料：格式自拟，并加盖投标人公章</w:t>
            </w:r>
          </w:p>
        </w:tc>
      </w:tr>
      <w:tr w14:paraId="7DD6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gridSpan w:val="2"/>
            <w:noWrap w:val="0"/>
            <w:vAlign w:val="center"/>
          </w:tcPr>
          <w:p w14:paraId="7F4EFF52">
            <w:pPr>
              <w:pStyle w:val="445"/>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897" w:type="dxa"/>
            <w:noWrap w:val="0"/>
            <w:vAlign w:val="center"/>
          </w:tcPr>
          <w:p w14:paraId="4B3828DC">
            <w:pPr>
              <w:pStyle w:val="445"/>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分</w:t>
            </w:r>
          </w:p>
        </w:tc>
        <w:tc>
          <w:tcPr>
            <w:tcW w:w="6138" w:type="dxa"/>
            <w:gridSpan w:val="2"/>
            <w:noWrap w:val="0"/>
            <w:vAlign w:val="center"/>
          </w:tcPr>
          <w:p w14:paraId="3E5882AE">
            <w:pPr>
              <w:pStyle w:val="445"/>
              <w:spacing w:line="360" w:lineRule="auto"/>
              <w:jc w:val="left"/>
              <w:rPr>
                <w:rFonts w:hint="eastAsia" w:ascii="宋体" w:hAnsi="宋体" w:eastAsia="宋体" w:cs="宋体"/>
                <w:bCs/>
                <w:color w:val="auto"/>
                <w:sz w:val="24"/>
                <w:highlight w:val="none"/>
              </w:rPr>
            </w:pPr>
          </w:p>
        </w:tc>
      </w:tr>
    </w:tbl>
    <w:p w14:paraId="629C66C9">
      <w:pPr>
        <w:rPr>
          <w:rFonts w:hint="eastAsia" w:ascii="宋体" w:hAnsi="宋体" w:cs="宋体"/>
          <w:color w:val="auto"/>
          <w:sz w:val="24"/>
          <w:highlight w:val="none"/>
        </w:rPr>
      </w:pPr>
    </w:p>
    <w:p w14:paraId="171057AD">
      <w:pPr>
        <w:pStyle w:val="21"/>
        <w:ind w:firstLine="480"/>
        <w:rPr>
          <w:rFonts w:hint="eastAsia" w:ascii="宋体" w:hAnsi="宋体" w:cs="宋体"/>
          <w:color w:val="auto"/>
          <w:sz w:val="24"/>
          <w:highlight w:val="none"/>
        </w:rPr>
      </w:pPr>
    </w:p>
    <w:p w14:paraId="72804D43">
      <w:pPr>
        <w:rPr>
          <w:rFonts w:hint="eastAsia" w:ascii="宋体" w:hAnsi="宋体" w:cs="宋体"/>
          <w:color w:val="auto"/>
          <w:sz w:val="24"/>
          <w:highlight w:val="none"/>
        </w:rPr>
      </w:pPr>
    </w:p>
    <w:p w14:paraId="4778802E">
      <w:pPr>
        <w:pStyle w:val="21"/>
        <w:ind w:firstLine="480"/>
        <w:rPr>
          <w:rFonts w:hint="eastAsia" w:ascii="宋体" w:hAnsi="宋体" w:cs="宋体"/>
          <w:color w:val="auto"/>
          <w:sz w:val="24"/>
          <w:highlight w:val="none"/>
        </w:rPr>
      </w:pPr>
    </w:p>
    <w:p w14:paraId="3C48FC70">
      <w:pPr>
        <w:rPr>
          <w:rFonts w:hint="eastAsia" w:ascii="宋体" w:hAnsi="宋体" w:cs="宋体"/>
          <w:color w:val="auto"/>
          <w:sz w:val="24"/>
          <w:highlight w:val="none"/>
        </w:rPr>
      </w:pPr>
    </w:p>
    <w:p w14:paraId="6602227E">
      <w:pPr>
        <w:pStyle w:val="21"/>
        <w:ind w:firstLine="480"/>
        <w:rPr>
          <w:rFonts w:hint="eastAsia" w:ascii="宋体" w:hAnsi="宋体" w:cs="宋体"/>
          <w:color w:val="auto"/>
          <w:sz w:val="24"/>
          <w:highlight w:val="none"/>
        </w:rPr>
      </w:pPr>
    </w:p>
    <w:p w14:paraId="079857F3">
      <w:pPr>
        <w:rPr>
          <w:rFonts w:hint="eastAsia" w:ascii="宋体" w:hAnsi="宋体" w:cs="宋体"/>
          <w:color w:val="auto"/>
          <w:sz w:val="24"/>
          <w:highlight w:val="none"/>
        </w:rPr>
      </w:pPr>
    </w:p>
    <w:p w14:paraId="645C6DE8">
      <w:pPr>
        <w:pStyle w:val="66"/>
        <w:ind w:left="0" w:leftChars="0" w:firstLine="0" w:firstLineChars="0"/>
        <w:rPr>
          <w:rFonts w:hint="eastAsia"/>
          <w:color w:val="auto"/>
          <w:highlight w:val="none"/>
        </w:rPr>
      </w:pPr>
    </w:p>
    <w:p w14:paraId="3B3340EF">
      <w:pPr>
        <w:pStyle w:val="66"/>
        <w:ind w:left="0" w:leftChars="0" w:firstLine="0" w:firstLineChars="0"/>
        <w:rPr>
          <w:rFonts w:hint="eastAsia"/>
          <w:color w:val="auto"/>
          <w:highlight w:val="none"/>
        </w:rPr>
      </w:pPr>
    </w:p>
    <w:p w14:paraId="6F8A950C">
      <w:pPr>
        <w:pStyle w:val="66"/>
        <w:ind w:left="0" w:leftChars="0" w:firstLine="0" w:firstLineChars="0"/>
        <w:rPr>
          <w:rFonts w:hint="eastAsia"/>
          <w:color w:val="auto"/>
          <w:highlight w:val="none"/>
        </w:rPr>
      </w:pPr>
    </w:p>
    <w:p w14:paraId="1C394E53">
      <w:pPr>
        <w:pStyle w:val="66"/>
        <w:ind w:left="0" w:leftChars="0" w:firstLine="0" w:firstLineChars="0"/>
        <w:rPr>
          <w:rFonts w:hint="eastAsia"/>
          <w:color w:val="auto"/>
          <w:highlight w:val="none"/>
        </w:rPr>
      </w:pPr>
    </w:p>
    <w:p w14:paraId="08863791">
      <w:pPr>
        <w:spacing w:line="360" w:lineRule="auto"/>
        <w:jc w:val="center"/>
        <w:outlineLvl w:val="0"/>
        <w:rPr>
          <w:rFonts w:hint="eastAsia" w:ascii="宋体" w:hAnsi="宋体" w:cs="宋体"/>
          <w:b/>
          <w:bCs/>
          <w:color w:val="auto"/>
          <w:sz w:val="24"/>
          <w:highlight w:val="none"/>
        </w:rPr>
      </w:pPr>
      <w:bookmarkStart w:id="345" w:name="_Toc29987"/>
      <w:bookmarkStart w:id="346" w:name="_Toc99301424"/>
      <w:r>
        <w:rPr>
          <w:b/>
          <w:color w:val="auto"/>
          <w:sz w:val="36"/>
          <w:szCs w:val="36"/>
          <w:highlight w:val="none"/>
        </w:rPr>
        <w:br w:type="page"/>
      </w:r>
      <w:r>
        <w:rPr>
          <w:b/>
          <w:color w:val="auto"/>
          <w:sz w:val="36"/>
          <w:szCs w:val="36"/>
          <w:highlight w:val="none"/>
        </w:rPr>
        <w:t>第五章  采购需求</w:t>
      </w:r>
      <w:bookmarkEnd w:id="345"/>
      <w:bookmarkEnd w:id="346"/>
    </w:p>
    <w:p w14:paraId="2C76E29D">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bookmarkStart w:id="347" w:name="_Toc501639726"/>
      <w:bookmarkStart w:id="348" w:name="_Toc19796"/>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投标供应商</w:t>
      </w:r>
      <w:r>
        <w:rPr>
          <w:rFonts w:hint="eastAsia" w:asciiTheme="minorEastAsia" w:hAnsiTheme="minorEastAsia" w:eastAsiaTheme="minorEastAsia" w:cstheme="minorEastAsia"/>
          <w:color w:val="auto"/>
          <w:sz w:val="24"/>
          <w:szCs w:val="24"/>
          <w:highlight w:val="none"/>
          <w:lang w:eastAsia="zh-CN"/>
        </w:rPr>
        <w:t>必须保证所供应的中药饮片是符合执行2020版《中华人民共和国药典》及《全国中药炮制规范》或者2020版《新疆维吾尔自治区中药维吾尔药饮片炮制规范》等相关法定质量标准；药品名称应当符合《中华人民共和国药典》或省、自治区、直辖市药品监督管理部门制定的规范名称。标签和药品要相符，所供应的中药饮片到货入库的剩余有效期不得短于质保期的80%，并保证有效期内中药饮片的质量。</w:t>
      </w:r>
      <w:r>
        <w:rPr>
          <w:rFonts w:hint="eastAsia" w:asciiTheme="minorEastAsia" w:hAnsiTheme="minorEastAsia" w:eastAsiaTheme="minorEastAsia" w:cstheme="minorEastAsia"/>
          <w:color w:val="auto"/>
          <w:sz w:val="24"/>
          <w:szCs w:val="24"/>
          <w:highlight w:val="none"/>
          <w:lang w:val="en-US" w:eastAsia="zh-CN"/>
        </w:rPr>
        <w:t>在院方使用期间内，投标供应商应对所提供货物的质量和由于货物质量原因而造成的后果负责。若出现质量问题的，院方向有关部门报告，经查实无误后，院方有权终止合同并视情况提出索赔。</w:t>
      </w:r>
    </w:p>
    <w:p w14:paraId="024D3732">
      <w:pPr>
        <w:pStyle w:val="384"/>
        <w:spacing w:line="540" w:lineRule="exact"/>
        <w:ind w:firstLine="480"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投标供应商</w:t>
      </w:r>
      <w:r>
        <w:rPr>
          <w:rFonts w:hint="eastAsia" w:asciiTheme="minorEastAsia" w:hAnsiTheme="minorEastAsia" w:eastAsiaTheme="minorEastAsia" w:cstheme="minorEastAsia"/>
          <w:color w:val="auto"/>
          <w:sz w:val="24"/>
          <w:szCs w:val="24"/>
          <w:highlight w:val="none"/>
          <w:lang w:eastAsia="zh-CN"/>
        </w:rPr>
        <w:t>需提供其经营中药饮片基本目录，并保证此目录内的中药饮片在 采购周期内可持续供货，保证满足日常临床诊疗需要，并承诺与医院签订“供货承诺书 ”。对于经营品种基本目录外的中药饮片，采购单位有需求的，应标人不得拒绝供应，应积极组织调拨资源，按时组织到货。</w:t>
      </w:r>
    </w:p>
    <w:p w14:paraId="21695926">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3.中药饮片经营企业中标后必须与医院签订“质量保证协议书”，并向医院提供每一批中药饮片的质检报告。</w:t>
      </w:r>
    </w:p>
    <w:p w14:paraId="37498FCC">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中标供应商能严格按照《中华民族人民共和国药典》及《新疆维吾尔自治区中药维吾尔药饮片炮制规范》及部颁标准，能满足本院临床的用药习惯，提供合格药品。投标目录参数只作为参考，但所投产品参数不得低于招标要求。</w:t>
      </w:r>
      <w:r>
        <w:rPr>
          <w:rFonts w:hint="eastAsia" w:asciiTheme="minorEastAsia" w:hAnsiTheme="minorEastAsia" w:eastAsiaTheme="minorEastAsia" w:cstheme="minorEastAsia"/>
          <w:color w:val="auto"/>
          <w:sz w:val="24"/>
          <w:szCs w:val="24"/>
          <w:highlight w:val="none"/>
          <w:lang w:eastAsia="zh-CN"/>
        </w:rPr>
        <w:t>中药饮片应品质好、质量高，供货期间品质应保持一致，中标企业不得私自降低品质，以次充好，如有上述情况我院按退换货处理并由配送公司承担退换货所产生的一切费用，如有多次出现，按相关规定处罚。</w:t>
      </w:r>
    </w:p>
    <w:p w14:paraId="3E838EA3">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5.甘草，麻黄产品须提供生产企业《甘草、麻黄草收购许可证》。</w:t>
      </w:r>
    </w:p>
    <w:p w14:paraId="5D2F18F0">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投标供应商</w:t>
      </w:r>
      <w:r>
        <w:rPr>
          <w:rFonts w:hint="eastAsia" w:asciiTheme="minorEastAsia" w:hAnsiTheme="minorEastAsia" w:eastAsiaTheme="minorEastAsia" w:cstheme="minorEastAsia"/>
          <w:color w:val="auto"/>
          <w:sz w:val="24"/>
          <w:szCs w:val="24"/>
          <w:highlight w:val="none"/>
          <w:lang w:eastAsia="zh-CN"/>
        </w:rPr>
        <w:t>3年内没有销售假药、劣药记录、</w:t>
      </w:r>
      <w:r>
        <w:rPr>
          <w:rFonts w:hint="eastAsia" w:asciiTheme="minorEastAsia" w:hAnsiTheme="minorEastAsia" w:eastAsiaTheme="minorEastAsia" w:cstheme="minorEastAsia"/>
          <w:color w:val="auto"/>
          <w:sz w:val="24"/>
          <w:szCs w:val="24"/>
          <w:highlight w:val="none"/>
          <w:lang w:val="en-US" w:eastAsia="zh-CN"/>
        </w:rPr>
        <w:t>无行政处罚记录</w:t>
      </w:r>
      <w:r>
        <w:rPr>
          <w:rFonts w:hint="eastAsia" w:asciiTheme="minorEastAsia" w:hAnsiTheme="minorEastAsia" w:eastAsiaTheme="minorEastAsia" w:cstheme="minorEastAsia"/>
          <w:color w:val="auto"/>
          <w:sz w:val="24"/>
          <w:szCs w:val="24"/>
          <w:highlight w:val="none"/>
          <w:lang w:eastAsia="zh-CN"/>
        </w:rPr>
        <w:t>（提供承诺书）。</w:t>
      </w:r>
    </w:p>
    <w:p w14:paraId="28415109">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标企业应建立中药饮片质量监督组，重点抽查易霉变、虫蛀、结串、泛油的品种，做好药品的质控、质检工作，保证供应药品的质量符合标准规定。我院对质量不符合《中华人民共和国药典》及《新疆维吾尔自治区中药维吾尔药饮片炮制规范》等上报至有关部门。</w:t>
      </w:r>
    </w:p>
    <w:p w14:paraId="671C1F8C">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中标企业所配送的中药饮片价格以签订合同时的药品单价为标准，不得随意调整价格。在采购合同执行过程中，中标企业如要调整中药饮片价格，双方另行协商。中标企业不得以中药材原料价格上涨为由或其他不正当理由拒绝对某个饮片或者多个饮片停止供货，如有类似情况出现，按照采购合同中的违约责任条款进行进行处罚。</w:t>
      </w:r>
    </w:p>
    <w:p w14:paraId="306C3E9B">
      <w:pPr>
        <w:pStyle w:val="384"/>
        <w:spacing w:line="540" w:lineRule="exact"/>
        <w:ind w:firstLine="480"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.为统一收费标准，标项一至标项</w:t>
      </w: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中标服务商需同意以标项一至标项</w:t>
      </w: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中标服务商报价中各项</w:t>
      </w:r>
      <w:r>
        <w:rPr>
          <w:rFonts w:hint="eastAsia" w:asciiTheme="minorEastAsia" w:hAnsiTheme="minorEastAsia" w:eastAsiaTheme="minorEastAsia" w:cstheme="minorEastAsia"/>
          <w:b/>
          <w:bCs/>
          <w:color w:val="auto"/>
          <w:sz w:val="24"/>
          <w:szCs w:val="24"/>
          <w:highlight w:val="none"/>
          <w:lang w:val="en-US" w:eastAsia="zh-CN"/>
        </w:rPr>
        <w:t>中药</w:t>
      </w:r>
      <w:r>
        <w:rPr>
          <w:rFonts w:hint="eastAsia" w:asciiTheme="minorEastAsia" w:hAnsiTheme="minorEastAsia" w:eastAsiaTheme="minorEastAsia" w:cstheme="minorEastAsia"/>
          <w:b/>
          <w:bCs/>
          <w:color w:val="auto"/>
          <w:sz w:val="24"/>
          <w:szCs w:val="24"/>
          <w:highlight w:val="none"/>
          <w:lang w:eastAsia="zh-CN"/>
        </w:rPr>
        <w:t>饮片的最低价作为本次标项一至标项</w:t>
      </w: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中标服务商的统一收费标准，需书面承诺，否则视为自动放弃中标资格。</w:t>
      </w:r>
    </w:p>
    <w:p w14:paraId="0FE419E7">
      <w:pPr>
        <w:pStyle w:val="384"/>
        <w:spacing w:line="54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配送方式：中标供应商负责按时足量地进行配送供货，应自收到采购人订单通知起进行配送，并保证急用药品2小时内送达，常用药品24小时内送达，节假日正常配送，配送时应提供同批号的药检报告书。保证按需配送。</w:t>
      </w:r>
    </w:p>
    <w:p w14:paraId="1454C42D">
      <w:pPr>
        <w:pStyle w:val="384"/>
        <w:spacing w:line="54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11.采购合同到期后，中标企业应承诺对未拆封的中药饮片无条件退货。</w:t>
      </w:r>
    </w:p>
    <w:p w14:paraId="3B8B487F">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如遇到国家及自治区药品政策变化时，严格按照国家及自治区药品政策执行。</w:t>
      </w:r>
    </w:p>
    <w:p w14:paraId="18B22145">
      <w:pPr>
        <w:pStyle w:val="384"/>
        <w:spacing w:line="540" w:lineRule="exact"/>
        <w:ind w:firstLine="480"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13.中药饮片拟招标目录（详见附件《采购需求补充材料》）</w:t>
      </w:r>
    </w:p>
    <w:p w14:paraId="001B81F7">
      <w:pPr>
        <w:pStyle w:val="384"/>
        <w:spacing w:line="540" w:lineRule="exact"/>
        <w:ind w:firstLine="480"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注：</w:t>
      </w:r>
      <w:r>
        <w:rPr>
          <w:rFonts w:hint="eastAsia" w:asciiTheme="minorEastAsia" w:hAnsiTheme="minorEastAsia" w:eastAsiaTheme="minorEastAsia" w:cstheme="minorEastAsia"/>
          <w:b/>
          <w:bCs/>
          <w:color w:val="auto"/>
          <w:sz w:val="24"/>
          <w:szCs w:val="24"/>
          <w:highlight w:val="none"/>
          <w:lang w:eastAsia="zh-CN"/>
        </w:rPr>
        <w:t>本项目不可选择性投标，投标</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lang w:eastAsia="zh-CN"/>
        </w:rPr>
        <w:t>须100%满足目录中所有品种的供货需求 ,否则视为对招标文件的不响应，投标无效。</w:t>
      </w:r>
    </w:p>
    <w:p w14:paraId="3EC9D65A">
      <w:pPr>
        <w:pStyle w:val="384"/>
        <w:spacing w:line="540" w:lineRule="exact"/>
        <w:ind w:firstLine="480"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14.提供样品的产品：</w:t>
      </w:r>
    </w:p>
    <w:tbl>
      <w:tblPr>
        <w:tblStyle w:val="8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84"/>
        <w:gridCol w:w="821"/>
        <w:gridCol w:w="1688"/>
        <w:gridCol w:w="817"/>
        <w:gridCol w:w="1692"/>
        <w:gridCol w:w="813"/>
        <w:gridCol w:w="1697"/>
      </w:tblGrid>
      <w:tr w14:paraId="493B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628CA10B">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684" w:type="dxa"/>
            <w:vAlign w:val="center"/>
          </w:tcPr>
          <w:p w14:paraId="43CD15F4">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品名</w:t>
            </w:r>
          </w:p>
        </w:tc>
        <w:tc>
          <w:tcPr>
            <w:tcW w:w="821" w:type="dxa"/>
            <w:vAlign w:val="center"/>
          </w:tcPr>
          <w:p w14:paraId="2C59B7A3">
            <w:pPr>
              <w:pStyle w:val="384"/>
              <w:keepNext w:val="0"/>
              <w:keepLines w:val="0"/>
              <w:pageBreakBefore w:val="0"/>
              <w:numPr>
                <w:ilvl w:val="0"/>
                <w:numId w:val="0"/>
              </w:numPr>
              <w:kinsoku/>
              <w:wordWrap/>
              <w:overflowPunct/>
              <w:topLinePunct w:val="0"/>
              <w:bidi w:val="0"/>
              <w:snapToGrid/>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688" w:type="dxa"/>
            <w:vAlign w:val="center"/>
          </w:tcPr>
          <w:p w14:paraId="6447F21A">
            <w:pPr>
              <w:pStyle w:val="384"/>
              <w:keepNext w:val="0"/>
              <w:keepLines w:val="0"/>
              <w:pageBreakBefore w:val="0"/>
              <w:numPr>
                <w:ilvl w:val="0"/>
                <w:numId w:val="0"/>
              </w:numPr>
              <w:kinsoku/>
              <w:wordWrap/>
              <w:overflowPunct/>
              <w:topLinePunct w:val="0"/>
              <w:bidi w:val="0"/>
              <w:snapToGrid/>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品名</w:t>
            </w:r>
          </w:p>
        </w:tc>
        <w:tc>
          <w:tcPr>
            <w:tcW w:w="817" w:type="dxa"/>
            <w:vAlign w:val="center"/>
          </w:tcPr>
          <w:p w14:paraId="7CD457CF">
            <w:pPr>
              <w:pStyle w:val="384"/>
              <w:keepNext w:val="0"/>
              <w:keepLines w:val="0"/>
              <w:pageBreakBefore w:val="0"/>
              <w:numPr>
                <w:ilvl w:val="0"/>
                <w:numId w:val="0"/>
              </w:numPr>
              <w:kinsoku/>
              <w:wordWrap/>
              <w:overflowPunct/>
              <w:topLinePunct w:val="0"/>
              <w:bidi w:val="0"/>
              <w:snapToGrid/>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692" w:type="dxa"/>
            <w:vAlign w:val="center"/>
          </w:tcPr>
          <w:p w14:paraId="791D8F81">
            <w:pPr>
              <w:pStyle w:val="384"/>
              <w:keepNext w:val="0"/>
              <w:keepLines w:val="0"/>
              <w:pageBreakBefore w:val="0"/>
              <w:numPr>
                <w:ilvl w:val="0"/>
                <w:numId w:val="0"/>
              </w:numPr>
              <w:kinsoku/>
              <w:wordWrap/>
              <w:overflowPunct/>
              <w:topLinePunct w:val="0"/>
              <w:bidi w:val="0"/>
              <w:snapToGrid/>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品名</w:t>
            </w:r>
          </w:p>
        </w:tc>
        <w:tc>
          <w:tcPr>
            <w:tcW w:w="813" w:type="dxa"/>
            <w:vAlign w:val="center"/>
          </w:tcPr>
          <w:p w14:paraId="769AD580">
            <w:pPr>
              <w:pStyle w:val="384"/>
              <w:keepNext w:val="0"/>
              <w:keepLines w:val="0"/>
              <w:pageBreakBefore w:val="0"/>
              <w:numPr>
                <w:ilvl w:val="0"/>
                <w:numId w:val="0"/>
              </w:numPr>
              <w:kinsoku/>
              <w:wordWrap/>
              <w:overflowPunct/>
              <w:topLinePunct w:val="0"/>
              <w:bidi w:val="0"/>
              <w:snapToGrid/>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697" w:type="dxa"/>
            <w:vAlign w:val="center"/>
          </w:tcPr>
          <w:p w14:paraId="47D76F20">
            <w:pPr>
              <w:pStyle w:val="384"/>
              <w:keepNext w:val="0"/>
              <w:keepLines w:val="0"/>
              <w:pageBreakBefore w:val="0"/>
              <w:numPr>
                <w:ilvl w:val="0"/>
                <w:numId w:val="0"/>
              </w:numPr>
              <w:kinsoku/>
              <w:wordWrap/>
              <w:overflowPunct/>
              <w:topLinePunct w:val="0"/>
              <w:bidi w:val="0"/>
              <w:snapToGrid/>
              <w:spacing w:line="320" w:lineRule="exac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品名</w:t>
            </w:r>
          </w:p>
        </w:tc>
      </w:tr>
      <w:tr w14:paraId="4235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78505A68">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w:t>
            </w:r>
          </w:p>
        </w:tc>
        <w:tc>
          <w:tcPr>
            <w:tcW w:w="1684" w:type="dxa"/>
            <w:vAlign w:val="center"/>
          </w:tcPr>
          <w:p w14:paraId="1941835E">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败酱草</w:t>
            </w:r>
          </w:p>
        </w:tc>
        <w:tc>
          <w:tcPr>
            <w:tcW w:w="821" w:type="dxa"/>
            <w:vAlign w:val="center"/>
          </w:tcPr>
          <w:p w14:paraId="2BBA5A61">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21</w:t>
            </w:r>
          </w:p>
        </w:tc>
        <w:tc>
          <w:tcPr>
            <w:tcW w:w="1688" w:type="dxa"/>
            <w:vAlign w:val="center"/>
          </w:tcPr>
          <w:p w14:paraId="439383CC">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烫水蛭</w:t>
            </w:r>
          </w:p>
        </w:tc>
        <w:tc>
          <w:tcPr>
            <w:tcW w:w="817" w:type="dxa"/>
            <w:vAlign w:val="center"/>
          </w:tcPr>
          <w:p w14:paraId="3698E79F">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41</w:t>
            </w:r>
          </w:p>
        </w:tc>
        <w:tc>
          <w:tcPr>
            <w:tcW w:w="1692" w:type="dxa"/>
            <w:vAlign w:val="center"/>
          </w:tcPr>
          <w:p w14:paraId="17E45415">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白芍</w:t>
            </w:r>
          </w:p>
        </w:tc>
        <w:tc>
          <w:tcPr>
            <w:tcW w:w="813" w:type="dxa"/>
            <w:vAlign w:val="center"/>
          </w:tcPr>
          <w:p w14:paraId="73D51BC5">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61</w:t>
            </w:r>
          </w:p>
        </w:tc>
        <w:tc>
          <w:tcPr>
            <w:tcW w:w="1697" w:type="dxa"/>
            <w:vAlign w:val="center"/>
          </w:tcPr>
          <w:p w14:paraId="1DAEC73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龙齿</w:t>
            </w:r>
          </w:p>
        </w:tc>
      </w:tr>
      <w:tr w14:paraId="21D6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3556715A">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w:t>
            </w:r>
          </w:p>
        </w:tc>
        <w:tc>
          <w:tcPr>
            <w:tcW w:w="1684" w:type="dxa"/>
            <w:vAlign w:val="center"/>
          </w:tcPr>
          <w:p w14:paraId="65FA071A">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醋没药</w:t>
            </w:r>
          </w:p>
        </w:tc>
        <w:tc>
          <w:tcPr>
            <w:tcW w:w="821" w:type="dxa"/>
            <w:vAlign w:val="center"/>
          </w:tcPr>
          <w:p w14:paraId="42BAF3F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22</w:t>
            </w:r>
          </w:p>
        </w:tc>
        <w:tc>
          <w:tcPr>
            <w:tcW w:w="1688" w:type="dxa"/>
            <w:vAlign w:val="center"/>
          </w:tcPr>
          <w:p w14:paraId="2A569DF6">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烫骨碎补</w:t>
            </w:r>
          </w:p>
        </w:tc>
        <w:tc>
          <w:tcPr>
            <w:tcW w:w="817" w:type="dxa"/>
            <w:vAlign w:val="center"/>
          </w:tcPr>
          <w:p w14:paraId="3DA366CF">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42</w:t>
            </w:r>
          </w:p>
        </w:tc>
        <w:tc>
          <w:tcPr>
            <w:tcW w:w="1692" w:type="dxa"/>
            <w:vAlign w:val="center"/>
          </w:tcPr>
          <w:p w14:paraId="4B25C9BB">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金钱草</w:t>
            </w:r>
          </w:p>
        </w:tc>
        <w:tc>
          <w:tcPr>
            <w:tcW w:w="813" w:type="dxa"/>
            <w:vAlign w:val="center"/>
          </w:tcPr>
          <w:p w14:paraId="403AE52D">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62</w:t>
            </w:r>
          </w:p>
        </w:tc>
        <w:tc>
          <w:tcPr>
            <w:tcW w:w="1697" w:type="dxa"/>
            <w:vAlign w:val="center"/>
          </w:tcPr>
          <w:p w14:paraId="5E12AD00">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黄柏</w:t>
            </w:r>
          </w:p>
        </w:tc>
      </w:tr>
      <w:tr w14:paraId="373A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4AE9CE83">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w:t>
            </w:r>
          </w:p>
        </w:tc>
        <w:tc>
          <w:tcPr>
            <w:tcW w:w="1684" w:type="dxa"/>
            <w:vAlign w:val="center"/>
          </w:tcPr>
          <w:p w14:paraId="4103A059">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清半夏</w:t>
            </w:r>
          </w:p>
        </w:tc>
        <w:tc>
          <w:tcPr>
            <w:tcW w:w="821" w:type="dxa"/>
            <w:vAlign w:val="center"/>
          </w:tcPr>
          <w:p w14:paraId="5E77895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23</w:t>
            </w:r>
          </w:p>
        </w:tc>
        <w:tc>
          <w:tcPr>
            <w:tcW w:w="1688" w:type="dxa"/>
            <w:vAlign w:val="center"/>
          </w:tcPr>
          <w:p w14:paraId="57FA83A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土鳖虫</w:t>
            </w:r>
          </w:p>
        </w:tc>
        <w:tc>
          <w:tcPr>
            <w:tcW w:w="817" w:type="dxa"/>
            <w:vAlign w:val="center"/>
          </w:tcPr>
          <w:p w14:paraId="301DD796">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43</w:t>
            </w:r>
          </w:p>
        </w:tc>
        <w:tc>
          <w:tcPr>
            <w:tcW w:w="1692" w:type="dxa"/>
            <w:vAlign w:val="center"/>
          </w:tcPr>
          <w:p w14:paraId="65F79689">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钩藤</w:t>
            </w:r>
          </w:p>
        </w:tc>
        <w:tc>
          <w:tcPr>
            <w:tcW w:w="813" w:type="dxa"/>
            <w:vAlign w:val="center"/>
          </w:tcPr>
          <w:p w14:paraId="7E0A877A">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63</w:t>
            </w:r>
          </w:p>
        </w:tc>
        <w:tc>
          <w:tcPr>
            <w:tcW w:w="1697" w:type="dxa"/>
            <w:vAlign w:val="center"/>
          </w:tcPr>
          <w:p w14:paraId="1A92CB5C">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炒白扁豆</w:t>
            </w:r>
          </w:p>
        </w:tc>
      </w:tr>
      <w:tr w14:paraId="0814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7F5CA069">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w:t>
            </w:r>
          </w:p>
        </w:tc>
        <w:tc>
          <w:tcPr>
            <w:tcW w:w="1684" w:type="dxa"/>
            <w:vAlign w:val="center"/>
          </w:tcPr>
          <w:p w14:paraId="5602C55A">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血竭</w:t>
            </w:r>
          </w:p>
        </w:tc>
        <w:tc>
          <w:tcPr>
            <w:tcW w:w="821" w:type="dxa"/>
            <w:vAlign w:val="center"/>
          </w:tcPr>
          <w:p w14:paraId="408B8BED">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24</w:t>
            </w:r>
          </w:p>
        </w:tc>
        <w:tc>
          <w:tcPr>
            <w:tcW w:w="1688" w:type="dxa"/>
            <w:vAlign w:val="center"/>
          </w:tcPr>
          <w:p w14:paraId="01F2E07C">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甘松</w:t>
            </w:r>
          </w:p>
        </w:tc>
        <w:tc>
          <w:tcPr>
            <w:tcW w:w="817" w:type="dxa"/>
            <w:vAlign w:val="center"/>
          </w:tcPr>
          <w:p w14:paraId="63BB54F2">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44</w:t>
            </w:r>
          </w:p>
        </w:tc>
        <w:tc>
          <w:tcPr>
            <w:tcW w:w="1692" w:type="dxa"/>
            <w:vAlign w:val="center"/>
          </w:tcPr>
          <w:p w14:paraId="29ED0D91">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北柴胡</w:t>
            </w:r>
          </w:p>
        </w:tc>
        <w:tc>
          <w:tcPr>
            <w:tcW w:w="813" w:type="dxa"/>
            <w:vAlign w:val="center"/>
          </w:tcPr>
          <w:p w14:paraId="7A74E966">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64</w:t>
            </w:r>
          </w:p>
        </w:tc>
        <w:tc>
          <w:tcPr>
            <w:tcW w:w="1697" w:type="dxa"/>
            <w:vAlign w:val="center"/>
          </w:tcPr>
          <w:p w14:paraId="13985C30">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鸡血藤</w:t>
            </w:r>
          </w:p>
        </w:tc>
      </w:tr>
      <w:tr w14:paraId="69FE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246FAA02">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w:t>
            </w:r>
          </w:p>
        </w:tc>
        <w:tc>
          <w:tcPr>
            <w:tcW w:w="1684" w:type="dxa"/>
            <w:vAlign w:val="center"/>
          </w:tcPr>
          <w:p w14:paraId="26DFBFE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川贝母</w:t>
            </w:r>
          </w:p>
        </w:tc>
        <w:tc>
          <w:tcPr>
            <w:tcW w:w="821" w:type="dxa"/>
            <w:vAlign w:val="center"/>
          </w:tcPr>
          <w:p w14:paraId="2371C423">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25</w:t>
            </w:r>
          </w:p>
        </w:tc>
        <w:tc>
          <w:tcPr>
            <w:tcW w:w="1688" w:type="dxa"/>
            <w:vAlign w:val="center"/>
          </w:tcPr>
          <w:p w14:paraId="07961DC9">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细辛</w:t>
            </w:r>
          </w:p>
        </w:tc>
        <w:tc>
          <w:tcPr>
            <w:tcW w:w="817" w:type="dxa"/>
            <w:vAlign w:val="center"/>
          </w:tcPr>
          <w:p w14:paraId="037C6F8B">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45</w:t>
            </w:r>
          </w:p>
        </w:tc>
        <w:tc>
          <w:tcPr>
            <w:tcW w:w="1692" w:type="dxa"/>
            <w:vAlign w:val="center"/>
          </w:tcPr>
          <w:p w14:paraId="6A099311">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合欢花</w:t>
            </w:r>
          </w:p>
        </w:tc>
        <w:tc>
          <w:tcPr>
            <w:tcW w:w="813" w:type="dxa"/>
            <w:vAlign w:val="center"/>
          </w:tcPr>
          <w:p w14:paraId="0B44A69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65</w:t>
            </w:r>
          </w:p>
        </w:tc>
        <w:tc>
          <w:tcPr>
            <w:tcW w:w="1697" w:type="dxa"/>
            <w:vAlign w:val="center"/>
          </w:tcPr>
          <w:p w14:paraId="7F7BAC44">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木瓜</w:t>
            </w:r>
          </w:p>
        </w:tc>
      </w:tr>
      <w:tr w14:paraId="151F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1DAE97FD">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w:t>
            </w:r>
          </w:p>
        </w:tc>
        <w:tc>
          <w:tcPr>
            <w:tcW w:w="1684" w:type="dxa"/>
            <w:vAlign w:val="center"/>
          </w:tcPr>
          <w:p w14:paraId="0E4DEFF4">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赤芍</w:t>
            </w:r>
          </w:p>
        </w:tc>
        <w:tc>
          <w:tcPr>
            <w:tcW w:w="821" w:type="dxa"/>
            <w:vAlign w:val="center"/>
          </w:tcPr>
          <w:p w14:paraId="764C464C">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26</w:t>
            </w:r>
          </w:p>
        </w:tc>
        <w:tc>
          <w:tcPr>
            <w:tcW w:w="1688" w:type="dxa"/>
            <w:vAlign w:val="center"/>
          </w:tcPr>
          <w:p w14:paraId="5C72A729">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当归</w:t>
            </w:r>
          </w:p>
        </w:tc>
        <w:tc>
          <w:tcPr>
            <w:tcW w:w="817" w:type="dxa"/>
            <w:vAlign w:val="center"/>
          </w:tcPr>
          <w:p w14:paraId="30155EAE">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46</w:t>
            </w:r>
          </w:p>
        </w:tc>
        <w:tc>
          <w:tcPr>
            <w:tcW w:w="1692" w:type="dxa"/>
            <w:vAlign w:val="center"/>
          </w:tcPr>
          <w:p w14:paraId="50DB11DF">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白鲜皮</w:t>
            </w:r>
          </w:p>
        </w:tc>
        <w:tc>
          <w:tcPr>
            <w:tcW w:w="813" w:type="dxa"/>
            <w:vAlign w:val="center"/>
          </w:tcPr>
          <w:p w14:paraId="3E3055A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66</w:t>
            </w:r>
          </w:p>
        </w:tc>
        <w:tc>
          <w:tcPr>
            <w:tcW w:w="1697" w:type="dxa"/>
            <w:vAlign w:val="center"/>
          </w:tcPr>
          <w:p w14:paraId="57724177">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紫草</w:t>
            </w:r>
          </w:p>
        </w:tc>
      </w:tr>
      <w:tr w14:paraId="1320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489030E7">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w:t>
            </w:r>
          </w:p>
        </w:tc>
        <w:tc>
          <w:tcPr>
            <w:tcW w:w="1684" w:type="dxa"/>
            <w:vAlign w:val="center"/>
          </w:tcPr>
          <w:p w14:paraId="37AFBD56">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海桐皮</w:t>
            </w:r>
          </w:p>
        </w:tc>
        <w:tc>
          <w:tcPr>
            <w:tcW w:w="821" w:type="dxa"/>
            <w:vAlign w:val="center"/>
          </w:tcPr>
          <w:p w14:paraId="0724CA23">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27</w:t>
            </w:r>
          </w:p>
        </w:tc>
        <w:tc>
          <w:tcPr>
            <w:tcW w:w="1688" w:type="dxa"/>
            <w:vAlign w:val="center"/>
          </w:tcPr>
          <w:p w14:paraId="55CB81AC">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郁金</w:t>
            </w:r>
          </w:p>
        </w:tc>
        <w:tc>
          <w:tcPr>
            <w:tcW w:w="817" w:type="dxa"/>
            <w:vAlign w:val="center"/>
          </w:tcPr>
          <w:p w14:paraId="4F8A066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47</w:t>
            </w:r>
          </w:p>
        </w:tc>
        <w:tc>
          <w:tcPr>
            <w:tcW w:w="1692" w:type="dxa"/>
            <w:vAlign w:val="center"/>
          </w:tcPr>
          <w:p w14:paraId="3E2194B6">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制吴茱萸</w:t>
            </w:r>
          </w:p>
        </w:tc>
        <w:tc>
          <w:tcPr>
            <w:tcW w:w="813" w:type="dxa"/>
            <w:vAlign w:val="center"/>
          </w:tcPr>
          <w:p w14:paraId="3A9F352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67</w:t>
            </w:r>
          </w:p>
        </w:tc>
        <w:tc>
          <w:tcPr>
            <w:tcW w:w="1697" w:type="dxa"/>
            <w:vAlign w:val="center"/>
          </w:tcPr>
          <w:p w14:paraId="7927E142">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醋五味子</w:t>
            </w:r>
          </w:p>
        </w:tc>
      </w:tr>
      <w:tr w14:paraId="02BA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2DB04C3E">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8</w:t>
            </w:r>
          </w:p>
        </w:tc>
        <w:tc>
          <w:tcPr>
            <w:tcW w:w="1684" w:type="dxa"/>
            <w:vAlign w:val="center"/>
          </w:tcPr>
          <w:p w14:paraId="4E2A145E">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黑顺片</w:t>
            </w:r>
          </w:p>
        </w:tc>
        <w:tc>
          <w:tcPr>
            <w:tcW w:w="821" w:type="dxa"/>
            <w:vAlign w:val="center"/>
          </w:tcPr>
          <w:p w14:paraId="0D3E25F3">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28</w:t>
            </w:r>
          </w:p>
        </w:tc>
        <w:tc>
          <w:tcPr>
            <w:tcW w:w="1688" w:type="dxa"/>
            <w:vAlign w:val="center"/>
          </w:tcPr>
          <w:p w14:paraId="3AE87A1D">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蔓荊子</w:t>
            </w:r>
          </w:p>
        </w:tc>
        <w:tc>
          <w:tcPr>
            <w:tcW w:w="817" w:type="dxa"/>
            <w:vAlign w:val="center"/>
          </w:tcPr>
          <w:p w14:paraId="1337503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48</w:t>
            </w:r>
          </w:p>
        </w:tc>
        <w:tc>
          <w:tcPr>
            <w:tcW w:w="1692" w:type="dxa"/>
            <w:vAlign w:val="center"/>
          </w:tcPr>
          <w:p w14:paraId="089DD8AE">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牡丹皮</w:t>
            </w:r>
          </w:p>
        </w:tc>
        <w:tc>
          <w:tcPr>
            <w:tcW w:w="813" w:type="dxa"/>
            <w:vAlign w:val="center"/>
          </w:tcPr>
          <w:p w14:paraId="17D43AFA">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68</w:t>
            </w:r>
          </w:p>
        </w:tc>
        <w:tc>
          <w:tcPr>
            <w:tcW w:w="1697" w:type="dxa"/>
            <w:vAlign w:val="center"/>
          </w:tcPr>
          <w:p w14:paraId="0DB1AAC7">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丹参</w:t>
            </w:r>
          </w:p>
        </w:tc>
      </w:tr>
      <w:tr w14:paraId="6A4E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159C20ED">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9</w:t>
            </w:r>
          </w:p>
        </w:tc>
        <w:tc>
          <w:tcPr>
            <w:tcW w:w="1684" w:type="dxa"/>
            <w:vAlign w:val="center"/>
          </w:tcPr>
          <w:p w14:paraId="3C6B4158">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天竺黄</w:t>
            </w:r>
          </w:p>
        </w:tc>
        <w:tc>
          <w:tcPr>
            <w:tcW w:w="821" w:type="dxa"/>
            <w:vAlign w:val="center"/>
          </w:tcPr>
          <w:p w14:paraId="00EA8772">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29</w:t>
            </w:r>
          </w:p>
        </w:tc>
        <w:tc>
          <w:tcPr>
            <w:tcW w:w="1688" w:type="dxa"/>
            <w:vAlign w:val="center"/>
          </w:tcPr>
          <w:p w14:paraId="09CB41F2">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山药</w:t>
            </w:r>
          </w:p>
        </w:tc>
        <w:tc>
          <w:tcPr>
            <w:tcW w:w="817" w:type="dxa"/>
            <w:vAlign w:val="center"/>
          </w:tcPr>
          <w:p w14:paraId="70F7F375">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49</w:t>
            </w:r>
          </w:p>
        </w:tc>
        <w:tc>
          <w:tcPr>
            <w:tcW w:w="1692" w:type="dxa"/>
            <w:vAlign w:val="center"/>
          </w:tcPr>
          <w:p w14:paraId="0EE6ADEE">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淡豆豉</w:t>
            </w:r>
          </w:p>
        </w:tc>
        <w:tc>
          <w:tcPr>
            <w:tcW w:w="813" w:type="dxa"/>
            <w:vAlign w:val="center"/>
          </w:tcPr>
          <w:p w14:paraId="0AB47146">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69</w:t>
            </w:r>
          </w:p>
        </w:tc>
        <w:tc>
          <w:tcPr>
            <w:tcW w:w="1697" w:type="dxa"/>
            <w:vAlign w:val="center"/>
          </w:tcPr>
          <w:p w14:paraId="303DDDFE">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地骨皮</w:t>
            </w:r>
          </w:p>
        </w:tc>
      </w:tr>
      <w:tr w14:paraId="0EA0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7DFFB6BD">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10</w:t>
            </w:r>
          </w:p>
        </w:tc>
        <w:tc>
          <w:tcPr>
            <w:tcW w:w="1684" w:type="dxa"/>
            <w:vAlign w:val="center"/>
          </w:tcPr>
          <w:p w14:paraId="74E82C7F">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化橘红</w:t>
            </w:r>
          </w:p>
        </w:tc>
        <w:tc>
          <w:tcPr>
            <w:tcW w:w="821" w:type="dxa"/>
            <w:vAlign w:val="center"/>
          </w:tcPr>
          <w:p w14:paraId="665DBAE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30</w:t>
            </w:r>
          </w:p>
        </w:tc>
        <w:tc>
          <w:tcPr>
            <w:tcW w:w="1688" w:type="dxa"/>
            <w:vAlign w:val="center"/>
          </w:tcPr>
          <w:p w14:paraId="621A49AB">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kern w:val="0"/>
                <w:sz w:val="24"/>
                <w:szCs w:val="24"/>
                <w:highlight w:val="none"/>
                <w:vertAlign w:val="baseline"/>
                <w:lang w:val="en-US" w:eastAsia="zh-CN" w:bidi="ar-SA"/>
              </w:rPr>
              <w:t>盐</w:t>
            </w:r>
            <w:r>
              <w:rPr>
                <w:rFonts w:hint="eastAsia" w:ascii="宋体" w:hAnsi="宋体" w:eastAsia="宋体" w:cs="宋体"/>
                <w:color w:val="auto"/>
                <w:kern w:val="0"/>
                <w:sz w:val="24"/>
                <w:szCs w:val="24"/>
                <w:highlight w:val="none"/>
                <w:vertAlign w:val="baseline"/>
                <w:lang w:val="en-US" w:eastAsia="zh-CN" w:bidi="ar-SA"/>
              </w:rPr>
              <w:t>菟丝子</w:t>
            </w:r>
          </w:p>
        </w:tc>
        <w:tc>
          <w:tcPr>
            <w:tcW w:w="817" w:type="dxa"/>
            <w:vAlign w:val="center"/>
          </w:tcPr>
          <w:p w14:paraId="76B5703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50</w:t>
            </w:r>
          </w:p>
        </w:tc>
        <w:tc>
          <w:tcPr>
            <w:tcW w:w="1692" w:type="dxa"/>
            <w:vAlign w:val="center"/>
          </w:tcPr>
          <w:p w14:paraId="7B9F6DB6">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通草</w:t>
            </w:r>
          </w:p>
        </w:tc>
        <w:tc>
          <w:tcPr>
            <w:tcW w:w="813" w:type="dxa"/>
            <w:vAlign w:val="center"/>
          </w:tcPr>
          <w:p w14:paraId="1D58BD42">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70</w:t>
            </w:r>
          </w:p>
        </w:tc>
        <w:tc>
          <w:tcPr>
            <w:tcW w:w="1697" w:type="dxa"/>
            <w:vAlign w:val="center"/>
          </w:tcPr>
          <w:p w14:paraId="3B6B55E1">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夏枯草</w:t>
            </w:r>
          </w:p>
        </w:tc>
      </w:tr>
      <w:tr w14:paraId="3A7A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1CAFB903">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11</w:t>
            </w:r>
          </w:p>
        </w:tc>
        <w:tc>
          <w:tcPr>
            <w:tcW w:w="1684" w:type="dxa"/>
            <w:vAlign w:val="center"/>
          </w:tcPr>
          <w:p w14:paraId="0017CE10">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燀桃仁</w:t>
            </w:r>
          </w:p>
        </w:tc>
        <w:tc>
          <w:tcPr>
            <w:tcW w:w="821" w:type="dxa"/>
            <w:vAlign w:val="center"/>
          </w:tcPr>
          <w:p w14:paraId="6B4B087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31</w:t>
            </w:r>
          </w:p>
        </w:tc>
        <w:tc>
          <w:tcPr>
            <w:tcW w:w="1688" w:type="dxa"/>
            <w:vAlign w:val="center"/>
          </w:tcPr>
          <w:p w14:paraId="2E898EE7">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酒萸肉</w:t>
            </w:r>
          </w:p>
        </w:tc>
        <w:tc>
          <w:tcPr>
            <w:tcW w:w="817" w:type="dxa"/>
            <w:vAlign w:val="center"/>
          </w:tcPr>
          <w:p w14:paraId="719FCF98">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51</w:t>
            </w:r>
          </w:p>
        </w:tc>
        <w:tc>
          <w:tcPr>
            <w:tcW w:w="1692" w:type="dxa"/>
            <w:vAlign w:val="center"/>
          </w:tcPr>
          <w:p w14:paraId="28D6002A">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炒苍术</w:t>
            </w:r>
          </w:p>
        </w:tc>
        <w:tc>
          <w:tcPr>
            <w:tcW w:w="813" w:type="dxa"/>
            <w:vAlign w:val="center"/>
          </w:tcPr>
          <w:p w14:paraId="00F88C96">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71</w:t>
            </w:r>
          </w:p>
        </w:tc>
        <w:tc>
          <w:tcPr>
            <w:tcW w:w="1697" w:type="dxa"/>
            <w:vAlign w:val="center"/>
          </w:tcPr>
          <w:p w14:paraId="0B5565B7">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皂角刺</w:t>
            </w:r>
          </w:p>
        </w:tc>
      </w:tr>
      <w:tr w14:paraId="38E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03D5B46D">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12</w:t>
            </w:r>
          </w:p>
        </w:tc>
        <w:tc>
          <w:tcPr>
            <w:tcW w:w="1684" w:type="dxa"/>
            <w:vAlign w:val="center"/>
          </w:tcPr>
          <w:p w14:paraId="42A57565">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制川乌</w:t>
            </w:r>
          </w:p>
        </w:tc>
        <w:tc>
          <w:tcPr>
            <w:tcW w:w="821" w:type="dxa"/>
            <w:vAlign w:val="center"/>
          </w:tcPr>
          <w:p w14:paraId="61A3B39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32</w:t>
            </w:r>
          </w:p>
        </w:tc>
        <w:tc>
          <w:tcPr>
            <w:tcW w:w="1688" w:type="dxa"/>
            <w:vAlign w:val="center"/>
          </w:tcPr>
          <w:p w14:paraId="1B9C0F98">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炒酸枣仁</w:t>
            </w:r>
          </w:p>
        </w:tc>
        <w:tc>
          <w:tcPr>
            <w:tcW w:w="817" w:type="dxa"/>
            <w:vAlign w:val="center"/>
          </w:tcPr>
          <w:p w14:paraId="14B91806">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52</w:t>
            </w:r>
          </w:p>
        </w:tc>
        <w:tc>
          <w:tcPr>
            <w:tcW w:w="1692" w:type="dxa"/>
            <w:vAlign w:val="center"/>
          </w:tcPr>
          <w:p w14:paraId="25A05A35">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土茯苓</w:t>
            </w:r>
          </w:p>
        </w:tc>
        <w:tc>
          <w:tcPr>
            <w:tcW w:w="813" w:type="dxa"/>
            <w:vAlign w:val="center"/>
          </w:tcPr>
          <w:p w14:paraId="102CF4A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72</w:t>
            </w:r>
          </w:p>
        </w:tc>
        <w:tc>
          <w:tcPr>
            <w:tcW w:w="1697" w:type="dxa"/>
            <w:vAlign w:val="center"/>
          </w:tcPr>
          <w:p w14:paraId="3E2FCE3A">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kern w:val="0"/>
                <w:sz w:val="24"/>
                <w:szCs w:val="24"/>
                <w:highlight w:val="none"/>
                <w:vertAlign w:val="baseline"/>
                <w:lang w:val="en-US" w:eastAsia="zh-CN" w:bidi="ar-SA"/>
              </w:rPr>
              <w:t>山</w:t>
            </w:r>
            <w:r>
              <w:rPr>
                <w:rFonts w:hint="eastAsia" w:ascii="宋体" w:hAnsi="宋体" w:eastAsia="宋体" w:cs="宋体"/>
                <w:color w:val="auto"/>
                <w:kern w:val="0"/>
                <w:sz w:val="24"/>
                <w:szCs w:val="24"/>
                <w:highlight w:val="none"/>
                <w:vertAlign w:val="baseline"/>
                <w:lang w:val="en-US" w:eastAsia="zh-CN" w:bidi="ar-SA"/>
              </w:rPr>
              <w:t>麦冬</w:t>
            </w:r>
          </w:p>
        </w:tc>
      </w:tr>
      <w:tr w14:paraId="2626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7529EBAE">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13</w:t>
            </w:r>
          </w:p>
        </w:tc>
        <w:tc>
          <w:tcPr>
            <w:tcW w:w="1684" w:type="dxa"/>
            <w:vAlign w:val="center"/>
          </w:tcPr>
          <w:p w14:paraId="7C020B71">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白花蛇舌草</w:t>
            </w:r>
          </w:p>
        </w:tc>
        <w:tc>
          <w:tcPr>
            <w:tcW w:w="821" w:type="dxa"/>
            <w:vAlign w:val="center"/>
          </w:tcPr>
          <w:p w14:paraId="69AB6E9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33</w:t>
            </w:r>
          </w:p>
        </w:tc>
        <w:tc>
          <w:tcPr>
            <w:tcW w:w="1688" w:type="dxa"/>
            <w:vAlign w:val="center"/>
          </w:tcPr>
          <w:p w14:paraId="7E470BCB">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葛根</w:t>
            </w:r>
          </w:p>
        </w:tc>
        <w:tc>
          <w:tcPr>
            <w:tcW w:w="817" w:type="dxa"/>
            <w:vAlign w:val="center"/>
          </w:tcPr>
          <w:p w14:paraId="1AA5E0E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53</w:t>
            </w:r>
          </w:p>
        </w:tc>
        <w:tc>
          <w:tcPr>
            <w:tcW w:w="1692" w:type="dxa"/>
            <w:vAlign w:val="center"/>
          </w:tcPr>
          <w:p w14:paraId="506855CB">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茜草</w:t>
            </w:r>
          </w:p>
        </w:tc>
        <w:tc>
          <w:tcPr>
            <w:tcW w:w="813" w:type="dxa"/>
            <w:vAlign w:val="center"/>
          </w:tcPr>
          <w:p w14:paraId="3418300F">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73</w:t>
            </w:r>
          </w:p>
        </w:tc>
        <w:tc>
          <w:tcPr>
            <w:tcW w:w="1697" w:type="dxa"/>
            <w:vAlign w:val="center"/>
          </w:tcPr>
          <w:p w14:paraId="61949E16">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金银花</w:t>
            </w:r>
          </w:p>
        </w:tc>
      </w:tr>
      <w:tr w14:paraId="7FEE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005E537F">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14</w:t>
            </w:r>
          </w:p>
        </w:tc>
        <w:tc>
          <w:tcPr>
            <w:tcW w:w="1684" w:type="dxa"/>
            <w:vAlign w:val="center"/>
          </w:tcPr>
          <w:p w14:paraId="63ADCF9C">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野菊花</w:t>
            </w:r>
          </w:p>
        </w:tc>
        <w:tc>
          <w:tcPr>
            <w:tcW w:w="821" w:type="dxa"/>
            <w:vAlign w:val="center"/>
          </w:tcPr>
          <w:p w14:paraId="21DB4CC3">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34</w:t>
            </w:r>
          </w:p>
        </w:tc>
        <w:tc>
          <w:tcPr>
            <w:tcW w:w="1688" w:type="dxa"/>
            <w:vAlign w:val="center"/>
          </w:tcPr>
          <w:p w14:paraId="45CDB979">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麸炒枳壳</w:t>
            </w:r>
          </w:p>
        </w:tc>
        <w:tc>
          <w:tcPr>
            <w:tcW w:w="817" w:type="dxa"/>
            <w:vAlign w:val="center"/>
          </w:tcPr>
          <w:p w14:paraId="114F37E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54</w:t>
            </w:r>
          </w:p>
        </w:tc>
        <w:tc>
          <w:tcPr>
            <w:tcW w:w="1692" w:type="dxa"/>
            <w:vAlign w:val="center"/>
          </w:tcPr>
          <w:p w14:paraId="191FA19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龙骨</w:t>
            </w:r>
          </w:p>
        </w:tc>
        <w:tc>
          <w:tcPr>
            <w:tcW w:w="813" w:type="dxa"/>
            <w:vAlign w:val="center"/>
          </w:tcPr>
          <w:p w14:paraId="0557EB95">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74</w:t>
            </w:r>
          </w:p>
        </w:tc>
        <w:tc>
          <w:tcPr>
            <w:tcW w:w="1697" w:type="dxa"/>
            <w:vAlign w:val="center"/>
          </w:tcPr>
          <w:p w14:paraId="7EDBD3F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红景天</w:t>
            </w:r>
          </w:p>
        </w:tc>
      </w:tr>
      <w:tr w14:paraId="6AFB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387D1CF8">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15</w:t>
            </w:r>
          </w:p>
        </w:tc>
        <w:tc>
          <w:tcPr>
            <w:tcW w:w="1684" w:type="dxa"/>
            <w:vAlign w:val="center"/>
          </w:tcPr>
          <w:p w14:paraId="07E82E34">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炒僵蚕</w:t>
            </w:r>
          </w:p>
        </w:tc>
        <w:tc>
          <w:tcPr>
            <w:tcW w:w="821" w:type="dxa"/>
            <w:vAlign w:val="center"/>
          </w:tcPr>
          <w:p w14:paraId="3A9B372B">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35</w:t>
            </w:r>
          </w:p>
        </w:tc>
        <w:tc>
          <w:tcPr>
            <w:tcW w:w="1688" w:type="dxa"/>
            <w:vAlign w:val="center"/>
          </w:tcPr>
          <w:p w14:paraId="6E846DD8">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全蝎</w:t>
            </w:r>
          </w:p>
        </w:tc>
        <w:tc>
          <w:tcPr>
            <w:tcW w:w="817" w:type="dxa"/>
            <w:vAlign w:val="center"/>
          </w:tcPr>
          <w:p w14:paraId="71E4AB05">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55</w:t>
            </w:r>
          </w:p>
        </w:tc>
        <w:tc>
          <w:tcPr>
            <w:tcW w:w="1692" w:type="dxa"/>
            <w:vAlign w:val="center"/>
          </w:tcPr>
          <w:p w14:paraId="270BFEE0">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麸炒枳实</w:t>
            </w:r>
          </w:p>
        </w:tc>
        <w:tc>
          <w:tcPr>
            <w:tcW w:w="813" w:type="dxa"/>
            <w:vAlign w:val="center"/>
          </w:tcPr>
          <w:p w14:paraId="69308CBD">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75</w:t>
            </w:r>
          </w:p>
        </w:tc>
        <w:tc>
          <w:tcPr>
            <w:tcW w:w="1697" w:type="dxa"/>
            <w:vAlign w:val="center"/>
          </w:tcPr>
          <w:p w14:paraId="410B1ADA">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熟地黄</w:t>
            </w:r>
          </w:p>
        </w:tc>
      </w:tr>
      <w:tr w14:paraId="4E60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059609FC">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16</w:t>
            </w:r>
          </w:p>
        </w:tc>
        <w:tc>
          <w:tcPr>
            <w:tcW w:w="1684" w:type="dxa"/>
            <w:vAlign w:val="center"/>
          </w:tcPr>
          <w:p w14:paraId="3DC6548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柏子仁</w:t>
            </w:r>
          </w:p>
        </w:tc>
        <w:tc>
          <w:tcPr>
            <w:tcW w:w="821" w:type="dxa"/>
            <w:vAlign w:val="center"/>
          </w:tcPr>
          <w:p w14:paraId="2EB5DBD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36</w:t>
            </w:r>
          </w:p>
        </w:tc>
        <w:tc>
          <w:tcPr>
            <w:tcW w:w="1688" w:type="dxa"/>
            <w:vAlign w:val="center"/>
          </w:tcPr>
          <w:p w14:paraId="4808F326">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金樱子肉</w:t>
            </w:r>
          </w:p>
        </w:tc>
        <w:tc>
          <w:tcPr>
            <w:tcW w:w="817" w:type="dxa"/>
            <w:vAlign w:val="center"/>
          </w:tcPr>
          <w:p w14:paraId="3BE121FA">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56</w:t>
            </w:r>
          </w:p>
        </w:tc>
        <w:tc>
          <w:tcPr>
            <w:tcW w:w="1692" w:type="dxa"/>
            <w:vAlign w:val="center"/>
          </w:tcPr>
          <w:p w14:paraId="4AD8C71F">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龙眼肉</w:t>
            </w:r>
          </w:p>
        </w:tc>
        <w:tc>
          <w:tcPr>
            <w:tcW w:w="813" w:type="dxa"/>
            <w:vAlign w:val="center"/>
          </w:tcPr>
          <w:p w14:paraId="6C458617">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76</w:t>
            </w:r>
          </w:p>
        </w:tc>
        <w:tc>
          <w:tcPr>
            <w:tcW w:w="1697" w:type="dxa"/>
            <w:vAlign w:val="center"/>
          </w:tcPr>
          <w:p w14:paraId="35E0E40B">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山豆根</w:t>
            </w:r>
          </w:p>
        </w:tc>
      </w:tr>
      <w:tr w14:paraId="21DF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3AF0D74E">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17</w:t>
            </w:r>
          </w:p>
        </w:tc>
        <w:tc>
          <w:tcPr>
            <w:tcW w:w="1684" w:type="dxa"/>
            <w:vAlign w:val="center"/>
          </w:tcPr>
          <w:p w14:paraId="1D3B9BE4">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大腹皮</w:t>
            </w:r>
          </w:p>
        </w:tc>
        <w:tc>
          <w:tcPr>
            <w:tcW w:w="821" w:type="dxa"/>
            <w:vAlign w:val="center"/>
          </w:tcPr>
          <w:p w14:paraId="5A5E74C8">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37</w:t>
            </w:r>
          </w:p>
        </w:tc>
        <w:tc>
          <w:tcPr>
            <w:tcW w:w="1688" w:type="dxa"/>
            <w:vAlign w:val="center"/>
          </w:tcPr>
          <w:p w14:paraId="1174C493">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栀子</w:t>
            </w:r>
          </w:p>
        </w:tc>
        <w:tc>
          <w:tcPr>
            <w:tcW w:w="817" w:type="dxa"/>
            <w:vAlign w:val="center"/>
          </w:tcPr>
          <w:p w14:paraId="5026E629">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57</w:t>
            </w:r>
          </w:p>
        </w:tc>
        <w:tc>
          <w:tcPr>
            <w:tcW w:w="1692" w:type="dxa"/>
            <w:vAlign w:val="center"/>
          </w:tcPr>
          <w:p w14:paraId="3B3E6111">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覆盆子</w:t>
            </w:r>
          </w:p>
        </w:tc>
        <w:tc>
          <w:tcPr>
            <w:tcW w:w="813" w:type="dxa"/>
            <w:vAlign w:val="center"/>
          </w:tcPr>
          <w:p w14:paraId="60FDF893">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77</w:t>
            </w:r>
          </w:p>
        </w:tc>
        <w:tc>
          <w:tcPr>
            <w:tcW w:w="1697" w:type="dxa"/>
            <w:vAlign w:val="center"/>
          </w:tcPr>
          <w:p w14:paraId="2B53172B">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红花</w:t>
            </w:r>
          </w:p>
        </w:tc>
      </w:tr>
      <w:tr w14:paraId="181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4DF873B0">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18</w:t>
            </w:r>
          </w:p>
        </w:tc>
        <w:tc>
          <w:tcPr>
            <w:tcW w:w="1684" w:type="dxa"/>
            <w:vAlign w:val="center"/>
          </w:tcPr>
          <w:p w14:paraId="385E2A8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砂仁</w:t>
            </w:r>
          </w:p>
        </w:tc>
        <w:tc>
          <w:tcPr>
            <w:tcW w:w="821" w:type="dxa"/>
            <w:vAlign w:val="center"/>
          </w:tcPr>
          <w:p w14:paraId="37EFFCC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38</w:t>
            </w:r>
          </w:p>
        </w:tc>
        <w:tc>
          <w:tcPr>
            <w:tcW w:w="1688" w:type="dxa"/>
            <w:vAlign w:val="center"/>
          </w:tcPr>
          <w:p w14:paraId="3A8916EB">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红参片</w:t>
            </w:r>
          </w:p>
        </w:tc>
        <w:tc>
          <w:tcPr>
            <w:tcW w:w="817" w:type="dxa"/>
            <w:vAlign w:val="center"/>
          </w:tcPr>
          <w:p w14:paraId="000FEC9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58</w:t>
            </w:r>
          </w:p>
        </w:tc>
        <w:tc>
          <w:tcPr>
            <w:tcW w:w="1692" w:type="dxa"/>
            <w:vAlign w:val="center"/>
          </w:tcPr>
          <w:p w14:paraId="4F3C296B">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盐泽泻</w:t>
            </w:r>
          </w:p>
        </w:tc>
        <w:tc>
          <w:tcPr>
            <w:tcW w:w="813" w:type="dxa"/>
            <w:vAlign w:val="center"/>
          </w:tcPr>
          <w:p w14:paraId="1A0F398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78</w:t>
            </w:r>
          </w:p>
        </w:tc>
        <w:tc>
          <w:tcPr>
            <w:tcW w:w="1697" w:type="dxa"/>
            <w:vAlign w:val="center"/>
          </w:tcPr>
          <w:p w14:paraId="6852DBDA">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瓜蒌</w:t>
            </w:r>
          </w:p>
        </w:tc>
      </w:tr>
      <w:tr w14:paraId="6F62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5" w:type="dxa"/>
            <w:vAlign w:val="center"/>
          </w:tcPr>
          <w:p w14:paraId="1C16B740">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19</w:t>
            </w:r>
          </w:p>
        </w:tc>
        <w:tc>
          <w:tcPr>
            <w:tcW w:w="1684" w:type="dxa"/>
            <w:vAlign w:val="center"/>
          </w:tcPr>
          <w:p w14:paraId="770E8DF4">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天花粉</w:t>
            </w:r>
          </w:p>
        </w:tc>
        <w:tc>
          <w:tcPr>
            <w:tcW w:w="821" w:type="dxa"/>
            <w:vAlign w:val="center"/>
          </w:tcPr>
          <w:p w14:paraId="69C1DA10">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39</w:t>
            </w:r>
          </w:p>
        </w:tc>
        <w:tc>
          <w:tcPr>
            <w:tcW w:w="1688" w:type="dxa"/>
            <w:vAlign w:val="center"/>
          </w:tcPr>
          <w:p w14:paraId="037916A3">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Times New Roman"/>
                <w:color w:val="auto"/>
                <w:kern w:val="2"/>
                <w:sz w:val="24"/>
                <w:szCs w:val="24"/>
                <w:highlight w:val="none"/>
                <w:lang w:val="en-US" w:eastAsia="zh-CN" w:bidi="ar-SA"/>
              </w:rPr>
              <w:t>白术</w:t>
            </w:r>
          </w:p>
        </w:tc>
        <w:tc>
          <w:tcPr>
            <w:tcW w:w="817" w:type="dxa"/>
            <w:vAlign w:val="center"/>
          </w:tcPr>
          <w:p w14:paraId="3A827624">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59</w:t>
            </w:r>
          </w:p>
        </w:tc>
        <w:tc>
          <w:tcPr>
            <w:tcW w:w="1692" w:type="dxa"/>
            <w:vAlign w:val="center"/>
          </w:tcPr>
          <w:p w14:paraId="3B34E0CC">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甘草片</w:t>
            </w:r>
          </w:p>
        </w:tc>
        <w:tc>
          <w:tcPr>
            <w:tcW w:w="813" w:type="dxa"/>
            <w:vAlign w:val="center"/>
          </w:tcPr>
          <w:p w14:paraId="0C04C58E">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79</w:t>
            </w:r>
          </w:p>
        </w:tc>
        <w:tc>
          <w:tcPr>
            <w:tcW w:w="1697" w:type="dxa"/>
            <w:vAlign w:val="center"/>
          </w:tcPr>
          <w:p w14:paraId="24D8F197">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地龙</w:t>
            </w:r>
          </w:p>
        </w:tc>
      </w:tr>
      <w:tr w14:paraId="4991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25" w:type="dxa"/>
            <w:vAlign w:val="center"/>
          </w:tcPr>
          <w:p w14:paraId="1AC3D878">
            <w:pPr>
              <w:pStyle w:val="384"/>
              <w:keepNext w:val="0"/>
              <w:keepLines w:val="0"/>
              <w:pageBreakBefore w:val="0"/>
              <w:numPr>
                <w:ilvl w:val="0"/>
                <w:numId w:val="0"/>
              </w:numPr>
              <w:kinsoku/>
              <w:wordWrap/>
              <w:overflowPunct/>
              <w:topLinePunct w:val="0"/>
              <w:bidi w:val="0"/>
              <w:snapToGrid/>
              <w:spacing w:line="320" w:lineRule="exact"/>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20</w:t>
            </w:r>
          </w:p>
        </w:tc>
        <w:tc>
          <w:tcPr>
            <w:tcW w:w="1684" w:type="dxa"/>
            <w:vAlign w:val="center"/>
          </w:tcPr>
          <w:p w14:paraId="1D54CA04">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酒苁蓉</w:t>
            </w:r>
          </w:p>
        </w:tc>
        <w:tc>
          <w:tcPr>
            <w:tcW w:w="821" w:type="dxa"/>
            <w:vAlign w:val="center"/>
          </w:tcPr>
          <w:p w14:paraId="6CA5D946">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40</w:t>
            </w:r>
          </w:p>
        </w:tc>
        <w:tc>
          <w:tcPr>
            <w:tcW w:w="1688" w:type="dxa"/>
            <w:vAlign w:val="center"/>
          </w:tcPr>
          <w:p w14:paraId="029841B0">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炒决明子</w:t>
            </w:r>
          </w:p>
        </w:tc>
        <w:tc>
          <w:tcPr>
            <w:tcW w:w="817" w:type="dxa"/>
            <w:vAlign w:val="center"/>
          </w:tcPr>
          <w:p w14:paraId="694A470A">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60</w:t>
            </w:r>
          </w:p>
        </w:tc>
        <w:tc>
          <w:tcPr>
            <w:tcW w:w="1692" w:type="dxa"/>
            <w:vAlign w:val="center"/>
          </w:tcPr>
          <w:p w14:paraId="23CF6E02">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广藿香</w:t>
            </w:r>
          </w:p>
        </w:tc>
        <w:tc>
          <w:tcPr>
            <w:tcW w:w="813" w:type="dxa"/>
            <w:vAlign w:val="center"/>
          </w:tcPr>
          <w:p w14:paraId="294C2A58">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80</w:t>
            </w:r>
          </w:p>
        </w:tc>
        <w:tc>
          <w:tcPr>
            <w:tcW w:w="1697" w:type="dxa"/>
            <w:vAlign w:val="center"/>
          </w:tcPr>
          <w:p w14:paraId="6CD443D4">
            <w:pPr>
              <w:keepNext w:val="0"/>
              <w:keepLines w:val="0"/>
              <w:widowControl/>
              <w:suppressLineNumbers w:val="0"/>
              <w:jc w:val="center"/>
              <w:textAlignment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Times New Roman"/>
                <w:color w:val="auto"/>
                <w:kern w:val="2"/>
                <w:sz w:val="24"/>
                <w:szCs w:val="24"/>
                <w:highlight w:val="none"/>
                <w:lang w:val="en-US" w:eastAsia="zh-CN" w:bidi="ar-SA"/>
              </w:rPr>
              <w:t>防风</w:t>
            </w:r>
          </w:p>
        </w:tc>
      </w:tr>
    </w:tbl>
    <w:p w14:paraId="62815264">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14.1.样品递交要求：</w:t>
      </w:r>
    </w:p>
    <w:p w14:paraId="1BE0B37F">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14.1.1、投标供应商应提供实物供现场评测:开标前，投标供应商必须按照招标文件规定的第五部分《采购需求》提供所要求的样品，各投标供应商须单独提供所述样品，在样品箱上，采用 210mm x 297mm（约 8.27 英寸 x 11.69 英寸）白色纸张，张贴样品清单及样品数量，显示供应商名称及联系人、联系方式，并密封完好。</w:t>
      </w:r>
      <w:bookmarkStart w:id="352" w:name="_GoBack"/>
      <w:bookmarkEnd w:id="352"/>
      <w:r>
        <w:rPr>
          <w:rFonts w:hint="eastAsia" w:asciiTheme="minorEastAsia" w:hAnsiTheme="minorEastAsia" w:eastAsiaTheme="minorEastAsia" w:cstheme="minorEastAsia"/>
          <w:color w:val="auto"/>
          <w:sz w:val="24"/>
          <w:szCs w:val="24"/>
          <w:highlight w:val="none"/>
          <w:lang w:val="en-US" w:eastAsia="zh-CN"/>
        </w:rPr>
        <w:t>所提供样品须与投标文件内所述内容产品一致，且每个品种只能提供一种样品，投标供应商需按每种原厂最小包装规格准备样品，包装袋上需标注药品的名称、产地、生产厂家及产品溯源码，包装袋上需标注药品的名称、产地、生产厂家及产品溯源码；并单独提供完整、真实的所投产品的外包装袋，密封在样品箱中，和样品共同递交。如未按规定提供上述内容则不作为评标依据，对评标结果产生的不良影响，由投标供应商自行承担。</w:t>
      </w:r>
    </w:p>
    <w:p w14:paraId="0E5AD5C1">
      <w:pPr>
        <w:pStyle w:val="384"/>
        <w:spacing w:line="540" w:lineRule="exact"/>
        <w:ind w:firstLine="480"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14.1.2、中标供应商所提供的样品由医院封存，中标供应商在合同期内必须交付与评标时质量相同的中药饮片，入库验收时如发现与评标留样样品不相符的，终止供应商资格。</w:t>
      </w:r>
    </w:p>
    <w:p w14:paraId="5860DD93">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14.1.3、样品递交时间及截止时间详见招标文件前附须知表</w:t>
      </w:r>
    </w:p>
    <w:p w14:paraId="607DC2D1">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14.1.4、样品递交地点详见招标文件前附须知表</w:t>
      </w:r>
    </w:p>
    <w:p w14:paraId="3EA11F33">
      <w:pPr>
        <w:pStyle w:val="384"/>
        <w:spacing w:line="54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14.1.5、此次投标，如不按规定提供样品，则不作为评标依据，对评标结果产生的不良影响，由投标供应商自行承担。</w:t>
      </w:r>
    </w:p>
    <w:p w14:paraId="578A30BC">
      <w:pPr>
        <w:pStyle w:val="384"/>
        <w:spacing w:line="540" w:lineRule="exact"/>
        <w:ind w:firstLine="480" w:firstLineChars="200"/>
        <w:jc w:val="both"/>
        <w:rPr>
          <w:rFonts w:hint="eastAsia" w:ascii="仿宋" w:hAnsi="仿宋" w:eastAsia="仿宋" w:cs="仿宋"/>
          <w:b w:val="0"/>
          <w:bCs w:val="0"/>
          <w:color w:val="auto"/>
          <w:sz w:val="28"/>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15.</w:t>
      </w:r>
      <w:r>
        <w:rPr>
          <w:rFonts w:hint="eastAsia" w:asciiTheme="minorEastAsia" w:hAnsiTheme="minorEastAsia" w:eastAsiaTheme="minorEastAsia" w:cstheme="minorEastAsia"/>
          <w:b w:val="0"/>
          <w:bCs w:val="0"/>
          <w:color w:val="auto"/>
          <w:sz w:val="24"/>
          <w:szCs w:val="24"/>
          <w:highlight w:val="none"/>
          <w:lang w:eastAsia="zh-CN"/>
        </w:rPr>
        <w:t>中标企业根据中药饮片业务需求，配合医院开展智慧化中药房建设。</w:t>
      </w:r>
    </w:p>
    <w:p w14:paraId="1C7E21EB">
      <w:pPr>
        <w:pStyle w:val="171"/>
        <w:numPr>
          <w:ilvl w:val="0"/>
          <w:numId w:val="0"/>
        </w:numPr>
        <w:spacing w:line="360" w:lineRule="auto"/>
        <w:ind w:leftChars="0"/>
        <w:jc w:val="center"/>
        <w:rPr>
          <w:rFonts w:hint="eastAsia" w:ascii="宋体" w:hAnsi="宋体" w:eastAsia="宋体" w:cs="宋体"/>
          <w:bCs/>
          <w:color w:val="auto"/>
          <w:sz w:val="21"/>
          <w:szCs w:val="21"/>
          <w:highlight w:val="none"/>
        </w:rPr>
      </w:pPr>
    </w:p>
    <w:p w14:paraId="59623FD6">
      <w:pPr>
        <w:pStyle w:val="171"/>
        <w:numPr>
          <w:ilvl w:val="0"/>
          <w:numId w:val="0"/>
        </w:numPr>
        <w:spacing w:line="360" w:lineRule="auto"/>
        <w:ind w:leftChars="0"/>
        <w:jc w:val="center"/>
        <w:rPr>
          <w:rFonts w:hint="eastAsia" w:ascii="宋体"/>
          <w:color w:val="auto"/>
          <w:sz w:val="36"/>
          <w:szCs w:val="36"/>
          <w:highlight w:val="none"/>
          <w:lang w:val="en-US" w:eastAsia="zh-CN"/>
        </w:rPr>
      </w:pPr>
      <w:r>
        <w:rPr>
          <w:rFonts w:hint="eastAsia" w:ascii="宋体"/>
          <w:color w:val="auto"/>
          <w:sz w:val="36"/>
          <w:szCs w:val="36"/>
          <w:highlight w:val="none"/>
        </w:rPr>
        <w:br w:type="page"/>
      </w:r>
      <w:r>
        <w:rPr>
          <w:rFonts w:hint="eastAsia" w:ascii="宋体"/>
          <w:color w:val="auto"/>
          <w:sz w:val="36"/>
          <w:szCs w:val="36"/>
          <w:highlight w:val="none"/>
        </w:rPr>
        <w:t>第六章</w:t>
      </w:r>
      <w:r>
        <w:rPr>
          <w:rFonts w:hint="eastAsia" w:ascii="宋体"/>
          <w:color w:val="auto"/>
          <w:sz w:val="36"/>
          <w:szCs w:val="36"/>
          <w:highlight w:val="none"/>
          <w:lang w:val="en-US" w:eastAsia="zh-CN"/>
        </w:rPr>
        <w:t xml:space="preserve"> </w:t>
      </w:r>
      <w:r>
        <w:rPr>
          <w:rFonts w:hint="eastAsia" w:ascii="宋体"/>
          <w:color w:val="auto"/>
          <w:sz w:val="36"/>
          <w:szCs w:val="36"/>
          <w:highlight w:val="none"/>
        </w:rPr>
        <w:t xml:space="preserve"> </w:t>
      </w:r>
      <w:bookmarkEnd w:id="347"/>
      <w:bookmarkStart w:id="349" w:name="_Toc380404622"/>
      <w:bookmarkStart w:id="350" w:name="_Toc497666658"/>
      <w:r>
        <w:rPr>
          <w:rFonts w:hint="eastAsia" w:ascii="宋体"/>
          <w:color w:val="auto"/>
          <w:sz w:val="36"/>
          <w:szCs w:val="36"/>
          <w:highlight w:val="none"/>
          <w:lang w:eastAsia="zh-CN"/>
        </w:rPr>
        <w:t>拟签订的合同文本</w:t>
      </w:r>
      <w:bookmarkEnd w:id="348"/>
    </w:p>
    <w:bookmarkEnd w:id="349"/>
    <w:bookmarkEnd w:id="350"/>
    <w:p w14:paraId="5A78BA5B">
      <w:pPr>
        <w:spacing w:line="560" w:lineRule="exact"/>
        <w:ind w:firstLine="601"/>
        <w:jc w:val="center"/>
        <w:rPr>
          <w:rFonts w:ascii="仿宋" w:hAnsi="仿宋" w:eastAsia="仿宋"/>
          <w:b/>
          <w:color w:val="auto"/>
          <w:sz w:val="44"/>
          <w:szCs w:val="44"/>
          <w:highlight w:val="none"/>
        </w:rPr>
      </w:pPr>
    </w:p>
    <w:p w14:paraId="766819B1">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b/>
          <w:sz w:val="24"/>
          <w:szCs w:val="24"/>
          <w:highlight w:val="none"/>
        </w:rPr>
        <w:t>本合同为参考合同，实际以最终签订为准。</w:t>
      </w:r>
      <w:r>
        <w:rPr>
          <w:rFonts w:hint="eastAsia" w:asciiTheme="minorEastAsia" w:hAnsiTheme="minorEastAsia" w:eastAsiaTheme="minorEastAsia" w:cstheme="minorEastAsia"/>
          <w:b/>
          <w:color w:val="auto"/>
          <w:sz w:val="24"/>
          <w:szCs w:val="24"/>
          <w:highlight w:val="none"/>
          <w:lang w:val="en-US" w:eastAsia="zh-CN"/>
        </w:rPr>
        <w:t>)</w:t>
      </w:r>
    </w:p>
    <w:p w14:paraId="6E02F8DB">
      <w:pPr>
        <w:pageBreakBefore w:val="0"/>
        <w:kinsoku/>
        <w:wordWrap/>
        <w:overflowPunct/>
        <w:topLinePunct w:val="0"/>
        <w:bidi w:val="0"/>
        <w:spacing w:line="360" w:lineRule="auto"/>
        <w:jc w:val="right"/>
        <w:rPr>
          <w:rFonts w:hint="eastAsia" w:asciiTheme="minorEastAsia" w:hAnsiTheme="minorEastAsia" w:eastAsiaTheme="minorEastAsia" w:cstheme="minorEastAsia"/>
          <w:b/>
          <w:color w:val="auto"/>
          <w:sz w:val="24"/>
          <w:szCs w:val="24"/>
          <w:highlight w:val="none"/>
        </w:rPr>
      </w:pPr>
    </w:p>
    <w:p w14:paraId="33DF04FD">
      <w:pPr>
        <w:pageBreakBefore w:val="0"/>
        <w:kinsoku/>
        <w:wordWrap/>
        <w:overflowPunct/>
        <w:topLinePunct w:val="0"/>
        <w:bidi w:val="0"/>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合同编号：____________</w:t>
      </w:r>
    </w:p>
    <w:p w14:paraId="05184580">
      <w:pPr>
        <w:pStyle w:val="81"/>
        <w:pageBreakBefore w:val="0"/>
        <w:kinsoku/>
        <w:wordWrap/>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rPr>
      </w:pPr>
    </w:p>
    <w:p w14:paraId="03B5EEAD">
      <w:pPr>
        <w:pStyle w:val="81"/>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中药饮片采购</w:t>
      </w:r>
      <w:r>
        <w:rPr>
          <w:rFonts w:hint="eastAsia" w:asciiTheme="minorEastAsia" w:hAnsiTheme="minorEastAsia" w:eastAsiaTheme="minorEastAsia" w:cstheme="minorEastAsia"/>
          <w:b/>
          <w:bCs/>
          <w:color w:val="auto"/>
          <w:sz w:val="24"/>
          <w:szCs w:val="24"/>
          <w:highlight w:val="none"/>
        </w:rPr>
        <w:t>合同</w:t>
      </w:r>
    </w:p>
    <w:p w14:paraId="63674E8A">
      <w:pPr>
        <w:pageBreakBefore w:val="0"/>
        <w:kinsoku/>
        <w:wordWrap/>
        <w:overflowPunct/>
        <w:topLinePunct w:val="0"/>
        <w:bidi w:val="0"/>
        <w:spacing w:line="360" w:lineRule="auto"/>
        <w:ind w:firstLine="4080" w:firstLineChars="1700"/>
        <w:rPr>
          <w:rFonts w:hint="eastAsia" w:asciiTheme="minorEastAsia" w:hAnsiTheme="minorEastAsia" w:eastAsiaTheme="minorEastAsia" w:cstheme="minorEastAsia"/>
          <w:b/>
          <w:color w:val="auto"/>
          <w:sz w:val="24"/>
          <w:szCs w:val="24"/>
          <w:highlight w:val="none"/>
        </w:rPr>
      </w:pPr>
    </w:p>
    <w:p w14:paraId="1A0D8111">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甲方</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医疗机构）</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乌鲁木齐市中医医院</w:t>
      </w:r>
      <w:r>
        <w:rPr>
          <w:rFonts w:hint="eastAsia" w:asciiTheme="minorEastAsia" w:hAnsiTheme="minorEastAsia" w:eastAsiaTheme="minorEastAsia" w:cstheme="minorEastAsia"/>
          <w:b/>
          <w:color w:val="auto"/>
          <w:sz w:val="24"/>
          <w:szCs w:val="24"/>
          <w:highlight w:val="none"/>
        </w:rPr>
        <w:t xml:space="preserve">   </w:t>
      </w:r>
    </w:p>
    <w:p w14:paraId="64161837">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b/>
          <w:color w:val="auto"/>
          <w:sz w:val="24"/>
          <w:szCs w:val="24"/>
          <w:highlight w:val="none"/>
        </w:rPr>
      </w:pPr>
    </w:p>
    <w:p w14:paraId="354621A7">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b/>
          <w:color w:val="auto"/>
          <w:sz w:val="24"/>
          <w:szCs w:val="24"/>
          <w:highlight w:val="none"/>
        </w:rPr>
      </w:pPr>
    </w:p>
    <w:p w14:paraId="26AD98B0">
      <w:pPr>
        <w:pageBreakBefore w:val="0"/>
        <w:widowControl/>
        <w:kinsoku/>
        <w:wordWrap/>
        <w:overflowPunct/>
        <w:topLinePunct w:val="0"/>
        <w:bidi w:val="0"/>
        <w:spacing w:line="360" w:lineRule="auto"/>
        <w:ind w:firstLine="480" w:firstLineChars="200"/>
        <w:rPr>
          <w:rFonts w:hint="eastAsia" w:asciiTheme="minorEastAsia" w:hAnsiTheme="minorEastAsia" w:eastAsiaTheme="minorEastAsia" w:cstheme="minorEastAsia"/>
          <w:b/>
          <w:color w:val="auto"/>
          <w:sz w:val="24"/>
          <w:szCs w:val="24"/>
          <w:highlight w:val="none"/>
        </w:rPr>
      </w:pPr>
    </w:p>
    <w:p w14:paraId="04E5FEE5">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乙方</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药品供应企业）</w:t>
      </w:r>
      <w:r>
        <w:rPr>
          <w:rFonts w:hint="eastAsia" w:asciiTheme="minorEastAsia" w:hAnsiTheme="minorEastAsia" w:eastAsiaTheme="minorEastAsia" w:cstheme="minorEastAsia"/>
          <w:b/>
          <w:color w:val="auto"/>
          <w:sz w:val="24"/>
          <w:szCs w:val="24"/>
          <w:highlight w:val="none"/>
        </w:rPr>
        <w:t xml:space="preserve">： </w:t>
      </w:r>
    </w:p>
    <w:p w14:paraId="3B0D5D12">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法定代表人：</w:t>
      </w:r>
    </w:p>
    <w:p w14:paraId="5567214F">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通讯地址：</w:t>
      </w:r>
    </w:p>
    <w:p w14:paraId="7372F5A2">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联系电话：</w:t>
      </w:r>
    </w:p>
    <w:p w14:paraId="44F9925E">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电子邮箱：</w:t>
      </w:r>
    </w:p>
    <w:p w14:paraId="1F3B6C5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为了更好的发展中医药事业，甲乙双方本着</w:t>
      </w:r>
      <w:r>
        <w:rPr>
          <w:rFonts w:hint="eastAsia" w:asciiTheme="minorEastAsia" w:hAnsiTheme="minorEastAsia" w:eastAsiaTheme="minorEastAsia" w:cstheme="minorEastAsia"/>
          <w:color w:val="auto"/>
          <w:sz w:val="24"/>
          <w:szCs w:val="24"/>
          <w:highlight w:val="none"/>
          <w:lang w:val="en-US" w:eastAsia="zh-CN"/>
        </w:rPr>
        <w:t>平等、</w:t>
      </w:r>
      <w:r>
        <w:rPr>
          <w:rFonts w:hint="eastAsia" w:asciiTheme="minorEastAsia" w:hAnsiTheme="minorEastAsia" w:eastAsiaTheme="minorEastAsia" w:cstheme="minorEastAsia"/>
          <w:color w:val="auto"/>
          <w:sz w:val="24"/>
          <w:szCs w:val="24"/>
          <w:highlight w:val="none"/>
        </w:rPr>
        <w:t>诚信</w:t>
      </w:r>
      <w:r>
        <w:rPr>
          <w:rFonts w:hint="eastAsia" w:asciiTheme="minorEastAsia" w:hAnsiTheme="minorEastAsia" w:eastAsiaTheme="minorEastAsia" w:cstheme="minorEastAsia"/>
          <w:color w:val="auto"/>
          <w:sz w:val="24"/>
          <w:szCs w:val="24"/>
          <w:highlight w:val="none"/>
          <w:lang w:val="en-US" w:eastAsia="zh-CN"/>
        </w:rPr>
        <w:t>信用</w:t>
      </w:r>
      <w:r>
        <w:rPr>
          <w:rFonts w:hint="eastAsia" w:asciiTheme="minorEastAsia" w:hAnsiTheme="minorEastAsia" w:eastAsiaTheme="minorEastAsia" w:cstheme="minorEastAsia"/>
          <w:color w:val="auto"/>
          <w:sz w:val="24"/>
          <w:szCs w:val="24"/>
          <w:highlight w:val="none"/>
        </w:rPr>
        <w:t>原则，</w:t>
      </w:r>
      <w:r>
        <w:rPr>
          <w:rFonts w:hint="eastAsia" w:asciiTheme="minorEastAsia" w:hAnsiTheme="minorEastAsia" w:eastAsiaTheme="minorEastAsia" w:cstheme="minorEastAsia"/>
          <w:color w:val="auto"/>
          <w:sz w:val="24"/>
          <w:szCs w:val="24"/>
          <w:highlight w:val="none"/>
          <w:lang w:val="en-US" w:eastAsia="zh-CN"/>
        </w:rPr>
        <w:t>明确双方权利和义务</w:t>
      </w:r>
      <w:r>
        <w:rPr>
          <w:rFonts w:hint="eastAsia" w:asciiTheme="minorEastAsia" w:hAnsiTheme="minorEastAsia" w:eastAsiaTheme="minorEastAsia" w:cstheme="minorEastAsia"/>
          <w:color w:val="auto"/>
          <w:sz w:val="24"/>
          <w:szCs w:val="24"/>
          <w:highlight w:val="none"/>
        </w:rPr>
        <w:t>，甲乙方双方依据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《中华人民共和国</w:t>
      </w:r>
      <w:r>
        <w:rPr>
          <w:rFonts w:hint="eastAsia" w:asciiTheme="minorEastAsia" w:hAnsiTheme="minorEastAsia" w:eastAsiaTheme="minorEastAsia" w:cstheme="minorEastAsia"/>
          <w:color w:val="auto"/>
          <w:sz w:val="24"/>
          <w:szCs w:val="24"/>
          <w:highlight w:val="none"/>
          <w:lang w:val="en-US" w:eastAsia="zh-CN"/>
        </w:rPr>
        <w:t>药品法》</w:t>
      </w:r>
      <w:r>
        <w:rPr>
          <w:rFonts w:hint="eastAsia" w:asciiTheme="minorEastAsia" w:hAnsiTheme="minorEastAsia" w:eastAsiaTheme="minorEastAsia" w:cstheme="minorEastAsia"/>
          <w:color w:val="auto"/>
          <w:sz w:val="24"/>
          <w:szCs w:val="24"/>
          <w:highlight w:val="none"/>
        </w:rPr>
        <w:t>《中药饮片管理法》、《医疗机构药事管理规定》</w:t>
      </w:r>
      <w:r>
        <w:rPr>
          <w:rFonts w:hint="eastAsia" w:asciiTheme="minorEastAsia" w:hAnsiTheme="minorEastAsia" w:eastAsiaTheme="minorEastAsia" w:cstheme="minorEastAsia"/>
          <w:color w:val="auto"/>
          <w:sz w:val="24"/>
          <w:szCs w:val="24"/>
          <w:highlight w:val="none"/>
          <w:lang w:val="en-US" w:eastAsia="zh-CN"/>
        </w:rPr>
        <w:t>《中华</w:t>
      </w:r>
      <w:r>
        <w:rPr>
          <w:rFonts w:hint="eastAsia" w:asciiTheme="minorEastAsia" w:hAnsiTheme="minorEastAsia" w:eastAsiaTheme="minorEastAsia" w:cstheme="minorEastAsia"/>
          <w:color w:val="auto"/>
          <w:sz w:val="24"/>
          <w:szCs w:val="24"/>
          <w:highlight w:val="none"/>
        </w:rPr>
        <w:t>人民共和国</w:t>
      </w:r>
      <w:r>
        <w:rPr>
          <w:rFonts w:hint="eastAsia" w:asciiTheme="minorEastAsia" w:hAnsiTheme="minorEastAsia" w:eastAsiaTheme="minorEastAsia" w:cstheme="minorEastAsia"/>
          <w:color w:val="auto"/>
          <w:sz w:val="24"/>
          <w:szCs w:val="24"/>
          <w:highlight w:val="none"/>
          <w:lang w:val="en-US" w:eastAsia="zh-CN"/>
        </w:rPr>
        <w:t>民法典</w:t>
      </w:r>
      <w:r>
        <w:rPr>
          <w:rFonts w:hint="eastAsia" w:asciiTheme="minorEastAsia" w:hAnsiTheme="minorEastAsia" w:eastAsiaTheme="minorEastAsia" w:cstheme="minorEastAsia"/>
          <w:color w:val="auto"/>
          <w:sz w:val="24"/>
          <w:szCs w:val="24"/>
          <w:highlight w:val="none"/>
        </w:rPr>
        <w:t>》等</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法律法规的规定，经平等协商</w:t>
      </w:r>
      <w:r>
        <w:rPr>
          <w:rFonts w:hint="eastAsia" w:asciiTheme="minorEastAsia" w:hAnsiTheme="minorEastAsia" w:eastAsiaTheme="minorEastAsia" w:cstheme="minorEastAsia"/>
          <w:color w:val="auto"/>
          <w:sz w:val="24"/>
          <w:szCs w:val="24"/>
          <w:highlight w:val="none"/>
          <w:lang w:val="en-US" w:eastAsia="zh-CN"/>
        </w:rPr>
        <w:t>特立订本合同，</w:t>
      </w:r>
      <w:r>
        <w:rPr>
          <w:rFonts w:hint="eastAsia" w:asciiTheme="minorEastAsia" w:hAnsiTheme="minorEastAsia" w:eastAsiaTheme="minorEastAsia" w:cstheme="minorEastAsia"/>
          <w:color w:val="auto"/>
          <w:sz w:val="24"/>
          <w:szCs w:val="24"/>
          <w:highlight w:val="none"/>
        </w:rPr>
        <w:t>以共同遵守:</w:t>
      </w:r>
    </w:p>
    <w:p w14:paraId="7575075D">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第一条　采购产品期限、品名、价格、质量标准（见附件）</w:t>
      </w:r>
      <w:r>
        <w:rPr>
          <w:rFonts w:hint="eastAsia" w:asciiTheme="minorEastAsia" w:hAnsiTheme="minorEastAsia" w:eastAsiaTheme="minorEastAsia" w:cstheme="minorEastAsia"/>
          <w:b/>
          <w:color w:val="auto"/>
          <w:sz w:val="24"/>
          <w:szCs w:val="24"/>
          <w:highlight w:val="none"/>
          <w:lang w:val="en-US" w:eastAsia="zh-CN"/>
        </w:rPr>
        <w:t>未见清单，建议在合同中增加采购品名、价格、数量、质量标准的条款，如果单独制作采购清单附件，该附件应有甲乙双方签字盖章确认并与采购合同一并留存。</w:t>
      </w:r>
    </w:p>
    <w:p w14:paraId="18B5E55D">
      <w:pPr>
        <w:pStyle w:val="87"/>
        <w:keepNext w:val="0"/>
        <w:keepLines w:val="0"/>
        <w:pageBreakBefore w:val="0"/>
        <w:kinsoku/>
        <w:wordWrap/>
        <w:overflowPunct/>
        <w:topLinePunct w:val="0"/>
        <w:bidi w:val="0"/>
        <w:spacing w:after="0" w:line="360" w:lineRule="auto"/>
        <w:ind w:left="0" w:leftChars="0" w:right="16" w:rightChars="8"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1．此次采购产品期限</w:t>
      </w:r>
      <w:r>
        <w:rPr>
          <w:rFonts w:hint="eastAsia" w:asciiTheme="minorEastAsia" w:hAnsiTheme="minorEastAsia" w:eastAsiaTheme="minorEastAsia" w:cstheme="minorEastAsia"/>
          <w:b w:val="0"/>
          <w:bCs/>
          <w:color w:val="auto"/>
          <w:sz w:val="24"/>
          <w:szCs w:val="24"/>
          <w:highlight w:val="none"/>
          <w:lang w:eastAsia="zh-CN"/>
        </w:rPr>
        <w:t>暂定一年，如遇特殊情况按需调整</w:t>
      </w:r>
      <w:r>
        <w:rPr>
          <w:rFonts w:hint="eastAsia" w:asciiTheme="minorEastAsia" w:hAnsiTheme="minorEastAsia" w:eastAsiaTheme="minorEastAsia" w:cstheme="minorEastAsia"/>
          <w:b w:val="0"/>
          <w:bCs/>
          <w:color w:val="auto"/>
          <w:sz w:val="24"/>
          <w:szCs w:val="24"/>
          <w:highlight w:val="none"/>
        </w:rPr>
        <w:t>，合同期限内因乙方原因导致不能履约或质量无法保障，甲方有权</w:t>
      </w:r>
      <w:r>
        <w:rPr>
          <w:rFonts w:hint="eastAsia" w:asciiTheme="minorEastAsia" w:hAnsiTheme="minorEastAsia" w:eastAsiaTheme="minorEastAsia" w:cstheme="minorEastAsia"/>
          <w:b w:val="0"/>
          <w:bCs/>
          <w:color w:val="auto"/>
          <w:sz w:val="24"/>
          <w:szCs w:val="24"/>
          <w:highlight w:val="none"/>
          <w:lang w:val="en-US" w:eastAsia="zh-CN"/>
        </w:rPr>
        <w:t>解除合同或</w:t>
      </w:r>
      <w:r>
        <w:rPr>
          <w:rFonts w:hint="eastAsia" w:asciiTheme="minorEastAsia" w:hAnsiTheme="minorEastAsia" w:eastAsiaTheme="minorEastAsia" w:cstheme="minorEastAsia"/>
          <w:b w:val="0"/>
          <w:bCs/>
          <w:color w:val="auto"/>
          <w:sz w:val="24"/>
          <w:szCs w:val="24"/>
          <w:highlight w:val="none"/>
        </w:rPr>
        <w:t>调整供应品种或再引进其他供应商。</w:t>
      </w:r>
      <w:r>
        <w:rPr>
          <w:rFonts w:hint="eastAsia" w:asciiTheme="minorEastAsia" w:hAnsiTheme="minorEastAsia" w:eastAsiaTheme="minorEastAsia" w:cstheme="minorEastAsia"/>
          <w:b w:val="0"/>
          <w:bCs/>
          <w:color w:val="auto"/>
          <w:sz w:val="24"/>
          <w:szCs w:val="24"/>
          <w:highlight w:val="none"/>
          <w:lang w:val="en-US" w:eastAsia="zh-CN"/>
        </w:rPr>
        <w:t>甲方解除合同的，乙方应按合同价的30%向甲方支付违约金。</w:t>
      </w:r>
    </w:p>
    <w:p w14:paraId="6FAFD66D">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．质量标准：在符合</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"http://www.baidu.com/link?url=sk4nyY6vq-c0FsLacoELAyFbsp85kPJFkNFdS50MylAb8OGmaYInPVR7o33NuQQPkBOiC_SlJcmk4Pf8GpyQma" \t "_blank"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《中国药典》20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版</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或国家其他质量标准的基础上，同时满足附件的质量要求（见附件）。</w:t>
      </w:r>
      <w:r>
        <w:rPr>
          <w:rFonts w:hint="eastAsia" w:asciiTheme="minorEastAsia" w:hAnsiTheme="minorEastAsia" w:eastAsiaTheme="minorEastAsia" w:cstheme="minorEastAsia"/>
          <w:color w:val="auto"/>
          <w:sz w:val="24"/>
          <w:szCs w:val="24"/>
          <w:highlight w:val="none"/>
          <w:lang w:val="en-US" w:eastAsia="zh-CN"/>
        </w:rPr>
        <w:t>未见附件，院方对药品质量的要求的附件应由乙方签字盖章确认，并由甲方留存一份。</w:t>
      </w:r>
    </w:p>
    <w:p w14:paraId="2FD3B84D">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51E87AA0">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第二条　付款</w:t>
      </w:r>
    </w:p>
    <w:p w14:paraId="24B943B5">
      <w:pPr>
        <w:pStyle w:val="384"/>
        <w:keepNext w:val="0"/>
        <w:keepLines w:val="0"/>
        <w:pageBreakBefore w:val="0"/>
        <w:widowControl w:val="0"/>
        <w:kinsoku/>
        <w:wordWrap/>
        <w:overflowPunct/>
        <w:topLinePunct w:val="0"/>
        <w:bidi w:val="0"/>
        <w:adjustRightInd w:val="0"/>
        <w:snapToGrid w:val="0"/>
        <w:spacing w:line="360" w:lineRule="auto"/>
        <w:ind w:firstLine="562"/>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1.付款周期：</w:t>
      </w:r>
      <w:r>
        <w:rPr>
          <w:rFonts w:hint="eastAsia" w:asciiTheme="minorEastAsia" w:hAnsiTheme="minorEastAsia" w:eastAsiaTheme="minorEastAsia" w:cstheme="minorEastAsia"/>
          <w:kern w:val="2"/>
          <w:sz w:val="24"/>
          <w:szCs w:val="24"/>
          <w:highlight w:val="none"/>
          <w:lang w:val="en-US" w:eastAsia="zh-CN" w:bidi="ar-SA"/>
        </w:rPr>
        <w:t>每批次货物送到采购人指定地点并且经过验收合格后，按照季度实际供货量进行结算。次月起提交支付申请，180天后进行付款，具体以实际签订合同为准，响应采购人要求。</w:t>
      </w:r>
      <w:r>
        <w:rPr>
          <w:rFonts w:hint="eastAsia" w:asciiTheme="minorEastAsia" w:hAnsiTheme="minorEastAsia" w:eastAsiaTheme="minorEastAsia" w:cstheme="minorEastAsia"/>
          <w:color w:val="auto"/>
          <w:sz w:val="24"/>
          <w:szCs w:val="24"/>
          <w:highlight w:val="none"/>
        </w:rPr>
        <w:t>由乙方把相关供货资料整理汇总提交并经甲方确认无误，</w:t>
      </w:r>
      <w:r>
        <w:rPr>
          <w:rFonts w:hint="eastAsia" w:asciiTheme="minorEastAsia" w:hAnsiTheme="minorEastAsia" w:eastAsiaTheme="minorEastAsia" w:cstheme="minorEastAsia"/>
          <w:color w:val="auto"/>
          <w:sz w:val="24"/>
          <w:szCs w:val="24"/>
          <w:highlight w:val="none"/>
          <w:lang w:val="en-US" w:eastAsia="zh-CN"/>
        </w:rPr>
        <w:t>并向甲方提供符合甲方做账要求的税务发票后，</w:t>
      </w:r>
      <w:r>
        <w:rPr>
          <w:rFonts w:hint="eastAsia" w:asciiTheme="minorEastAsia" w:hAnsiTheme="minorEastAsia" w:eastAsiaTheme="minorEastAsia" w:cstheme="minorEastAsia"/>
          <w:color w:val="auto"/>
          <w:sz w:val="24"/>
          <w:szCs w:val="24"/>
          <w:highlight w:val="none"/>
        </w:rPr>
        <w:t>甲方收到完整付款资料后付至乙方账户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乙方开户行：                  账号：                   </w:t>
      </w:r>
      <w:r>
        <w:rPr>
          <w:rFonts w:hint="eastAsia" w:asciiTheme="minorEastAsia" w:hAnsiTheme="minorEastAsia" w:eastAsiaTheme="minorEastAsia" w:cstheme="minorEastAsia"/>
          <w:color w:val="auto"/>
          <w:sz w:val="24"/>
          <w:szCs w:val="24"/>
          <w:highlight w:val="none"/>
          <w:u w:val="none"/>
          <w:lang w:val="en-US" w:eastAsia="zh-CN"/>
        </w:rPr>
        <w:t>。</w:t>
      </w:r>
    </w:p>
    <w:p w14:paraId="3733EB3D">
      <w:pPr>
        <w:pStyle w:val="87"/>
        <w:keepNext w:val="0"/>
        <w:keepLines w:val="0"/>
        <w:pageBreakBefore w:val="0"/>
        <w:kinsoku/>
        <w:wordWrap/>
        <w:overflowPunct/>
        <w:topLinePunct w:val="0"/>
        <w:bidi w:val="0"/>
        <w:spacing w:after="0" w:line="360" w:lineRule="auto"/>
        <w:ind w:left="0" w:leftChars="0" w:right="16"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2.前款中表述的“付款资料”包括但不限于乙方开具的以甲方为抬头的符合税法要求的增值税专用发票及销售清单。                                          </w:t>
      </w:r>
    </w:p>
    <w:p w14:paraId="4ECCD5D4">
      <w:pPr>
        <w:keepNext w:val="0"/>
        <w:keepLines w:val="0"/>
        <w:pageBreakBefore w:val="0"/>
        <w:widowControl/>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第三条　订单生产、验收、交货及运费承担</w:t>
      </w:r>
    </w:p>
    <w:p w14:paraId="4EF2194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2"/>
          <w:sz w:val="24"/>
          <w:szCs w:val="24"/>
          <w:highlight w:val="none"/>
          <w:lang w:val="en-US" w:eastAsia="zh-CN" w:bidi="ar-SA"/>
        </w:rPr>
        <w:t>乙方必须保障产品齐全，保证中药饮片质量，按甲方通知方式（向乙方指定送货人以电话、短信、发电子邮件的方式，乙方送货人姓名：</w:t>
      </w:r>
    </w:p>
    <w:p w14:paraId="06A02FB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联系电话：</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  电子邮箱号：</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）至少提前1天通知中药饮片品种、数量、供货方式等，乙方不得以任何借口（如无货，采购量少等）不执行甲方中药饮片采购计划从而影响甲方的临床用药，保证临床用药不断货。（乙方需提供《承诺函》）</w:t>
      </w:r>
      <w:r>
        <w:rPr>
          <w:rFonts w:hint="eastAsia" w:asciiTheme="minorEastAsia" w:hAnsiTheme="minorEastAsia" w:eastAsiaTheme="minorEastAsia" w:cstheme="minorEastAsia"/>
          <w:color w:val="auto"/>
          <w:sz w:val="24"/>
          <w:szCs w:val="24"/>
          <w:highlight w:val="none"/>
        </w:rPr>
        <w:t>甲方质管人员对乙方生产的产品进行验收，经验收合格后，甲方质管人员应在乙方的销售出库单据上进行签字确认后入库。</w:t>
      </w:r>
      <w:r>
        <w:rPr>
          <w:rFonts w:hint="eastAsia" w:asciiTheme="minorEastAsia" w:hAnsiTheme="minorEastAsia" w:eastAsiaTheme="minorEastAsia" w:cstheme="minorEastAsia"/>
          <w:color w:val="auto"/>
          <w:sz w:val="24"/>
          <w:szCs w:val="24"/>
          <w:highlight w:val="none"/>
          <w:lang w:val="en-US" w:eastAsia="zh-CN"/>
        </w:rPr>
        <w:t>为避免事后发生纠纷，建议院方每次通知乙方供货前，将本批次所需要的中药药片制作书面订货清单，内容应包括药品种类、数量、质量要求、规格、送货时间、送货地点等内容，订货清单由乙方盖章确认（可以提前将订货清单电子版发送乙方指定人员电子邮箱，并由乙方人员送货时向甲方提供经乙方盖章确认的订货清单由甲方留存，电子邮件通讯记录应当保留）</w:t>
      </w:r>
    </w:p>
    <w:p w14:paraId="0AF3D1C0">
      <w:pPr>
        <w:pStyle w:val="384"/>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en-US" w:eastAsia="zh-CN" w:bidi="ar-SA"/>
        </w:rPr>
        <w:t>.每次配送的时间和数量以甲方的采购计划为准，原则上发出计划后24小时内送达采购人指定地点。乙方应保证所配送的中药饮片的品种、规格、及生产企业相一致。</w:t>
      </w:r>
    </w:p>
    <w:p w14:paraId="0807D07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乙方所供中药饮片应符合《中华人民共和国药典》或食品药品监督管理部门规定的相关标准，按甲方中药饮片用药标准送货，送货时应附相应批号的中药饮片检验报告书，以备验收检查，确保临床用药安全有效。</w:t>
      </w:r>
    </w:p>
    <w:p w14:paraId="764279E6">
      <w:pPr>
        <w:pStyle w:val="87"/>
        <w:keepNext w:val="0"/>
        <w:keepLines w:val="0"/>
        <w:pageBreakBefore w:val="0"/>
        <w:kinsoku/>
        <w:wordWrap/>
        <w:overflowPunct/>
        <w:topLinePunct w:val="0"/>
        <w:bidi w:val="0"/>
        <w:spacing w:after="0" w:line="360" w:lineRule="auto"/>
        <w:ind w:left="0" w:leftChars="0" w:right="16"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.乙方送货到以下交货地址，运输费用由乙方承担。交货地址为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3DC35DD">
      <w:pPr>
        <w:pStyle w:val="87"/>
        <w:keepNext w:val="0"/>
        <w:keepLines w:val="0"/>
        <w:pageBreakBefore w:val="0"/>
        <w:kinsoku/>
        <w:wordWrap/>
        <w:overflowPunct/>
        <w:topLinePunct w:val="0"/>
        <w:bidi w:val="0"/>
        <w:spacing w:after="0" w:line="360" w:lineRule="auto"/>
        <w:ind w:left="0" w:leftChars="0" w:right="16"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甲方应当场对产品数量及包装外观进行验收，检查商品名称是否相符、零货数量是否短少、整件数目是否相符或者商品包装是否破损，如有不符的，须与乙方配送员当场确认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并由乙方三日内重新配送</w:t>
      </w:r>
      <w:r>
        <w:rPr>
          <w:rFonts w:hint="eastAsia" w:asciiTheme="minorEastAsia" w:hAnsiTheme="minorEastAsia" w:eastAsiaTheme="minorEastAsia" w:cstheme="minorEastAsia"/>
          <w:color w:val="auto"/>
          <w:sz w:val="24"/>
          <w:szCs w:val="24"/>
          <w:highlight w:val="none"/>
        </w:rPr>
        <w:t>。产品质量验收由甲方根据其收货进度及使用进度进行。</w:t>
      </w:r>
    </w:p>
    <w:p w14:paraId="16E3D686">
      <w:pPr>
        <w:pStyle w:val="87"/>
        <w:keepNext w:val="0"/>
        <w:keepLines w:val="0"/>
        <w:pageBreakBefore w:val="0"/>
        <w:kinsoku/>
        <w:wordWrap/>
        <w:overflowPunct/>
        <w:topLinePunct w:val="0"/>
        <w:bidi w:val="0"/>
        <w:spacing w:after="0" w:line="360" w:lineRule="auto"/>
        <w:ind w:left="0" w:leftChars="0" w:right="16"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.甲方指导乙方产品包装的设计，乙方负责包装，包装费用、相关制版和印刷等材料费用均由乙方负责承担。合作期间，乙方应合理控制包装材料的库存数量。</w:t>
      </w:r>
    </w:p>
    <w:p w14:paraId="0561C548">
      <w:pPr>
        <w:keepNext w:val="0"/>
        <w:keepLines w:val="0"/>
        <w:pageBreakBefore w:val="0"/>
        <w:widowControl/>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第四条　质量责任</w:t>
      </w:r>
    </w:p>
    <w:p w14:paraId="60E9B409">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1.乙方负责按GMP及国家相关药政法律法规组织生产，并对质量负责</w:t>
      </w:r>
      <w:r>
        <w:rPr>
          <w:rFonts w:hint="eastAsia" w:asciiTheme="minorEastAsia" w:hAnsiTheme="minorEastAsia" w:eastAsiaTheme="minorEastAsia" w:cstheme="minorEastAsia"/>
          <w:color w:val="auto"/>
          <w:kern w:val="0"/>
          <w:sz w:val="24"/>
          <w:szCs w:val="24"/>
          <w:highlight w:val="none"/>
        </w:rPr>
        <w:t xml:space="preserve">。甲方在质量验收中发现质量问题时有权拒收或要求乙方退换，乙方应按甲方要求及时取回或予以退换。中药饮片在销售过程中出现质量问题时应根据双方签订的质量保证协议处理。因乙方中药饮片质量问题导致甲方被国家相关主管部门处罚的，所产生的罚款等一切费用由乙方承担（包括但不限于乙方因此而支出的信息费、差旅费、律师费、诉讼费、保全费、保管费等），给甲方造成社会不良影响的，乙方应积极主动协调处理并赔偿甲方全部损失。 </w:t>
      </w:r>
    </w:p>
    <w:p w14:paraId="60ED896B">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2.中药饮片原包装完好情况下，如产生滞销、近效期、破损等情况时，甲方有权要求退换货，乙方应及时按甲方要求退换，退换货产生的物流等相关费用由乙方承担。</w:t>
      </w:r>
    </w:p>
    <w:p w14:paraId="5331F144">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3.甲方在质保期内发现中药饮片存在质量问题的，</w:t>
      </w:r>
      <w:r>
        <w:rPr>
          <w:rFonts w:hint="eastAsia" w:asciiTheme="minorEastAsia" w:hAnsiTheme="minorEastAsia" w:eastAsiaTheme="minorEastAsia" w:cstheme="minorEastAsia"/>
          <w:color w:val="auto"/>
          <w:kern w:val="0"/>
          <w:sz w:val="24"/>
          <w:szCs w:val="24"/>
          <w:highlight w:val="none"/>
          <w:lang w:val="en-US" w:eastAsia="zh-CN"/>
        </w:rPr>
        <w:t>甲方向有关部门进行汇报</w:t>
      </w:r>
      <w:r>
        <w:rPr>
          <w:rFonts w:hint="eastAsia" w:asciiTheme="minorEastAsia" w:hAnsiTheme="minorEastAsia" w:eastAsiaTheme="minorEastAsia" w:cstheme="minorEastAsia"/>
          <w:color w:val="auto"/>
          <w:kern w:val="0"/>
          <w:sz w:val="24"/>
          <w:szCs w:val="24"/>
          <w:highlight w:val="none"/>
        </w:rPr>
        <w:t>，甲方已支付的相应货款，乙方应及时退回或在征得甲方同意的情况下折抵下一批货款。</w:t>
      </w:r>
    </w:p>
    <w:p w14:paraId="04267B8A">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因乙方中药饮片质量问题导致甲方遭受第三方索赔产生的全部损失由乙方承担（包括但不限于甲方因此而支出的罚款、违约金或赔偿金、利息、滞纳金、信息费、差旅费、律师费、诉讼费、保全费、保管费及商誉损失等），给甲方造成社会不良影响的，乙方应积极主动协调处理。</w:t>
      </w:r>
    </w:p>
    <w:p w14:paraId="445E6C8D">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5.甲方以乙方供应品种的一个月账期设立中药饮片质量保证金，质量保证金对乙方供应饮片全品种质保。</w:t>
      </w:r>
    </w:p>
    <w:p w14:paraId="0C7B1A27">
      <w:pPr>
        <w:pStyle w:val="384"/>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6.在供货期间因出现上级部门政策性第三方中药饮片交易平台或其他集中采购有同类品种采购时，甲方有权终止合同自行转集中采购（乙方提供《承诺函》）。未见承诺函要求乙方提供</w:t>
      </w:r>
    </w:p>
    <w:p w14:paraId="4E27CCB6">
      <w:pPr>
        <w:pStyle w:val="384"/>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7.乙方需按照甲方要求提供人员进行中药饮片库房及草药房的劳务工作</w:t>
      </w:r>
    </w:p>
    <w:p w14:paraId="2109078B">
      <w:pPr>
        <w:keepNext w:val="0"/>
        <w:keepLines w:val="0"/>
        <w:pageBreakBefore w:val="0"/>
        <w:kinsoku/>
        <w:wordWrap/>
        <w:overflowPunct/>
        <w:topLinePunct w:val="0"/>
        <w:autoSpaceDE w:val="0"/>
        <w:autoSpaceDN w:val="0"/>
        <w:bidi w:val="0"/>
        <w:adjustRightInd w:val="0"/>
        <w:spacing w:line="360" w:lineRule="auto"/>
        <w:ind w:right="16" w:rightChars="8"/>
        <w:textAlignment w:val="auto"/>
        <w:rPr>
          <w:rFonts w:hint="eastAsia" w:asciiTheme="minorEastAsia" w:hAnsiTheme="minorEastAsia" w:eastAsiaTheme="minorEastAsia" w:cstheme="minorEastAsia"/>
          <w:b/>
          <w:color w:val="auto"/>
          <w:sz w:val="24"/>
          <w:szCs w:val="24"/>
          <w:highlight w:val="none"/>
        </w:rPr>
      </w:pPr>
    </w:p>
    <w:p w14:paraId="4463BBD8">
      <w:pPr>
        <w:keepNext w:val="0"/>
        <w:keepLines w:val="0"/>
        <w:pageBreakBefore w:val="0"/>
        <w:kinsoku/>
        <w:wordWrap/>
        <w:overflowPunct/>
        <w:topLinePunct w:val="0"/>
        <w:autoSpaceDE w:val="0"/>
        <w:autoSpaceDN w:val="0"/>
        <w:bidi w:val="0"/>
        <w:adjustRightInd w:val="0"/>
        <w:spacing w:line="360" w:lineRule="auto"/>
        <w:ind w:right="16" w:rightChars="8"/>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条　</w:t>
      </w:r>
      <w:r>
        <w:rPr>
          <w:rFonts w:hint="eastAsia" w:asciiTheme="minorEastAsia" w:hAnsiTheme="minorEastAsia" w:eastAsiaTheme="minorEastAsia" w:cstheme="minorEastAsia"/>
          <w:b/>
          <w:bCs/>
          <w:color w:val="auto"/>
          <w:kern w:val="0"/>
          <w:sz w:val="24"/>
          <w:szCs w:val="24"/>
          <w:highlight w:val="none"/>
        </w:rPr>
        <w:t>双方主体资格</w:t>
      </w:r>
    </w:p>
    <w:p w14:paraId="25D15722">
      <w:pPr>
        <w:keepNext w:val="0"/>
        <w:keepLines w:val="0"/>
        <w:pageBreakBefore w:val="0"/>
        <w:kinsoku/>
        <w:wordWrap/>
        <w:overflowPunct/>
        <w:topLinePunct w:val="0"/>
        <w:autoSpaceDE w:val="0"/>
        <w:autoSpaceDN w:val="0"/>
        <w:bidi w:val="0"/>
        <w:adjustRightInd w:val="0"/>
        <w:spacing w:line="360" w:lineRule="auto"/>
        <w:ind w:right="16" w:rightChars="8"/>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乙双方须依据国家有关规定向对方提供真实合法有效的证照复印件，其中包括：《药品经营/生产许可证》、《企业营业执照》、《药品GMP/GSP证书》、《增值税一般纳税人资格证书》、《银行账户开户许可证》、法定代表人身份证明、法人授权委托书以及公章、发票专用章、药品出库专用章、质量管理专用章（检验专用章或质量保证专用章）、法人印章等原始印记，以上资料须加盖公章。</w:t>
      </w:r>
    </w:p>
    <w:p w14:paraId="457955AB">
      <w:pPr>
        <w:pStyle w:val="87"/>
        <w:keepNext w:val="0"/>
        <w:keepLines w:val="0"/>
        <w:pageBreakBefore w:val="0"/>
        <w:kinsoku/>
        <w:wordWrap/>
        <w:overflowPunct/>
        <w:topLinePunct w:val="0"/>
        <w:bidi w:val="0"/>
        <w:spacing w:after="0" w:line="360" w:lineRule="auto"/>
        <w:ind w:left="0" w:leftChars="0" w:right="16" w:rightChars="8"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2.甲、乙双方若变更上述资料，应及时书面告知对方，并向对方重新提交变更后的相关证照资料，如不能及时重新提交变更后的证照资料而给对方造成经济损失的，由资料变更方承担全部赔偿责任。</w:t>
      </w:r>
    </w:p>
    <w:p w14:paraId="1FC20064">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4"/>
          <w:szCs w:val="24"/>
          <w:highlight w:val="none"/>
        </w:rPr>
      </w:pPr>
    </w:p>
    <w:p w14:paraId="1B939F46">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条  保密条款</w:t>
      </w:r>
    </w:p>
    <w:p w14:paraId="1E6DC6FB">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1．双方保证从对方取得且无法自公开渠道获取的商业秘密（包括但不限于技术信息、经营信息及其他商业秘密等），未经对方同意，一方不得向任何第三方泄露该商业秘密的全部或部分内容。</w:t>
      </w:r>
    </w:p>
    <w:p w14:paraId="5120524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2．除应相关政府部门、司法机构及监管部门等要求外，未经对方同意，任何一方均不得将本合同内容向第三方公开或泄露，本规定在本合同终止后继续有效。</w:t>
      </w:r>
    </w:p>
    <w:p w14:paraId="7364598A">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3．任何一方违反上述保密义务，应承担相应的违约责任并赔偿由此给对方造成的损失。</w:t>
      </w:r>
    </w:p>
    <w:p w14:paraId="5240E70B">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4"/>
          <w:szCs w:val="24"/>
          <w:highlight w:val="none"/>
        </w:rPr>
      </w:pPr>
    </w:p>
    <w:p w14:paraId="44322FFA">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条</w:t>
      </w: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b/>
          <w:color w:val="auto"/>
          <w:sz w:val="24"/>
          <w:szCs w:val="24"/>
          <w:highlight w:val="none"/>
        </w:rPr>
        <w:t>违约责任</w:t>
      </w:r>
    </w:p>
    <w:p w14:paraId="2829CC5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z w:val="24"/>
          <w:szCs w:val="24"/>
          <w:highlight w:val="none"/>
        </w:rPr>
        <w:t>乙方不能交货的，甲方有权单方解除本合同并禁止</w:t>
      </w:r>
      <w:r>
        <w:rPr>
          <w:rFonts w:hint="eastAsia" w:asciiTheme="minorEastAsia" w:hAnsiTheme="minorEastAsia" w:eastAsiaTheme="minorEastAsia" w:cstheme="minorEastAsia"/>
          <w:bCs/>
          <w:color w:val="auto"/>
          <w:sz w:val="24"/>
          <w:szCs w:val="24"/>
          <w:highlight w:val="none"/>
        </w:rPr>
        <w:t>乙方参加今后的招标</w:t>
      </w:r>
      <w:r>
        <w:rPr>
          <w:rFonts w:hint="eastAsia" w:asciiTheme="minorEastAsia" w:hAnsiTheme="minorEastAsia" w:eastAsiaTheme="minorEastAsia" w:cstheme="minorEastAsia"/>
          <w:color w:val="auto"/>
          <w:sz w:val="24"/>
          <w:szCs w:val="24"/>
          <w:highlight w:val="none"/>
        </w:rPr>
        <w:t xml:space="preserve">，同时乙方应按不能交货部分货款的 </w:t>
      </w:r>
      <w:r>
        <w:rPr>
          <w:rFonts w:hint="eastAsia" w:asciiTheme="minorEastAsia" w:hAnsiTheme="minorEastAsia" w:eastAsiaTheme="minorEastAsia" w:cstheme="minorEastAsia"/>
          <w:color w:val="auto"/>
          <w:sz w:val="24"/>
          <w:szCs w:val="24"/>
          <w:highlight w:val="none"/>
          <w:u w:val="single"/>
        </w:rPr>
        <w:t>50</w:t>
      </w:r>
      <w:r>
        <w:rPr>
          <w:rFonts w:hint="eastAsia" w:asciiTheme="minorEastAsia" w:hAnsiTheme="minorEastAsia" w:eastAsiaTheme="minorEastAsia" w:cstheme="minorEastAsia"/>
          <w:color w:val="auto"/>
          <w:sz w:val="24"/>
          <w:szCs w:val="24"/>
          <w:highlight w:val="none"/>
        </w:rPr>
        <w:t xml:space="preserve"> ％向甲方支付违约金。</w:t>
      </w:r>
    </w:p>
    <w:p w14:paraId="74DFFCF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2.乙方不能按期交货的，须自接到订单起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个工作日与甲方协商，甲方同意乙方延期的，乙方应在新的交货期前完成交货；乙方逾期交货的，每逾期一天，应按照逾期交货部分货款的万分之 </w:t>
      </w:r>
      <w:r>
        <w:rPr>
          <w:rFonts w:hint="eastAsia" w:asciiTheme="minorEastAsia" w:hAnsiTheme="minorEastAsia" w:eastAsiaTheme="minorEastAsia" w:cstheme="minorEastAsia"/>
          <w:color w:val="auto"/>
          <w:sz w:val="24"/>
          <w:szCs w:val="24"/>
          <w:highlight w:val="none"/>
          <w:u w:val="single"/>
        </w:rPr>
        <w:t>六</w:t>
      </w:r>
      <w:r>
        <w:rPr>
          <w:rFonts w:hint="eastAsia" w:asciiTheme="minorEastAsia" w:hAnsiTheme="minorEastAsia" w:eastAsiaTheme="minorEastAsia" w:cstheme="minorEastAsia"/>
          <w:color w:val="auto"/>
          <w:sz w:val="24"/>
          <w:szCs w:val="24"/>
          <w:highlight w:val="none"/>
        </w:rPr>
        <w:t xml:space="preserve"> 向甲方支付违约金；甲方不同意延期的或经延期乙方仍不能完成交货的，甲方有权终止本合同，同时乙方应赔偿因此给甲方造成的损失。</w:t>
      </w:r>
    </w:p>
    <w:p w14:paraId="7789DD0D">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3．乙方所交中药饮片不符合同约定的质量标准，由此造成的一切不良后果由乙方承担全部责任，并由乙方赔偿因此给甲方造成的全部损失（</w:t>
      </w:r>
      <w:r>
        <w:rPr>
          <w:rFonts w:hint="eastAsia" w:asciiTheme="minorEastAsia" w:hAnsiTheme="minorEastAsia" w:eastAsiaTheme="minorEastAsia" w:cstheme="minorEastAsia"/>
          <w:color w:val="auto"/>
          <w:kern w:val="0"/>
          <w:sz w:val="24"/>
          <w:szCs w:val="24"/>
          <w:highlight w:val="none"/>
        </w:rPr>
        <w:t>包括但不限于甲方支出的差旅费、律师费、诉讼费、保全费、保管费</w:t>
      </w:r>
      <w:r>
        <w:rPr>
          <w:rFonts w:hint="eastAsia" w:asciiTheme="minorEastAsia" w:hAnsiTheme="minorEastAsia" w:eastAsiaTheme="minorEastAsia" w:cstheme="minorEastAsia"/>
          <w:color w:val="auto"/>
          <w:sz w:val="24"/>
          <w:szCs w:val="24"/>
          <w:highlight w:val="none"/>
        </w:rPr>
        <w:t>等直接损失和间接损失）</w:t>
      </w:r>
    </w:p>
    <w:p w14:paraId="005C405D">
      <w:pPr>
        <w:keepNext w:val="0"/>
        <w:keepLines w:val="0"/>
        <w:pageBreakBefore w:val="0"/>
        <w:widowControl/>
        <w:numPr>
          <w:ilvl w:val="0"/>
          <w:numId w:val="32"/>
        </w:numPr>
        <w:kinsoku/>
        <w:wordWrap/>
        <w:overflowPunct/>
        <w:topLinePunct w:val="0"/>
        <w:bidi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如乙方无法保障中药饮片质量，则甲方有权调整中药饮片品种或选择</w:t>
      </w:r>
      <w:r>
        <w:rPr>
          <w:rFonts w:hint="eastAsia" w:asciiTheme="minorEastAsia" w:hAnsiTheme="minorEastAsia" w:eastAsiaTheme="minorEastAsia" w:cstheme="minorEastAsia"/>
          <w:color w:val="auto"/>
          <w:sz w:val="24"/>
          <w:szCs w:val="24"/>
          <w:highlight w:val="none"/>
        </w:rPr>
        <w:t>从其他途径购买。</w:t>
      </w:r>
    </w:p>
    <w:p w14:paraId="6B29577F">
      <w:pPr>
        <w:keepNext w:val="0"/>
        <w:keepLines w:val="0"/>
        <w:pageBreakBefore w:val="0"/>
        <w:widowControl/>
        <w:kinsoku/>
        <w:wordWrap/>
        <w:overflowPunct/>
        <w:topLinePunct w:val="0"/>
        <w:bidi w:val="0"/>
        <w:spacing w:before="100" w:after="100" w:line="360" w:lineRule="auto"/>
        <w:ind w:right="31" w:rightChars="15"/>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5.如</w:t>
      </w:r>
      <w:r>
        <w:rPr>
          <w:rFonts w:hint="eastAsia" w:asciiTheme="minorEastAsia" w:hAnsiTheme="minorEastAsia" w:eastAsiaTheme="minorEastAsia" w:cstheme="minorEastAsia"/>
          <w:color w:val="auto"/>
          <w:sz w:val="24"/>
          <w:szCs w:val="24"/>
          <w:highlight w:val="none"/>
        </w:rPr>
        <w:t>乙方不能为甲方</w:t>
      </w:r>
      <w:r>
        <w:rPr>
          <w:rFonts w:hint="eastAsia" w:asciiTheme="minorEastAsia" w:hAnsiTheme="minorEastAsia" w:eastAsiaTheme="minorEastAsia" w:cstheme="minorEastAsia"/>
          <w:color w:val="auto"/>
          <w:kern w:val="0"/>
          <w:sz w:val="24"/>
          <w:szCs w:val="24"/>
          <w:highlight w:val="none"/>
        </w:rPr>
        <w:t>提供及时有效的售后服务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同一品种</w:t>
      </w:r>
      <w:r>
        <w:rPr>
          <w:rFonts w:hint="eastAsia" w:asciiTheme="minorEastAsia" w:hAnsiTheme="minorEastAsia" w:eastAsiaTheme="minorEastAsia" w:cstheme="minorEastAsia"/>
          <w:color w:val="auto"/>
          <w:kern w:val="0"/>
          <w:sz w:val="24"/>
          <w:szCs w:val="24"/>
          <w:highlight w:val="none"/>
          <w:lang w:val="en-US" w:eastAsia="zh-CN"/>
        </w:rPr>
        <w:t>中药饮片在3日内</w:t>
      </w:r>
      <w:r>
        <w:rPr>
          <w:rFonts w:hint="eastAsia" w:asciiTheme="minorEastAsia" w:hAnsiTheme="minorEastAsia" w:eastAsiaTheme="minorEastAsia" w:cstheme="minorEastAsia"/>
          <w:color w:val="auto"/>
          <w:kern w:val="0"/>
          <w:sz w:val="24"/>
          <w:szCs w:val="24"/>
          <w:highlight w:val="none"/>
        </w:rPr>
        <w:t>连续三次无法供货或者供货期内两次</w:t>
      </w:r>
      <w:r>
        <w:rPr>
          <w:rFonts w:hint="eastAsia" w:asciiTheme="minorEastAsia" w:hAnsiTheme="minorEastAsia" w:eastAsiaTheme="minorEastAsia" w:cstheme="minorEastAsia"/>
          <w:color w:val="auto"/>
          <w:kern w:val="0"/>
          <w:sz w:val="24"/>
          <w:szCs w:val="24"/>
          <w:highlight w:val="none"/>
          <w:lang w:val="en-US" w:eastAsia="zh-CN"/>
        </w:rPr>
        <w:t>中药饮片</w:t>
      </w:r>
      <w:r>
        <w:rPr>
          <w:rFonts w:hint="eastAsia" w:asciiTheme="minorEastAsia" w:hAnsiTheme="minorEastAsia" w:eastAsiaTheme="minorEastAsia" w:cstheme="minorEastAsia"/>
          <w:color w:val="auto"/>
          <w:kern w:val="0"/>
          <w:sz w:val="24"/>
          <w:szCs w:val="24"/>
          <w:highlight w:val="none"/>
        </w:rPr>
        <w:t>验收不合格的，</w:t>
      </w:r>
      <w:r>
        <w:rPr>
          <w:rFonts w:hint="eastAsia" w:asciiTheme="minorEastAsia" w:hAnsiTheme="minorEastAsia" w:eastAsiaTheme="minorEastAsia" w:cstheme="minorEastAsia"/>
          <w:color w:val="auto"/>
          <w:sz w:val="24"/>
          <w:szCs w:val="24"/>
          <w:highlight w:val="none"/>
          <w:lang w:val="en-US" w:eastAsia="zh-CN"/>
        </w:rPr>
        <w:t xml:space="preserve">乙方应向甲方支付违约金 </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kern w:val="0"/>
          <w:sz w:val="24"/>
          <w:szCs w:val="24"/>
          <w:highlight w:val="none"/>
          <w:lang w:val="en-US" w:eastAsia="zh-CN"/>
        </w:rPr>
        <w:t>甲方</w:t>
      </w:r>
      <w:r>
        <w:rPr>
          <w:rFonts w:hint="eastAsia" w:asciiTheme="minorEastAsia" w:hAnsiTheme="minorEastAsia" w:eastAsiaTheme="minorEastAsia" w:cstheme="minorEastAsia"/>
          <w:color w:val="auto"/>
          <w:kern w:val="0"/>
          <w:sz w:val="24"/>
          <w:szCs w:val="24"/>
          <w:highlight w:val="none"/>
        </w:rPr>
        <w:t>有权取消</w:t>
      </w:r>
      <w:r>
        <w:rPr>
          <w:rFonts w:hint="eastAsia" w:asciiTheme="minorEastAsia" w:hAnsiTheme="minorEastAsia" w:eastAsiaTheme="minorEastAsia" w:cstheme="minorEastAsia"/>
          <w:color w:val="auto"/>
          <w:kern w:val="0"/>
          <w:sz w:val="24"/>
          <w:szCs w:val="24"/>
          <w:highlight w:val="none"/>
          <w:lang w:val="en-US" w:eastAsia="zh-CN"/>
        </w:rPr>
        <w:t>乙方</w:t>
      </w:r>
      <w:r>
        <w:rPr>
          <w:rFonts w:hint="eastAsia" w:asciiTheme="minorEastAsia" w:hAnsiTheme="minorEastAsia" w:eastAsiaTheme="minorEastAsia" w:cstheme="minorEastAsia"/>
          <w:color w:val="auto"/>
          <w:kern w:val="0"/>
          <w:sz w:val="24"/>
          <w:szCs w:val="24"/>
          <w:highlight w:val="none"/>
        </w:rPr>
        <w:t>的供货资格。（</w:t>
      </w:r>
      <w:r>
        <w:rPr>
          <w:rFonts w:hint="eastAsia" w:asciiTheme="minorEastAsia" w:hAnsiTheme="minorEastAsia" w:eastAsiaTheme="minorEastAsia" w:cstheme="minorEastAsia"/>
          <w:color w:val="auto"/>
          <w:kern w:val="0"/>
          <w:sz w:val="24"/>
          <w:szCs w:val="24"/>
          <w:highlight w:val="none"/>
          <w:lang w:val="en-US" w:eastAsia="zh-CN"/>
        </w:rPr>
        <w:t>乙方需</w:t>
      </w:r>
      <w:r>
        <w:rPr>
          <w:rFonts w:hint="eastAsia" w:asciiTheme="minorEastAsia" w:hAnsiTheme="minorEastAsia" w:eastAsiaTheme="minorEastAsia" w:cstheme="minorEastAsia"/>
          <w:color w:val="auto"/>
          <w:kern w:val="0"/>
          <w:sz w:val="24"/>
          <w:szCs w:val="24"/>
          <w:highlight w:val="none"/>
        </w:rPr>
        <w:t>提供《承诺函》）</w:t>
      </w:r>
    </w:p>
    <w:p w14:paraId="1BFDE63F">
      <w:pPr>
        <w:keepNext w:val="0"/>
        <w:keepLines w:val="0"/>
        <w:pageBreakBefore w:val="0"/>
        <w:widowControl/>
        <w:numPr>
          <w:ilvl w:val="0"/>
          <w:numId w:val="0"/>
        </w:numPr>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任何一方违反本合同约定的，应立即纠正或停止相关行为，承担相应的法律责任，并赔偿造成的相应损失。</w:t>
      </w:r>
    </w:p>
    <w:p w14:paraId="55B52972">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5BE60495">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条　争议的解决</w:t>
      </w:r>
    </w:p>
    <w:p w14:paraId="46ABAC96">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凡因本合同及本合同的履行发生争议的，双方应友好协商解决，协商解决不成，由甲方所在地人民法院裁决。</w:t>
      </w:r>
    </w:p>
    <w:p w14:paraId="6D2BDB06">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4D4357AF">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条　其他</w:t>
      </w:r>
    </w:p>
    <w:p w14:paraId="4FB90A5D">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1．本合同期限为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年，自</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日止。</w:t>
      </w:r>
    </w:p>
    <w:p w14:paraId="4B25F06C">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2．如乙方在履行合同过程中违约，甲方有权从质量保证金中直接扣除违约金及给甲方造成的损失。</w:t>
      </w:r>
    </w:p>
    <w:p w14:paraId="0A3A858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3．乙方不得采用任何物质、非物质利益等不正当手段贿赂甲方工作人员，否则，甲方有权单方终止本合同。本条款的效力不得被双方其他任何形式任何时间的约定变更或替换。</w:t>
      </w:r>
    </w:p>
    <w:p w14:paraId="770CBD63">
      <w:pPr>
        <w:pStyle w:val="38"/>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4．乙方应保证具有较强的本地化服务能力，配有较强的技术队伍，能为甲方提供快速的售后服务响应，保证接到甲方通知后到达现场服务时间小于2小时。</w:t>
      </w:r>
    </w:p>
    <w:p w14:paraId="1A010BDE">
      <w:pPr>
        <w:pStyle w:val="87"/>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5．双方签订的《中药饮片质量保证协议》是本合同的组成部分，与本合同具有同等法律效力。</w:t>
      </w:r>
    </w:p>
    <w:p w14:paraId="1C0E211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pacing w:val="-5"/>
          <w:sz w:val="24"/>
          <w:szCs w:val="24"/>
          <w:highlight w:val="none"/>
        </w:rPr>
        <w:t>双方保证各自的主体资格真实合法，且在本合同期限内持续有效。</w:t>
      </w:r>
    </w:p>
    <w:p w14:paraId="6FC09D35">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7．本合同自双方</w:t>
      </w:r>
      <w:r>
        <w:rPr>
          <w:rFonts w:hint="eastAsia" w:asciiTheme="minorEastAsia" w:hAnsiTheme="minorEastAsia" w:eastAsiaTheme="minorEastAsia" w:cstheme="minorEastAsia"/>
          <w:color w:val="auto"/>
          <w:sz w:val="24"/>
          <w:szCs w:val="24"/>
          <w:highlight w:val="none"/>
          <w:lang w:val="en-US" w:eastAsia="zh-CN"/>
        </w:rPr>
        <w:t>法定代表人或授权委托人</w:t>
      </w:r>
      <w:r>
        <w:rPr>
          <w:rFonts w:hint="eastAsia" w:asciiTheme="minorEastAsia" w:hAnsiTheme="minorEastAsia" w:eastAsiaTheme="minorEastAsia" w:cstheme="minorEastAsia"/>
          <w:color w:val="auto"/>
          <w:sz w:val="24"/>
          <w:szCs w:val="24"/>
          <w:highlight w:val="none"/>
        </w:rPr>
        <w:t>签字盖章之日起生效。</w:t>
      </w:r>
    </w:p>
    <w:p w14:paraId="5E74CBC5">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8．本合同一式陆份，双方各执叁份，具有同等法律效力。</w:t>
      </w:r>
    </w:p>
    <w:p w14:paraId="390159E2">
      <w:pPr>
        <w:pageBreakBefore w:val="0"/>
        <w:kinsoku/>
        <w:wordWrap/>
        <w:overflowPunct/>
        <w:topLinePunct w:val="0"/>
        <w:bidi w:val="0"/>
        <w:spacing w:line="360" w:lineRule="auto"/>
        <w:rPr>
          <w:rFonts w:hint="eastAsia" w:asciiTheme="minorEastAsia" w:hAnsiTheme="minorEastAsia" w:eastAsiaTheme="minorEastAsia" w:cstheme="minorEastAsia"/>
          <w:color w:val="auto"/>
          <w:spacing w:val="-5"/>
          <w:sz w:val="24"/>
          <w:szCs w:val="24"/>
          <w:highlight w:val="none"/>
        </w:rPr>
      </w:pPr>
    </w:p>
    <w:p w14:paraId="59101736">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 xml:space="preserve">甲方（章）：    </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乙方（章）：</w:t>
      </w:r>
    </w:p>
    <w:p w14:paraId="3C2A5A32">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1A362488">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授权代表人：               授权代表人：</w:t>
      </w:r>
    </w:p>
    <w:p w14:paraId="2A96F45D">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787F9F68">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签署日期：   年  月  日    签署日期：   年  月  日</w:t>
      </w:r>
    </w:p>
    <w:p w14:paraId="1364429E">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07885957">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22ADAE0A">
      <w:pPr>
        <w:pStyle w:val="38"/>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3AC24596">
      <w:pPr>
        <w:pStyle w:val="38"/>
        <w:pageBreakBefore w:val="0"/>
        <w:widowControl/>
        <w:numPr>
          <w:ilvl w:val="0"/>
          <w:numId w:val="33"/>
        </w:numPr>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授权委托人签字需要提供：乙方给委托人出具的授权委托书原件（委托权限应明确授权代表人有代表乙方签订合同的授权）、法定代表人身份证明书原件、乙方营业执照复印件（加盖公章）、授权委托人身份证复印件（加盖公章），注意合同签订日期应在成交通知书载明时期之日起30日内完成。</w:t>
      </w:r>
    </w:p>
    <w:p w14:paraId="741ABD3B">
      <w:pPr>
        <w:pStyle w:val="38"/>
        <w:pageBreakBefore w:val="0"/>
        <w:widowControl/>
        <w:numPr>
          <w:ilvl w:val="0"/>
          <w:numId w:val="33"/>
        </w:numPr>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合同中未见价格条款，建议甲乙双方将药品价格写入合同条款。</w:t>
      </w:r>
    </w:p>
    <w:p w14:paraId="1B2F5EF3">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br w:type="page"/>
      </w:r>
      <w:r>
        <w:rPr>
          <w:rFonts w:hint="eastAsia" w:asciiTheme="minorEastAsia" w:hAnsiTheme="minorEastAsia" w:eastAsiaTheme="minorEastAsia" w:cstheme="minorEastAsia"/>
          <w:b w:val="0"/>
          <w:bCs w:val="0"/>
          <w:color w:val="auto"/>
          <w:sz w:val="24"/>
          <w:szCs w:val="24"/>
          <w:highlight w:val="none"/>
        </w:rPr>
        <w:t>中药饮片质量保证协议</w:t>
      </w:r>
    </w:p>
    <w:p w14:paraId="3C0253E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4"/>
          <w:szCs w:val="24"/>
          <w:highlight w:val="none"/>
        </w:rPr>
      </w:pPr>
    </w:p>
    <w:p w14:paraId="18B3F53E">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甲方（</w:t>
      </w:r>
      <w:r>
        <w:rPr>
          <w:rFonts w:hint="eastAsia" w:asciiTheme="minorEastAsia" w:hAnsiTheme="minorEastAsia" w:eastAsiaTheme="minorEastAsia" w:cstheme="minorEastAsia"/>
          <w:b w:val="0"/>
          <w:bCs w:val="0"/>
          <w:color w:val="auto"/>
          <w:sz w:val="24"/>
          <w:szCs w:val="24"/>
          <w:highlight w:val="none"/>
          <w:lang w:val="en-US" w:eastAsia="zh-CN"/>
        </w:rPr>
        <w:t>医疗机构</w:t>
      </w:r>
      <w:r>
        <w:rPr>
          <w:rFonts w:hint="eastAsia" w:asciiTheme="minorEastAsia" w:hAnsiTheme="minorEastAsia" w:eastAsiaTheme="minorEastAsia" w:cstheme="minorEastAsia"/>
          <w:b w:val="0"/>
          <w:bCs w:val="0"/>
          <w:color w:val="auto"/>
          <w:sz w:val="24"/>
          <w:szCs w:val="24"/>
          <w:highlight w:val="none"/>
        </w:rPr>
        <w:t>）：</w:t>
      </w:r>
    </w:p>
    <w:p w14:paraId="6CB22C34">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乙方（</w:t>
      </w:r>
      <w:r>
        <w:rPr>
          <w:rFonts w:hint="eastAsia" w:asciiTheme="minorEastAsia" w:hAnsiTheme="minorEastAsia" w:eastAsiaTheme="minorEastAsia" w:cstheme="minorEastAsia"/>
          <w:b w:val="0"/>
          <w:bCs w:val="0"/>
          <w:color w:val="auto"/>
          <w:sz w:val="24"/>
          <w:szCs w:val="24"/>
          <w:highlight w:val="none"/>
          <w:lang w:val="en-US" w:eastAsia="zh-CN"/>
        </w:rPr>
        <w:t>药品供应企业</w:t>
      </w:r>
      <w:r>
        <w:rPr>
          <w:rFonts w:hint="eastAsia" w:asciiTheme="minorEastAsia" w:hAnsiTheme="minorEastAsia" w:eastAsiaTheme="minorEastAsia" w:cstheme="minorEastAsia"/>
          <w:b w:val="0"/>
          <w:bCs w:val="0"/>
          <w:color w:val="auto"/>
          <w:sz w:val="24"/>
          <w:szCs w:val="24"/>
          <w:highlight w:val="none"/>
        </w:rPr>
        <w:t>）：</w:t>
      </w:r>
    </w:p>
    <w:p w14:paraId="424DF489">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法定代表人：</w:t>
      </w:r>
    </w:p>
    <w:p w14:paraId="274C51E7">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通讯地址：</w:t>
      </w:r>
    </w:p>
    <w:p w14:paraId="45108EAA">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联系电话：</w:t>
      </w:r>
    </w:p>
    <w:p w14:paraId="599D132A">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电子邮箱：</w:t>
      </w:r>
    </w:p>
    <w:p w14:paraId="72CCAFC9">
      <w:pPr>
        <w:pStyle w:val="5"/>
        <w:keepNext/>
        <w:keepLines/>
        <w:pageBreakBefore w:val="0"/>
        <w:widowControl w:val="0"/>
        <w:numPr>
          <w:ilvl w:val="0"/>
          <w:numId w:val="0"/>
        </w:numPr>
        <w:shd w:val="clear" w:color="auto" w:fill="FFFFFF"/>
        <w:tabs>
          <w:tab w:val="left" w:pos="720"/>
        </w:tabs>
        <w:kinsoku/>
        <w:wordWrap/>
        <w:overflowPunct/>
        <w:topLinePunct w:val="0"/>
        <w:autoSpaceDE/>
        <w:autoSpaceDN/>
        <w:bidi w:val="0"/>
        <w:adjustRightInd w:val="0"/>
        <w:snapToGrid/>
        <w:spacing w:before="0" w:beforeAutospacing="0" w:after="75" w:afterAutospacing="0" w:line="360" w:lineRule="auto"/>
        <w:ind w:firstLine="480" w:firstLineChars="200"/>
        <w:textAlignment w:val="baseline"/>
        <w:rPr>
          <w:rFonts w:hint="eastAsia" w:asciiTheme="minorEastAsia" w:hAnsiTheme="minorEastAsia" w:eastAsiaTheme="minorEastAsia" w:cstheme="minorEastAsia"/>
          <w:b w:val="0"/>
          <w:bCs w:val="0"/>
          <w:color w:val="auto"/>
          <w:kern w:val="2"/>
          <w:sz w:val="24"/>
          <w:szCs w:val="24"/>
          <w:highlight w:val="none"/>
        </w:rPr>
      </w:pPr>
      <w:r>
        <w:rPr>
          <w:rFonts w:hint="eastAsia" w:asciiTheme="minorEastAsia" w:hAnsiTheme="minorEastAsia" w:eastAsiaTheme="minorEastAsia" w:cstheme="minorEastAsia"/>
          <w:b w:val="0"/>
          <w:bCs w:val="0"/>
          <w:color w:val="auto"/>
          <w:kern w:val="2"/>
          <w:sz w:val="24"/>
          <w:szCs w:val="24"/>
          <w:highlight w:val="none"/>
        </w:rPr>
        <w:t>为了保证中药饮片质量，明确责任，维护双方权益，甲、乙双方本着平等互利、公平、公正、协商一致的原则，根据《</w:t>
      </w:r>
      <w:r>
        <w:rPr>
          <w:rFonts w:hint="eastAsia" w:asciiTheme="minorEastAsia" w:hAnsiTheme="minorEastAsia" w:eastAsiaTheme="minorEastAsia" w:cstheme="minorEastAsia"/>
          <w:b w:val="0"/>
          <w:bCs w:val="0"/>
          <w:color w:val="auto"/>
          <w:kern w:val="2"/>
          <w:sz w:val="24"/>
          <w:szCs w:val="24"/>
          <w:highlight w:val="none"/>
        </w:rPr>
        <w:fldChar w:fldCharType="begin"/>
      </w:r>
      <w:r>
        <w:rPr>
          <w:rFonts w:hint="eastAsia" w:asciiTheme="minorEastAsia" w:hAnsiTheme="minorEastAsia" w:eastAsiaTheme="minorEastAsia" w:cstheme="minorEastAsia"/>
          <w:b w:val="0"/>
          <w:bCs w:val="0"/>
          <w:color w:val="auto"/>
          <w:kern w:val="2"/>
          <w:sz w:val="24"/>
          <w:szCs w:val="24"/>
          <w:highlight w:val="none"/>
        </w:rPr>
        <w:instrText xml:space="preserve"> HYPERLINK "http://www.baidu.com/link?url=EqO9yL6cVhpgs6dflxo0g_6XKr__pmdfi-dPRQk1wvv3uY8SAZczf9ib-_8hNjC77ZMTXxJJI3xPiNaJmXdLAvTfiBtDEwLjWmpEU2BwXaMJPlu4RPzxZ0z106mP_RJt51HJtrOgxLP4o28DVxt3YIcnZwLtmAJXH_CR0GNJa66uDW-0Z1ARI8B9-W3S_szpoHqIm1y1kv37uLx5Bs_Y0BtS-ZBJykkt05X_b_yoSptk944F9e_3rTsg3RTiwwzX" \t "_blank"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asciiTheme="minorEastAsia" w:hAnsiTheme="minorEastAsia" w:eastAsiaTheme="minorEastAsia" w:cstheme="minorEastAsia"/>
          <w:b w:val="0"/>
          <w:bCs w:val="0"/>
          <w:color w:val="auto"/>
          <w:kern w:val="2"/>
          <w:sz w:val="24"/>
          <w:szCs w:val="24"/>
          <w:highlight w:val="none"/>
        </w:rPr>
        <w:t>中华人民共和国</w:t>
      </w:r>
      <w:r>
        <w:rPr>
          <w:rFonts w:hint="eastAsia" w:asciiTheme="minorEastAsia" w:hAnsiTheme="minorEastAsia" w:eastAsiaTheme="minorEastAsia" w:cstheme="minorEastAsia"/>
          <w:b w:val="0"/>
          <w:bCs w:val="0"/>
          <w:color w:val="auto"/>
          <w:kern w:val="2"/>
          <w:sz w:val="24"/>
          <w:szCs w:val="24"/>
          <w:highlight w:val="none"/>
        </w:rPr>
        <w:fldChar w:fldCharType="end"/>
      </w:r>
      <w:r>
        <w:rPr>
          <w:rFonts w:hint="eastAsia" w:asciiTheme="minorEastAsia" w:hAnsiTheme="minorEastAsia" w:eastAsiaTheme="minorEastAsia" w:cstheme="minorEastAsia"/>
          <w:b w:val="0"/>
          <w:bCs w:val="0"/>
          <w:color w:val="auto"/>
          <w:kern w:val="2"/>
          <w:sz w:val="24"/>
          <w:szCs w:val="24"/>
          <w:highlight w:val="none"/>
        </w:rPr>
        <w:t>药品管理法》、《药品生产质量管理规范（GMP）》、《药品经营质量管理规范（GSP）》等法律、法规以及相关规定，达成中药饮片质量保证协议如下：</w:t>
      </w:r>
    </w:p>
    <w:p w14:paraId="1B5EC201">
      <w:pPr>
        <w:pageBreakBefore w:val="0"/>
        <w:numPr>
          <w:ilvl w:val="0"/>
          <w:numId w:val="34"/>
        </w:numPr>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乙方须是具有法定资质的中药饮片生产或经营企业，且具有履行供货合同的能力。乙方须向甲方提供加盖公章的合法、有效、符合规定的药品生产（经营）许可证、营业执照、GMP/GSP认证证书、《税务登记证》、《组织机构代码证》、印模、随货同行单（票）样式、银行开户户名、开户银行及账号、开户证明等企业资质证照的复印件，且对其真实性、有效性负责。</w:t>
      </w:r>
    </w:p>
    <w:p w14:paraId="34A2DD2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二、乙方向甲方提供的中药饮片必须在符合</w:t>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"http://www.baidu.com/link?url=sk4nyY6vq-c0FsLacoELAyFbsp85kPJFkNFdS50MylAb8OGmaYInPVR7o33NuQQPkBOiC_SlJcmk4Pf8GpyQma" \t "_blank"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《中国药典》20</w:t>
      </w:r>
      <w:r>
        <w:rPr>
          <w:rFonts w:hint="eastAsia" w:asciiTheme="minorEastAsia" w:hAnsiTheme="minorEastAsia" w:eastAsiaTheme="minorEastAsia" w:cstheme="minorEastAsia"/>
          <w:b w:val="0"/>
          <w:bCs w:val="0"/>
          <w:color w:val="auto"/>
          <w:sz w:val="24"/>
          <w:szCs w:val="24"/>
          <w:highlight w:val="none"/>
          <w:lang w:val="en-US" w:eastAsia="zh-CN"/>
        </w:rPr>
        <w:t>20</w:t>
      </w:r>
      <w:r>
        <w:rPr>
          <w:rFonts w:hint="eastAsia" w:asciiTheme="minorEastAsia" w:hAnsiTheme="minorEastAsia" w:eastAsiaTheme="minorEastAsia" w:cstheme="minorEastAsia"/>
          <w:b w:val="0"/>
          <w:bCs w:val="0"/>
          <w:color w:val="auto"/>
          <w:sz w:val="24"/>
          <w:szCs w:val="24"/>
          <w:highlight w:val="none"/>
        </w:rPr>
        <w:t>版</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t>或国家其他质量标准的基础上，同时满足合同附件的质量要求（见</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合同附件）相关饮片须提供相应的毒性饮片加工资质或野生动物及其产品经营利用许可证资质等或送新疆药检所检测。</w:t>
      </w:r>
      <w:r>
        <w:rPr>
          <w:rFonts w:hint="eastAsia" w:asciiTheme="minorEastAsia" w:hAnsiTheme="minorEastAsia" w:eastAsiaTheme="minorEastAsia" w:cstheme="minorEastAsia"/>
          <w:b w:val="0"/>
          <w:bCs w:val="0"/>
          <w:color w:val="auto"/>
          <w:sz w:val="24"/>
          <w:szCs w:val="24"/>
          <w:highlight w:val="none"/>
          <w:lang w:val="en-US" w:eastAsia="zh-CN"/>
        </w:rPr>
        <w:t>若甲方分批采购，甲方需制作该批次药品的种类、数量及质量要求的附件清单，经乙方盖章确认后一份交由甲方留存。未见相关合同附件，如院方对本合同药品质量有特殊要求，建议在合同附件中载明要求的内容并经对方盖章确认留存。如果院方分批次购买药品，建议将每次购买的物品的质量要求制作附件清单并经对方盖章确认留存。</w:t>
      </w:r>
    </w:p>
    <w:p w14:paraId="2CC1F685">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乙方在首次向甲方供货和乙方的销售业务人员发生变换时，须向甲方提供加盖公章原印章的销售人员身份证复印件及加盖乙方公章和法定代表人印章（或者签名）的法人授权书，授权书应载明：授权销售品种、地域、期限、权限、销售人员的身份证号码等内容。</w:t>
      </w:r>
    </w:p>
    <w:p w14:paraId="0590C1C7">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四、进口的中药饮片，乙方须提供与所供应的中药饮片相符的并加盖有供货单位质量管理机构原印章的《进口药品注册证》、《进口药材批件》、《进口药品检验报告书》</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《药品经营许可证》或《药品生产许可证》、《企业法人营业执照》、《进口药品报检报告书》、《进口药品通关单》、出厂检验报告书、原产地证明</w:t>
      </w:r>
      <w:r>
        <w:rPr>
          <w:rFonts w:hint="eastAsia" w:asciiTheme="minorEastAsia" w:hAnsiTheme="minorEastAsia" w:eastAsiaTheme="minorEastAsia" w:cstheme="minorEastAsia"/>
          <w:b w:val="0"/>
          <w:bCs w:val="0"/>
          <w:color w:val="auto"/>
          <w:sz w:val="24"/>
          <w:szCs w:val="24"/>
          <w:highlight w:val="none"/>
        </w:rPr>
        <w:t>等复印件，进口中药饮片应有中文标签和中文说明书。</w:t>
      </w:r>
    </w:p>
    <w:p w14:paraId="3D71704D">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五、乙方向甲方供应的中药饮片，须随货附有所供同批号中药饮片加盖有供货单位公章原印章或质量检验管理机构专用章原印章的质量检验报告书。</w:t>
      </w:r>
    </w:p>
    <w:p w14:paraId="5164A0C8">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乙方向甲方提供的中药饮片的包装、标签、说明书等须符合国家的有关规定，其包装能确保中药饮片质量和运输要求，运输途中须按中药饮片储存特性和保管运输要求，中药饮片须印有或贴有标签，且必须注明品名、规格、产地、生产企业、生产批号、生产日期、有效期等内容，实施批准文号管理的中药饮片还必须注明批准文号。</w:t>
      </w:r>
    </w:p>
    <w:p w14:paraId="638273E3">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乙方销售给甲方的中药饮片，须随货向甲方提供随货同行单（票），内容包括供货单位、品名、产地、规格、生产厂商、批号、生产日期、有效期、数量、收货地址、收货单位、发货日期等内容，内容须与实物相符并加盖公章，否则甲方有权拒收。</w:t>
      </w:r>
    </w:p>
    <w:p w14:paraId="66E558B4">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八、乙方向甲方提供的中药饮片，以交货日计算：有效期三年以上（含三年）的中药饮片生产批号应在12个月内。乙方供货时，原则上是一个品种10件内一个批号，</w:t>
      </w:r>
      <w:r>
        <w:rPr>
          <w:rFonts w:hint="eastAsia" w:asciiTheme="minorEastAsia" w:hAnsiTheme="minorEastAsia" w:eastAsiaTheme="minorEastAsia" w:cstheme="minorEastAsia"/>
          <w:b w:val="0"/>
          <w:bCs w:val="0"/>
          <w:color w:val="auto"/>
          <w:sz w:val="24"/>
          <w:szCs w:val="24"/>
          <w:highlight w:val="none"/>
          <w:lang w:val="en-US" w:eastAsia="zh-CN"/>
        </w:rPr>
        <w:t>20</w:t>
      </w:r>
      <w:r>
        <w:rPr>
          <w:rFonts w:hint="eastAsia" w:asciiTheme="minorEastAsia" w:hAnsiTheme="minorEastAsia" w:eastAsiaTheme="minorEastAsia" w:cstheme="minorEastAsia"/>
          <w:b w:val="0"/>
          <w:bCs w:val="0"/>
          <w:color w:val="auto"/>
          <w:sz w:val="24"/>
          <w:szCs w:val="24"/>
          <w:highlight w:val="none"/>
        </w:rPr>
        <w:t>件以内不超过二个批号。整件药品应有合格证，合格证应加盖检验员印章、质检印章。</w:t>
      </w:r>
    </w:p>
    <w:p w14:paraId="7A87A325">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九、乙方须按照国家规定及时、据实开据合法税票，税票应列明药品的品名、规格、产地、单位、数量、单价、金额等</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甲方付款前乙方应先向甲方提供相应的税务发票，否则甲方有权决绝付款。</w:t>
      </w:r>
    </w:p>
    <w:p w14:paraId="3469B6B7">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中药饮片运输的质量保证及责任：乙方应按包装的要求采用密闭运输工具运输，针对天气、道路情况及路程采取适当有效的措施，保证中药饮片在途运输的质量和安全。中药饮片因仓储不当或在运输途中所造成的一切损失或损坏，全部由乙方负责，乙方须将中药饮片送达甲方指定的收货地点。</w:t>
      </w:r>
    </w:p>
    <w:p w14:paraId="639E64D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十一、甲方责任</w:t>
      </w:r>
    </w:p>
    <w:p w14:paraId="44FE3FA1">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1、甲方向乙方购进中药饮片时，应向乙方提供合法、有效的企业资质证书包括《药品经营许可证》、营业执照副本等加盖印章的复印件。</w:t>
      </w:r>
    </w:p>
    <w:p w14:paraId="1ABA6489">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2、乙方中药饮片运输达到甲方后，甲方应在</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日内及时验收。甲方在药品验收、经营或使用中药饮片时发现质量问题，应及时通知乙方，并提供详细、确定的质量信息，配合乙方做好调查取证和善后处理工作</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若乙方药品存在质量问题，乙方应在接到甲方药品质量异议之日起七日内重新为甲方提供符合质量要求的中药饮片。</w:t>
      </w:r>
    </w:p>
    <w:p w14:paraId="5A638616">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3、甲方在中药饮片验收合格并双方互签验收合格的相关文书后，应按合同期限付给货款。</w:t>
      </w:r>
    </w:p>
    <w:p w14:paraId="503571D2">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十二、乙方责任</w:t>
      </w:r>
    </w:p>
    <w:p w14:paraId="39344EA4">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1、乙方承诺对所提供的中药饮片承担全部质量责任，凡属产品质量问题，甲方有权向乙方退货。如双方对中药饮片质量产生争议，以甲方所在地的法定检验部门的检验报告为准，乙方承担一切费用。</w:t>
      </w:r>
      <w:r>
        <w:rPr>
          <w:rFonts w:hint="eastAsia" w:asciiTheme="minorEastAsia" w:hAnsiTheme="minorEastAsia" w:eastAsiaTheme="minorEastAsia" w:cstheme="minorEastAsia"/>
          <w:b w:val="0"/>
          <w:bCs w:val="0"/>
          <w:color w:val="auto"/>
          <w:sz w:val="24"/>
          <w:szCs w:val="24"/>
          <w:highlight w:val="none"/>
          <w:lang w:val="en-US" w:eastAsia="zh-CN"/>
        </w:rPr>
        <w:t>甲方的收货行为不代表对乙方所供中药饮片最终质量的认可，乙方仍承担中药饮片在有效期内的质量担保责任。</w:t>
      </w:r>
    </w:p>
    <w:p w14:paraId="04700F60">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2、乙方承诺提供的中药饮片因质量问题（包括包装质量）所产生的一切不良后果以及造成甲方的损失， 均由乙方承担全部责任并无条件赔偿一切损失，损失金额由甲方确定，乙方无条件执行。</w:t>
      </w:r>
    </w:p>
    <w:p w14:paraId="670E7AB9">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3、乙方承诺在接到甲方查询时，以甲方函（电话）到达之日起二天内须向甲方作出明确答复，逾期造成的后果均由乙方承担全部责任。</w:t>
      </w:r>
    </w:p>
    <w:p w14:paraId="5AF6382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4、乙方承诺保证所提供的资料的合法性和真实性，如因提供虚假资料等问题而产生的一切不良后果，均由乙方负完全责任并无条件赔偿一切损失。</w:t>
      </w:r>
    </w:p>
    <w:p w14:paraId="54B74B36">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5、乙方承诺按GSP等国家有关规定储存甲方所需中药饮片，由于乙方储存不当造成的中药饮片质量问题由乙方承担全部责任。</w:t>
      </w:r>
    </w:p>
    <w:p w14:paraId="6184495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乙方承诺保证所提供的中药饮片包装上印有的商品条码是经过相关主管部门核准注册、备案，如印有未经核准注册、备案或者伪造的商品条码的而产生的一切不良后果由乙方负完全责任并无条件赔偿一切损失。</w:t>
      </w:r>
    </w:p>
    <w:p w14:paraId="3205592C">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十三、本协议所涉及的条款，如与有关法律、法规有悖，则以现行法律法规的规定为准。</w:t>
      </w:r>
    </w:p>
    <w:p w14:paraId="1BFCF9ED">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十四、本协议未尽事宜，由双方协调解决。双方发生争议时应先友好协商解决，协商不成时，通过甲方所在地人民法院诉讼解决。</w:t>
      </w:r>
    </w:p>
    <w:p w14:paraId="0281CBE2">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十五、本协议一式四份，甲方叁份、乙方壹份，自甲乙双方签字盖章之日起生效，有效期限</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rPr>
        <w:t>年。</w:t>
      </w:r>
    </w:p>
    <w:p w14:paraId="6305324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p>
    <w:p w14:paraId="2660926B">
      <w:pPr>
        <w:pageBreakBefore w:val="0"/>
        <w:kinsoku/>
        <w:wordWrap/>
        <w:overflowPunct/>
        <w:topLinePunct w:val="0"/>
        <w:bidi w:val="0"/>
        <w:spacing w:line="360" w:lineRule="auto"/>
        <w:jc w:val="left"/>
        <w:rPr>
          <w:rFonts w:hint="eastAsia" w:asciiTheme="minorEastAsia" w:hAnsiTheme="minorEastAsia" w:eastAsiaTheme="minorEastAsia" w:cstheme="minorEastAsia"/>
          <w:b w:val="0"/>
          <w:bCs w:val="0"/>
          <w:color w:val="auto"/>
          <w:sz w:val="24"/>
          <w:szCs w:val="24"/>
          <w:highlight w:val="none"/>
        </w:rPr>
      </w:pPr>
    </w:p>
    <w:p w14:paraId="20438D6B">
      <w:pPr>
        <w:pageBreakBefore w:val="0"/>
        <w:kinsoku/>
        <w:wordWrap/>
        <w:overflowPunct/>
        <w:topLinePunct w:val="0"/>
        <w:bidi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甲方（盖章）：                 乙方（盖章）：</w:t>
      </w:r>
    </w:p>
    <w:p w14:paraId="60A2D937">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p>
    <w:p w14:paraId="19137085">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法定代表人：                  法定代表人：</w:t>
      </w:r>
    </w:p>
    <w:p w14:paraId="2F7CDB88">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p>
    <w:p w14:paraId="2B3469F1">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代理人：                      代理人：</w:t>
      </w:r>
    </w:p>
    <w:p w14:paraId="1C2DBD71">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p>
    <w:p w14:paraId="4EE9F197">
      <w:pPr>
        <w:pageBreakBefore w:val="0"/>
        <w:kinsoku/>
        <w:wordWrap/>
        <w:overflowPunct/>
        <w:topLinePunct w:val="0"/>
        <w:bidi w:val="0"/>
        <w:spacing w:line="360" w:lineRule="auto"/>
        <w:ind w:firstLine="470" w:firstLineChars="196"/>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签订日期：    年  月  日</w:t>
      </w:r>
    </w:p>
    <w:p w14:paraId="4A2D76FF">
      <w:pPr>
        <w:pageBreakBefore w:val="0"/>
        <w:kinsoku/>
        <w:wordWrap/>
        <w:overflowPunct/>
        <w:topLinePunct w:val="0"/>
        <w:bidi w:val="0"/>
        <w:spacing w:line="360" w:lineRule="auto"/>
        <w:rPr>
          <w:rFonts w:hint="eastAsia" w:asciiTheme="minorEastAsia" w:hAnsiTheme="minorEastAsia" w:eastAsiaTheme="minorEastAsia" w:cstheme="minorEastAsia"/>
          <w:sz w:val="24"/>
          <w:szCs w:val="24"/>
          <w:highlight w:val="none"/>
        </w:rPr>
      </w:pPr>
    </w:p>
    <w:p w14:paraId="14D41836">
      <w:pPr>
        <w:pStyle w:val="66"/>
        <w:ind w:left="0" w:leftChars="0" w:firstLine="0" w:firstLineChars="0"/>
        <w:rPr>
          <w:rFonts w:hint="eastAsia" w:eastAsia="宋体"/>
          <w:color w:val="auto"/>
          <w:highlight w:val="none"/>
        </w:rPr>
      </w:pPr>
    </w:p>
    <w:p w14:paraId="5F9B6FAE">
      <w:pPr>
        <w:pStyle w:val="86"/>
        <w:ind w:firstLine="321"/>
        <w:rPr>
          <w:rFonts w:hAnsi="宋体"/>
          <w:color w:val="auto"/>
          <w:sz w:val="24"/>
          <w:highlight w:val="none"/>
        </w:rPr>
      </w:pPr>
      <w:r>
        <w:rPr>
          <w:rFonts w:hint="eastAsia" w:ascii="仿宋" w:hAnsi="仿宋" w:eastAsia="仿宋" w:cs="仿宋"/>
          <w:b/>
          <w:color w:val="auto"/>
          <w:sz w:val="32"/>
          <w:szCs w:val="32"/>
          <w:highlight w:val="none"/>
        </w:rPr>
        <w:br w:type="page"/>
      </w:r>
    </w:p>
    <w:p w14:paraId="786B8E80">
      <w:pPr>
        <w:pStyle w:val="3"/>
        <w:spacing w:before="0" w:after="0" w:line="240" w:lineRule="auto"/>
        <w:jc w:val="center"/>
        <w:rPr>
          <w:rFonts w:hint="eastAsia" w:ascii="宋体"/>
          <w:color w:val="auto"/>
          <w:sz w:val="36"/>
          <w:szCs w:val="36"/>
          <w:highlight w:val="none"/>
        </w:rPr>
      </w:pPr>
      <w:bookmarkStart w:id="351" w:name="_Toc21015"/>
      <w:r>
        <w:rPr>
          <w:rFonts w:hint="eastAsia" w:ascii="宋体"/>
          <w:color w:val="auto"/>
          <w:sz w:val="36"/>
          <w:szCs w:val="36"/>
          <w:highlight w:val="none"/>
        </w:rPr>
        <w:t>第七章  投标文件格式</w:t>
      </w:r>
      <w:bookmarkEnd w:id="351"/>
    </w:p>
    <w:p w14:paraId="56E91E3A">
      <w:pPr>
        <w:jc w:val="left"/>
        <w:rPr>
          <w:rFonts w:hint="eastAsia" w:ascii="宋体"/>
          <w:b/>
          <w:color w:val="auto"/>
          <w:sz w:val="24"/>
          <w:highlight w:val="none"/>
        </w:rPr>
      </w:pPr>
    </w:p>
    <w:p w14:paraId="2EF1A733">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3600889F">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5B8320D5">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1EB15363">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3B588F5D">
      <w:pPr>
        <w:rPr>
          <w:rFonts w:hint="eastAsia" w:ascii="宋体"/>
          <w:b/>
          <w:color w:val="auto"/>
          <w:sz w:val="30"/>
          <w:szCs w:val="30"/>
          <w:highlight w:val="none"/>
        </w:rPr>
      </w:pPr>
    </w:p>
    <w:p w14:paraId="4A244905">
      <w:pPr>
        <w:pStyle w:val="86"/>
        <w:ind w:firstLine="301"/>
        <w:rPr>
          <w:rFonts w:hint="eastAsia"/>
          <w:b/>
          <w:color w:val="auto"/>
          <w:sz w:val="30"/>
          <w:szCs w:val="30"/>
          <w:highlight w:val="none"/>
        </w:rPr>
      </w:pPr>
    </w:p>
    <w:p w14:paraId="0272F5E1">
      <w:pPr>
        <w:pStyle w:val="68"/>
        <w:rPr>
          <w:rFonts w:hint="eastAsia" w:ascii="宋体"/>
          <w:b/>
          <w:color w:val="auto"/>
          <w:sz w:val="30"/>
          <w:szCs w:val="30"/>
          <w:highlight w:val="none"/>
        </w:rPr>
      </w:pPr>
    </w:p>
    <w:p w14:paraId="7C0F4F86">
      <w:pPr>
        <w:rPr>
          <w:rFonts w:hint="eastAsia" w:ascii="宋体"/>
          <w:b/>
          <w:color w:val="auto"/>
          <w:sz w:val="30"/>
          <w:szCs w:val="30"/>
          <w:highlight w:val="none"/>
        </w:rPr>
      </w:pPr>
    </w:p>
    <w:p w14:paraId="466946A6">
      <w:pPr>
        <w:pStyle w:val="86"/>
        <w:ind w:firstLine="301"/>
        <w:rPr>
          <w:rFonts w:hint="eastAsia"/>
          <w:b/>
          <w:color w:val="auto"/>
          <w:sz w:val="30"/>
          <w:szCs w:val="30"/>
          <w:highlight w:val="none"/>
        </w:rPr>
      </w:pPr>
    </w:p>
    <w:p w14:paraId="7245428B">
      <w:pPr>
        <w:pStyle w:val="68"/>
        <w:rPr>
          <w:rFonts w:hint="eastAsia" w:ascii="宋体"/>
          <w:b/>
          <w:color w:val="auto"/>
          <w:sz w:val="30"/>
          <w:szCs w:val="30"/>
          <w:highlight w:val="none"/>
        </w:rPr>
      </w:pPr>
    </w:p>
    <w:p w14:paraId="6D691046">
      <w:pPr>
        <w:rPr>
          <w:rFonts w:hint="eastAsia" w:ascii="宋体"/>
          <w:b/>
          <w:color w:val="auto"/>
          <w:sz w:val="30"/>
          <w:szCs w:val="30"/>
          <w:highlight w:val="none"/>
        </w:rPr>
      </w:pPr>
    </w:p>
    <w:p w14:paraId="25CF376E">
      <w:pPr>
        <w:pStyle w:val="86"/>
        <w:ind w:firstLine="301"/>
        <w:rPr>
          <w:rFonts w:hint="eastAsia"/>
          <w:b/>
          <w:color w:val="auto"/>
          <w:sz w:val="30"/>
          <w:szCs w:val="30"/>
          <w:highlight w:val="none"/>
        </w:rPr>
      </w:pPr>
    </w:p>
    <w:p w14:paraId="1EB0B9CE">
      <w:pPr>
        <w:pStyle w:val="68"/>
        <w:rPr>
          <w:rFonts w:hint="eastAsia" w:ascii="宋体"/>
          <w:b/>
          <w:color w:val="auto"/>
          <w:sz w:val="30"/>
          <w:szCs w:val="30"/>
          <w:highlight w:val="none"/>
        </w:rPr>
      </w:pPr>
    </w:p>
    <w:p w14:paraId="1AA5CCD1">
      <w:pPr>
        <w:rPr>
          <w:rFonts w:hint="eastAsia" w:ascii="宋体"/>
          <w:b/>
          <w:color w:val="auto"/>
          <w:sz w:val="30"/>
          <w:szCs w:val="30"/>
          <w:highlight w:val="none"/>
        </w:rPr>
      </w:pPr>
    </w:p>
    <w:p w14:paraId="0F199827">
      <w:pPr>
        <w:pStyle w:val="86"/>
        <w:ind w:firstLine="301"/>
        <w:rPr>
          <w:rFonts w:hint="eastAsia"/>
          <w:b/>
          <w:color w:val="auto"/>
          <w:sz w:val="30"/>
          <w:szCs w:val="30"/>
          <w:highlight w:val="none"/>
        </w:rPr>
      </w:pPr>
    </w:p>
    <w:p w14:paraId="2979BF6F">
      <w:pPr>
        <w:pStyle w:val="68"/>
        <w:rPr>
          <w:rFonts w:hint="eastAsia" w:ascii="宋体"/>
          <w:b/>
          <w:color w:val="auto"/>
          <w:sz w:val="30"/>
          <w:szCs w:val="30"/>
          <w:highlight w:val="none"/>
        </w:rPr>
      </w:pPr>
    </w:p>
    <w:p w14:paraId="59720A55">
      <w:pPr>
        <w:rPr>
          <w:rFonts w:hint="eastAsia" w:ascii="宋体"/>
          <w:b/>
          <w:color w:val="auto"/>
          <w:sz w:val="30"/>
          <w:szCs w:val="30"/>
          <w:highlight w:val="none"/>
        </w:rPr>
      </w:pPr>
    </w:p>
    <w:p w14:paraId="5C085F76">
      <w:pPr>
        <w:pStyle w:val="86"/>
        <w:ind w:firstLine="301"/>
        <w:rPr>
          <w:rFonts w:hint="eastAsia"/>
          <w:b/>
          <w:color w:val="auto"/>
          <w:sz w:val="30"/>
          <w:szCs w:val="30"/>
          <w:highlight w:val="none"/>
        </w:rPr>
      </w:pPr>
    </w:p>
    <w:p w14:paraId="3A4D98EC">
      <w:pPr>
        <w:spacing w:line="360" w:lineRule="auto"/>
        <w:rPr>
          <w:rFonts w:hint="eastAsia" w:ascii="宋体" w:hAnsi="宋体"/>
          <w:b/>
          <w:color w:val="auto"/>
          <w:sz w:val="44"/>
          <w:szCs w:val="44"/>
          <w:highlight w:val="none"/>
        </w:rPr>
      </w:pPr>
    </w:p>
    <w:p w14:paraId="65672D0E">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投标文件封面</w:t>
      </w:r>
    </w:p>
    <w:p w14:paraId="59E3522F">
      <w:pPr>
        <w:spacing w:line="360" w:lineRule="auto"/>
        <w:jc w:val="center"/>
        <w:rPr>
          <w:rFonts w:hint="eastAsia" w:ascii="宋体" w:hAnsi="宋体"/>
          <w:b/>
          <w:color w:val="auto"/>
          <w:sz w:val="44"/>
          <w:szCs w:val="44"/>
          <w:highlight w:val="none"/>
        </w:rPr>
      </w:pPr>
    </w:p>
    <w:p w14:paraId="36CBDE3C">
      <w:pPr>
        <w:spacing w:line="360" w:lineRule="auto"/>
        <w:jc w:val="center"/>
        <w:rPr>
          <w:rFonts w:hint="eastAsia" w:ascii="宋体"/>
          <w:b/>
          <w:color w:val="auto"/>
          <w:sz w:val="44"/>
          <w:highlight w:val="none"/>
        </w:rPr>
      </w:pPr>
      <w:r>
        <w:rPr>
          <w:rFonts w:hint="eastAsia" w:ascii="宋体" w:hAnsi="宋体"/>
          <w:b/>
          <w:color w:val="auto"/>
          <w:sz w:val="44"/>
          <w:szCs w:val="44"/>
          <w:highlight w:val="none"/>
        </w:rPr>
        <w:t>项目名称</w:t>
      </w:r>
    </w:p>
    <w:p w14:paraId="7149A72B">
      <w:pPr>
        <w:spacing w:line="360" w:lineRule="auto"/>
        <w:jc w:val="center"/>
        <w:rPr>
          <w:rFonts w:hint="eastAsia" w:ascii="宋体"/>
          <w:b/>
          <w:color w:val="auto"/>
          <w:sz w:val="44"/>
          <w:highlight w:val="none"/>
        </w:rPr>
      </w:pPr>
    </w:p>
    <w:p w14:paraId="325FB673">
      <w:pPr>
        <w:spacing w:line="360" w:lineRule="auto"/>
        <w:jc w:val="center"/>
        <w:rPr>
          <w:rFonts w:hint="eastAsia" w:ascii="宋体"/>
          <w:b/>
          <w:color w:val="auto"/>
          <w:sz w:val="84"/>
          <w:szCs w:val="84"/>
          <w:highlight w:val="none"/>
        </w:rPr>
      </w:pPr>
      <w:r>
        <w:rPr>
          <w:rFonts w:hint="eastAsia" w:ascii="宋体"/>
          <w:b/>
          <w:color w:val="auto"/>
          <w:sz w:val="84"/>
          <w:szCs w:val="84"/>
          <w:highlight w:val="none"/>
        </w:rPr>
        <w:t>投 标 文 件</w:t>
      </w:r>
    </w:p>
    <w:p w14:paraId="77A0D607">
      <w:pPr>
        <w:jc w:val="center"/>
        <w:rPr>
          <w:rFonts w:hint="eastAsia" w:ascii="宋体"/>
          <w:b/>
          <w:color w:val="auto"/>
          <w:sz w:val="30"/>
          <w:szCs w:val="30"/>
          <w:highlight w:val="none"/>
        </w:rPr>
      </w:pPr>
    </w:p>
    <w:p w14:paraId="5DBA02A9">
      <w:pPr>
        <w:jc w:val="center"/>
        <w:rPr>
          <w:rFonts w:hint="eastAsia" w:ascii="宋体"/>
          <w:b/>
          <w:color w:val="auto"/>
          <w:sz w:val="30"/>
          <w:szCs w:val="30"/>
          <w:highlight w:val="none"/>
        </w:rPr>
      </w:pPr>
      <w:r>
        <w:rPr>
          <w:rFonts w:hint="eastAsia" w:ascii="宋体"/>
          <w:b/>
          <w:color w:val="auto"/>
          <w:sz w:val="30"/>
          <w:szCs w:val="30"/>
          <w:highlight w:val="none"/>
        </w:rPr>
        <w:t>（项目编号：</w:t>
      </w:r>
      <w:r>
        <w:rPr>
          <w:rFonts w:hint="eastAsia" w:ascii="宋体"/>
          <w:b/>
          <w:color w:val="auto"/>
          <w:sz w:val="30"/>
          <w:szCs w:val="30"/>
          <w:highlight w:val="none"/>
          <w:lang w:eastAsia="zh-CN"/>
        </w:rPr>
        <w:t>XYTDZB-2025GK004</w:t>
      </w:r>
      <w:r>
        <w:rPr>
          <w:rFonts w:hint="eastAsia" w:ascii="宋体" w:hAnsi="宋体"/>
          <w:b/>
          <w:color w:val="auto"/>
          <w:sz w:val="30"/>
          <w:szCs w:val="30"/>
          <w:highlight w:val="none"/>
        </w:rPr>
        <w:t>）</w:t>
      </w:r>
    </w:p>
    <w:p w14:paraId="02CAA7BA">
      <w:pPr>
        <w:rPr>
          <w:rFonts w:hint="eastAsia" w:ascii="宋体"/>
          <w:b/>
          <w:color w:val="auto"/>
          <w:sz w:val="30"/>
          <w:szCs w:val="30"/>
          <w:highlight w:val="none"/>
        </w:rPr>
      </w:pPr>
    </w:p>
    <w:p w14:paraId="6B703D92">
      <w:pPr>
        <w:rPr>
          <w:rFonts w:hint="eastAsia" w:ascii="宋体"/>
          <w:b/>
          <w:color w:val="auto"/>
          <w:sz w:val="30"/>
          <w:szCs w:val="30"/>
          <w:highlight w:val="none"/>
        </w:rPr>
      </w:pPr>
    </w:p>
    <w:p w14:paraId="2423DF59">
      <w:pPr>
        <w:rPr>
          <w:rFonts w:hint="eastAsia" w:ascii="宋体"/>
          <w:b/>
          <w:color w:val="auto"/>
          <w:sz w:val="30"/>
          <w:szCs w:val="30"/>
          <w:highlight w:val="none"/>
        </w:rPr>
      </w:pPr>
    </w:p>
    <w:p w14:paraId="4AA068AB">
      <w:pPr>
        <w:spacing w:line="600" w:lineRule="auto"/>
        <w:rPr>
          <w:rFonts w:hint="eastAsia" w:ascii="宋体"/>
          <w:b/>
          <w:color w:val="auto"/>
          <w:sz w:val="30"/>
          <w:szCs w:val="30"/>
          <w:highlight w:val="none"/>
        </w:rPr>
      </w:pPr>
      <w:r>
        <w:rPr>
          <w:rFonts w:hint="eastAsia" w:ascii="宋体"/>
          <w:b/>
          <w:color w:val="auto"/>
          <w:sz w:val="30"/>
          <w:szCs w:val="30"/>
          <w:highlight w:val="none"/>
        </w:rPr>
        <w:t>投标单位名称：</w:t>
      </w:r>
      <w:r>
        <w:rPr>
          <w:rFonts w:hint="eastAsia" w:ascii="宋体"/>
          <w:b/>
          <w:color w:val="auto"/>
          <w:sz w:val="30"/>
          <w:szCs w:val="30"/>
          <w:highlight w:val="none"/>
          <w:u w:val="single"/>
        </w:rPr>
        <w:t xml:space="preserve">                                  </w:t>
      </w:r>
      <w:r>
        <w:rPr>
          <w:rFonts w:hint="eastAsia" w:ascii="宋体"/>
          <w:b/>
          <w:color w:val="auto"/>
          <w:sz w:val="30"/>
          <w:szCs w:val="30"/>
          <w:highlight w:val="none"/>
        </w:rPr>
        <w:t>（盖公章）</w:t>
      </w:r>
    </w:p>
    <w:p w14:paraId="05944DF9">
      <w:pPr>
        <w:spacing w:line="600" w:lineRule="auto"/>
        <w:rPr>
          <w:rFonts w:hint="eastAsia" w:ascii="宋体"/>
          <w:b/>
          <w:color w:val="auto"/>
          <w:sz w:val="30"/>
          <w:szCs w:val="30"/>
          <w:highlight w:val="none"/>
        </w:rPr>
      </w:pPr>
      <w:r>
        <w:rPr>
          <w:rFonts w:hint="eastAsia" w:ascii="宋体"/>
          <w:b/>
          <w:color w:val="auto"/>
          <w:sz w:val="30"/>
          <w:szCs w:val="30"/>
          <w:highlight w:val="none"/>
        </w:rPr>
        <w:t>法定代表人或委托代理人：</w:t>
      </w:r>
      <w:r>
        <w:rPr>
          <w:rFonts w:hint="eastAsia" w:ascii="宋体"/>
          <w:b/>
          <w:color w:val="auto"/>
          <w:sz w:val="30"/>
          <w:szCs w:val="30"/>
          <w:highlight w:val="none"/>
          <w:u w:val="single"/>
        </w:rPr>
        <w:t xml:space="preserve">                       </w:t>
      </w:r>
      <w:r>
        <w:rPr>
          <w:rFonts w:hint="eastAsia" w:ascii="宋体"/>
          <w:b/>
          <w:color w:val="auto"/>
          <w:sz w:val="30"/>
          <w:szCs w:val="30"/>
          <w:highlight w:val="none"/>
        </w:rPr>
        <w:t>（签字或盖章）</w:t>
      </w:r>
    </w:p>
    <w:p w14:paraId="054A05BC">
      <w:pPr>
        <w:rPr>
          <w:rFonts w:hint="eastAsia" w:ascii="宋体"/>
          <w:b/>
          <w:color w:val="auto"/>
          <w:sz w:val="30"/>
          <w:szCs w:val="30"/>
          <w:highlight w:val="none"/>
        </w:rPr>
      </w:pPr>
    </w:p>
    <w:p w14:paraId="2EA22F44">
      <w:pPr>
        <w:jc w:val="center"/>
        <w:rPr>
          <w:rFonts w:hint="eastAsia" w:ascii="宋体"/>
          <w:b/>
          <w:color w:val="auto"/>
          <w:sz w:val="30"/>
          <w:szCs w:val="30"/>
          <w:highlight w:val="none"/>
        </w:rPr>
      </w:pPr>
      <w:r>
        <w:rPr>
          <w:rFonts w:hint="eastAsia" w:ascii="宋体"/>
          <w:b/>
          <w:color w:val="auto"/>
          <w:sz w:val="30"/>
          <w:szCs w:val="30"/>
          <w:highlight w:val="none"/>
        </w:rPr>
        <w:t>二O二</w:t>
      </w:r>
      <w:r>
        <w:rPr>
          <w:rFonts w:hint="eastAsia" w:ascii="宋体"/>
          <w:b/>
          <w:color w:val="auto"/>
          <w:sz w:val="30"/>
          <w:szCs w:val="30"/>
          <w:highlight w:val="none"/>
          <w:lang w:eastAsia="zh-CN"/>
        </w:rPr>
        <w:t>四</w:t>
      </w:r>
      <w:r>
        <w:rPr>
          <w:rFonts w:hint="eastAsia" w:ascii="宋体"/>
          <w:b/>
          <w:color w:val="auto"/>
          <w:sz w:val="30"/>
          <w:szCs w:val="30"/>
          <w:highlight w:val="none"/>
        </w:rPr>
        <w:t>年   月   日</w:t>
      </w:r>
    </w:p>
    <w:p w14:paraId="2570014A">
      <w:pPr>
        <w:rPr>
          <w:rFonts w:hint="eastAsia" w:ascii="宋体"/>
          <w:b/>
          <w:color w:val="auto"/>
          <w:sz w:val="30"/>
          <w:szCs w:val="30"/>
          <w:highlight w:val="none"/>
        </w:rPr>
      </w:pPr>
      <w:r>
        <w:rPr>
          <w:rFonts w:hint="eastAsia" w:ascii="宋体"/>
          <w:b/>
          <w:color w:val="auto"/>
          <w:sz w:val="30"/>
          <w:szCs w:val="30"/>
          <w:highlight w:val="none"/>
        </w:rPr>
        <w:br w:type="page"/>
      </w:r>
      <w:r>
        <w:rPr>
          <w:rFonts w:hint="eastAsia" w:ascii="宋体"/>
          <w:bCs/>
          <w:color w:val="auto"/>
          <w:sz w:val="30"/>
          <w:szCs w:val="30"/>
          <w:highlight w:val="none"/>
        </w:rPr>
        <w:t xml:space="preserve"> 1</w:t>
      </w:r>
      <w:r>
        <w:rPr>
          <w:rFonts w:hint="eastAsia" w:ascii="宋体"/>
          <w:bCs/>
          <w:color w:val="auto"/>
          <w:sz w:val="30"/>
          <w:szCs w:val="30"/>
          <w:highlight w:val="none"/>
          <w:lang w:val="en-US" w:eastAsia="zh-CN"/>
        </w:rPr>
        <w:t>.</w:t>
      </w:r>
      <w:r>
        <w:rPr>
          <w:rFonts w:hint="eastAsia" w:ascii="宋体"/>
          <w:bCs/>
          <w:color w:val="auto"/>
          <w:sz w:val="30"/>
          <w:szCs w:val="30"/>
          <w:highlight w:val="none"/>
        </w:rPr>
        <w:t>投标书（实质性格式）</w:t>
      </w:r>
      <w:r>
        <w:rPr>
          <w:rFonts w:hint="eastAsia" w:ascii="宋体"/>
          <w:b/>
          <w:color w:val="auto"/>
          <w:sz w:val="30"/>
          <w:szCs w:val="30"/>
          <w:highlight w:val="none"/>
        </w:rPr>
        <w:t xml:space="preserve">                        </w:t>
      </w:r>
    </w:p>
    <w:p w14:paraId="591FCB1A">
      <w:pPr>
        <w:spacing w:line="360" w:lineRule="auto"/>
        <w:jc w:val="center"/>
        <w:rPr>
          <w:rFonts w:hint="eastAsia" w:ascii="宋体"/>
          <w:b/>
          <w:color w:val="auto"/>
          <w:sz w:val="36"/>
          <w:szCs w:val="36"/>
          <w:highlight w:val="none"/>
        </w:rPr>
      </w:pPr>
      <w:r>
        <w:rPr>
          <w:rFonts w:hint="eastAsia" w:ascii="宋体"/>
          <w:b/>
          <w:color w:val="auto"/>
          <w:sz w:val="36"/>
          <w:szCs w:val="36"/>
          <w:highlight w:val="none"/>
        </w:rPr>
        <w:t>投 标 书</w:t>
      </w:r>
    </w:p>
    <w:p w14:paraId="1769A4BE">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（采购人或采购代理机构）</w:t>
      </w:r>
    </w:p>
    <w:p w14:paraId="64C5C2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我方参加你方就 </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（项目名称、项目编号/包号）组织的招标活动，并对此项目进行投标。</w:t>
      </w:r>
    </w:p>
    <w:p w14:paraId="302CE3FB">
      <w:pPr>
        <w:pStyle w:val="86"/>
        <w:spacing w:line="360" w:lineRule="auto"/>
        <w:ind w:left="420" w:firstLine="2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1、我方已详细审查全部招标文件，自愿参与投标并承诺如下：</w:t>
      </w:r>
    </w:p>
    <w:p w14:paraId="617C1184">
      <w:pPr>
        <w:pStyle w:val="68"/>
        <w:numPr>
          <w:ilvl w:val="0"/>
          <w:numId w:val="35"/>
        </w:numPr>
        <w:spacing w:line="360" w:lineRule="auto"/>
        <w:ind w:left="48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本投标有效期为自提交投标文件的截止之日起_____个日历日。</w:t>
      </w:r>
    </w:p>
    <w:p w14:paraId="6EDA41D6">
      <w:pPr>
        <w:numPr>
          <w:ilvl w:val="0"/>
          <w:numId w:val="35"/>
        </w:numPr>
        <w:spacing w:line="360" w:lineRule="auto"/>
        <w:ind w:left="48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除合同条款及采购需求偏离表列出的偏离外，我方响应招标文件的全部要求。</w:t>
      </w:r>
    </w:p>
    <w:p w14:paraId="5FED1286">
      <w:pPr>
        <w:numPr>
          <w:ilvl w:val="0"/>
          <w:numId w:val="35"/>
        </w:numPr>
        <w:spacing w:line="360" w:lineRule="auto"/>
        <w:ind w:left="48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我方已提供的全部文件资料是真实、准确的，并对此承担一切法律后果</w:t>
      </w:r>
    </w:p>
    <w:p w14:paraId="24EE5899">
      <w:pPr>
        <w:numPr>
          <w:ilvl w:val="0"/>
          <w:numId w:val="35"/>
        </w:numPr>
        <w:spacing w:line="360" w:lineRule="auto"/>
        <w:ind w:left="48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如我方中标，我方将在法律规定的期限内与你方签订合同，按照招标文件要求提交履约保证金，并在合同约定的期限内完成合同规定的全部义务。</w:t>
      </w:r>
    </w:p>
    <w:p w14:paraId="6ED1DA76">
      <w:pPr>
        <w:pStyle w:val="86"/>
        <w:spacing w:line="360" w:lineRule="auto"/>
        <w:ind w:firstLine="21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2、其他补充条款（如有）：___________。</w:t>
      </w:r>
    </w:p>
    <w:p w14:paraId="7D31DE22">
      <w:pPr>
        <w:pStyle w:val="68"/>
        <w:spacing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2E014F0B">
      <w:pPr>
        <w:ind w:firstLine="480"/>
        <w:rPr>
          <w:color w:val="auto"/>
          <w:highlight w:val="none"/>
        </w:rPr>
      </w:pPr>
    </w:p>
    <w:p w14:paraId="2B446155">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722C0037">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2A64E848">
      <w:pPr>
        <w:tabs>
          <w:tab w:val="left" w:pos="5580"/>
        </w:tabs>
        <w:spacing w:line="360" w:lineRule="auto"/>
        <w:ind w:left="420"/>
        <w:rPr>
          <w:color w:val="auto"/>
          <w:sz w:val="24"/>
          <w:szCs w:val="20"/>
          <w:highlight w:val="none"/>
        </w:rPr>
      </w:pPr>
    </w:p>
    <w:p w14:paraId="52ECB957">
      <w:pPr>
        <w:rPr>
          <w:color w:val="auto"/>
          <w:highlight w:val="none"/>
        </w:rPr>
      </w:pPr>
    </w:p>
    <w:p w14:paraId="08882B5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2DCFCF2A">
      <w:pPr>
        <w:tabs>
          <w:tab w:val="left" w:pos="5580"/>
        </w:tabs>
        <w:spacing w:line="360" w:lineRule="auto"/>
        <w:ind w:left="420"/>
        <w:rPr>
          <w:rFonts w:hint="eastAsia" w:ascii="宋体" w:hAnsi="宋体"/>
          <w:color w:val="auto"/>
          <w:sz w:val="24"/>
          <w:highlight w:val="none"/>
          <w:u w:val="single"/>
        </w:rPr>
      </w:pPr>
      <w:r>
        <w:rPr>
          <w:rFonts w:hint="eastAsia" w:ascii="宋体" w:hAnsi="宋体"/>
          <w:color w:val="auto"/>
          <w:sz w:val="24"/>
          <w:highlight w:val="none"/>
        </w:rPr>
        <w:t xml:space="preserve">                    投标人名称（加盖公章）：</w:t>
      </w:r>
      <w:r>
        <w:rPr>
          <w:color w:val="auto"/>
          <w:sz w:val="24"/>
          <w:szCs w:val="20"/>
          <w:highlight w:val="none"/>
        </w:rPr>
        <w:t>_____________________</w:t>
      </w:r>
      <w:r>
        <w:rPr>
          <w:rFonts w:hint="eastAsia" w:ascii="宋体" w:hAnsi="宋体"/>
          <w:color w:val="auto"/>
          <w:kern w:val="0"/>
          <w:sz w:val="24"/>
          <w:highlight w:val="none"/>
          <w:u w:val="single"/>
        </w:rPr>
        <w:t xml:space="preserve">               </w:t>
      </w:r>
    </w:p>
    <w:p w14:paraId="48B8DA98">
      <w:pPr>
        <w:spacing w:line="360" w:lineRule="auto"/>
        <w:ind w:firstLine="2640" w:firstLineChars="1100"/>
        <w:rPr>
          <w:rFonts w:hint="eastAsia" w:ascii="宋体" w:hAnsi="宋体"/>
          <w:color w:val="auto"/>
          <w:sz w:val="24"/>
          <w:highlight w:val="none"/>
        </w:rPr>
      </w:pPr>
      <w:r>
        <w:rPr>
          <w:rFonts w:hint="eastAsia" w:ascii="宋体" w:hAnsi="宋体"/>
          <w:color w:val="auto"/>
          <w:kern w:val="0"/>
          <w:sz w:val="24"/>
          <w:highlight w:val="none"/>
        </w:rPr>
        <w:t xml:space="preserve"> 委托代理人（签字）：</w:t>
      </w:r>
      <w:r>
        <w:rPr>
          <w:rFonts w:hint="eastAsia" w:ascii="宋体" w:hAnsi="宋体"/>
          <w:color w:val="auto"/>
          <w:kern w:val="0"/>
          <w:sz w:val="24"/>
          <w:highlight w:val="none"/>
          <w:u w:val="single"/>
          <w:lang w:val="en-US" w:eastAsia="zh-CN"/>
        </w:rPr>
        <w:t xml:space="preserve">                         </w:t>
      </w:r>
      <w:r>
        <w:rPr>
          <w:rFonts w:hint="eastAsia" w:ascii="宋体" w:hAnsi="宋体"/>
          <w:color w:val="FFFFFF" w:themeColor="background1"/>
          <w:kern w:val="0"/>
          <w:sz w:val="24"/>
          <w:highlight w:val="none"/>
          <w:u w:val="single"/>
          <w:lang w:val="en-US" w:eastAsia="zh-CN"/>
          <w14:textFill>
            <w14:solidFill>
              <w14:schemeClr w14:val="bg1"/>
            </w14:solidFill>
          </w14:textFill>
        </w:rPr>
        <w:t xml:space="preserve">3 </w:t>
      </w:r>
      <w:r>
        <w:rPr>
          <w:rFonts w:hint="eastAsia" w:ascii="宋体" w:hAnsi="宋体"/>
          <w:color w:val="auto"/>
          <w:kern w:val="0"/>
          <w:sz w:val="24"/>
          <w:highlight w:val="none"/>
          <w:u w:val="single"/>
          <w:lang w:val="en-US" w:eastAsia="zh-CN"/>
        </w:rPr>
        <w:t xml:space="preserve">                      </w:t>
      </w:r>
      <w:r>
        <w:rPr>
          <w:rFonts w:hint="eastAsia"/>
          <w:color w:val="auto"/>
          <w:sz w:val="24"/>
          <w:szCs w:val="20"/>
          <w:highlight w:val="none"/>
          <w:u w:val="single"/>
        </w:rPr>
        <w:t xml:space="preserve"> </w:t>
      </w:r>
      <w:r>
        <w:rPr>
          <w:rFonts w:hint="eastAsia" w:ascii="宋体" w:hAnsi="宋体"/>
          <w:color w:val="auto"/>
          <w:kern w:val="0"/>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ED1404E">
      <w:pPr>
        <w:spacing w:line="360" w:lineRule="auto"/>
        <w:jc w:val="center"/>
        <w:rPr>
          <w:rFonts w:hint="eastAsia" w:hAnsi="Arial"/>
          <w:color w:val="auto"/>
          <w:highlight w:val="none"/>
        </w:rPr>
      </w:pPr>
      <w:r>
        <w:rPr>
          <w:rFonts w:hint="eastAsia" w:ascii="宋体" w:hAnsi="宋体"/>
          <w:color w:val="auto"/>
          <w:sz w:val="24"/>
          <w:highlight w:val="none"/>
        </w:rPr>
        <w:t xml:space="preserve">         日    期 ：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 </w:t>
      </w:r>
      <w:r>
        <w:rPr>
          <w:rFonts w:hint="eastAsia" w:hAnsi="Arial"/>
          <w:color w:val="auto"/>
          <w:highlight w:val="none"/>
          <w:u w:val="single"/>
        </w:rPr>
        <w:t xml:space="preserve">                                </w:t>
      </w:r>
      <w:r>
        <w:rPr>
          <w:rFonts w:hint="eastAsia" w:hAnsi="Arial"/>
          <w:color w:val="auto"/>
          <w:highlight w:val="none"/>
        </w:rPr>
        <w:t xml:space="preserve"> </w:t>
      </w:r>
    </w:p>
    <w:p w14:paraId="63911B4A">
      <w:pPr>
        <w:spacing w:line="360" w:lineRule="auto"/>
        <w:ind w:firstLine="300" w:firstLineChars="100"/>
        <w:rPr>
          <w:rFonts w:hint="eastAsia" w:ascii="宋体"/>
          <w:b/>
          <w:color w:val="auto"/>
          <w:sz w:val="30"/>
          <w:szCs w:val="30"/>
          <w:highlight w:val="none"/>
        </w:rPr>
      </w:pPr>
    </w:p>
    <w:p w14:paraId="11037DDE">
      <w:pPr>
        <w:spacing w:line="360" w:lineRule="auto"/>
        <w:ind w:firstLine="300" w:firstLineChars="100"/>
        <w:rPr>
          <w:rFonts w:hint="eastAsia" w:ascii="宋体"/>
          <w:b/>
          <w:color w:val="auto"/>
          <w:sz w:val="30"/>
          <w:szCs w:val="30"/>
          <w:highlight w:val="none"/>
        </w:rPr>
      </w:pPr>
    </w:p>
    <w:p w14:paraId="78467A48">
      <w:pPr>
        <w:spacing w:line="360" w:lineRule="auto"/>
        <w:ind w:firstLine="300" w:firstLineChars="100"/>
        <w:rPr>
          <w:rFonts w:hint="eastAsia" w:ascii="宋体"/>
          <w:b/>
          <w:color w:val="auto"/>
          <w:sz w:val="30"/>
          <w:szCs w:val="30"/>
          <w:highlight w:val="none"/>
        </w:rPr>
      </w:pPr>
    </w:p>
    <w:p w14:paraId="7C550958">
      <w:pPr>
        <w:spacing w:line="360" w:lineRule="auto"/>
        <w:ind w:firstLine="300" w:firstLineChars="100"/>
        <w:rPr>
          <w:rFonts w:hint="eastAsia" w:ascii="宋体"/>
          <w:b/>
          <w:color w:val="auto"/>
          <w:sz w:val="30"/>
          <w:szCs w:val="30"/>
          <w:highlight w:val="none"/>
        </w:rPr>
      </w:pPr>
    </w:p>
    <w:p w14:paraId="1F48FC8C">
      <w:pPr>
        <w:spacing w:line="360" w:lineRule="auto"/>
        <w:ind w:firstLine="300" w:firstLineChars="100"/>
        <w:rPr>
          <w:rFonts w:hint="eastAsia" w:ascii="宋体"/>
          <w:b/>
          <w:color w:val="auto"/>
          <w:sz w:val="30"/>
          <w:szCs w:val="30"/>
          <w:highlight w:val="none"/>
        </w:rPr>
      </w:pPr>
    </w:p>
    <w:p w14:paraId="6A45D2FC">
      <w:pPr>
        <w:spacing w:line="360" w:lineRule="auto"/>
        <w:jc w:val="left"/>
        <w:rPr>
          <w:rFonts w:hint="eastAsia" w:ascii="宋体"/>
          <w:bCs/>
          <w:color w:val="auto"/>
          <w:sz w:val="30"/>
          <w:szCs w:val="30"/>
          <w:highlight w:val="none"/>
        </w:rPr>
      </w:pPr>
      <w:r>
        <w:rPr>
          <w:rFonts w:hint="eastAsia" w:ascii="宋体"/>
          <w:bCs/>
          <w:color w:val="auto"/>
          <w:sz w:val="30"/>
          <w:szCs w:val="30"/>
          <w:highlight w:val="none"/>
        </w:rPr>
        <w:t>2</w:t>
      </w:r>
      <w:r>
        <w:rPr>
          <w:rFonts w:hint="eastAsia" w:ascii="宋体"/>
          <w:bCs/>
          <w:color w:val="auto"/>
          <w:sz w:val="30"/>
          <w:szCs w:val="30"/>
          <w:highlight w:val="none"/>
          <w:lang w:val="en-US" w:eastAsia="zh-CN"/>
        </w:rPr>
        <w:t>.</w:t>
      </w:r>
      <w:r>
        <w:rPr>
          <w:rFonts w:hint="eastAsia" w:ascii="宋体"/>
          <w:bCs/>
          <w:color w:val="auto"/>
          <w:sz w:val="30"/>
          <w:szCs w:val="30"/>
          <w:highlight w:val="none"/>
        </w:rPr>
        <w:t>授权委托书（实质性格式）</w:t>
      </w:r>
    </w:p>
    <w:p w14:paraId="5696C1BC">
      <w:pPr>
        <w:pStyle w:val="86"/>
        <w:ind w:firstLine="210"/>
        <w:rPr>
          <w:rFonts w:hint="eastAsia"/>
          <w:color w:val="auto"/>
          <w:highlight w:val="none"/>
          <w:lang w:val="en-US" w:eastAsia="zh-CN"/>
        </w:rPr>
      </w:pPr>
    </w:p>
    <w:p w14:paraId="06A3F5CC">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14:paraId="0061817E">
      <w:pPr>
        <w:spacing w:line="360" w:lineRule="auto"/>
        <w:ind w:firstLine="420"/>
        <w:rPr>
          <w:rFonts w:ascii="宋体" w:hAnsi="宋体"/>
          <w:color w:val="auto"/>
          <w:sz w:val="24"/>
          <w:szCs w:val="20"/>
          <w:highlight w:val="none"/>
        </w:rPr>
      </w:pPr>
    </w:p>
    <w:p w14:paraId="526FE8B1">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（单位负责人），</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14:paraId="0ED72346">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14:paraId="0DB909B3">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14:paraId="65E98015">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777B7162">
      <w:pPr>
        <w:spacing w:line="360" w:lineRule="auto"/>
        <w:rPr>
          <w:rFonts w:ascii="宋体" w:hAnsi="宋体"/>
          <w:color w:val="auto"/>
          <w:sz w:val="24"/>
          <w:szCs w:val="20"/>
          <w:highlight w:val="none"/>
        </w:rPr>
      </w:pPr>
      <w:r>
        <w:rPr>
          <w:rFonts w:ascii="宋体" w:hAnsi="宋体"/>
          <w:color w:val="auto"/>
          <w:sz w:val="24"/>
          <w:szCs w:val="20"/>
          <w:highlight w:val="none"/>
        </w:rPr>
        <w:t>法定代表人</w:t>
      </w:r>
      <w:r>
        <w:rPr>
          <w:rFonts w:hint="eastAsia" w:ascii="宋体" w:hAnsi="宋体"/>
          <w:color w:val="auto"/>
          <w:sz w:val="24"/>
          <w:szCs w:val="20"/>
          <w:highlight w:val="none"/>
        </w:rPr>
        <w:t>（单位负责人）</w:t>
      </w:r>
      <w:r>
        <w:rPr>
          <w:rFonts w:ascii="宋体" w:hAnsi="宋体"/>
          <w:color w:val="auto"/>
          <w:sz w:val="24"/>
          <w:szCs w:val="20"/>
          <w:highlight w:val="none"/>
        </w:rPr>
        <w:t>（签字</w:t>
      </w:r>
      <w:r>
        <w:rPr>
          <w:rFonts w:hint="eastAsia" w:ascii="宋体" w:hAnsi="宋体"/>
          <w:color w:val="auto"/>
          <w:sz w:val="24"/>
          <w:szCs w:val="20"/>
          <w:highlight w:val="none"/>
        </w:rPr>
        <w:t>）</w:t>
      </w:r>
      <w:r>
        <w:rPr>
          <w:rFonts w:ascii="宋体" w:hAnsi="宋体"/>
          <w:color w:val="auto"/>
          <w:sz w:val="24"/>
          <w:szCs w:val="20"/>
          <w:highlight w:val="none"/>
        </w:rPr>
        <w:t>：</w:t>
      </w:r>
      <w:r>
        <w:rPr>
          <w:rFonts w:ascii="宋体" w:hAnsi="宋体"/>
          <w:color w:val="auto"/>
          <w:sz w:val="24"/>
          <w:highlight w:val="none"/>
          <w:lang w:val="zh-CN"/>
        </w:rPr>
        <w:t>________________</w:t>
      </w:r>
    </w:p>
    <w:p w14:paraId="496AFAF8">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14:paraId="3590DEB7">
      <w:pPr>
        <w:autoSpaceDE w:val="0"/>
        <w:autoSpaceDN w:val="0"/>
        <w:adjustRightInd w:val="0"/>
        <w:snapToGrid w:val="0"/>
        <w:spacing w:line="360" w:lineRule="auto"/>
        <w:rPr>
          <w:rFonts w:ascii="宋体" w:hAnsi="宋体"/>
          <w:color w:val="auto"/>
          <w:sz w:val="24"/>
          <w:highlight w:val="none"/>
        </w:rPr>
      </w:pPr>
      <w:r>
        <w:rPr>
          <w:rFonts w:ascii="宋体" w:hAnsi="宋体"/>
          <w:color w:val="auto"/>
          <w:sz w:val="24"/>
          <w:highlight w:val="none"/>
        </w:rPr>
        <w:t>日期：_____年______月______日</w:t>
      </w:r>
    </w:p>
    <w:p w14:paraId="7ACFE39D">
      <w:pPr>
        <w:pStyle w:val="86"/>
        <w:ind w:firstLine="210"/>
        <w:rPr>
          <w:color w:val="auto"/>
          <w:highlight w:val="none"/>
          <w:lang w:val="zh-CN"/>
        </w:rPr>
      </w:pPr>
    </w:p>
    <w:p w14:paraId="0593CDD6">
      <w:pPr>
        <w:pStyle w:val="68"/>
        <w:ind w:left="0" w:leftChars="0"/>
        <w:rPr>
          <w:rFonts w:hint="eastAsia" w:ascii="宋体"/>
          <w:bCs/>
          <w:color w:val="auto"/>
          <w:sz w:val="30"/>
          <w:szCs w:val="30"/>
          <w:highlight w:val="none"/>
        </w:rPr>
      </w:pPr>
      <w:r>
        <w:rPr>
          <w:rFonts w:ascii="宋体" w:hAnsi="宋体"/>
          <w:color w:val="auto"/>
          <w:sz w:val="24"/>
          <w:szCs w:val="20"/>
          <w:highlight w:val="none"/>
        </w:rPr>
        <w:t>法定代表人有效期内的身份证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p w14:paraId="6DCD3F63">
      <w:pPr>
        <w:rPr>
          <w:rFonts w:hint="eastAsia" w:ascii="宋体"/>
          <w:bCs/>
          <w:color w:val="auto"/>
          <w:sz w:val="30"/>
          <w:szCs w:val="30"/>
          <w:highlight w:val="none"/>
        </w:rPr>
      </w:pPr>
      <w:r>
        <w:rPr>
          <w:color w:val="auto"/>
          <w:sz w:val="30"/>
          <w:highlight w:val="none"/>
        </w:rPr>
        <mc:AlternateContent>
          <mc:Choice Requires="wps">
            <w:drawing>
              <wp:anchor distT="0" distB="0" distL="114300" distR="114300" simplePos="0" relativeHeight="251661312" behindDoc="0" locked="0" layoutInCell="1" allowOverlap="1">
                <wp:simplePos x="0" y="0"/>
                <wp:positionH relativeFrom="column">
                  <wp:posOffset>2932430</wp:posOffset>
                </wp:positionH>
                <wp:positionV relativeFrom="paragraph">
                  <wp:posOffset>118745</wp:posOffset>
                </wp:positionV>
                <wp:extent cx="2486025" cy="715645"/>
                <wp:effectExtent l="0" t="0" r="0" b="0"/>
                <wp:wrapNone/>
                <wp:docPr id="3" name="文本框 17"/>
                <wp:cNvGraphicFramePr/>
                <a:graphic xmlns:a="http://schemas.openxmlformats.org/drawingml/2006/main">
                  <a:graphicData uri="http://schemas.microsoft.com/office/word/2010/wordprocessingShape">
                    <wps:wsp>
                      <wps:cNvSpPr txBox="1"/>
                      <wps:spPr>
                        <a:xfrm>
                          <a:off x="0" y="0"/>
                          <a:ext cx="248602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B43224"/>
                        </w:txbxContent>
                      </wps:txbx>
                      <wps:bodyPr vert="horz" wrap="square" anchor="t" anchorCtr="0" upright="1"/>
                    </wps:wsp>
                  </a:graphicData>
                </a:graphic>
              </wp:anchor>
            </w:drawing>
          </mc:Choice>
          <mc:Fallback>
            <w:pict>
              <v:shape id="文本框 17" o:spid="_x0000_s1026" o:spt="202" type="#_x0000_t202" style="position:absolute;left:0pt;margin-left:230.9pt;margin-top:9.35pt;height:56.35pt;width:195.75pt;z-index:251661312;mso-width-relative:page;mso-height-relative:page;" fillcolor="#FFFFFF" filled="t" stroked="t" coordsize="21600,21600" o:gfxdata="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x/c87ZAAAACgEAAA8AAAAAAAAAAQAgAAAAIgAAAGRycy9kb3ducmV2LnhtbFBLAQIU&#10;ABQAAAAIAIdO4kB7igJIKwIAAGoEAAAOAAAAAAAAAAEAIAAAACgBAABkcnMvZTJvRG9jLnhtbFBL&#10;BQYAAAAABgAGAFkBAADFBQAAAAA=&#10;">
                <v:fill on="t" focussize="0,0"/>
                <v:stroke color="#000000" joinstyle="miter"/>
                <v:imagedata o:title=""/>
                <o:lock v:ext="edit" aspectratio="f"/>
                <v:textbox>
                  <w:txbxContent>
                    <w:p w14:paraId="20B43224"/>
                  </w:txbxContent>
                </v:textbox>
              </v:shape>
            </w:pict>
          </mc:Fallback>
        </mc:AlternateContent>
      </w:r>
      <w:r>
        <w:rPr>
          <w:color w:val="auto"/>
          <w:sz w:val="30"/>
          <w:highlight w:val="none"/>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128905</wp:posOffset>
                </wp:positionV>
                <wp:extent cx="2486025" cy="71564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248602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585C7C"/>
                        </w:txbxContent>
                      </wps:txbx>
                      <wps:bodyPr vert="horz" wrap="square" anchor="t" anchorCtr="0" upright="1"/>
                    </wps:wsp>
                  </a:graphicData>
                </a:graphic>
              </wp:anchor>
            </w:drawing>
          </mc:Choice>
          <mc:Fallback>
            <w:pict>
              <v:shape id="文本框 16" o:spid="_x0000_s1026" o:spt="202" type="#_x0000_t202" style="position:absolute;left:0pt;margin-left:-0.1pt;margin-top:10.15pt;height:56.35pt;width:195.75pt;z-index:251660288;mso-width-relative:page;mso-height-relative:page;" fillcolor="#FFFFFF" filled="t" stroked="t" coordsize="21600,21600" o:gfxdata="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cH+knXAAAACAEAAA8AAAAAAAAAAQAgAAAAIgAAAGRycy9kb3ducmV2LnhtbFBLAQIUABQA&#10;AAAIAIdO4kAXpBn9KgIAAGoEAAAOAAAAAAAAAAEAIAAAACYBAABkcnMvZTJvRG9jLnhtbFBLBQYA&#10;AAAABgAGAFkBAADCBQAAAAA=&#10;">
                <v:fill on="t" focussize="0,0"/>
                <v:stroke color="#000000" joinstyle="miter"/>
                <v:imagedata o:title=""/>
                <o:lock v:ext="edit" aspectratio="f"/>
                <v:textbox>
                  <w:txbxContent>
                    <w:p w14:paraId="08585C7C"/>
                  </w:txbxContent>
                </v:textbox>
              </v:shape>
            </w:pict>
          </mc:Fallback>
        </mc:AlternateContent>
      </w:r>
    </w:p>
    <w:p w14:paraId="0DD0E2DC">
      <w:pPr>
        <w:pStyle w:val="68"/>
        <w:ind w:left="0" w:leftChars="0"/>
        <w:rPr>
          <w:rFonts w:hint="eastAsia" w:ascii="宋体"/>
          <w:bCs/>
          <w:color w:val="auto"/>
          <w:sz w:val="30"/>
          <w:szCs w:val="30"/>
          <w:highlight w:val="none"/>
        </w:rPr>
      </w:pPr>
    </w:p>
    <w:p w14:paraId="62364E79">
      <w:pPr>
        <w:tabs>
          <w:tab w:val="left" w:pos="5580"/>
        </w:tabs>
        <w:spacing w:line="360" w:lineRule="auto"/>
        <w:jc w:val="left"/>
        <w:rPr>
          <w:rFonts w:hint="eastAsia" w:ascii="宋体" w:hAnsi="宋体"/>
          <w:color w:val="auto"/>
          <w:sz w:val="24"/>
          <w:szCs w:val="20"/>
          <w:highlight w:val="none"/>
        </w:rPr>
      </w:pPr>
    </w:p>
    <w:p w14:paraId="62C4436F">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p w14:paraId="7930C6D1">
      <w:pPr>
        <w:rPr>
          <w:rFonts w:hint="eastAsia" w:ascii="宋体"/>
          <w:bCs/>
          <w:color w:val="auto"/>
          <w:sz w:val="30"/>
          <w:szCs w:val="30"/>
          <w:highlight w:val="none"/>
        </w:rPr>
      </w:pPr>
      <w:r>
        <w:rPr>
          <w:color w:val="auto"/>
          <w:sz w:val="30"/>
          <w:highlight w:val="none"/>
        </w:rPr>
        <mc:AlternateContent>
          <mc:Choice Requires="wps">
            <w:drawing>
              <wp:anchor distT="0" distB="0" distL="114300" distR="114300" simplePos="0" relativeHeight="251663360" behindDoc="0" locked="0" layoutInCell="1" allowOverlap="1">
                <wp:simplePos x="0" y="0"/>
                <wp:positionH relativeFrom="column">
                  <wp:posOffset>2970530</wp:posOffset>
                </wp:positionH>
                <wp:positionV relativeFrom="paragraph">
                  <wp:posOffset>178435</wp:posOffset>
                </wp:positionV>
                <wp:extent cx="2419350" cy="74295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241935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7DEF9"/>
                        </w:txbxContent>
                      </wps:txbx>
                      <wps:bodyPr vert="horz" wrap="square" anchor="t" anchorCtr="0" upright="1"/>
                    </wps:wsp>
                  </a:graphicData>
                </a:graphic>
              </wp:anchor>
            </w:drawing>
          </mc:Choice>
          <mc:Fallback>
            <w:pict>
              <v:shape id="文本框 19" o:spid="_x0000_s1026" o:spt="202" type="#_x0000_t202" style="position:absolute;left:0pt;margin-left:233.9pt;margin-top:14.05pt;height:58.5pt;width:190.5pt;z-index:251663360;mso-width-relative:page;mso-height-relative:page;" fillcolor="#FFFFFF" filled="t" stroked="t" coordsize="21600,21600" o:gfxdata="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4Aq1PYAAAACgEAAA8AAAAAAAAAAQAgAAAAIgAAAGRycy9kb3ducmV2LnhtbFBLAQIUABQA&#10;AAAIAIdO4kAQ5e2uKQIAAGoEAAAOAAAAAAAAAAEAIAAAACcBAABkcnMvZTJvRG9jLnhtbFBLBQYA&#10;AAAABgAGAFkBAADCBQAAAAA=&#10;">
                <v:fill on="t" focussize="0,0"/>
                <v:stroke color="#000000" joinstyle="miter"/>
                <v:imagedata o:title=""/>
                <o:lock v:ext="edit" aspectratio="f"/>
                <v:textbox>
                  <w:txbxContent>
                    <w:p w14:paraId="61C7DEF9"/>
                  </w:txbxContent>
                </v:textbox>
              </v:shape>
            </w:pict>
          </mc:Fallback>
        </mc:AlternateContent>
      </w:r>
      <w:r>
        <w:rPr>
          <w:color w:val="auto"/>
          <w:sz w:val="30"/>
          <w:highlight w:val="none"/>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168910</wp:posOffset>
                </wp:positionV>
                <wp:extent cx="2476500" cy="76327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2476500" cy="763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49EB1"/>
                        </w:txbxContent>
                      </wps:txbx>
                      <wps:bodyPr vert="horz" wrap="square" anchor="t" anchorCtr="0" upright="1"/>
                    </wps:wsp>
                  </a:graphicData>
                </a:graphic>
              </wp:anchor>
            </w:drawing>
          </mc:Choice>
          <mc:Fallback>
            <w:pict>
              <v:shape id="文本框 18" o:spid="_x0000_s1026" o:spt="202" type="#_x0000_t202" style="position:absolute;left:0pt;margin-left:-0.1pt;margin-top:13.3pt;height:60.1pt;width:195pt;z-index:251662336;mso-width-relative:page;mso-height-relative:page;" fillcolor="#FFFFFF" filled="t" stroked="t" coordsize="21600,21600" o:gfxdata="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EiOrXAAAACAEAAA8AAAAAAAAAAQAgAAAAIgAAAGRycy9kb3ducmV2LnhtbFBLAQIU&#10;ABQAAAAIAIdO4kBj7BjnLQIAAGoEAAAOAAAAAAAAAAEAIAAAACYBAABkcnMvZTJvRG9jLnhtbFBL&#10;BQYAAAAABgAGAFkBAADFBQAAAAA=&#10;">
                <v:fill on="t" focussize="0,0"/>
                <v:stroke color="#000000" joinstyle="miter"/>
                <v:imagedata o:title=""/>
                <o:lock v:ext="edit" aspectratio="f"/>
                <v:textbox>
                  <w:txbxContent>
                    <w:p w14:paraId="42E49EB1"/>
                  </w:txbxContent>
                </v:textbox>
              </v:shape>
            </w:pict>
          </mc:Fallback>
        </mc:AlternateContent>
      </w:r>
    </w:p>
    <w:p w14:paraId="6FE3FFB7">
      <w:pPr>
        <w:pStyle w:val="68"/>
        <w:ind w:left="0" w:leftChars="0" w:firstLine="0" w:firstLineChars="0"/>
        <w:rPr>
          <w:rFonts w:hint="eastAsia" w:ascii="宋体"/>
          <w:bCs/>
          <w:color w:val="auto"/>
          <w:sz w:val="30"/>
          <w:szCs w:val="30"/>
          <w:highlight w:val="none"/>
        </w:rPr>
      </w:pPr>
    </w:p>
    <w:p w14:paraId="33AF991A">
      <w:pPr>
        <w:tabs>
          <w:tab w:val="left" w:pos="5580"/>
        </w:tabs>
        <w:spacing w:line="360" w:lineRule="auto"/>
        <w:jc w:val="left"/>
        <w:rPr>
          <w:rFonts w:hint="eastAsia" w:ascii="宋体" w:hAnsi="宋体"/>
          <w:color w:val="auto"/>
          <w:sz w:val="24"/>
          <w:szCs w:val="20"/>
          <w:highlight w:val="none"/>
        </w:rPr>
      </w:pPr>
    </w:p>
    <w:p w14:paraId="0B354F9B">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6F9B9FB7">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7A30E9FC">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（实质性格式）。</w:t>
      </w:r>
    </w:p>
    <w:p w14:paraId="59141CE4">
      <w:pPr>
        <w:spacing w:line="360" w:lineRule="exact"/>
        <w:jc w:val="both"/>
        <w:rPr>
          <w:rFonts w:ascii="宋体" w:hAnsi="宋体"/>
          <w:color w:val="auto"/>
          <w:sz w:val="30"/>
          <w:szCs w:val="3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r>
        <w:rPr>
          <w:rFonts w:ascii="宋体" w:hAnsi="宋体"/>
          <w:color w:val="auto"/>
          <w:sz w:val="30"/>
          <w:szCs w:val="30"/>
          <w:highlight w:val="none"/>
        </w:rPr>
        <w:br w:type="page"/>
      </w:r>
    </w:p>
    <w:p w14:paraId="18334746">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14:paraId="208A19FE">
      <w:pPr>
        <w:pStyle w:val="86"/>
        <w:ind w:firstLine="210"/>
        <w:rPr>
          <w:color w:val="auto"/>
          <w:highlight w:val="none"/>
        </w:rPr>
      </w:pPr>
    </w:p>
    <w:p w14:paraId="5C182E4D">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14:paraId="1B7BD524">
      <w:pPr>
        <w:pStyle w:val="34"/>
        <w:tabs>
          <w:tab w:val="left" w:pos="567"/>
          <w:tab w:val="left" w:pos="2412"/>
          <w:tab w:val="left" w:pos="3883"/>
          <w:tab w:val="left" w:pos="5352"/>
          <w:tab w:val="left" w:pos="6821"/>
        </w:tabs>
        <w:kinsoku w:val="0"/>
        <w:overflowPunct w:val="0"/>
        <w:spacing w:line="360" w:lineRule="auto"/>
        <w:ind w:firstLine="480" w:firstLineChars="200"/>
        <w:rPr>
          <w:color w:val="auto"/>
          <w:highlight w:val="none"/>
        </w:rPr>
      </w:pPr>
      <w:r>
        <w:rPr>
          <w:rFonts w:hint="eastAsia"/>
          <w:color w:val="auto"/>
          <w:highlight w:val="none"/>
        </w:rPr>
        <w:t>兹证明，</w:t>
      </w:r>
    </w:p>
    <w:p w14:paraId="268FD83C">
      <w:pPr>
        <w:pStyle w:val="34"/>
        <w:tabs>
          <w:tab w:val="left" w:pos="567"/>
          <w:tab w:val="left" w:pos="1690"/>
          <w:tab w:val="left" w:pos="3400"/>
          <w:tab w:val="left" w:pos="5110"/>
          <w:tab w:val="left" w:pos="6821"/>
        </w:tabs>
        <w:kinsoku w:val="0"/>
        <w:overflowPunct w:val="0"/>
        <w:spacing w:line="360" w:lineRule="auto"/>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14:paraId="79896A64">
      <w:pPr>
        <w:pStyle w:val="34"/>
        <w:tabs>
          <w:tab w:val="left" w:pos="567"/>
          <w:tab w:val="left" w:pos="2412"/>
          <w:tab w:val="left" w:pos="3883"/>
          <w:tab w:val="left" w:pos="5352"/>
          <w:tab w:val="left" w:pos="6821"/>
        </w:tabs>
        <w:kinsoku w:val="0"/>
        <w:overflowPunct w:val="0"/>
        <w:spacing w:line="360" w:lineRule="auto"/>
        <w:rPr>
          <w:color w:val="auto"/>
          <w:highlight w:val="none"/>
        </w:rPr>
      </w:pPr>
    </w:p>
    <w:p w14:paraId="3893741F">
      <w:pPr>
        <w:pStyle w:val="34"/>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14:paraId="297EE4B2">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04ADE5E3">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1C19DCE1">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01E24D39">
      <w:pPr>
        <w:pStyle w:val="34"/>
        <w:tabs>
          <w:tab w:val="left" w:pos="567"/>
        </w:tabs>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8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452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4" w:hRule="atLeast"/>
        </w:trPr>
        <w:tc>
          <w:tcPr>
            <w:tcW w:w="4673" w:type="dxa"/>
            <w:noWrap w:val="0"/>
            <w:vAlign w:val="top"/>
          </w:tcPr>
          <w:p w14:paraId="54C838B4">
            <w:pPr>
              <w:tabs>
                <w:tab w:val="left" w:pos="5580"/>
              </w:tabs>
              <w:spacing w:line="360" w:lineRule="auto"/>
              <w:jc w:val="left"/>
              <w:rPr>
                <w:rFonts w:ascii="宋体" w:hAnsi="宋体" w:eastAsia="宋体" w:cs="Times New Roman"/>
                <w:color w:val="auto"/>
                <w:sz w:val="24"/>
                <w:szCs w:val="20"/>
                <w:highlight w:val="none"/>
              </w:rPr>
            </w:pPr>
          </w:p>
          <w:p w14:paraId="2E051CA4">
            <w:pPr>
              <w:tabs>
                <w:tab w:val="left" w:pos="5580"/>
              </w:tabs>
              <w:spacing w:line="360" w:lineRule="auto"/>
              <w:jc w:val="left"/>
              <w:rPr>
                <w:rFonts w:ascii="宋体" w:hAnsi="宋体" w:eastAsia="宋体" w:cs="Times New Roman"/>
                <w:color w:val="auto"/>
                <w:sz w:val="24"/>
                <w:szCs w:val="20"/>
                <w:highlight w:val="none"/>
              </w:rPr>
            </w:pPr>
          </w:p>
          <w:p w14:paraId="4C90EA32">
            <w:pPr>
              <w:tabs>
                <w:tab w:val="left" w:pos="5580"/>
              </w:tabs>
              <w:spacing w:line="360" w:lineRule="auto"/>
              <w:jc w:val="left"/>
              <w:rPr>
                <w:rFonts w:ascii="宋体" w:hAnsi="宋体" w:eastAsia="宋体" w:cs="Times New Roman"/>
                <w:color w:val="auto"/>
                <w:sz w:val="24"/>
                <w:szCs w:val="20"/>
                <w:highlight w:val="none"/>
              </w:rPr>
            </w:pPr>
          </w:p>
        </w:tc>
        <w:tc>
          <w:tcPr>
            <w:tcW w:w="4536" w:type="dxa"/>
            <w:noWrap w:val="0"/>
            <w:vAlign w:val="top"/>
          </w:tcPr>
          <w:p w14:paraId="56B28A7E">
            <w:pPr>
              <w:tabs>
                <w:tab w:val="left" w:pos="5580"/>
              </w:tabs>
              <w:spacing w:line="360" w:lineRule="auto"/>
              <w:jc w:val="left"/>
              <w:rPr>
                <w:rFonts w:ascii="宋体" w:hAnsi="宋体" w:eastAsia="宋体" w:cs="Times New Roman"/>
                <w:color w:val="auto"/>
                <w:sz w:val="24"/>
                <w:szCs w:val="20"/>
                <w:highlight w:val="none"/>
              </w:rPr>
            </w:pPr>
          </w:p>
          <w:p w14:paraId="078665BD">
            <w:pPr>
              <w:tabs>
                <w:tab w:val="left" w:pos="5580"/>
              </w:tabs>
              <w:spacing w:line="360" w:lineRule="auto"/>
              <w:jc w:val="left"/>
              <w:rPr>
                <w:rFonts w:ascii="宋体" w:hAnsi="宋体" w:eastAsia="宋体" w:cs="Times New Roman"/>
                <w:color w:val="auto"/>
                <w:sz w:val="24"/>
                <w:szCs w:val="20"/>
                <w:highlight w:val="none"/>
              </w:rPr>
            </w:pPr>
          </w:p>
          <w:p w14:paraId="07138F1D">
            <w:pPr>
              <w:tabs>
                <w:tab w:val="left" w:pos="5580"/>
              </w:tabs>
              <w:spacing w:line="360" w:lineRule="auto"/>
              <w:jc w:val="left"/>
              <w:rPr>
                <w:rFonts w:ascii="宋体" w:hAnsi="宋体" w:eastAsia="宋体" w:cs="Times New Roman"/>
                <w:color w:val="auto"/>
                <w:sz w:val="24"/>
                <w:szCs w:val="20"/>
                <w:highlight w:val="none"/>
              </w:rPr>
            </w:pPr>
          </w:p>
        </w:tc>
      </w:tr>
    </w:tbl>
    <w:p w14:paraId="1A2F8BE1">
      <w:pPr>
        <w:pStyle w:val="34"/>
        <w:tabs>
          <w:tab w:val="left" w:pos="567"/>
        </w:tabs>
        <w:kinsoku w:val="0"/>
        <w:overflowPunct w:val="0"/>
        <w:spacing w:line="583" w:lineRule="auto"/>
        <w:ind w:right="4305"/>
        <w:rPr>
          <w:color w:val="auto"/>
          <w:spacing w:val="-3"/>
          <w:highlight w:val="none"/>
        </w:rPr>
      </w:pPr>
    </w:p>
    <w:p w14:paraId="27D22182">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25F5B234">
      <w:pPr>
        <w:pStyle w:val="34"/>
        <w:tabs>
          <w:tab w:val="left" w:pos="567"/>
        </w:tabs>
        <w:kinsoku w:val="0"/>
        <w:overflowPunct w:val="0"/>
        <w:spacing w:line="583" w:lineRule="auto"/>
        <w:ind w:right="95"/>
        <w:rPr>
          <w:rFonts w:hAnsi="宋体"/>
          <w:color w:val="auto"/>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）（签字）：_</w:t>
      </w:r>
      <w:r>
        <w:rPr>
          <w:color w:val="auto"/>
          <w:spacing w:val="-3"/>
          <w:highlight w:val="none"/>
        </w:rPr>
        <w:t>______</w:t>
      </w:r>
    </w:p>
    <w:p w14:paraId="038B6D91">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7687140A">
      <w:pPr>
        <w:rPr>
          <w:rFonts w:hint="eastAsia" w:ascii="宋体"/>
          <w:bCs/>
          <w:color w:val="auto"/>
          <w:sz w:val="30"/>
          <w:szCs w:val="30"/>
          <w:highlight w:val="none"/>
        </w:rPr>
      </w:pPr>
    </w:p>
    <w:p w14:paraId="204D5263">
      <w:pPr>
        <w:pStyle w:val="86"/>
        <w:ind w:firstLine="300"/>
        <w:rPr>
          <w:rFonts w:hint="eastAsia"/>
          <w:bCs/>
          <w:color w:val="auto"/>
          <w:sz w:val="30"/>
          <w:szCs w:val="30"/>
          <w:highlight w:val="none"/>
          <w:lang w:val="en-US" w:eastAsia="zh-CN"/>
        </w:rPr>
      </w:pPr>
    </w:p>
    <w:p w14:paraId="2FD1DFC7">
      <w:pPr>
        <w:pStyle w:val="68"/>
        <w:rPr>
          <w:rFonts w:hint="eastAsia" w:ascii="宋体"/>
          <w:bCs/>
          <w:color w:val="auto"/>
          <w:sz w:val="30"/>
          <w:szCs w:val="30"/>
          <w:highlight w:val="none"/>
        </w:rPr>
      </w:pPr>
    </w:p>
    <w:p w14:paraId="247DF17F">
      <w:pPr>
        <w:rPr>
          <w:rFonts w:hint="eastAsia" w:ascii="宋体"/>
          <w:bCs/>
          <w:color w:val="auto"/>
          <w:sz w:val="30"/>
          <w:szCs w:val="30"/>
          <w:highlight w:val="none"/>
        </w:rPr>
      </w:pPr>
    </w:p>
    <w:p w14:paraId="5D308F2D">
      <w:pPr>
        <w:pStyle w:val="86"/>
        <w:ind w:firstLine="300"/>
        <w:rPr>
          <w:rFonts w:hint="eastAsia"/>
          <w:bCs/>
          <w:color w:val="auto"/>
          <w:sz w:val="30"/>
          <w:szCs w:val="30"/>
          <w:highlight w:val="none"/>
          <w:lang w:val="en-US" w:eastAsia="zh-CN"/>
        </w:rPr>
      </w:pPr>
    </w:p>
    <w:p w14:paraId="490F42D0">
      <w:pPr>
        <w:pStyle w:val="68"/>
        <w:rPr>
          <w:rFonts w:hint="eastAsia" w:ascii="宋体"/>
          <w:bCs/>
          <w:color w:val="auto"/>
          <w:sz w:val="30"/>
          <w:szCs w:val="30"/>
          <w:highlight w:val="none"/>
        </w:rPr>
      </w:pPr>
    </w:p>
    <w:p w14:paraId="50DE61B6">
      <w:pPr>
        <w:rPr>
          <w:rFonts w:hint="eastAsia" w:ascii="宋体"/>
          <w:bCs/>
          <w:color w:val="auto"/>
          <w:sz w:val="30"/>
          <w:szCs w:val="30"/>
          <w:highlight w:val="none"/>
        </w:rPr>
      </w:pPr>
    </w:p>
    <w:p w14:paraId="367C48FC">
      <w:pPr>
        <w:pStyle w:val="86"/>
        <w:ind w:firstLine="0" w:firstLineChars="0"/>
        <w:rPr>
          <w:bCs/>
          <w:color w:val="auto"/>
          <w:sz w:val="30"/>
          <w:szCs w:val="30"/>
          <w:highlight w:val="none"/>
          <w:lang w:val="en-US" w:eastAsia="zh-CN"/>
        </w:rPr>
      </w:pPr>
      <w:r>
        <w:rPr>
          <w:rFonts w:hint="eastAsia"/>
          <w:bCs/>
          <w:color w:val="auto"/>
          <w:sz w:val="30"/>
          <w:szCs w:val="30"/>
          <w:highlight w:val="none"/>
          <w:lang w:val="en-US" w:eastAsia="zh-CN"/>
        </w:rPr>
        <w:t>3 开标一览表（实质性格式）</w:t>
      </w:r>
    </w:p>
    <w:p w14:paraId="03BB8051">
      <w:pPr>
        <w:pStyle w:val="68"/>
        <w:rPr>
          <w:rFonts w:hint="eastAsia"/>
          <w:color w:val="auto"/>
          <w:highlight w:val="none"/>
        </w:rPr>
      </w:pPr>
    </w:p>
    <w:p w14:paraId="5C879F83">
      <w:pPr>
        <w:pStyle w:val="86"/>
        <w:ind w:firstLine="210"/>
        <w:rPr>
          <w:color w:val="auto"/>
          <w:highlight w:val="none"/>
          <w:lang w:val="en-US" w:eastAsia="zh-CN"/>
        </w:rPr>
      </w:pPr>
    </w:p>
    <w:p w14:paraId="308AFE18">
      <w:pPr>
        <w:spacing w:line="360" w:lineRule="auto"/>
        <w:jc w:val="center"/>
        <w:rPr>
          <w:rFonts w:hint="eastAsia" w:ascii="宋体"/>
          <w:color w:val="auto"/>
          <w:sz w:val="24"/>
          <w:highlight w:val="none"/>
        </w:rPr>
      </w:pPr>
      <w:r>
        <w:rPr>
          <w:rFonts w:hint="eastAsia" w:ascii="宋体"/>
          <w:b/>
          <w:color w:val="auto"/>
          <w:sz w:val="36"/>
          <w:szCs w:val="36"/>
          <w:highlight w:val="none"/>
        </w:rPr>
        <w:t>开标一览表</w:t>
      </w:r>
      <w:r>
        <w:rPr>
          <w:rFonts w:hint="eastAsia" w:ascii="宋体"/>
          <w:color w:val="auto"/>
          <w:sz w:val="36"/>
          <w:szCs w:val="36"/>
          <w:highlight w:val="none"/>
        </w:rPr>
        <w:t xml:space="preserve">    </w:t>
      </w:r>
      <w:r>
        <w:rPr>
          <w:rFonts w:hint="eastAsia" w:ascii="宋体"/>
          <w:color w:val="auto"/>
          <w:sz w:val="24"/>
          <w:highlight w:val="none"/>
        </w:rPr>
        <w:t xml:space="preserve">          </w:t>
      </w:r>
    </w:p>
    <w:p w14:paraId="5CD6C481">
      <w:pPr>
        <w:spacing w:line="360" w:lineRule="auto"/>
        <w:ind w:firstLine="480" w:firstLineChars="200"/>
        <w:rPr>
          <w:rFonts w:ascii="宋体"/>
          <w:color w:val="auto"/>
          <w:sz w:val="24"/>
          <w:highlight w:val="none"/>
          <w:u w:val="single"/>
        </w:rPr>
      </w:pPr>
      <w:r>
        <w:rPr>
          <w:rFonts w:hint="eastAsia" w:ascii="宋体"/>
          <w:color w:val="auto"/>
          <w:sz w:val="24"/>
          <w:highlight w:val="none"/>
        </w:rPr>
        <w:t>项目名称：</w:t>
      </w:r>
      <w:r>
        <w:rPr>
          <w:rFonts w:hint="eastAsia" w:ascii="宋体"/>
          <w:color w:val="auto"/>
          <w:sz w:val="24"/>
          <w:highlight w:val="none"/>
          <w:u w:val="single"/>
        </w:rPr>
        <w:t xml:space="preserve">               </w:t>
      </w:r>
      <w:r>
        <w:rPr>
          <w:rFonts w:hint="eastAsia" w:ascii="宋体"/>
          <w:color w:val="auto"/>
          <w:sz w:val="24"/>
          <w:highlight w:val="none"/>
        </w:rPr>
        <w:t xml:space="preserve">              项目</w:t>
      </w:r>
      <w:r>
        <w:rPr>
          <w:rFonts w:hint="eastAsia" w:ascii="宋体"/>
          <w:color w:val="auto"/>
          <w:sz w:val="24"/>
          <w:highlight w:val="none"/>
          <w:lang w:eastAsia="zh-CN"/>
        </w:rPr>
        <w:t>名称及</w:t>
      </w:r>
      <w:r>
        <w:rPr>
          <w:rFonts w:hint="eastAsia" w:ascii="宋体"/>
          <w:color w:val="auto"/>
          <w:sz w:val="24"/>
          <w:highlight w:val="none"/>
        </w:rPr>
        <w:t>包号：</w:t>
      </w:r>
      <w:r>
        <w:rPr>
          <w:rFonts w:hint="eastAsia" w:ascii="宋体"/>
          <w:color w:val="FFFFFF" w:themeColor="background1"/>
          <w:sz w:val="24"/>
          <w:highlight w:val="none"/>
          <w:u w:val="single"/>
          <w:lang w:val="en-US" w:eastAsia="zh-CN"/>
          <w14:textFill>
            <w14:solidFill>
              <w14:schemeClr w14:val="bg1"/>
            </w14:solidFill>
          </w14:textFill>
        </w:rPr>
        <w:t xml:space="preserve"> 1</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FFFFFF" w:themeColor="background1"/>
          <w:sz w:val="24"/>
          <w:highlight w:val="none"/>
          <w:u w:val="single"/>
          <w:lang w:val="en-US" w:eastAsia="zh-CN"/>
          <w14:textFill>
            <w14:solidFill>
              <w14:schemeClr w14:val="bg1"/>
            </w14:solidFill>
          </w14:textFill>
        </w:rPr>
        <w:t>3</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p>
    <w:tbl>
      <w:tblPr>
        <w:tblStyle w:val="88"/>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714"/>
        <w:gridCol w:w="5652"/>
      </w:tblGrid>
      <w:tr w14:paraId="3CD4B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9CEA821">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序号</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6B14B6DD">
            <w:pPr>
              <w:spacing w:line="360" w:lineRule="auto"/>
              <w:jc w:val="center"/>
              <w:rPr>
                <w:rFonts w:hint="eastAsia" w:ascii="宋体" w:eastAsia="宋体" w:cs="Times New Roman"/>
                <w:color w:val="auto"/>
                <w:sz w:val="24"/>
                <w:highlight w:val="none"/>
                <w:lang w:eastAsia="zh-CN"/>
              </w:rPr>
            </w:pPr>
            <w:r>
              <w:rPr>
                <w:rFonts w:hint="eastAsia" w:ascii="宋体" w:cs="Times New Roman"/>
                <w:color w:val="auto"/>
                <w:sz w:val="24"/>
                <w:highlight w:val="none"/>
                <w:lang w:val="en-US" w:eastAsia="zh-CN"/>
              </w:rPr>
              <w:t xml:space="preserve"> 项目编号</w:t>
            </w:r>
          </w:p>
        </w:tc>
        <w:tc>
          <w:tcPr>
            <w:tcW w:w="5652" w:type="dxa"/>
            <w:tcBorders>
              <w:top w:val="single" w:color="auto" w:sz="4" w:space="0"/>
              <w:left w:val="single" w:color="auto" w:sz="4" w:space="0"/>
              <w:bottom w:val="single" w:color="auto" w:sz="4" w:space="0"/>
              <w:right w:val="single" w:color="auto" w:sz="4" w:space="0"/>
            </w:tcBorders>
            <w:noWrap w:val="0"/>
            <w:vAlign w:val="center"/>
          </w:tcPr>
          <w:p w14:paraId="7F343112">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投标单价合计</w:t>
            </w:r>
          </w:p>
        </w:tc>
      </w:tr>
      <w:tr w14:paraId="6FFEE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30E8DF9">
            <w:pPr>
              <w:spacing w:line="360" w:lineRule="auto"/>
              <w:ind w:firstLine="480" w:firstLineChars="200"/>
              <w:rPr>
                <w:rFonts w:hint="eastAsia" w:ascii="宋体" w:eastAsia="宋体" w:cs="Times New Roman"/>
                <w:color w:val="auto"/>
                <w:sz w:val="24"/>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center"/>
          </w:tcPr>
          <w:p w14:paraId="027F9E3B">
            <w:pPr>
              <w:spacing w:line="360" w:lineRule="auto"/>
              <w:ind w:firstLine="480" w:firstLineChars="200"/>
              <w:rPr>
                <w:rFonts w:hint="eastAsia" w:ascii="宋体" w:eastAsia="宋体" w:cs="Times New Roman"/>
                <w:color w:val="auto"/>
                <w:sz w:val="24"/>
                <w:highlight w:val="none"/>
              </w:rPr>
            </w:pPr>
          </w:p>
        </w:tc>
        <w:tc>
          <w:tcPr>
            <w:tcW w:w="5652" w:type="dxa"/>
            <w:tcBorders>
              <w:top w:val="single" w:color="auto" w:sz="4" w:space="0"/>
              <w:left w:val="single" w:color="auto" w:sz="4" w:space="0"/>
              <w:bottom w:val="single" w:color="auto" w:sz="4" w:space="0"/>
              <w:right w:val="single" w:color="auto" w:sz="4" w:space="0"/>
            </w:tcBorders>
            <w:noWrap w:val="0"/>
            <w:vAlign w:val="top"/>
          </w:tcPr>
          <w:p w14:paraId="508ADEDF">
            <w:pPr>
              <w:pStyle w:val="243"/>
              <w:spacing w:before="269" w:line="228" w:lineRule="auto"/>
              <w:ind w:left="118" w:leftChars="0"/>
              <w:rPr>
                <w:rFonts w:hint="eastAsia" w:ascii="宋体" w:eastAsia="宋体" w:cs="Times New Roman"/>
                <w:color w:val="auto"/>
                <w:sz w:val="24"/>
                <w:highlight w:val="none"/>
              </w:rPr>
            </w:pPr>
            <w:r>
              <w:rPr>
                <w:rFonts w:hint="eastAsia" w:ascii="仿宋" w:hAnsi="仿宋" w:eastAsia="仿宋" w:cs="仿宋"/>
                <w:spacing w:val="-2"/>
                <w:sz w:val="24"/>
                <w:szCs w:val="24"/>
                <w:highlight w:val="none"/>
              </w:rPr>
              <w:t xml:space="preserve">小写：                          </w:t>
            </w:r>
            <w:r>
              <w:rPr>
                <w:rFonts w:hint="eastAsia" w:ascii="仿宋" w:hAnsi="仿宋" w:eastAsia="仿宋" w:cs="仿宋"/>
                <w:spacing w:val="-3"/>
                <w:sz w:val="24"/>
                <w:szCs w:val="24"/>
                <w:highlight w:val="none"/>
              </w:rPr>
              <w:t xml:space="preserve">         元</w:t>
            </w:r>
          </w:p>
        </w:tc>
      </w:tr>
      <w:tr w14:paraId="35057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A8C710A">
            <w:pPr>
              <w:spacing w:line="360" w:lineRule="auto"/>
              <w:ind w:firstLine="480" w:firstLineChars="200"/>
              <w:rPr>
                <w:rFonts w:hint="eastAsia" w:ascii="宋体" w:eastAsia="宋体" w:cs="Times New Roman"/>
                <w:color w:val="auto"/>
                <w:sz w:val="24"/>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center"/>
          </w:tcPr>
          <w:p w14:paraId="7B20B83E">
            <w:pPr>
              <w:spacing w:line="360" w:lineRule="auto"/>
              <w:ind w:firstLine="480" w:firstLineChars="200"/>
              <w:rPr>
                <w:rFonts w:hint="eastAsia" w:ascii="宋体" w:eastAsia="宋体" w:cs="Times New Roman"/>
                <w:color w:val="auto"/>
                <w:sz w:val="24"/>
                <w:highlight w:val="none"/>
              </w:rPr>
            </w:pPr>
          </w:p>
        </w:tc>
        <w:tc>
          <w:tcPr>
            <w:tcW w:w="5652" w:type="dxa"/>
            <w:tcBorders>
              <w:top w:val="single" w:color="auto" w:sz="4" w:space="0"/>
              <w:left w:val="single" w:color="auto" w:sz="4" w:space="0"/>
              <w:bottom w:val="single" w:color="auto" w:sz="4" w:space="0"/>
              <w:right w:val="single" w:color="auto" w:sz="4" w:space="0"/>
            </w:tcBorders>
            <w:noWrap w:val="0"/>
            <w:vAlign w:val="top"/>
          </w:tcPr>
          <w:p w14:paraId="792D7A37">
            <w:pPr>
              <w:pStyle w:val="243"/>
              <w:spacing w:before="298" w:line="228" w:lineRule="auto"/>
              <w:ind w:left="115" w:leftChars="0"/>
              <w:rPr>
                <w:rFonts w:hint="eastAsia" w:ascii="宋体" w:eastAsia="宋体" w:cs="Times New Roman"/>
                <w:color w:val="auto"/>
                <w:sz w:val="24"/>
                <w:highlight w:val="none"/>
              </w:rPr>
            </w:pPr>
            <w:r>
              <w:rPr>
                <w:rFonts w:hint="eastAsia" w:ascii="仿宋" w:hAnsi="仿宋" w:eastAsia="仿宋" w:cs="仿宋"/>
                <w:spacing w:val="2"/>
                <w:sz w:val="24"/>
                <w:szCs w:val="24"/>
                <w:highlight w:val="none"/>
              </w:rPr>
              <w:t>大写：</w:t>
            </w:r>
          </w:p>
        </w:tc>
      </w:tr>
      <w:tr w14:paraId="1ABAF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9180" w:type="dxa"/>
            <w:gridSpan w:val="3"/>
            <w:tcBorders>
              <w:top w:val="single" w:color="auto" w:sz="4" w:space="0"/>
              <w:left w:val="single" w:color="auto" w:sz="4" w:space="0"/>
              <w:bottom w:val="single" w:color="auto" w:sz="4" w:space="0"/>
              <w:right w:val="single" w:color="auto" w:sz="4" w:space="0"/>
            </w:tcBorders>
            <w:noWrap w:val="0"/>
            <w:vAlign w:val="center"/>
          </w:tcPr>
          <w:p w14:paraId="190B6D51">
            <w:pPr>
              <w:spacing w:line="360" w:lineRule="auto"/>
              <w:ind w:firstLine="480" w:firstLineChars="200"/>
              <w:rPr>
                <w:rFonts w:hint="eastAsia" w:ascii="宋体" w:eastAsia="宋体" w:cs="Times New Roman"/>
                <w:color w:val="auto"/>
                <w:sz w:val="24"/>
                <w:highlight w:val="none"/>
              </w:rPr>
            </w:pPr>
            <w:r>
              <w:rPr>
                <w:rFonts w:hint="eastAsia" w:ascii="宋体" w:cs="Times New Roman"/>
                <w:color w:val="auto"/>
                <w:sz w:val="24"/>
                <w:highlight w:val="none"/>
                <w:lang w:val="en-US" w:eastAsia="zh-CN"/>
              </w:rPr>
              <w:t>配送时间</w:t>
            </w:r>
            <w:r>
              <w:rPr>
                <w:rFonts w:hint="eastAsia" w:ascii="宋体" w:eastAsia="宋体" w:cs="Times New Roman"/>
                <w:color w:val="auto"/>
                <w:sz w:val="24"/>
                <w:highlight w:val="none"/>
              </w:rPr>
              <w:t>：</w:t>
            </w:r>
          </w:p>
          <w:p w14:paraId="273A5E7C">
            <w:pPr>
              <w:spacing w:line="360" w:lineRule="auto"/>
              <w:ind w:firstLine="480" w:firstLineChars="200"/>
              <w:rPr>
                <w:rFonts w:hint="eastAsia" w:ascii="宋体" w:eastAsia="宋体" w:cs="Times New Roman"/>
                <w:color w:val="auto"/>
                <w:sz w:val="24"/>
                <w:highlight w:val="none"/>
                <w:lang w:eastAsia="zh-CN"/>
              </w:rPr>
            </w:pPr>
            <w:r>
              <w:rPr>
                <w:rFonts w:hint="eastAsia" w:ascii="宋体" w:eastAsia="宋体" w:cs="Times New Roman"/>
                <w:color w:val="auto"/>
                <w:sz w:val="24"/>
                <w:highlight w:val="none"/>
                <w:lang w:eastAsia="zh-CN"/>
              </w:rPr>
              <w:t>质保期：</w:t>
            </w:r>
          </w:p>
          <w:p w14:paraId="2710EDDB">
            <w:pPr>
              <w:spacing w:line="360" w:lineRule="auto"/>
              <w:ind w:firstLine="480" w:firstLineChars="200"/>
              <w:rPr>
                <w:rFonts w:hint="default" w:eastAsia="宋体" w:cs="Times New Roman"/>
                <w:color w:val="auto"/>
                <w:highlight w:val="none"/>
                <w:lang w:val="en-US" w:eastAsia="zh-CN"/>
              </w:rPr>
            </w:pPr>
            <w:r>
              <w:rPr>
                <w:rFonts w:hint="eastAsia" w:ascii="宋体" w:eastAsia="宋体" w:cs="Times New Roman"/>
                <w:color w:val="auto"/>
                <w:sz w:val="24"/>
                <w:highlight w:val="none"/>
                <w:lang w:val="en-US" w:eastAsia="zh-CN"/>
              </w:rPr>
              <w:t>质量标准：</w:t>
            </w:r>
          </w:p>
        </w:tc>
      </w:tr>
    </w:tbl>
    <w:p w14:paraId="441D0C76">
      <w:pPr>
        <w:autoSpaceDE w:val="0"/>
        <w:autoSpaceDN w:val="0"/>
        <w:adjustRightInd w:val="0"/>
        <w:jc w:val="left"/>
        <w:rPr>
          <w:color w:val="auto"/>
          <w:sz w:val="24"/>
          <w:szCs w:val="20"/>
          <w:highlight w:val="none"/>
        </w:rPr>
      </w:pPr>
      <w:r>
        <w:rPr>
          <w:color w:val="auto"/>
          <w:kern w:val="0"/>
          <w:sz w:val="24"/>
          <w:highlight w:val="none"/>
        </w:rPr>
        <w:t>注：</w:t>
      </w:r>
      <w:r>
        <w:rPr>
          <w:color w:val="auto"/>
          <w:sz w:val="24"/>
          <w:szCs w:val="20"/>
          <w:highlight w:val="none"/>
        </w:rPr>
        <w:t>此表中投标报价应和《投标分项报价表》中的总价相一致。</w:t>
      </w:r>
    </w:p>
    <w:p w14:paraId="52043154">
      <w:pPr>
        <w:spacing w:line="360" w:lineRule="auto"/>
        <w:rPr>
          <w:rFonts w:hint="eastAsia" w:ascii="宋体"/>
          <w:color w:val="auto"/>
          <w:sz w:val="24"/>
          <w:highlight w:val="none"/>
        </w:rPr>
      </w:pPr>
    </w:p>
    <w:p w14:paraId="576A3D13">
      <w:pPr>
        <w:pStyle w:val="86"/>
        <w:ind w:firstLine="240"/>
        <w:rPr>
          <w:rFonts w:hint="eastAsia"/>
          <w:color w:val="auto"/>
          <w:sz w:val="24"/>
          <w:highlight w:val="none"/>
        </w:rPr>
      </w:pPr>
    </w:p>
    <w:p w14:paraId="30BFA994">
      <w:pPr>
        <w:pStyle w:val="68"/>
        <w:rPr>
          <w:rFonts w:hint="eastAsia"/>
          <w:color w:val="auto"/>
          <w:highlight w:val="none"/>
        </w:rPr>
      </w:pPr>
    </w:p>
    <w:p w14:paraId="021045C4">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6E4AC1E1">
      <w:pPr>
        <w:autoSpaceDE w:val="0"/>
        <w:autoSpaceDN w:val="0"/>
        <w:adjustRightInd w:val="0"/>
        <w:snapToGrid w:val="0"/>
        <w:spacing w:before="25" w:after="25" w:line="360" w:lineRule="auto"/>
        <w:rPr>
          <w:color w:val="auto"/>
          <w:sz w:val="24"/>
          <w:highlight w:val="none"/>
          <w:lang w:val="zh-CN"/>
        </w:rPr>
      </w:pPr>
      <w:r>
        <w:rPr>
          <w:rFonts w:hint="eastAsia" w:ascii="宋体"/>
          <w:color w:val="auto"/>
          <w:sz w:val="24"/>
          <w:highlight w:val="none"/>
        </w:rPr>
        <w:t>法定代表人（签字）：</w:t>
      </w:r>
      <w:r>
        <w:rPr>
          <w:color w:val="auto"/>
          <w:sz w:val="24"/>
          <w:highlight w:val="none"/>
          <w:lang w:val="zh-CN"/>
        </w:rPr>
        <w:t>____________</w:t>
      </w:r>
    </w:p>
    <w:p w14:paraId="56921A6E">
      <w:pPr>
        <w:pStyle w:val="86"/>
        <w:ind w:firstLine="0" w:firstLineChars="0"/>
        <w:rPr>
          <w:color w:val="auto"/>
          <w:highlight w:val="none"/>
          <w:lang w:val="zh-CN"/>
        </w:rPr>
      </w:pPr>
    </w:p>
    <w:p w14:paraId="44AEC00D">
      <w:pPr>
        <w:pStyle w:val="80"/>
        <w:rPr>
          <w:rFonts w:hint="eastAsia"/>
          <w:color w:val="auto"/>
          <w:highlight w:val="none"/>
        </w:rPr>
      </w:pPr>
      <w:r>
        <w:rPr>
          <w:color w:val="auto"/>
          <w:sz w:val="24"/>
          <w:szCs w:val="20"/>
          <w:highlight w:val="none"/>
        </w:rPr>
        <w:t xml:space="preserve">日期：_____年______月______日   </w:t>
      </w:r>
    </w:p>
    <w:p w14:paraId="042A51CC">
      <w:pPr>
        <w:spacing w:line="360" w:lineRule="auto"/>
        <w:ind w:firstLine="570"/>
        <w:jc w:val="center"/>
        <w:rPr>
          <w:rFonts w:hint="eastAsia" w:ascii="宋体" w:hAnsi="宋体"/>
          <w:color w:val="auto"/>
          <w:sz w:val="24"/>
          <w:highlight w:val="none"/>
        </w:rPr>
      </w:pPr>
      <w:r>
        <w:rPr>
          <w:rFonts w:hint="eastAsia" w:ascii="宋体"/>
          <w:color w:val="auto"/>
          <w:sz w:val="24"/>
          <w:highlight w:val="none"/>
        </w:rPr>
        <w:t xml:space="preserve">                                     </w:t>
      </w:r>
    </w:p>
    <w:p w14:paraId="1D91EB32">
      <w:pPr>
        <w:spacing w:line="360" w:lineRule="auto"/>
        <w:rPr>
          <w:rFonts w:hint="eastAsia" w:ascii="宋体" w:hAnsi="宋体"/>
          <w:b/>
          <w:color w:val="auto"/>
          <w:sz w:val="30"/>
          <w:szCs w:val="30"/>
          <w:highlight w:val="none"/>
        </w:rPr>
      </w:pPr>
    </w:p>
    <w:p w14:paraId="7CAA39B4">
      <w:pPr>
        <w:spacing w:line="360" w:lineRule="auto"/>
        <w:jc w:val="both"/>
        <w:rPr>
          <w:rFonts w:hint="eastAsia" w:ascii="宋体" w:hAnsi="宋体"/>
          <w:b/>
          <w:color w:val="auto"/>
          <w:sz w:val="30"/>
          <w:szCs w:val="30"/>
          <w:highlight w:val="none"/>
        </w:rPr>
      </w:pPr>
    </w:p>
    <w:p w14:paraId="41796DDA">
      <w:pPr>
        <w:pStyle w:val="138"/>
        <w:rPr>
          <w:rFonts w:hint="eastAsia" w:ascii="宋体" w:hAnsi="宋体"/>
          <w:b/>
          <w:color w:val="auto"/>
          <w:sz w:val="30"/>
          <w:szCs w:val="30"/>
          <w:highlight w:val="none"/>
        </w:rPr>
      </w:pPr>
    </w:p>
    <w:p w14:paraId="427CD117">
      <w:pPr>
        <w:pStyle w:val="138"/>
        <w:rPr>
          <w:rFonts w:hint="eastAsia" w:ascii="宋体" w:hAnsi="宋体"/>
          <w:b/>
          <w:color w:val="auto"/>
          <w:sz w:val="30"/>
          <w:szCs w:val="30"/>
          <w:highlight w:val="none"/>
        </w:rPr>
      </w:pPr>
    </w:p>
    <w:p w14:paraId="695418CD">
      <w:pPr>
        <w:spacing w:line="360" w:lineRule="auto"/>
        <w:jc w:val="left"/>
        <w:rPr>
          <w:rFonts w:hint="eastAsia" w:ascii="宋体" w:hAnsi="宋体"/>
          <w:bCs/>
          <w:color w:val="auto"/>
          <w:sz w:val="30"/>
          <w:szCs w:val="30"/>
          <w:highlight w:val="none"/>
        </w:rPr>
      </w:pPr>
    </w:p>
    <w:p w14:paraId="79512655">
      <w:pPr>
        <w:rPr>
          <w:rFonts w:hint="eastAsia" w:ascii="宋体" w:hAnsi="宋体"/>
          <w:bCs/>
          <w:color w:val="auto"/>
          <w:sz w:val="30"/>
          <w:szCs w:val="30"/>
          <w:highlight w:val="none"/>
        </w:rPr>
      </w:pPr>
      <w:r>
        <w:rPr>
          <w:rFonts w:hint="eastAsia" w:ascii="宋体" w:hAnsi="宋体"/>
          <w:bCs/>
          <w:color w:val="auto"/>
          <w:sz w:val="30"/>
          <w:szCs w:val="30"/>
          <w:highlight w:val="none"/>
        </w:rPr>
        <w:br w:type="page"/>
      </w:r>
    </w:p>
    <w:p w14:paraId="0CEE0830">
      <w:pPr>
        <w:spacing w:line="360" w:lineRule="auto"/>
        <w:jc w:val="left"/>
        <w:rPr>
          <w:rFonts w:hint="eastAsia" w:ascii="宋体" w:hAnsi="宋体"/>
          <w:bCs/>
          <w:color w:val="auto"/>
          <w:sz w:val="30"/>
          <w:szCs w:val="30"/>
          <w:highlight w:val="none"/>
        </w:rPr>
      </w:pPr>
      <w:r>
        <w:rPr>
          <w:rFonts w:hint="eastAsia" w:ascii="宋体" w:hAnsi="宋体"/>
          <w:bCs/>
          <w:color w:val="auto"/>
          <w:sz w:val="30"/>
          <w:szCs w:val="30"/>
          <w:highlight w:val="none"/>
        </w:rPr>
        <w:t>4 投标分项报价表（实质性格式）</w:t>
      </w:r>
    </w:p>
    <w:p w14:paraId="2611D8C0">
      <w:pPr>
        <w:pStyle w:val="34"/>
        <w:keepNext w:val="0"/>
        <w:keepLines w:val="0"/>
        <w:pageBreakBefore w:val="0"/>
        <w:widowControl w:val="0"/>
        <w:kinsoku/>
        <w:wordWrap/>
        <w:overflowPunct/>
        <w:topLinePunct w:val="0"/>
        <w:autoSpaceDE/>
        <w:autoSpaceDN/>
        <w:bidi w:val="0"/>
        <w:adjustRightInd/>
        <w:snapToGrid/>
        <w:spacing w:before="65" w:line="360" w:lineRule="auto"/>
        <w:ind w:left="8" w:firstLine="415"/>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lang w:eastAsia="zh-CN"/>
        </w:rPr>
        <w:t>详</w:t>
      </w:r>
      <w:r>
        <w:rPr>
          <w:rFonts w:hint="eastAsia" w:asciiTheme="minorEastAsia" w:hAnsiTheme="minorEastAsia" w:eastAsiaTheme="minorEastAsia" w:cstheme="minorEastAsia"/>
          <w:spacing w:val="10"/>
          <w:sz w:val="24"/>
          <w:szCs w:val="24"/>
          <w:highlight w:val="none"/>
        </w:rPr>
        <w:t>见随招标文件</w:t>
      </w:r>
      <w:r>
        <w:rPr>
          <w:rFonts w:hint="eastAsia" w:asciiTheme="minorEastAsia" w:hAnsiTheme="minorEastAsia" w:eastAsiaTheme="minorEastAsia" w:cstheme="minorEastAsia"/>
          <w:spacing w:val="10"/>
          <w:sz w:val="24"/>
          <w:szCs w:val="24"/>
          <w:highlight w:val="none"/>
          <w:lang w:eastAsia="zh-CN"/>
        </w:rPr>
        <w:t>发送的</w:t>
      </w:r>
      <w:r>
        <w:rPr>
          <w:rFonts w:hint="eastAsia" w:asciiTheme="minorEastAsia" w:hAnsiTheme="minorEastAsia" w:eastAsiaTheme="minorEastAsia" w:cstheme="minorEastAsia"/>
          <w:spacing w:val="10"/>
          <w:sz w:val="24"/>
          <w:szCs w:val="24"/>
          <w:highlight w:val="none"/>
        </w:rPr>
        <w:t>《明细报价表.</w:t>
      </w:r>
      <w:r>
        <w:rPr>
          <w:rFonts w:hint="eastAsia" w:asciiTheme="minorEastAsia" w:hAnsiTheme="minorEastAsia" w:eastAsiaTheme="minorEastAsia" w:cstheme="minorEastAsia"/>
          <w:sz w:val="24"/>
          <w:szCs w:val="24"/>
          <w:highlight w:val="none"/>
        </w:rPr>
        <w:t>xls</w:t>
      </w:r>
      <w:r>
        <w:rPr>
          <w:rFonts w:hint="eastAsia" w:asciiTheme="minorEastAsia" w:hAnsiTheme="minorEastAsia" w:eastAsiaTheme="minorEastAsia" w:cstheme="minorEastAsia"/>
          <w:spacing w:val="10"/>
          <w:sz w:val="24"/>
          <w:szCs w:val="24"/>
          <w:highlight w:val="none"/>
        </w:rPr>
        <w:t>》，请于表中输入</w:t>
      </w:r>
      <w:r>
        <w:rPr>
          <w:rFonts w:hint="eastAsia" w:asciiTheme="minorEastAsia" w:hAnsiTheme="minorEastAsia" w:eastAsiaTheme="minorEastAsia" w:cstheme="minorEastAsia"/>
          <w:spacing w:val="9"/>
          <w:sz w:val="24"/>
          <w:szCs w:val="24"/>
          <w:highlight w:val="none"/>
        </w:rPr>
        <w:t>投标单位名称、所投产品相关内容、投标</w:t>
      </w:r>
      <w:r>
        <w:rPr>
          <w:rFonts w:hint="eastAsia" w:asciiTheme="minorEastAsia" w:hAnsiTheme="minorEastAsia" w:eastAsiaTheme="minorEastAsia" w:cstheme="minorEastAsia"/>
          <w:spacing w:val="9"/>
          <w:sz w:val="24"/>
          <w:szCs w:val="24"/>
          <w:highlight w:val="none"/>
          <w:lang w:val="en-US" w:eastAsia="zh-CN"/>
        </w:rPr>
        <w:t>供应商</w:t>
      </w:r>
      <w:r>
        <w:rPr>
          <w:rFonts w:hint="eastAsia" w:asciiTheme="minorEastAsia" w:hAnsiTheme="minorEastAsia" w:eastAsiaTheme="minorEastAsia" w:cstheme="minorEastAsia"/>
          <w:spacing w:val="9"/>
          <w:sz w:val="24"/>
          <w:szCs w:val="24"/>
          <w:highlight w:val="none"/>
        </w:rPr>
        <w:t>签字及日期等，</w:t>
      </w:r>
      <w:r>
        <w:rPr>
          <w:rFonts w:hint="eastAsia" w:asciiTheme="minorEastAsia" w:hAnsiTheme="minorEastAsia" w:eastAsiaTheme="minorEastAsia" w:cstheme="minorEastAsia"/>
          <w:b/>
          <w:bCs/>
          <w:spacing w:val="9"/>
          <w:sz w:val="24"/>
          <w:szCs w:val="24"/>
          <w:highlight w:val="none"/>
        </w:rPr>
        <w:t>如不按规定提供投标将作无效标处理。</w:t>
      </w:r>
      <w:r>
        <w:rPr>
          <w:rFonts w:hint="eastAsia" w:asciiTheme="minorEastAsia" w:hAnsiTheme="minorEastAsia" w:eastAsiaTheme="minorEastAsia" w:cstheme="minorEastAsia"/>
          <w:spacing w:val="9"/>
          <w:sz w:val="24"/>
          <w:szCs w:val="24"/>
          <w:highlight w:val="none"/>
        </w:rPr>
        <w:t>明细报价表必须按《</w:t>
      </w:r>
      <w:r>
        <w:rPr>
          <w:rFonts w:hint="eastAsia" w:asciiTheme="minorEastAsia" w:hAnsiTheme="minorEastAsia" w:eastAsiaTheme="minorEastAsia" w:cstheme="minorEastAsia"/>
          <w:spacing w:val="8"/>
          <w:sz w:val="24"/>
          <w:szCs w:val="24"/>
          <w:highlight w:val="none"/>
        </w:rPr>
        <w:t>明细报价表.</w:t>
      </w:r>
      <w:r>
        <w:rPr>
          <w:rFonts w:hint="eastAsia" w:asciiTheme="minorEastAsia" w:hAnsiTheme="minorEastAsia" w:eastAsiaTheme="minorEastAsia" w:cstheme="minorEastAsia"/>
          <w:sz w:val="24"/>
          <w:szCs w:val="24"/>
          <w:highlight w:val="none"/>
        </w:rPr>
        <w:t>xls</w:t>
      </w:r>
      <w:r>
        <w:rPr>
          <w:rFonts w:hint="eastAsia" w:asciiTheme="minorEastAsia" w:hAnsiTheme="minorEastAsia" w:eastAsiaTheme="minorEastAsia" w:cstheme="minorEastAsia"/>
          <w:spacing w:val="8"/>
          <w:sz w:val="24"/>
          <w:szCs w:val="24"/>
          <w:highlight w:val="none"/>
        </w:rPr>
        <w:t>》顺序填写，不得打乱删减。</w:t>
      </w:r>
      <w:r>
        <w:rPr>
          <w:rFonts w:hint="eastAsia" w:asciiTheme="minorEastAsia" w:hAnsiTheme="minorEastAsia" w:eastAsiaTheme="minorEastAsia" w:cstheme="minorEastAsia"/>
          <w:b/>
          <w:bCs/>
          <w:spacing w:val="8"/>
          <w:sz w:val="24"/>
          <w:szCs w:val="24"/>
          <w:highlight w:val="none"/>
        </w:rPr>
        <w:t>投标文件中的《明细报价表》必须按招标文件格式要求，表格格式见附件。</w:t>
      </w:r>
    </w:p>
    <w:p w14:paraId="441CC601">
      <w:pPr>
        <w:pStyle w:val="34"/>
        <w:keepNext w:val="0"/>
        <w:keepLines w:val="0"/>
        <w:pageBreakBefore w:val="0"/>
        <w:widowControl w:val="0"/>
        <w:kinsoku/>
        <w:wordWrap/>
        <w:overflowPunct/>
        <w:topLinePunct w:val="0"/>
        <w:autoSpaceDE/>
        <w:autoSpaceDN/>
        <w:bidi w:val="0"/>
        <w:adjustRightInd/>
        <w:snapToGrid/>
        <w:spacing w:before="31" w:line="360" w:lineRule="auto"/>
        <w:ind w:left="6" w:right="6"/>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9"/>
          <w:sz w:val="24"/>
          <w:szCs w:val="24"/>
          <w:highlight w:val="none"/>
        </w:rPr>
        <w:t>注：1、投标</w:t>
      </w:r>
      <w:r>
        <w:rPr>
          <w:rFonts w:hint="eastAsia" w:asciiTheme="minorEastAsia" w:hAnsiTheme="minorEastAsia" w:eastAsiaTheme="minorEastAsia" w:cstheme="minorEastAsia"/>
          <w:b/>
          <w:bCs/>
          <w:spacing w:val="9"/>
          <w:sz w:val="24"/>
          <w:szCs w:val="24"/>
          <w:highlight w:val="none"/>
          <w:lang w:val="en-US" w:eastAsia="zh-CN"/>
        </w:rPr>
        <w:t>供应商</w:t>
      </w:r>
      <w:r>
        <w:rPr>
          <w:rFonts w:hint="eastAsia" w:asciiTheme="minorEastAsia" w:hAnsiTheme="minorEastAsia" w:eastAsiaTheme="minorEastAsia" w:cstheme="minorEastAsia"/>
          <w:b/>
          <w:bCs/>
          <w:spacing w:val="9"/>
          <w:sz w:val="24"/>
          <w:szCs w:val="24"/>
          <w:highlight w:val="none"/>
        </w:rPr>
        <w:t>需对所投标项中所有项进行报价，不得缺项漏项。如果报价不符合要求则为无效投标，不</w:t>
      </w:r>
      <w:r>
        <w:rPr>
          <w:rFonts w:hint="eastAsia" w:asciiTheme="minorEastAsia" w:hAnsiTheme="minorEastAsia" w:eastAsiaTheme="minorEastAsia" w:cstheme="minorEastAsia"/>
          <w:b/>
          <w:bCs/>
          <w:spacing w:val="6"/>
          <w:sz w:val="24"/>
          <w:szCs w:val="24"/>
          <w:highlight w:val="none"/>
        </w:rPr>
        <w:t>得自行更改格式及文本信息。</w:t>
      </w:r>
    </w:p>
    <w:p w14:paraId="17E1DE09">
      <w:pPr>
        <w:pStyle w:val="34"/>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9"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7"/>
          <w:sz w:val="24"/>
          <w:szCs w:val="24"/>
          <w:highlight w:val="none"/>
        </w:rPr>
        <w:t>投标</w:t>
      </w:r>
      <w:r>
        <w:rPr>
          <w:rFonts w:hint="eastAsia" w:asciiTheme="minorEastAsia" w:hAnsiTheme="minorEastAsia" w:eastAsiaTheme="minorEastAsia" w:cstheme="minorEastAsia"/>
          <w:b/>
          <w:bCs/>
          <w:spacing w:val="7"/>
          <w:sz w:val="24"/>
          <w:szCs w:val="24"/>
          <w:highlight w:val="none"/>
          <w:lang w:val="en-US" w:eastAsia="zh-CN"/>
        </w:rPr>
        <w:t>供应商</w:t>
      </w:r>
      <w:r>
        <w:rPr>
          <w:rFonts w:hint="eastAsia" w:asciiTheme="minorEastAsia" w:hAnsiTheme="minorEastAsia" w:eastAsiaTheme="minorEastAsia" w:cstheme="minorEastAsia"/>
          <w:b/>
          <w:bCs/>
          <w:spacing w:val="7"/>
          <w:sz w:val="24"/>
          <w:szCs w:val="24"/>
          <w:highlight w:val="none"/>
        </w:rPr>
        <w:t>报价单位必须与采购目录中价格单位一致。</w:t>
      </w:r>
    </w:p>
    <w:p w14:paraId="7314CD22">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9" w:firstLineChars="164"/>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8"/>
          <w:sz w:val="24"/>
          <w:szCs w:val="24"/>
          <w:highlight w:val="none"/>
        </w:rPr>
        <w:t>3、为保证采购人自动数据抓取的工作效率，要求投标文件的关于价格明细或分项报价的表格，需为</w:t>
      </w:r>
      <w:r>
        <w:rPr>
          <w:rFonts w:hint="eastAsia" w:asciiTheme="minorEastAsia" w:hAnsiTheme="minorEastAsia" w:eastAsiaTheme="minorEastAsia" w:cstheme="minorEastAsia"/>
          <w:b/>
          <w:bCs/>
          <w:sz w:val="24"/>
          <w:szCs w:val="24"/>
          <w:highlight w:val="none"/>
        </w:rPr>
        <w:t>word</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b/>
          <w:bCs/>
          <w:spacing w:val="12"/>
          <w:sz w:val="24"/>
          <w:szCs w:val="24"/>
          <w:highlight w:val="none"/>
        </w:rPr>
        <w:t>或者</w:t>
      </w:r>
      <w:r>
        <w:rPr>
          <w:rFonts w:hint="eastAsia" w:asciiTheme="minorEastAsia" w:hAnsiTheme="minorEastAsia" w:eastAsiaTheme="minorEastAsia" w:cstheme="minorEastAsia"/>
          <w:b/>
          <w:bCs/>
          <w:sz w:val="24"/>
          <w:szCs w:val="24"/>
          <w:highlight w:val="none"/>
        </w:rPr>
        <w:t>Execl</w:t>
      </w:r>
      <w:r>
        <w:rPr>
          <w:rFonts w:hint="eastAsia" w:asciiTheme="minorEastAsia" w:hAnsiTheme="minorEastAsia" w:eastAsiaTheme="minorEastAsia" w:cstheme="minorEastAsia"/>
          <w:b/>
          <w:bCs/>
          <w:spacing w:val="12"/>
          <w:sz w:val="24"/>
          <w:szCs w:val="24"/>
          <w:highlight w:val="none"/>
        </w:rPr>
        <w:t>形式的原始表格(比如在</w:t>
      </w:r>
      <w:r>
        <w:rPr>
          <w:rFonts w:hint="eastAsia" w:asciiTheme="minorEastAsia" w:hAnsiTheme="minorEastAsia" w:eastAsiaTheme="minorEastAsia" w:cstheme="minorEastAsia"/>
          <w:b/>
          <w:bCs/>
          <w:sz w:val="24"/>
          <w:szCs w:val="24"/>
          <w:highlight w:val="none"/>
        </w:rPr>
        <w:t>word</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b/>
          <w:bCs/>
          <w:spacing w:val="12"/>
          <w:sz w:val="24"/>
          <w:szCs w:val="24"/>
          <w:highlight w:val="none"/>
        </w:rPr>
        <w:t>中创建表格，再通过政采云平台转为</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b/>
          <w:bCs/>
          <w:sz w:val="24"/>
          <w:szCs w:val="24"/>
          <w:highlight w:val="none"/>
        </w:rPr>
        <w:t>PDF</w:t>
      </w: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b/>
          <w:bCs/>
          <w:spacing w:val="12"/>
          <w:sz w:val="24"/>
          <w:szCs w:val="24"/>
          <w:highlight w:val="none"/>
        </w:rPr>
        <w:t>的投标文件)，而</w:t>
      </w:r>
      <w:r>
        <w:rPr>
          <w:rFonts w:hint="eastAsia" w:asciiTheme="minorEastAsia" w:hAnsiTheme="minorEastAsia" w:eastAsiaTheme="minorEastAsia" w:cstheme="minorEastAsia"/>
          <w:b/>
          <w:bCs/>
          <w:spacing w:val="7"/>
          <w:sz w:val="24"/>
          <w:szCs w:val="24"/>
          <w:highlight w:val="none"/>
        </w:rPr>
        <w:t>不能是拍照或者扫描图片。</w:t>
      </w:r>
    </w:p>
    <w:p w14:paraId="240421D1">
      <w:pPr>
        <w:pStyle w:val="34"/>
        <w:keepNext w:val="0"/>
        <w:keepLines w:val="0"/>
        <w:pageBreakBefore w:val="0"/>
        <w:widowControl w:val="0"/>
        <w:kinsoku/>
        <w:wordWrap/>
        <w:overflowPunct/>
        <w:topLinePunct w:val="0"/>
        <w:autoSpaceDE/>
        <w:autoSpaceDN/>
        <w:bidi w:val="0"/>
        <w:adjustRightInd/>
        <w:snapToGrid/>
        <w:spacing w:before="65" w:line="360" w:lineRule="auto"/>
        <w:ind w:left="8" w:firstLine="415"/>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lang w:eastAsia="zh-CN"/>
        </w:rPr>
        <w:t>附件</w:t>
      </w:r>
      <w:r>
        <w:rPr>
          <w:rFonts w:hint="eastAsia" w:asciiTheme="minorEastAsia" w:hAnsiTheme="minorEastAsia" w:eastAsiaTheme="minorEastAsia" w:cstheme="minorEastAsia"/>
          <w:spacing w:val="10"/>
          <w:sz w:val="24"/>
          <w:szCs w:val="24"/>
          <w:highlight w:val="none"/>
          <w:lang w:val="en-US" w:eastAsia="zh-CN"/>
        </w:rPr>
        <w:t>1</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rPr>
        <w:t>《明细报价表.</w:t>
      </w:r>
      <w:r>
        <w:rPr>
          <w:rFonts w:hint="eastAsia" w:asciiTheme="minorEastAsia" w:hAnsiTheme="minorEastAsia" w:eastAsiaTheme="minorEastAsia" w:cstheme="minorEastAsia"/>
          <w:sz w:val="24"/>
          <w:szCs w:val="24"/>
          <w:highlight w:val="none"/>
        </w:rPr>
        <w:t>xls</w:t>
      </w:r>
      <w:r>
        <w:rPr>
          <w:rFonts w:hint="eastAsia" w:asciiTheme="minorEastAsia" w:hAnsiTheme="minorEastAsia" w:eastAsiaTheme="minorEastAsia" w:cstheme="minorEastAsia"/>
          <w:spacing w:val="10"/>
          <w:sz w:val="24"/>
          <w:szCs w:val="24"/>
          <w:highlight w:val="none"/>
        </w:rPr>
        <w:t>》，请于表中输入</w:t>
      </w:r>
      <w:r>
        <w:rPr>
          <w:rFonts w:hint="eastAsia" w:asciiTheme="minorEastAsia" w:hAnsiTheme="minorEastAsia" w:eastAsiaTheme="minorEastAsia" w:cstheme="minorEastAsia"/>
          <w:spacing w:val="9"/>
          <w:sz w:val="24"/>
          <w:szCs w:val="24"/>
          <w:highlight w:val="none"/>
        </w:rPr>
        <w:t>投标单位名称、所投产品相关内容、投标</w:t>
      </w:r>
      <w:r>
        <w:rPr>
          <w:rFonts w:hint="eastAsia" w:asciiTheme="minorEastAsia" w:hAnsiTheme="minorEastAsia" w:eastAsiaTheme="minorEastAsia" w:cstheme="minorEastAsia"/>
          <w:spacing w:val="9"/>
          <w:sz w:val="24"/>
          <w:szCs w:val="24"/>
          <w:highlight w:val="none"/>
          <w:lang w:val="en-US" w:eastAsia="zh-CN"/>
        </w:rPr>
        <w:t>供应商</w:t>
      </w:r>
      <w:r>
        <w:rPr>
          <w:rFonts w:hint="eastAsia" w:asciiTheme="minorEastAsia" w:hAnsiTheme="minorEastAsia" w:eastAsiaTheme="minorEastAsia" w:cstheme="minorEastAsia"/>
          <w:spacing w:val="9"/>
          <w:sz w:val="24"/>
          <w:szCs w:val="24"/>
          <w:highlight w:val="none"/>
        </w:rPr>
        <w:t>签字及日期等，</w:t>
      </w:r>
      <w:r>
        <w:rPr>
          <w:rFonts w:hint="eastAsia" w:asciiTheme="minorEastAsia" w:hAnsiTheme="minorEastAsia" w:eastAsiaTheme="minorEastAsia" w:cstheme="minorEastAsia"/>
          <w:b/>
          <w:bCs/>
          <w:spacing w:val="9"/>
          <w:sz w:val="24"/>
          <w:szCs w:val="24"/>
          <w:highlight w:val="none"/>
        </w:rPr>
        <w:t>如不按规定提供投标将作无效标处理。</w:t>
      </w:r>
      <w:r>
        <w:rPr>
          <w:rFonts w:hint="eastAsia" w:asciiTheme="minorEastAsia" w:hAnsiTheme="minorEastAsia" w:eastAsiaTheme="minorEastAsia" w:cstheme="minorEastAsia"/>
          <w:spacing w:val="9"/>
          <w:sz w:val="24"/>
          <w:szCs w:val="24"/>
          <w:highlight w:val="none"/>
        </w:rPr>
        <w:t>明细报价表必须按《</w:t>
      </w:r>
      <w:r>
        <w:rPr>
          <w:rFonts w:hint="eastAsia" w:asciiTheme="minorEastAsia" w:hAnsiTheme="minorEastAsia" w:eastAsiaTheme="minorEastAsia" w:cstheme="minorEastAsia"/>
          <w:spacing w:val="8"/>
          <w:sz w:val="24"/>
          <w:szCs w:val="24"/>
          <w:highlight w:val="none"/>
        </w:rPr>
        <w:t>明细报价表.</w:t>
      </w:r>
      <w:r>
        <w:rPr>
          <w:rFonts w:hint="eastAsia" w:asciiTheme="minorEastAsia" w:hAnsiTheme="minorEastAsia" w:eastAsiaTheme="minorEastAsia" w:cstheme="minorEastAsia"/>
          <w:sz w:val="24"/>
          <w:szCs w:val="24"/>
          <w:highlight w:val="none"/>
        </w:rPr>
        <w:t>xls</w:t>
      </w:r>
      <w:r>
        <w:rPr>
          <w:rFonts w:hint="eastAsia" w:asciiTheme="minorEastAsia" w:hAnsiTheme="minorEastAsia" w:eastAsiaTheme="minorEastAsia" w:cstheme="minorEastAsia"/>
          <w:spacing w:val="8"/>
          <w:sz w:val="24"/>
          <w:szCs w:val="24"/>
          <w:highlight w:val="none"/>
        </w:rPr>
        <w:t>》顺序填写，不得打乱删减。</w:t>
      </w:r>
      <w:r>
        <w:rPr>
          <w:rFonts w:hint="eastAsia" w:asciiTheme="minorEastAsia" w:hAnsiTheme="minorEastAsia" w:eastAsiaTheme="minorEastAsia" w:cstheme="minorEastAsia"/>
          <w:b/>
          <w:bCs/>
          <w:spacing w:val="8"/>
          <w:sz w:val="24"/>
          <w:szCs w:val="24"/>
          <w:highlight w:val="none"/>
        </w:rPr>
        <w:t>投标文件中的《明细报价表》必须按招标文件格式要求，表格格式见附件。</w:t>
      </w:r>
    </w:p>
    <w:p w14:paraId="7A9202BE">
      <w:pPr>
        <w:pStyle w:val="34"/>
        <w:keepNext w:val="0"/>
        <w:keepLines w:val="0"/>
        <w:pageBreakBefore w:val="0"/>
        <w:widowControl w:val="0"/>
        <w:kinsoku/>
        <w:wordWrap/>
        <w:overflowPunct/>
        <w:topLinePunct w:val="0"/>
        <w:autoSpaceDE/>
        <w:autoSpaceDN/>
        <w:bidi w:val="0"/>
        <w:adjustRightInd/>
        <w:snapToGrid/>
        <w:spacing w:before="31" w:line="360" w:lineRule="auto"/>
        <w:ind w:left="7" w:right="3"/>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9"/>
          <w:sz w:val="24"/>
          <w:szCs w:val="24"/>
          <w:highlight w:val="none"/>
        </w:rPr>
        <w:t>注：1、投标</w:t>
      </w:r>
      <w:r>
        <w:rPr>
          <w:rFonts w:hint="eastAsia" w:asciiTheme="minorEastAsia" w:hAnsiTheme="minorEastAsia" w:eastAsiaTheme="minorEastAsia" w:cstheme="minorEastAsia"/>
          <w:b/>
          <w:bCs/>
          <w:spacing w:val="9"/>
          <w:sz w:val="24"/>
          <w:szCs w:val="24"/>
          <w:highlight w:val="none"/>
          <w:lang w:val="en-US" w:eastAsia="zh-CN"/>
        </w:rPr>
        <w:t>供应商</w:t>
      </w:r>
      <w:r>
        <w:rPr>
          <w:rFonts w:hint="eastAsia" w:asciiTheme="minorEastAsia" w:hAnsiTheme="minorEastAsia" w:eastAsiaTheme="minorEastAsia" w:cstheme="minorEastAsia"/>
          <w:b/>
          <w:bCs/>
          <w:spacing w:val="9"/>
          <w:sz w:val="24"/>
          <w:szCs w:val="24"/>
          <w:highlight w:val="none"/>
        </w:rPr>
        <w:t>需对所投标项中所有项进行报价，不得缺项漏项。如果报价不符合要求则为无效投标，不</w:t>
      </w:r>
      <w:r>
        <w:rPr>
          <w:rFonts w:hint="eastAsia" w:asciiTheme="minorEastAsia" w:hAnsiTheme="minorEastAsia" w:eastAsiaTheme="minorEastAsia" w:cstheme="minorEastAsia"/>
          <w:b/>
          <w:bCs/>
          <w:spacing w:val="6"/>
          <w:sz w:val="24"/>
          <w:szCs w:val="24"/>
          <w:highlight w:val="none"/>
        </w:rPr>
        <w:t>得自行更改格式及文本信息。</w:t>
      </w:r>
    </w:p>
    <w:p w14:paraId="0782D205">
      <w:pPr>
        <w:pStyle w:val="34"/>
        <w:keepNext w:val="0"/>
        <w:keepLines w:val="0"/>
        <w:pageBreakBefore w:val="0"/>
        <w:widowControl w:val="0"/>
        <w:kinsoku/>
        <w:wordWrap/>
        <w:overflowPunct/>
        <w:topLinePunct w:val="0"/>
        <w:autoSpaceDE/>
        <w:autoSpaceDN/>
        <w:bidi w:val="0"/>
        <w:adjustRightInd/>
        <w:snapToGrid/>
        <w:spacing w:line="360" w:lineRule="auto"/>
        <w:ind w:left="42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7"/>
          <w:sz w:val="24"/>
          <w:szCs w:val="24"/>
          <w:highlight w:val="none"/>
        </w:rPr>
        <w:t>2、投标</w:t>
      </w:r>
      <w:r>
        <w:rPr>
          <w:rFonts w:hint="eastAsia" w:asciiTheme="minorEastAsia" w:hAnsiTheme="minorEastAsia" w:eastAsiaTheme="minorEastAsia" w:cstheme="minorEastAsia"/>
          <w:b/>
          <w:bCs/>
          <w:spacing w:val="7"/>
          <w:sz w:val="24"/>
          <w:szCs w:val="24"/>
          <w:highlight w:val="none"/>
          <w:lang w:val="en-US" w:eastAsia="zh-CN"/>
        </w:rPr>
        <w:t>供应商</w:t>
      </w:r>
      <w:r>
        <w:rPr>
          <w:rFonts w:hint="eastAsia" w:asciiTheme="minorEastAsia" w:hAnsiTheme="minorEastAsia" w:eastAsiaTheme="minorEastAsia" w:cstheme="minorEastAsia"/>
          <w:b/>
          <w:bCs/>
          <w:spacing w:val="7"/>
          <w:sz w:val="24"/>
          <w:szCs w:val="24"/>
          <w:highlight w:val="none"/>
        </w:rPr>
        <w:t>报价单位必须与采购目录中价格单位一致。</w:t>
      </w:r>
    </w:p>
    <w:p w14:paraId="2D1D7C0E">
      <w:pPr>
        <w:pStyle w:val="34"/>
        <w:keepNext w:val="0"/>
        <w:keepLines w:val="0"/>
        <w:pageBreakBefore w:val="0"/>
        <w:widowControl w:val="0"/>
        <w:kinsoku/>
        <w:wordWrap/>
        <w:overflowPunct/>
        <w:topLinePunct w:val="0"/>
        <w:autoSpaceDE/>
        <w:autoSpaceDN/>
        <w:bidi w:val="0"/>
        <w:adjustRightInd/>
        <w:snapToGrid/>
        <w:spacing w:line="360" w:lineRule="auto"/>
        <w:ind w:right="2" w:firstLine="433"/>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8"/>
          <w:sz w:val="24"/>
          <w:szCs w:val="24"/>
          <w:highlight w:val="none"/>
        </w:rPr>
        <w:t>3、为保证采购人自动数据抓取的工作效率，要求投标文件的关于价格明细或分项报价的表格，需为</w:t>
      </w:r>
      <w:r>
        <w:rPr>
          <w:rFonts w:hint="eastAsia" w:asciiTheme="minorEastAsia" w:hAnsiTheme="minorEastAsia" w:eastAsiaTheme="minorEastAsia" w:cstheme="minorEastAsia"/>
          <w:b/>
          <w:bCs/>
          <w:sz w:val="24"/>
          <w:szCs w:val="24"/>
          <w:highlight w:val="none"/>
        </w:rPr>
        <w:t>word</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b/>
          <w:bCs/>
          <w:spacing w:val="12"/>
          <w:sz w:val="24"/>
          <w:szCs w:val="24"/>
          <w:highlight w:val="none"/>
        </w:rPr>
        <w:t>或者</w:t>
      </w:r>
      <w:r>
        <w:rPr>
          <w:rFonts w:hint="eastAsia" w:asciiTheme="minorEastAsia" w:hAnsiTheme="minorEastAsia" w:eastAsiaTheme="minorEastAsia" w:cstheme="minorEastAsia"/>
          <w:b/>
          <w:bCs/>
          <w:sz w:val="24"/>
          <w:szCs w:val="24"/>
          <w:highlight w:val="none"/>
        </w:rPr>
        <w:t>Execl</w:t>
      </w:r>
      <w:r>
        <w:rPr>
          <w:rFonts w:hint="eastAsia" w:asciiTheme="minorEastAsia" w:hAnsiTheme="minorEastAsia" w:eastAsiaTheme="minorEastAsia" w:cstheme="minorEastAsia"/>
          <w:b/>
          <w:bCs/>
          <w:spacing w:val="12"/>
          <w:sz w:val="24"/>
          <w:szCs w:val="24"/>
          <w:highlight w:val="none"/>
        </w:rPr>
        <w:t>形式的原始表格(比如在</w:t>
      </w:r>
      <w:r>
        <w:rPr>
          <w:rFonts w:hint="eastAsia" w:asciiTheme="minorEastAsia" w:hAnsiTheme="minorEastAsia" w:eastAsiaTheme="minorEastAsia" w:cstheme="minorEastAsia"/>
          <w:b/>
          <w:bCs/>
          <w:sz w:val="24"/>
          <w:szCs w:val="24"/>
          <w:highlight w:val="none"/>
        </w:rPr>
        <w:t>word</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b/>
          <w:bCs/>
          <w:spacing w:val="12"/>
          <w:sz w:val="24"/>
          <w:szCs w:val="24"/>
          <w:highlight w:val="none"/>
        </w:rPr>
        <w:t>中创建表格，再通过政采云平台转为</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b/>
          <w:bCs/>
          <w:sz w:val="24"/>
          <w:szCs w:val="24"/>
          <w:highlight w:val="none"/>
        </w:rPr>
        <w:t>PDF</w:t>
      </w: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b/>
          <w:bCs/>
          <w:spacing w:val="12"/>
          <w:sz w:val="24"/>
          <w:szCs w:val="24"/>
          <w:highlight w:val="none"/>
        </w:rPr>
        <w:t>的投标文件)，而</w:t>
      </w:r>
      <w:r>
        <w:rPr>
          <w:rFonts w:hint="eastAsia" w:asciiTheme="minorEastAsia" w:hAnsiTheme="minorEastAsia" w:eastAsiaTheme="minorEastAsia" w:cstheme="minorEastAsia"/>
          <w:b/>
          <w:bCs/>
          <w:spacing w:val="7"/>
          <w:sz w:val="24"/>
          <w:szCs w:val="24"/>
          <w:highlight w:val="none"/>
        </w:rPr>
        <w:t>不能是拍照或者扫描图片。</w:t>
      </w:r>
    </w:p>
    <w:p w14:paraId="167586EC">
      <w:pPr>
        <w:spacing w:line="360" w:lineRule="auto"/>
        <w:rPr>
          <w:rFonts w:ascii="宋体"/>
          <w:b/>
          <w:color w:val="auto"/>
          <w:sz w:val="30"/>
          <w:szCs w:val="30"/>
          <w:highlight w:val="none"/>
        </w:rPr>
      </w:pPr>
      <w:r>
        <w:rPr>
          <w:rFonts w:hint="eastAsia" w:ascii="宋体"/>
          <w:b/>
          <w:color w:val="auto"/>
          <w:sz w:val="30"/>
          <w:szCs w:val="30"/>
          <w:highlight w:val="none"/>
        </w:rPr>
        <w:br w:type="page"/>
      </w:r>
      <w:r>
        <w:rPr>
          <w:rFonts w:hint="eastAsia" w:ascii="宋体"/>
          <w:bCs/>
          <w:color w:val="auto"/>
          <w:sz w:val="30"/>
          <w:szCs w:val="30"/>
          <w:highlight w:val="none"/>
        </w:rPr>
        <w:t xml:space="preserve">5 </w:t>
      </w:r>
      <w:r>
        <w:rPr>
          <w:bCs/>
          <w:color w:val="auto"/>
          <w:sz w:val="30"/>
          <w:szCs w:val="30"/>
          <w:highlight w:val="none"/>
        </w:rPr>
        <w:t>合同条款偏离表（实质性格式）</w:t>
      </w:r>
      <w:r>
        <w:rPr>
          <w:rFonts w:hint="eastAsia" w:ascii="宋体"/>
          <w:b/>
          <w:color w:val="auto"/>
          <w:sz w:val="30"/>
          <w:szCs w:val="30"/>
          <w:highlight w:val="none"/>
        </w:rPr>
        <w:t xml:space="preserve"> </w:t>
      </w:r>
    </w:p>
    <w:p w14:paraId="6A31EDC5">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14:paraId="1C827F63">
      <w:pPr>
        <w:tabs>
          <w:tab w:val="left" w:pos="1800"/>
          <w:tab w:val="left" w:pos="5580"/>
        </w:tabs>
        <w:spacing w:line="360" w:lineRule="auto"/>
        <w:ind w:firstLine="360" w:firstLineChars="150"/>
        <w:jc w:val="left"/>
        <w:rPr>
          <w:rFonts w:hint="eastAsia" w:ascii="宋体"/>
          <w:b/>
          <w:color w:val="auto"/>
          <w:sz w:val="30"/>
          <w:szCs w:val="30"/>
          <w:highlight w:val="none"/>
        </w:rPr>
      </w:pPr>
      <w:r>
        <w:rPr>
          <w:color w:val="auto"/>
          <w:sz w:val="24"/>
          <w:highlight w:val="none"/>
        </w:rPr>
        <w:t>项目名称：_____________________     项目编号/包号：_____________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86"/>
        <w:gridCol w:w="1970"/>
        <w:gridCol w:w="1971"/>
        <w:gridCol w:w="2410"/>
        <w:gridCol w:w="780"/>
      </w:tblGrid>
      <w:tr w14:paraId="3294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46244BB8">
            <w:pPr>
              <w:adjustRightInd w:val="0"/>
              <w:snapToGrid w:val="0"/>
              <w:jc w:val="left"/>
              <w:rPr>
                <w:rFonts w:eastAsia="宋体" w:cs="Times New Roman"/>
                <w:b/>
                <w:color w:val="auto"/>
                <w:sz w:val="24"/>
                <w:highlight w:val="none"/>
              </w:rPr>
            </w:pPr>
            <w:r>
              <w:rPr>
                <w:rFonts w:eastAsia="宋体" w:cs="Times New Roman"/>
                <w:b/>
                <w:color w:val="auto"/>
                <w:sz w:val="24"/>
                <w:highlight w:val="none"/>
              </w:rPr>
              <w:t>对本</w:t>
            </w:r>
            <w:r>
              <w:rPr>
                <w:rFonts w:hint="eastAsia" w:eastAsia="宋体" w:cs="Times New Roman"/>
                <w:b/>
                <w:color w:val="auto"/>
                <w:sz w:val="24"/>
                <w:highlight w:val="none"/>
              </w:rPr>
              <w:t>项目</w:t>
            </w:r>
            <w:r>
              <w:rPr>
                <w:rFonts w:eastAsia="宋体" w:cs="Times New Roman"/>
                <w:b/>
                <w:color w:val="auto"/>
                <w:sz w:val="24"/>
                <w:highlight w:val="none"/>
              </w:rPr>
              <w:t>合同条款的偏离情况（请进行勾选）：</w:t>
            </w:r>
          </w:p>
          <w:p w14:paraId="51197DD4">
            <w:pPr>
              <w:adjustRightInd w:val="0"/>
              <w:snapToGrid w:val="0"/>
              <w:jc w:val="left"/>
              <w:rPr>
                <w:rFonts w:eastAsia="宋体" w:cs="Times New Roman"/>
                <w:b/>
                <w:color w:val="auto"/>
                <w:sz w:val="24"/>
                <w:highlight w:val="none"/>
              </w:rPr>
            </w:pPr>
            <w:r>
              <w:rPr>
                <w:rFonts w:eastAsia="宋体" w:cs="Times New Roman"/>
                <w:b/>
                <w:color w:val="auto"/>
                <w:sz w:val="24"/>
                <w:highlight w:val="none"/>
              </w:rPr>
              <w:t>□无偏离</w:t>
            </w:r>
            <w:r>
              <w:rPr>
                <w:rFonts w:eastAsia="宋体" w:cs="Times New Roman"/>
                <w:color w:val="auto"/>
                <w:sz w:val="24"/>
                <w:highlight w:val="none"/>
              </w:rPr>
              <w:t>（</w:t>
            </w:r>
            <w:r>
              <w:rPr>
                <w:rFonts w:eastAsia="宋体" w:cs="Times New Roman"/>
                <w:color w:val="auto"/>
                <w:sz w:val="24"/>
                <w:szCs w:val="21"/>
                <w:highlight w:val="none"/>
              </w:rPr>
              <w:t>如无偏离，仅勾选无偏离即可</w:t>
            </w:r>
            <w:r>
              <w:rPr>
                <w:rFonts w:eastAsia="宋体" w:cs="Times New Roman"/>
                <w:color w:val="auto"/>
                <w:sz w:val="24"/>
                <w:highlight w:val="none"/>
              </w:rPr>
              <w:t>）</w:t>
            </w:r>
          </w:p>
          <w:p w14:paraId="0D286B26">
            <w:pPr>
              <w:adjustRightInd w:val="0"/>
              <w:snapToGrid w:val="0"/>
              <w:jc w:val="left"/>
              <w:rPr>
                <w:rFonts w:eastAsia="宋体" w:cs="Times New Roman"/>
                <w:color w:val="auto"/>
                <w:sz w:val="24"/>
                <w:highlight w:val="none"/>
              </w:rPr>
            </w:pPr>
            <w:r>
              <w:rPr>
                <w:rFonts w:eastAsia="宋体" w:cs="Times New Roman"/>
                <w:b/>
                <w:color w:val="auto"/>
                <w:sz w:val="24"/>
                <w:highlight w:val="none"/>
              </w:rPr>
              <w:t>□有偏离</w:t>
            </w:r>
            <w:r>
              <w:rPr>
                <w:rFonts w:eastAsia="宋体" w:cs="Times New Roman"/>
                <w:color w:val="auto"/>
                <w:sz w:val="24"/>
                <w:highlight w:val="none"/>
              </w:rPr>
              <w:t>（</w:t>
            </w:r>
            <w:r>
              <w:rPr>
                <w:rFonts w:eastAsia="宋体" w:cs="Times New Roman"/>
                <w:color w:val="auto"/>
                <w:sz w:val="24"/>
                <w:szCs w:val="21"/>
                <w:highlight w:val="none"/>
              </w:rPr>
              <w:t>如有偏离，</w:t>
            </w:r>
            <w:r>
              <w:rPr>
                <w:rFonts w:eastAsia="宋体" w:cs="Times New Roman"/>
                <w:color w:val="auto"/>
                <w:sz w:val="24"/>
                <w:highlight w:val="none"/>
              </w:rPr>
              <w:t>则</w:t>
            </w:r>
            <w:r>
              <w:rPr>
                <w:rFonts w:hint="eastAsia" w:eastAsia="宋体" w:cs="Times New Roman"/>
                <w:color w:val="auto"/>
                <w:sz w:val="24"/>
                <w:highlight w:val="none"/>
              </w:rPr>
              <w:t>应</w:t>
            </w:r>
            <w:r>
              <w:rPr>
                <w:rFonts w:eastAsia="宋体" w:cs="Times New Roman"/>
                <w:color w:val="auto"/>
                <w:sz w:val="24"/>
                <w:highlight w:val="none"/>
              </w:rPr>
              <w:t>在本表中对偏离项逐一列明）</w:t>
            </w:r>
          </w:p>
        </w:tc>
      </w:tr>
      <w:tr w14:paraId="07B0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732B9833">
            <w:pPr>
              <w:adjustRightInd w:val="0"/>
              <w:snapToGrid w:val="0"/>
              <w:jc w:val="center"/>
              <w:rPr>
                <w:rFonts w:eastAsia="宋体" w:cs="Times New Roman"/>
                <w:color w:val="auto"/>
                <w:sz w:val="24"/>
                <w:highlight w:val="none"/>
              </w:rPr>
            </w:pPr>
            <w:r>
              <w:rPr>
                <w:rFonts w:eastAsia="宋体" w:cs="Times New Roman"/>
                <w:color w:val="auto"/>
                <w:sz w:val="24"/>
                <w:highlight w:val="none"/>
              </w:rPr>
              <w:t>序号</w:t>
            </w:r>
          </w:p>
        </w:tc>
        <w:tc>
          <w:tcPr>
            <w:tcW w:w="1301" w:type="dxa"/>
            <w:noWrap w:val="0"/>
            <w:vAlign w:val="center"/>
          </w:tcPr>
          <w:p w14:paraId="7FA283C7">
            <w:pPr>
              <w:adjustRightInd w:val="0"/>
              <w:snapToGrid w:val="0"/>
              <w:jc w:val="center"/>
              <w:rPr>
                <w:rFonts w:eastAsia="宋体" w:cs="Times New Roman"/>
                <w:color w:val="auto"/>
                <w:sz w:val="24"/>
                <w:highlight w:val="none"/>
              </w:rPr>
            </w:pPr>
            <w:r>
              <w:rPr>
                <w:rFonts w:eastAsia="宋体" w:cs="Times New Roman"/>
                <w:color w:val="auto"/>
                <w:sz w:val="24"/>
                <w:szCs w:val="21"/>
                <w:highlight w:val="none"/>
              </w:rPr>
              <w:t>招标文件</w:t>
            </w:r>
            <w:r>
              <w:rPr>
                <w:rFonts w:eastAsia="宋体" w:cs="Times New Roman"/>
                <w:color w:val="auto"/>
                <w:sz w:val="24"/>
                <w:highlight w:val="none"/>
              </w:rPr>
              <w:t>条目号（页码）</w:t>
            </w:r>
          </w:p>
        </w:tc>
        <w:tc>
          <w:tcPr>
            <w:tcW w:w="2007" w:type="dxa"/>
            <w:noWrap w:val="0"/>
            <w:vAlign w:val="center"/>
          </w:tcPr>
          <w:p w14:paraId="46ECF911">
            <w:pPr>
              <w:adjustRightInd w:val="0"/>
              <w:snapToGrid w:val="0"/>
              <w:jc w:val="center"/>
              <w:rPr>
                <w:rFonts w:eastAsia="宋体" w:cs="Times New Roman"/>
                <w:color w:val="auto"/>
                <w:sz w:val="24"/>
                <w:highlight w:val="none"/>
              </w:rPr>
            </w:pPr>
            <w:r>
              <w:rPr>
                <w:rFonts w:eastAsia="宋体" w:cs="Times New Roman"/>
                <w:color w:val="auto"/>
                <w:sz w:val="24"/>
                <w:szCs w:val="21"/>
                <w:highlight w:val="none"/>
              </w:rPr>
              <w:t>招标文件</w:t>
            </w:r>
            <w:r>
              <w:rPr>
                <w:rFonts w:eastAsia="宋体" w:cs="Times New Roman"/>
                <w:color w:val="auto"/>
                <w:sz w:val="24"/>
                <w:highlight w:val="none"/>
              </w:rPr>
              <w:t>要求</w:t>
            </w:r>
          </w:p>
        </w:tc>
        <w:tc>
          <w:tcPr>
            <w:tcW w:w="2008" w:type="dxa"/>
            <w:noWrap w:val="0"/>
            <w:vAlign w:val="center"/>
          </w:tcPr>
          <w:p w14:paraId="3C114014">
            <w:pPr>
              <w:adjustRightInd w:val="0"/>
              <w:snapToGrid w:val="0"/>
              <w:jc w:val="center"/>
              <w:rPr>
                <w:rFonts w:eastAsia="宋体" w:cs="Times New Roman"/>
                <w:color w:val="auto"/>
                <w:sz w:val="24"/>
                <w:highlight w:val="none"/>
              </w:rPr>
            </w:pPr>
            <w:r>
              <w:rPr>
                <w:rFonts w:eastAsia="宋体" w:cs="Times New Roman"/>
                <w:color w:val="auto"/>
                <w:sz w:val="24"/>
                <w:highlight w:val="none"/>
              </w:rPr>
              <w:t>投标文件内容</w:t>
            </w:r>
          </w:p>
        </w:tc>
        <w:tc>
          <w:tcPr>
            <w:tcW w:w="2458" w:type="dxa"/>
            <w:noWrap w:val="0"/>
            <w:vAlign w:val="center"/>
          </w:tcPr>
          <w:p w14:paraId="7500E4D8">
            <w:pPr>
              <w:adjustRightInd w:val="0"/>
              <w:snapToGrid w:val="0"/>
              <w:jc w:val="center"/>
              <w:rPr>
                <w:rFonts w:eastAsia="宋体" w:cs="Times New Roman"/>
                <w:color w:val="auto"/>
                <w:sz w:val="24"/>
                <w:highlight w:val="none"/>
              </w:rPr>
            </w:pPr>
            <w:r>
              <w:rPr>
                <w:rFonts w:eastAsia="宋体" w:cs="Times New Roman"/>
                <w:color w:val="auto"/>
                <w:sz w:val="24"/>
                <w:highlight w:val="none"/>
              </w:rPr>
              <w:t>偏离情况</w:t>
            </w:r>
          </w:p>
        </w:tc>
        <w:tc>
          <w:tcPr>
            <w:tcW w:w="788" w:type="dxa"/>
            <w:noWrap w:val="0"/>
            <w:vAlign w:val="center"/>
          </w:tcPr>
          <w:p w14:paraId="0C48FF57">
            <w:pPr>
              <w:adjustRightInd w:val="0"/>
              <w:snapToGrid w:val="0"/>
              <w:jc w:val="center"/>
              <w:rPr>
                <w:rFonts w:eastAsia="宋体" w:cs="Times New Roman"/>
                <w:color w:val="auto"/>
                <w:sz w:val="24"/>
                <w:highlight w:val="none"/>
              </w:rPr>
            </w:pPr>
            <w:r>
              <w:rPr>
                <w:rFonts w:eastAsia="宋体" w:cs="Times New Roman"/>
                <w:color w:val="auto"/>
                <w:sz w:val="24"/>
                <w:highlight w:val="none"/>
              </w:rPr>
              <w:t>说明</w:t>
            </w:r>
          </w:p>
        </w:tc>
      </w:tr>
      <w:tr w14:paraId="4213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59C6A7B1">
            <w:pPr>
              <w:adjustRightInd w:val="0"/>
              <w:snapToGrid w:val="0"/>
              <w:jc w:val="center"/>
              <w:rPr>
                <w:rFonts w:eastAsia="宋体" w:cs="Times New Roman"/>
                <w:color w:val="auto"/>
                <w:sz w:val="24"/>
                <w:highlight w:val="none"/>
              </w:rPr>
            </w:pPr>
          </w:p>
        </w:tc>
        <w:tc>
          <w:tcPr>
            <w:tcW w:w="1301" w:type="dxa"/>
            <w:noWrap w:val="0"/>
            <w:vAlign w:val="center"/>
          </w:tcPr>
          <w:p w14:paraId="2F7E0F48">
            <w:pPr>
              <w:adjustRightInd w:val="0"/>
              <w:snapToGrid w:val="0"/>
              <w:jc w:val="center"/>
              <w:rPr>
                <w:rFonts w:eastAsia="宋体" w:cs="Times New Roman"/>
                <w:color w:val="auto"/>
                <w:sz w:val="24"/>
                <w:highlight w:val="none"/>
              </w:rPr>
            </w:pPr>
          </w:p>
        </w:tc>
        <w:tc>
          <w:tcPr>
            <w:tcW w:w="2007" w:type="dxa"/>
            <w:noWrap w:val="0"/>
            <w:vAlign w:val="center"/>
          </w:tcPr>
          <w:p w14:paraId="43E3E22D">
            <w:pPr>
              <w:adjustRightInd w:val="0"/>
              <w:snapToGrid w:val="0"/>
              <w:jc w:val="center"/>
              <w:rPr>
                <w:rFonts w:eastAsia="宋体" w:cs="Times New Roman"/>
                <w:color w:val="auto"/>
                <w:sz w:val="24"/>
                <w:highlight w:val="none"/>
              </w:rPr>
            </w:pPr>
          </w:p>
        </w:tc>
        <w:tc>
          <w:tcPr>
            <w:tcW w:w="2008" w:type="dxa"/>
            <w:noWrap w:val="0"/>
            <w:vAlign w:val="center"/>
          </w:tcPr>
          <w:p w14:paraId="4D6DD076">
            <w:pPr>
              <w:adjustRightInd w:val="0"/>
              <w:snapToGrid w:val="0"/>
              <w:jc w:val="center"/>
              <w:rPr>
                <w:rFonts w:eastAsia="宋体" w:cs="Times New Roman"/>
                <w:color w:val="auto"/>
                <w:sz w:val="24"/>
                <w:highlight w:val="none"/>
              </w:rPr>
            </w:pPr>
          </w:p>
        </w:tc>
        <w:tc>
          <w:tcPr>
            <w:tcW w:w="2458" w:type="dxa"/>
            <w:noWrap w:val="0"/>
            <w:vAlign w:val="center"/>
          </w:tcPr>
          <w:p w14:paraId="43F5A3B4">
            <w:pPr>
              <w:adjustRightInd w:val="0"/>
              <w:snapToGrid w:val="0"/>
              <w:jc w:val="center"/>
              <w:rPr>
                <w:rFonts w:eastAsia="宋体" w:cs="Times New Roman"/>
                <w:color w:val="auto"/>
                <w:sz w:val="24"/>
                <w:highlight w:val="none"/>
              </w:rPr>
            </w:pPr>
          </w:p>
        </w:tc>
        <w:tc>
          <w:tcPr>
            <w:tcW w:w="788" w:type="dxa"/>
            <w:noWrap w:val="0"/>
            <w:vAlign w:val="center"/>
          </w:tcPr>
          <w:p w14:paraId="3CF4291B">
            <w:pPr>
              <w:adjustRightInd w:val="0"/>
              <w:snapToGrid w:val="0"/>
              <w:jc w:val="center"/>
              <w:rPr>
                <w:rFonts w:eastAsia="宋体" w:cs="Times New Roman"/>
                <w:color w:val="auto"/>
                <w:sz w:val="24"/>
                <w:highlight w:val="none"/>
              </w:rPr>
            </w:pPr>
          </w:p>
        </w:tc>
      </w:tr>
      <w:tr w14:paraId="05C7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5194376D">
            <w:pPr>
              <w:adjustRightInd w:val="0"/>
              <w:snapToGrid w:val="0"/>
              <w:jc w:val="center"/>
              <w:rPr>
                <w:rFonts w:eastAsia="宋体" w:cs="Times New Roman"/>
                <w:color w:val="auto"/>
                <w:sz w:val="24"/>
                <w:highlight w:val="none"/>
              </w:rPr>
            </w:pPr>
          </w:p>
        </w:tc>
        <w:tc>
          <w:tcPr>
            <w:tcW w:w="1301" w:type="dxa"/>
            <w:noWrap w:val="0"/>
            <w:vAlign w:val="center"/>
          </w:tcPr>
          <w:p w14:paraId="2AD8CF4A">
            <w:pPr>
              <w:adjustRightInd w:val="0"/>
              <w:snapToGrid w:val="0"/>
              <w:jc w:val="center"/>
              <w:rPr>
                <w:rFonts w:eastAsia="宋体" w:cs="Times New Roman"/>
                <w:color w:val="auto"/>
                <w:sz w:val="24"/>
                <w:highlight w:val="none"/>
              </w:rPr>
            </w:pPr>
          </w:p>
        </w:tc>
        <w:tc>
          <w:tcPr>
            <w:tcW w:w="2007" w:type="dxa"/>
            <w:noWrap w:val="0"/>
            <w:vAlign w:val="center"/>
          </w:tcPr>
          <w:p w14:paraId="2D4A0BC2">
            <w:pPr>
              <w:adjustRightInd w:val="0"/>
              <w:snapToGrid w:val="0"/>
              <w:jc w:val="center"/>
              <w:rPr>
                <w:rFonts w:eastAsia="宋体" w:cs="Times New Roman"/>
                <w:color w:val="auto"/>
                <w:sz w:val="24"/>
                <w:highlight w:val="none"/>
              </w:rPr>
            </w:pPr>
          </w:p>
        </w:tc>
        <w:tc>
          <w:tcPr>
            <w:tcW w:w="2008" w:type="dxa"/>
            <w:noWrap w:val="0"/>
            <w:vAlign w:val="center"/>
          </w:tcPr>
          <w:p w14:paraId="399F53A5">
            <w:pPr>
              <w:adjustRightInd w:val="0"/>
              <w:snapToGrid w:val="0"/>
              <w:jc w:val="center"/>
              <w:rPr>
                <w:rFonts w:eastAsia="宋体" w:cs="Times New Roman"/>
                <w:color w:val="auto"/>
                <w:sz w:val="24"/>
                <w:highlight w:val="none"/>
              </w:rPr>
            </w:pPr>
          </w:p>
        </w:tc>
        <w:tc>
          <w:tcPr>
            <w:tcW w:w="2458" w:type="dxa"/>
            <w:noWrap w:val="0"/>
            <w:vAlign w:val="center"/>
          </w:tcPr>
          <w:p w14:paraId="5C41406D">
            <w:pPr>
              <w:adjustRightInd w:val="0"/>
              <w:snapToGrid w:val="0"/>
              <w:jc w:val="center"/>
              <w:rPr>
                <w:rFonts w:eastAsia="宋体" w:cs="Times New Roman"/>
                <w:color w:val="auto"/>
                <w:sz w:val="24"/>
                <w:highlight w:val="none"/>
              </w:rPr>
            </w:pPr>
          </w:p>
        </w:tc>
        <w:tc>
          <w:tcPr>
            <w:tcW w:w="788" w:type="dxa"/>
            <w:noWrap w:val="0"/>
            <w:vAlign w:val="center"/>
          </w:tcPr>
          <w:p w14:paraId="2A150ED0">
            <w:pPr>
              <w:adjustRightInd w:val="0"/>
              <w:snapToGrid w:val="0"/>
              <w:jc w:val="center"/>
              <w:rPr>
                <w:rFonts w:eastAsia="宋体" w:cs="Times New Roman"/>
                <w:color w:val="auto"/>
                <w:sz w:val="24"/>
                <w:highlight w:val="none"/>
              </w:rPr>
            </w:pPr>
          </w:p>
        </w:tc>
      </w:tr>
      <w:tr w14:paraId="729D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6CE35A92">
            <w:pPr>
              <w:adjustRightInd w:val="0"/>
              <w:snapToGrid w:val="0"/>
              <w:jc w:val="center"/>
              <w:rPr>
                <w:rFonts w:eastAsia="宋体" w:cs="Times New Roman"/>
                <w:color w:val="auto"/>
                <w:sz w:val="24"/>
                <w:highlight w:val="none"/>
              </w:rPr>
            </w:pPr>
          </w:p>
        </w:tc>
        <w:tc>
          <w:tcPr>
            <w:tcW w:w="1301" w:type="dxa"/>
            <w:noWrap w:val="0"/>
            <w:vAlign w:val="center"/>
          </w:tcPr>
          <w:p w14:paraId="0EA45263">
            <w:pPr>
              <w:adjustRightInd w:val="0"/>
              <w:snapToGrid w:val="0"/>
              <w:jc w:val="center"/>
              <w:rPr>
                <w:rFonts w:eastAsia="宋体" w:cs="Times New Roman"/>
                <w:color w:val="auto"/>
                <w:sz w:val="24"/>
                <w:highlight w:val="none"/>
              </w:rPr>
            </w:pPr>
          </w:p>
        </w:tc>
        <w:tc>
          <w:tcPr>
            <w:tcW w:w="2007" w:type="dxa"/>
            <w:noWrap w:val="0"/>
            <w:vAlign w:val="center"/>
          </w:tcPr>
          <w:p w14:paraId="2930B1ED">
            <w:pPr>
              <w:adjustRightInd w:val="0"/>
              <w:snapToGrid w:val="0"/>
              <w:jc w:val="center"/>
              <w:rPr>
                <w:rFonts w:eastAsia="宋体" w:cs="Times New Roman"/>
                <w:color w:val="auto"/>
                <w:sz w:val="24"/>
                <w:highlight w:val="none"/>
              </w:rPr>
            </w:pPr>
          </w:p>
        </w:tc>
        <w:tc>
          <w:tcPr>
            <w:tcW w:w="2008" w:type="dxa"/>
            <w:noWrap w:val="0"/>
            <w:vAlign w:val="center"/>
          </w:tcPr>
          <w:p w14:paraId="604BFB94">
            <w:pPr>
              <w:adjustRightInd w:val="0"/>
              <w:snapToGrid w:val="0"/>
              <w:jc w:val="center"/>
              <w:rPr>
                <w:rFonts w:eastAsia="宋体" w:cs="Times New Roman"/>
                <w:color w:val="auto"/>
                <w:sz w:val="24"/>
                <w:highlight w:val="none"/>
              </w:rPr>
            </w:pPr>
          </w:p>
        </w:tc>
        <w:tc>
          <w:tcPr>
            <w:tcW w:w="2458" w:type="dxa"/>
            <w:noWrap w:val="0"/>
            <w:vAlign w:val="center"/>
          </w:tcPr>
          <w:p w14:paraId="4EB4FD3A">
            <w:pPr>
              <w:adjustRightInd w:val="0"/>
              <w:snapToGrid w:val="0"/>
              <w:jc w:val="center"/>
              <w:rPr>
                <w:rFonts w:eastAsia="宋体" w:cs="Times New Roman"/>
                <w:color w:val="auto"/>
                <w:sz w:val="24"/>
                <w:highlight w:val="none"/>
              </w:rPr>
            </w:pPr>
          </w:p>
        </w:tc>
        <w:tc>
          <w:tcPr>
            <w:tcW w:w="788" w:type="dxa"/>
            <w:noWrap w:val="0"/>
            <w:vAlign w:val="center"/>
          </w:tcPr>
          <w:p w14:paraId="47C6E877">
            <w:pPr>
              <w:adjustRightInd w:val="0"/>
              <w:snapToGrid w:val="0"/>
              <w:jc w:val="center"/>
              <w:rPr>
                <w:rFonts w:eastAsia="宋体" w:cs="Times New Roman"/>
                <w:color w:val="auto"/>
                <w:sz w:val="24"/>
                <w:highlight w:val="none"/>
              </w:rPr>
            </w:pPr>
          </w:p>
        </w:tc>
      </w:tr>
      <w:tr w14:paraId="4E83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F9FAD38">
            <w:pPr>
              <w:adjustRightInd w:val="0"/>
              <w:snapToGrid w:val="0"/>
              <w:jc w:val="center"/>
              <w:rPr>
                <w:rFonts w:eastAsia="宋体" w:cs="Times New Roman"/>
                <w:color w:val="auto"/>
                <w:sz w:val="24"/>
                <w:highlight w:val="none"/>
              </w:rPr>
            </w:pPr>
          </w:p>
        </w:tc>
        <w:tc>
          <w:tcPr>
            <w:tcW w:w="1301" w:type="dxa"/>
            <w:noWrap w:val="0"/>
            <w:vAlign w:val="center"/>
          </w:tcPr>
          <w:p w14:paraId="37FC8991">
            <w:pPr>
              <w:adjustRightInd w:val="0"/>
              <w:snapToGrid w:val="0"/>
              <w:jc w:val="center"/>
              <w:rPr>
                <w:rFonts w:eastAsia="宋体" w:cs="Times New Roman"/>
                <w:color w:val="auto"/>
                <w:sz w:val="24"/>
                <w:highlight w:val="none"/>
              </w:rPr>
            </w:pPr>
          </w:p>
        </w:tc>
        <w:tc>
          <w:tcPr>
            <w:tcW w:w="2007" w:type="dxa"/>
            <w:noWrap w:val="0"/>
            <w:vAlign w:val="center"/>
          </w:tcPr>
          <w:p w14:paraId="1D4F0F95">
            <w:pPr>
              <w:adjustRightInd w:val="0"/>
              <w:snapToGrid w:val="0"/>
              <w:jc w:val="center"/>
              <w:rPr>
                <w:rFonts w:eastAsia="宋体" w:cs="Times New Roman"/>
                <w:color w:val="auto"/>
                <w:sz w:val="24"/>
                <w:highlight w:val="none"/>
              </w:rPr>
            </w:pPr>
          </w:p>
        </w:tc>
        <w:tc>
          <w:tcPr>
            <w:tcW w:w="2008" w:type="dxa"/>
            <w:noWrap w:val="0"/>
            <w:vAlign w:val="center"/>
          </w:tcPr>
          <w:p w14:paraId="0D4ADC62">
            <w:pPr>
              <w:adjustRightInd w:val="0"/>
              <w:snapToGrid w:val="0"/>
              <w:jc w:val="center"/>
              <w:rPr>
                <w:rFonts w:eastAsia="宋体" w:cs="Times New Roman"/>
                <w:color w:val="auto"/>
                <w:sz w:val="24"/>
                <w:highlight w:val="none"/>
              </w:rPr>
            </w:pPr>
          </w:p>
        </w:tc>
        <w:tc>
          <w:tcPr>
            <w:tcW w:w="2458" w:type="dxa"/>
            <w:noWrap w:val="0"/>
            <w:vAlign w:val="center"/>
          </w:tcPr>
          <w:p w14:paraId="24908FE5">
            <w:pPr>
              <w:adjustRightInd w:val="0"/>
              <w:snapToGrid w:val="0"/>
              <w:jc w:val="center"/>
              <w:rPr>
                <w:rFonts w:eastAsia="宋体" w:cs="Times New Roman"/>
                <w:color w:val="auto"/>
                <w:sz w:val="24"/>
                <w:highlight w:val="none"/>
              </w:rPr>
            </w:pPr>
          </w:p>
        </w:tc>
        <w:tc>
          <w:tcPr>
            <w:tcW w:w="788" w:type="dxa"/>
            <w:noWrap w:val="0"/>
            <w:vAlign w:val="center"/>
          </w:tcPr>
          <w:p w14:paraId="5785A5B6">
            <w:pPr>
              <w:adjustRightInd w:val="0"/>
              <w:snapToGrid w:val="0"/>
              <w:jc w:val="center"/>
              <w:rPr>
                <w:rFonts w:eastAsia="宋体" w:cs="Times New Roman"/>
                <w:color w:val="auto"/>
                <w:sz w:val="24"/>
                <w:highlight w:val="none"/>
              </w:rPr>
            </w:pPr>
          </w:p>
        </w:tc>
      </w:tr>
    </w:tbl>
    <w:p w14:paraId="52659DE3">
      <w:pPr>
        <w:tabs>
          <w:tab w:val="left" w:pos="1800"/>
          <w:tab w:val="left" w:pos="5580"/>
        </w:tabs>
        <w:jc w:val="left"/>
        <w:rPr>
          <w:color w:val="auto"/>
          <w:sz w:val="24"/>
          <w:highlight w:val="none"/>
        </w:rPr>
      </w:pPr>
      <w:r>
        <w:rPr>
          <w:color w:val="auto"/>
          <w:sz w:val="24"/>
          <w:highlight w:val="none"/>
        </w:rPr>
        <w:t>注：</w:t>
      </w:r>
    </w:p>
    <w:p w14:paraId="1D1755A0">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对合同条款中的所有要求，除本表所列明的所有偏离外，均视作供应商已对之理解和</w:t>
      </w:r>
      <w:r>
        <w:rPr>
          <w:rFonts w:hint="eastAsia"/>
          <w:color w:val="auto"/>
          <w:sz w:val="24"/>
          <w:highlight w:val="none"/>
        </w:rPr>
        <w:t>响应</w:t>
      </w:r>
      <w:r>
        <w:rPr>
          <w:color w:val="auto"/>
          <w:sz w:val="24"/>
          <w:highlight w:val="none"/>
        </w:rPr>
        <w:t>。</w:t>
      </w:r>
    </w:p>
    <w:p w14:paraId="1BD38A1D">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w:t>
      </w:r>
    </w:p>
    <w:p w14:paraId="18C465E0">
      <w:pPr>
        <w:spacing w:line="360" w:lineRule="auto"/>
        <w:rPr>
          <w:color w:val="auto"/>
          <w:sz w:val="24"/>
          <w:szCs w:val="20"/>
          <w:highlight w:val="none"/>
        </w:rPr>
      </w:pPr>
    </w:p>
    <w:p w14:paraId="13AA22B3">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4DF76126">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rFonts w:hint="eastAsia"/>
          <w:color w:val="auto"/>
          <w:sz w:val="24"/>
          <w:highlight w:val="none"/>
        </w:rPr>
        <w:t>：</w:t>
      </w:r>
      <w:r>
        <w:rPr>
          <w:color w:val="auto"/>
          <w:sz w:val="24"/>
          <w:highlight w:val="none"/>
          <w:lang w:val="zh-CN"/>
        </w:rPr>
        <w:t>_____</w:t>
      </w:r>
      <w:r>
        <w:rPr>
          <w:rFonts w:hint="eastAsia"/>
          <w:color w:val="auto"/>
          <w:sz w:val="24"/>
          <w:highlight w:val="none"/>
          <w:u w:val="single"/>
        </w:rPr>
        <w:t xml:space="preserve">          </w:t>
      </w:r>
      <w:r>
        <w:rPr>
          <w:color w:val="auto"/>
          <w:sz w:val="24"/>
          <w:highlight w:val="none"/>
          <w:lang w:val="zh-CN"/>
        </w:rPr>
        <w:t>_____</w:t>
      </w:r>
    </w:p>
    <w:p w14:paraId="428213DF">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3BCEE103">
      <w:pPr>
        <w:spacing w:line="360" w:lineRule="auto"/>
        <w:rPr>
          <w:rFonts w:hint="eastAsia" w:ascii="宋体"/>
          <w:b/>
          <w:color w:val="auto"/>
          <w:sz w:val="30"/>
          <w:szCs w:val="30"/>
          <w:highlight w:val="none"/>
        </w:rPr>
      </w:pPr>
    </w:p>
    <w:p w14:paraId="288350FB">
      <w:pPr>
        <w:spacing w:line="360" w:lineRule="auto"/>
        <w:rPr>
          <w:rFonts w:hint="eastAsia" w:ascii="宋体"/>
          <w:b/>
          <w:color w:val="auto"/>
          <w:sz w:val="30"/>
          <w:szCs w:val="30"/>
          <w:highlight w:val="none"/>
        </w:rPr>
      </w:pPr>
    </w:p>
    <w:p w14:paraId="4F4DA278">
      <w:pPr>
        <w:spacing w:line="360" w:lineRule="auto"/>
        <w:rPr>
          <w:rFonts w:hint="eastAsia" w:ascii="宋体"/>
          <w:b/>
          <w:color w:val="auto"/>
          <w:sz w:val="30"/>
          <w:szCs w:val="30"/>
          <w:highlight w:val="none"/>
        </w:rPr>
      </w:pPr>
    </w:p>
    <w:p w14:paraId="035D3C18">
      <w:pPr>
        <w:spacing w:line="360" w:lineRule="auto"/>
        <w:rPr>
          <w:rFonts w:hint="eastAsia" w:ascii="宋体"/>
          <w:b/>
          <w:color w:val="auto"/>
          <w:sz w:val="30"/>
          <w:szCs w:val="30"/>
          <w:highlight w:val="none"/>
        </w:rPr>
      </w:pPr>
    </w:p>
    <w:p w14:paraId="64BD3B54">
      <w:pPr>
        <w:spacing w:line="360" w:lineRule="auto"/>
        <w:rPr>
          <w:rFonts w:hint="eastAsia" w:ascii="宋体"/>
          <w:b/>
          <w:color w:val="auto"/>
          <w:sz w:val="30"/>
          <w:szCs w:val="30"/>
          <w:highlight w:val="none"/>
        </w:rPr>
      </w:pPr>
    </w:p>
    <w:p w14:paraId="136CA272">
      <w:pPr>
        <w:spacing w:line="360" w:lineRule="auto"/>
        <w:rPr>
          <w:rFonts w:hint="eastAsia" w:ascii="宋体"/>
          <w:b/>
          <w:color w:val="auto"/>
          <w:sz w:val="30"/>
          <w:szCs w:val="30"/>
          <w:highlight w:val="none"/>
        </w:rPr>
      </w:pPr>
    </w:p>
    <w:p w14:paraId="7384AE9C">
      <w:pPr>
        <w:spacing w:line="360" w:lineRule="auto"/>
        <w:rPr>
          <w:rFonts w:hint="eastAsia" w:ascii="宋体" w:hAnsi="宋体" w:cs="宋体"/>
          <w:color w:val="auto"/>
          <w:sz w:val="30"/>
          <w:szCs w:val="30"/>
          <w:highlight w:val="none"/>
        </w:rPr>
      </w:pPr>
      <w:r>
        <w:rPr>
          <w:rFonts w:hint="eastAsia" w:ascii="宋体" w:hAnsi="宋体" w:cs="宋体"/>
          <w:bCs/>
          <w:color w:val="auto"/>
          <w:sz w:val="30"/>
          <w:szCs w:val="30"/>
          <w:highlight w:val="none"/>
        </w:rPr>
        <w:t>6</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采购需求偏离表（实质性格式）</w:t>
      </w:r>
    </w:p>
    <w:p w14:paraId="11897C43">
      <w:pPr>
        <w:pStyle w:val="86"/>
        <w:ind w:firstLine="210"/>
        <w:rPr>
          <w:rFonts w:hint="eastAsia"/>
          <w:color w:val="auto"/>
          <w:highlight w:val="none"/>
        </w:rPr>
      </w:pPr>
    </w:p>
    <w:p w14:paraId="120EF92C">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14:paraId="053FA752">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项目编号/包号：_____________________     项目名称：____________</w:t>
      </w:r>
    </w:p>
    <w:tbl>
      <w:tblPr>
        <w:tblStyle w:val="8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2DC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68C941F">
            <w:pPr>
              <w:adjustRightInd w:val="0"/>
              <w:snapToGrid w:val="0"/>
              <w:jc w:val="center"/>
              <w:rPr>
                <w:rFonts w:eastAsia="宋体" w:cs="Times New Roman"/>
                <w:color w:val="auto"/>
                <w:sz w:val="24"/>
                <w:highlight w:val="none"/>
              </w:rPr>
            </w:pPr>
            <w:r>
              <w:rPr>
                <w:rFonts w:eastAsia="宋体" w:cs="Times New Roman"/>
                <w:color w:val="auto"/>
                <w:sz w:val="24"/>
                <w:highlight w:val="none"/>
              </w:rPr>
              <w:t>序号</w:t>
            </w:r>
          </w:p>
        </w:tc>
        <w:tc>
          <w:tcPr>
            <w:tcW w:w="1482" w:type="dxa"/>
            <w:noWrap w:val="0"/>
            <w:vAlign w:val="center"/>
          </w:tcPr>
          <w:p w14:paraId="0CC24B4F">
            <w:pPr>
              <w:adjustRightInd w:val="0"/>
              <w:snapToGrid w:val="0"/>
              <w:jc w:val="center"/>
              <w:rPr>
                <w:rFonts w:eastAsia="宋体" w:cs="Times New Roman"/>
                <w:color w:val="auto"/>
                <w:sz w:val="24"/>
                <w:highlight w:val="none"/>
              </w:rPr>
            </w:pPr>
            <w:r>
              <w:rPr>
                <w:rFonts w:eastAsia="宋体" w:cs="Times New Roman"/>
                <w:color w:val="auto"/>
                <w:sz w:val="24"/>
                <w:highlight w:val="none"/>
              </w:rPr>
              <w:t>招标文件条目号(页码)</w:t>
            </w:r>
          </w:p>
        </w:tc>
        <w:tc>
          <w:tcPr>
            <w:tcW w:w="2384" w:type="dxa"/>
            <w:noWrap w:val="0"/>
            <w:vAlign w:val="center"/>
          </w:tcPr>
          <w:p w14:paraId="5FF94A01">
            <w:pPr>
              <w:adjustRightInd w:val="0"/>
              <w:snapToGrid w:val="0"/>
              <w:jc w:val="center"/>
              <w:rPr>
                <w:rFonts w:eastAsia="宋体" w:cs="Times New Roman"/>
                <w:color w:val="auto"/>
                <w:sz w:val="24"/>
                <w:highlight w:val="none"/>
              </w:rPr>
            </w:pPr>
            <w:r>
              <w:rPr>
                <w:rFonts w:eastAsia="宋体" w:cs="Times New Roman"/>
                <w:color w:val="auto"/>
                <w:sz w:val="24"/>
                <w:highlight w:val="none"/>
              </w:rPr>
              <w:t>招标文件要求</w:t>
            </w:r>
          </w:p>
        </w:tc>
        <w:tc>
          <w:tcPr>
            <w:tcW w:w="2126" w:type="dxa"/>
            <w:noWrap w:val="0"/>
            <w:vAlign w:val="center"/>
          </w:tcPr>
          <w:p w14:paraId="7D0AE58C">
            <w:pPr>
              <w:adjustRightInd w:val="0"/>
              <w:snapToGrid w:val="0"/>
              <w:jc w:val="center"/>
              <w:rPr>
                <w:rFonts w:eastAsia="宋体" w:cs="Times New Roman"/>
                <w:color w:val="auto"/>
                <w:sz w:val="24"/>
                <w:highlight w:val="none"/>
              </w:rPr>
            </w:pPr>
            <w:r>
              <w:rPr>
                <w:rFonts w:eastAsia="宋体" w:cs="Times New Roman"/>
                <w:color w:val="auto"/>
                <w:sz w:val="24"/>
                <w:highlight w:val="none"/>
              </w:rPr>
              <w:t>投标响应内容</w:t>
            </w:r>
          </w:p>
        </w:tc>
        <w:tc>
          <w:tcPr>
            <w:tcW w:w="1875" w:type="dxa"/>
            <w:noWrap w:val="0"/>
            <w:vAlign w:val="center"/>
          </w:tcPr>
          <w:p w14:paraId="0EC02DE5">
            <w:pPr>
              <w:adjustRightInd w:val="0"/>
              <w:snapToGrid w:val="0"/>
              <w:jc w:val="center"/>
              <w:rPr>
                <w:rFonts w:eastAsia="宋体" w:cs="Times New Roman"/>
                <w:color w:val="auto"/>
                <w:sz w:val="24"/>
                <w:highlight w:val="none"/>
              </w:rPr>
            </w:pPr>
            <w:r>
              <w:rPr>
                <w:rFonts w:eastAsia="宋体" w:cs="Times New Roman"/>
                <w:color w:val="auto"/>
                <w:sz w:val="24"/>
                <w:highlight w:val="none"/>
              </w:rPr>
              <w:t>偏离情况</w:t>
            </w:r>
          </w:p>
        </w:tc>
        <w:tc>
          <w:tcPr>
            <w:tcW w:w="1009" w:type="dxa"/>
            <w:noWrap w:val="0"/>
            <w:vAlign w:val="center"/>
          </w:tcPr>
          <w:p w14:paraId="5FC63980">
            <w:pPr>
              <w:adjustRightInd w:val="0"/>
              <w:snapToGrid w:val="0"/>
              <w:jc w:val="center"/>
              <w:rPr>
                <w:rFonts w:eastAsia="宋体" w:cs="Times New Roman"/>
                <w:color w:val="auto"/>
                <w:sz w:val="24"/>
                <w:highlight w:val="none"/>
              </w:rPr>
            </w:pPr>
            <w:r>
              <w:rPr>
                <w:rFonts w:eastAsia="宋体" w:cs="Times New Roman"/>
                <w:color w:val="auto"/>
                <w:sz w:val="24"/>
                <w:highlight w:val="none"/>
              </w:rPr>
              <w:t>说明</w:t>
            </w:r>
          </w:p>
        </w:tc>
      </w:tr>
      <w:tr w14:paraId="6A0D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2F1C4EA">
            <w:pPr>
              <w:adjustRightInd w:val="0"/>
              <w:snapToGrid w:val="0"/>
              <w:jc w:val="center"/>
              <w:rPr>
                <w:rFonts w:eastAsia="宋体" w:cs="Times New Roman"/>
                <w:color w:val="auto"/>
                <w:sz w:val="24"/>
                <w:highlight w:val="none"/>
              </w:rPr>
            </w:pPr>
          </w:p>
        </w:tc>
        <w:tc>
          <w:tcPr>
            <w:tcW w:w="1482" w:type="dxa"/>
            <w:noWrap w:val="0"/>
            <w:vAlign w:val="center"/>
          </w:tcPr>
          <w:p w14:paraId="7ACA78C1">
            <w:pPr>
              <w:adjustRightInd w:val="0"/>
              <w:snapToGrid w:val="0"/>
              <w:jc w:val="center"/>
              <w:rPr>
                <w:rFonts w:eastAsia="宋体" w:cs="Times New Roman"/>
                <w:color w:val="auto"/>
                <w:sz w:val="24"/>
                <w:highlight w:val="none"/>
              </w:rPr>
            </w:pPr>
          </w:p>
        </w:tc>
        <w:tc>
          <w:tcPr>
            <w:tcW w:w="2384" w:type="dxa"/>
            <w:noWrap w:val="0"/>
            <w:vAlign w:val="center"/>
          </w:tcPr>
          <w:p w14:paraId="371E2DE9">
            <w:pPr>
              <w:adjustRightInd w:val="0"/>
              <w:snapToGrid w:val="0"/>
              <w:jc w:val="center"/>
              <w:rPr>
                <w:rFonts w:eastAsia="宋体" w:cs="Times New Roman"/>
                <w:color w:val="auto"/>
                <w:sz w:val="24"/>
                <w:highlight w:val="none"/>
              </w:rPr>
            </w:pPr>
          </w:p>
        </w:tc>
        <w:tc>
          <w:tcPr>
            <w:tcW w:w="2126" w:type="dxa"/>
            <w:noWrap w:val="0"/>
            <w:vAlign w:val="center"/>
          </w:tcPr>
          <w:p w14:paraId="5084DEED">
            <w:pPr>
              <w:adjustRightInd w:val="0"/>
              <w:snapToGrid w:val="0"/>
              <w:jc w:val="center"/>
              <w:rPr>
                <w:rFonts w:eastAsia="宋体" w:cs="Times New Roman"/>
                <w:color w:val="auto"/>
                <w:sz w:val="24"/>
                <w:highlight w:val="none"/>
              </w:rPr>
            </w:pPr>
          </w:p>
        </w:tc>
        <w:tc>
          <w:tcPr>
            <w:tcW w:w="1875" w:type="dxa"/>
            <w:noWrap w:val="0"/>
            <w:vAlign w:val="center"/>
          </w:tcPr>
          <w:p w14:paraId="5F7A25DE">
            <w:pPr>
              <w:adjustRightInd w:val="0"/>
              <w:snapToGrid w:val="0"/>
              <w:jc w:val="center"/>
              <w:rPr>
                <w:rFonts w:eastAsia="宋体" w:cs="Times New Roman"/>
                <w:color w:val="auto"/>
                <w:sz w:val="24"/>
                <w:highlight w:val="none"/>
              </w:rPr>
            </w:pPr>
          </w:p>
        </w:tc>
        <w:tc>
          <w:tcPr>
            <w:tcW w:w="1009" w:type="dxa"/>
            <w:noWrap w:val="0"/>
            <w:vAlign w:val="center"/>
          </w:tcPr>
          <w:p w14:paraId="3ACA17B3">
            <w:pPr>
              <w:adjustRightInd w:val="0"/>
              <w:snapToGrid w:val="0"/>
              <w:jc w:val="center"/>
              <w:rPr>
                <w:rFonts w:eastAsia="宋体" w:cs="Times New Roman"/>
                <w:color w:val="auto"/>
                <w:sz w:val="24"/>
                <w:highlight w:val="none"/>
              </w:rPr>
            </w:pPr>
          </w:p>
        </w:tc>
      </w:tr>
      <w:tr w14:paraId="3FE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8BB284A">
            <w:pPr>
              <w:adjustRightInd w:val="0"/>
              <w:snapToGrid w:val="0"/>
              <w:jc w:val="center"/>
              <w:rPr>
                <w:rFonts w:eastAsia="宋体" w:cs="Times New Roman"/>
                <w:color w:val="auto"/>
                <w:sz w:val="24"/>
                <w:highlight w:val="none"/>
              </w:rPr>
            </w:pPr>
          </w:p>
        </w:tc>
        <w:tc>
          <w:tcPr>
            <w:tcW w:w="1482" w:type="dxa"/>
            <w:noWrap w:val="0"/>
            <w:vAlign w:val="center"/>
          </w:tcPr>
          <w:p w14:paraId="5058EC10">
            <w:pPr>
              <w:adjustRightInd w:val="0"/>
              <w:snapToGrid w:val="0"/>
              <w:jc w:val="center"/>
              <w:rPr>
                <w:rFonts w:eastAsia="宋体" w:cs="Times New Roman"/>
                <w:color w:val="auto"/>
                <w:sz w:val="24"/>
                <w:highlight w:val="none"/>
              </w:rPr>
            </w:pPr>
          </w:p>
        </w:tc>
        <w:tc>
          <w:tcPr>
            <w:tcW w:w="2384" w:type="dxa"/>
            <w:noWrap w:val="0"/>
            <w:vAlign w:val="center"/>
          </w:tcPr>
          <w:p w14:paraId="30568E19">
            <w:pPr>
              <w:adjustRightInd w:val="0"/>
              <w:snapToGrid w:val="0"/>
              <w:jc w:val="center"/>
              <w:rPr>
                <w:rFonts w:eastAsia="宋体" w:cs="Times New Roman"/>
                <w:color w:val="auto"/>
                <w:sz w:val="24"/>
                <w:highlight w:val="none"/>
              </w:rPr>
            </w:pPr>
          </w:p>
        </w:tc>
        <w:tc>
          <w:tcPr>
            <w:tcW w:w="2126" w:type="dxa"/>
            <w:noWrap w:val="0"/>
            <w:vAlign w:val="center"/>
          </w:tcPr>
          <w:p w14:paraId="2D650A01">
            <w:pPr>
              <w:adjustRightInd w:val="0"/>
              <w:snapToGrid w:val="0"/>
              <w:jc w:val="center"/>
              <w:rPr>
                <w:rFonts w:eastAsia="宋体" w:cs="Times New Roman"/>
                <w:color w:val="auto"/>
                <w:sz w:val="24"/>
                <w:highlight w:val="none"/>
              </w:rPr>
            </w:pPr>
          </w:p>
        </w:tc>
        <w:tc>
          <w:tcPr>
            <w:tcW w:w="1875" w:type="dxa"/>
            <w:noWrap w:val="0"/>
            <w:vAlign w:val="center"/>
          </w:tcPr>
          <w:p w14:paraId="2FF6C26A">
            <w:pPr>
              <w:adjustRightInd w:val="0"/>
              <w:snapToGrid w:val="0"/>
              <w:jc w:val="center"/>
              <w:rPr>
                <w:rFonts w:eastAsia="宋体" w:cs="Times New Roman"/>
                <w:color w:val="auto"/>
                <w:sz w:val="24"/>
                <w:highlight w:val="none"/>
              </w:rPr>
            </w:pPr>
          </w:p>
        </w:tc>
        <w:tc>
          <w:tcPr>
            <w:tcW w:w="1009" w:type="dxa"/>
            <w:noWrap w:val="0"/>
            <w:vAlign w:val="center"/>
          </w:tcPr>
          <w:p w14:paraId="78E3015C">
            <w:pPr>
              <w:adjustRightInd w:val="0"/>
              <w:snapToGrid w:val="0"/>
              <w:jc w:val="center"/>
              <w:rPr>
                <w:rFonts w:eastAsia="宋体" w:cs="Times New Roman"/>
                <w:color w:val="auto"/>
                <w:sz w:val="24"/>
                <w:highlight w:val="none"/>
              </w:rPr>
            </w:pPr>
          </w:p>
        </w:tc>
      </w:tr>
      <w:tr w14:paraId="066D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5013C53">
            <w:pPr>
              <w:adjustRightInd w:val="0"/>
              <w:snapToGrid w:val="0"/>
              <w:jc w:val="center"/>
              <w:rPr>
                <w:rFonts w:eastAsia="宋体" w:cs="Times New Roman"/>
                <w:color w:val="auto"/>
                <w:sz w:val="24"/>
                <w:highlight w:val="none"/>
              </w:rPr>
            </w:pPr>
          </w:p>
        </w:tc>
        <w:tc>
          <w:tcPr>
            <w:tcW w:w="1482" w:type="dxa"/>
            <w:noWrap w:val="0"/>
            <w:vAlign w:val="center"/>
          </w:tcPr>
          <w:p w14:paraId="2741A475">
            <w:pPr>
              <w:adjustRightInd w:val="0"/>
              <w:snapToGrid w:val="0"/>
              <w:jc w:val="center"/>
              <w:rPr>
                <w:rFonts w:eastAsia="宋体" w:cs="Times New Roman"/>
                <w:color w:val="auto"/>
                <w:sz w:val="24"/>
                <w:highlight w:val="none"/>
              </w:rPr>
            </w:pPr>
          </w:p>
        </w:tc>
        <w:tc>
          <w:tcPr>
            <w:tcW w:w="2384" w:type="dxa"/>
            <w:noWrap w:val="0"/>
            <w:vAlign w:val="center"/>
          </w:tcPr>
          <w:p w14:paraId="45C5C5F8">
            <w:pPr>
              <w:adjustRightInd w:val="0"/>
              <w:snapToGrid w:val="0"/>
              <w:jc w:val="center"/>
              <w:rPr>
                <w:rFonts w:eastAsia="宋体" w:cs="Times New Roman"/>
                <w:color w:val="auto"/>
                <w:sz w:val="24"/>
                <w:highlight w:val="none"/>
              </w:rPr>
            </w:pPr>
          </w:p>
        </w:tc>
        <w:tc>
          <w:tcPr>
            <w:tcW w:w="2126" w:type="dxa"/>
            <w:noWrap w:val="0"/>
            <w:vAlign w:val="center"/>
          </w:tcPr>
          <w:p w14:paraId="092C8D6A">
            <w:pPr>
              <w:adjustRightInd w:val="0"/>
              <w:snapToGrid w:val="0"/>
              <w:jc w:val="center"/>
              <w:rPr>
                <w:rFonts w:eastAsia="宋体" w:cs="Times New Roman"/>
                <w:color w:val="auto"/>
                <w:sz w:val="24"/>
                <w:highlight w:val="none"/>
              </w:rPr>
            </w:pPr>
          </w:p>
        </w:tc>
        <w:tc>
          <w:tcPr>
            <w:tcW w:w="1875" w:type="dxa"/>
            <w:noWrap w:val="0"/>
            <w:vAlign w:val="center"/>
          </w:tcPr>
          <w:p w14:paraId="358A7AD5">
            <w:pPr>
              <w:adjustRightInd w:val="0"/>
              <w:snapToGrid w:val="0"/>
              <w:jc w:val="center"/>
              <w:rPr>
                <w:rFonts w:eastAsia="宋体" w:cs="Times New Roman"/>
                <w:color w:val="auto"/>
                <w:sz w:val="24"/>
                <w:highlight w:val="none"/>
              </w:rPr>
            </w:pPr>
          </w:p>
        </w:tc>
        <w:tc>
          <w:tcPr>
            <w:tcW w:w="1009" w:type="dxa"/>
            <w:noWrap w:val="0"/>
            <w:vAlign w:val="center"/>
          </w:tcPr>
          <w:p w14:paraId="455420DE">
            <w:pPr>
              <w:adjustRightInd w:val="0"/>
              <w:snapToGrid w:val="0"/>
              <w:jc w:val="center"/>
              <w:rPr>
                <w:rFonts w:eastAsia="宋体" w:cs="Times New Roman"/>
                <w:color w:val="auto"/>
                <w:sz w:val="24"/>
                <w:highlight w:val="none"/>
              </w:rPr>
            </w:pPr>
          </w:p>
        </w:tc>
      </w:tr>
      <w:tr w14:paraId="6DC0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69D3CBC">
            <w:pPr>
              <w:adjustRightInd w:val="0"/>
              <w:snapToGrid w:val="0"/>
              <w:jc w:val="center"/>
              <w:rPr>
                <w:rFonts w:eastAsia="宋体" w:cs="Times New Roman"/>
                <w:color w:val="auto"/>
                <w:sz w:val="24"/>
                <w:highlight w:val="none"/>
              </w:rPr>
            </w:pPr>
          </w:p>
        </w:tc>
        <w:tc>
          <w:tcPr>
            <w:tcW w:w="1482" w:type="dxa"/>
            <w:noWrap w:val="0"/>
            <w:vAlign w:val="center"/>
          </w:tcPr>
          <w:p w14:paraId="14551B52">
            <w:pPr>
              <w:adjustRightInd w:val="0"/>
              <w:snapToGrid w:val="0"/>
              <w:jc w:val="center"/>
              <w:rPr>
                <w:rFonts w:eastAsia="宋体" w:cs="Times New Roman"/>
                <w:color w:val="auto"/>
                <w:sz w:val="24"/>
                <w:highlight w:val="none"/>
              </w:rPr>
            </w:pPr>
          </w:p>
        </w:tc>
        <w:tc>
          <w:tcPr>
            <w:tcW w:w="2384" w:type="dxa"/>
            <w:noWrap w:val="0"/>
            <w:vAlign w:val="center"/>
          </w:tcPr>
          <w:p w14:paraId="208D2816">
            <w:pPr>
              <w:adjustRightInd w:val="0"/>
              <w:snapToGrid w:val="0"/>
              <w:jc w:val="center"/>
              <w:rPr>
                <w:rFonts w:eastAsia="宋体" w:cs="Times New Roman"/>
                <w:color w:val="auto"/>
                <w:sz w:val="24"/>
                <w:highlight w:val="none"/>
              </w:rPr>
            </w:pPr>
          </w:p>
        </w:tc>
        <w:tc>
          <w:tcPr>
            <w:tcW w:w="2126" w:type="dxa"/>
            <w:noWrap w:val="0"/>
            <w:vAlign w:val="center"/>
          </w:tcPr>
          <w:p w14:paraId="25AB628A">
            <w:pPr>
              <w:adjustRightInd w:val="0"/>
              <w:snapToGrid w:val="0"/>
              <w:jc w:val="center"/>
              <w:rPr>
                <w:rFonts w:eastAsia="宋体" w:cs="Times New Roman"/>
                <w:color w:val="auto"/>
                <w:sz w:val="24"/>
                <w:highlight w:val="none"/>
              </w:rPr>
            </w:pPr>
          </w:p>
        </w:tc>
        <w:tc>
          <w:tcPr>
            <w:tcW w:w="1875" w:type="dxa"/>
            <w:noWrap w:val="0"/>
            <w:vAlign w:val="center"/>
          </w:tcPr>
          <w:p w14:paraId="4EDC021C">
            <w:pPr>
              <w:adjustRightInd w:val="0"/>
              <w:snapToGrid w:val="0"/>
              <w:jc w:val="center"/>
              <w:rPr>
                <w:rFonts w:eastAsia="宋体" w:cs="Times New Roman"/>
                <w:color w:val="auto"/>
                <w:sz w:val="24"/>
                <w:highlight w:val="none"/>
              </w:rPr>
            </w:pPr>
          </w:p>
        </w:tc>
        <w:tc>
          <w:tcPr>
            <w:tcW w:w="1009" w:type="dxa"/>
            <w:noWrap w:val="0"/>
            <w:vAlign w:val="center"/>
          </w:tcPr>
          <w:p w14:paraId="1E40FAAE">
            <w:pPr>
              <w:adjustRightInd w:val="0"/>
              <w:snapToGrid w:val="0"/>
              <w:jc w:val="center"/>
              <w:rPr>
                <w:rFonts w:eastAsia="宋体" w:cs="Times New Roman"/>
                <w:color w:val="auto"/>
                <w:sz w:val="24"/>
                <w:highlight w:val="none"/>
              </w:rPr>
            </w:pPr>
          </w:p>
        </w:tc>
      </w:tr>
      <w:tr w14:paraId="71C9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C52CC07">
            <w:pPr>
              <w:adjustRightInd w:val="0"/>
              <w:snapToGrid w:val="0"/>
              <w:jc w:val="center"/>
              <w:rPr>
                <w:rFonts w:eastAsia="宋体" w:cs="Times New Roman"/>
                <w:color w:val="auto"/>
                <w:sz w:val="24"/>
                <w:highlight w:val="none"/>
              </w:rPr>
            </w:pPr>
          </w:p>
        </w:tc>
        <w:tc>
          <w:tcPr>
            <w:tcW w:w="1482" w:type="dxa"/>
            <w:noWrap w:val="0"/>
            <w:vAlign w:val="center"/>
          </w:tcPr>
          <w:p w14:paraId="22E64EFE">
            <w:pPr>
              <w:adjustRightInd w:val="0"/>
              <w:snapToGrid w:val="0"/>
              <w:jc w:val="center"/>
              <w:rPr>
                <w:rFonts w:eastAsia="宋体" w:cs="Times New Roman"/>
                <w:color w:val="auto"/>
                <w:sz w:val="24"/>
                <w:highlight w:val="none"/>
              </w:rPr>
            </w:pPr>
          </w:p>
        </w:tc>
        <w:tc>
          <w:tcPr>
            <w:tcW w:w="2384" w:type="dxa"/>
            <w:noWrap w:val="0"/>
            <w:vAlign w:val="center"/>
          </w:tcPr>
          <w:p w14:paraId="661B09F3">
            <w:pPr>
              <w:adjustRightInd w:val="0"/>
              <w:snapToGrid w:val="0"/>
              <w:jc w:val="center"/>
              <w:rPr>
                <w:rFonts w:eastAsia="宋体" w:cs="Times New Roman"/>
                <w:color w:val="auto"/>
                <w:sz w:val="24"/>
                <w:highlight w:val="none"/>
              </w:rPr>
            </w:pPr>
          </w:p>
        </w:tc>
        <w:tc>
          <w:tcPr>
            <w:tcW w:w="2126" w:type="dxa"/>
            <w:noWrap w:val="0"/>
            <w:vAlign w:val="center"/>
          </w:tcPr>
          <w:p w14:paraId="768C8C42">
            <w:pPr>
              <w:adjustRightInd w:val="0"/>
              <w:snapToGrid w:val="0"/>
              <w:jc w:val="center"/>
              <w:rPr>
                <w:rFonts w:eastAsia="宋体" w:cs="Times New Roman"/>
                <w:color w:val="auto"/>
                <w:sz w:val="24"/>
                <w:highlight w:val="none"/>
              </w:rPr>
            </w:pPr>
          </w:p>
        </w:tc>
        <w:tc>
          <w:tcPr>
            <w:tcW w:w="1875" w:type="dxa"/>
            <w:noWrap w:val="0"/>
            <w:vAlign w:val="center"/>
          </w:tcPr>
          <w:p w14:paraId="4B9BDD97">
            <w:pPr>
              <w:adjustRightInd w:val="0"/>
              <w:snapToGrid w:val="0"/>
              <w:jc w:val="center"/>
              <w:rPr>
                <w:rFonts w:eastAsia="宋体" w:cs="Times New Roman"/>
                <w:color w:val="auto"/>
                <w:sz w:val="24"/>
                <w:highlight w:val="none"/>
              </w:rPr>
            </w:pPr>
          </w:p>
        </w:tc>
        <w:tc>
          <w:tcPr>
            <w:tcW w:w="1009" w:type="dxa"/>
            <w:noWrap w:val="0"/>
            <w:vAlign w:val="center"/>
          </w:tcPr>
          <w:p w14:paraId="56121264">
            <w:pPr>
              <w:adjustRightInd w:val="0"/>
              <w:snapToGrid w:val="0"/>
              <w:jc w:val="center"/>
              <w:rPr>
                <w:rFonts w:eastAsia="宋体" w:cs="Times New Roman"/>
                <w:color w:val="auto"/>
                <w:sz w:val="24"/>
                <w:highlight w:val="none"/>
              </w:rPr>
            </w:pPr>
          </w:p>
        </w:tc>
      </w:tr>
      <w:tr w14:paraId="4BBC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7C51D9F">
            <w:pPr>
              <w:adjustRightInd w:val="0"/>
              <w:snapToGrid w:val="0"/>
              <w:jc w:val="center"/>
              <w:rPr>
                <w:rFonts w:eastAsia="宋体" w:cs="Times New Roman"/>
                <w:color w:val="auto"/>
                <w:sz w:val="24"/>
                <w:highlight w:val="none"/>
              </w:rPr>
            </w:pPr>
          </w:p>
        </w:tc>
        <w:tc>
          <w:tcPr>
            <w:tcW w:w="1482" w:type="dxa"/>
            <w:noWrap w:val="0"/>
            <w:vAlign w:val="center"/>
          </w:tcPr>
          <w:p w14:paraId="433BD55B">
            <w:pPr>
              <w:adjustRightInd w:val="0"/>
              <w:snapToGrid w:val="0"/>
              <w:jc w:val="center"/>
              <w:rPr>
                <w:rFonts w:eastAsia="宋体" w:cs="Times New Roman"/>
                <w:color w:val="auto"/>
                <w:sz w:val="24"/>
                <w:highlight w:val="none"/>
              </w:rPr>
            </w:pPr>
          </w:p>
        </w:tc>
        <w:tc>
          <w:tcPr>
            <w:tcW w:w="2384" w:type="dxa"/>
            <w:noWrap w:val="0"/>
            <w:vAlign w:val="center"/>
          </w:tcPr>
          <w:p w14:paraId="699A0D61">
            <w:pPr>
              <w:adjustRightInd w:val="0"/>
              <w:snapToGrid w:val="0"/>
              <w:jc w:val="center"/>
              <w:rPr>
                <w:rFonts w:eastAsia="宋体" w:cs="Times New Roman"/>
                <w:color w:val="auto"/>
                <w:sz w:val="24"/>
                <w:highlight w:val="none"/>
              </w:rPr>
            </w:pPr>
          </w:p>
        </w:tc>
        <w:tc>
          <w:tcPr>
            <w:tcW w:w="2126" w:type="dxa"/>
            <w:noWrap w:val="0"/>
            <w:vAlign w:val="center"/>
          </w:tcPr>
          <w:p w14:paraId="26205EBF">
            <w:pPr>
              <w:adjustRightInd w:val="0"/>
              <w:snapToGrid w:val="0"/>
              <w:jc w:val="center"/>
              <w:rPr>
                <w:rFonts w:eastAsia="宋体" w:cs="Times New Roman"/>
                <w:color w:val="auto"/>
                <w:sz w:val="24"/>
                <w:highlight w:val="none"/>
              </w:rPr>
            </w:pPr>
          </w:p>
        </w:tc>
        <w:tc>
          <w:tcPr>
            <w:tcW w:w="1875" w:type="dxa"/>
            <w:noWrap w:val="0"/>
            <w:vAlign w:val="center"/>
          </w:tcPr>
          <w:p w14:paraId="1E3A16C6">
            <w:pPr>
              <w:adjustRightInd w:val="0"/>
              <w:snapToGrid w:val="0"/>
              <w:jc w:val="center"/>
              <w:rPr>
                <w:rFonts w:eastAsia="宋体" w:cs="Times New Roman"/>
                <w:color w:val="auto"/>
                <w:sz w:val="24"/>
                <w:highlight w:val="none"/>
              </w:rPr>
            </w:pPr>
          </w:p>
        </w:tc>
        <w:tc>
          <w:tcPr>
            <w:tcW w:w="1009" w:type="dxa"/>
            <w:noWrap w:val="0"/>
            <w:vAlign w:val="center"/>
          </w:tcPr>
          <w:p w14:paraId="7B7A7808">
            <w:pPr>
              <w:adjustRightInd w:val="0"/>
              <w:snapToGrid w:val="0"/>
              <w:jc w:val="center"/>
              <w:rPr>
                <w:rFonts w:eastAsia="宋体" w:cs="Times New Roman"/>
                <w:color w:val="auto"/>
                <w:sz w:val="24"/>
                <w:highlight w:val="none"/>
              </w:rPr>
            </w:pPr>
          </w:p>
        </w:tc>
      </w:tr>
    </w:tbl>
    <w:p w14:paraId="4505EDAF">
      <w:pPr>
        <w:tabs>
          <w:tab w:val="left" w:pos="1800"/>
          <w:tab w:val="left" w:pos="5580"/>
        </w:tabs>
        <w:jc w:val="left"/>
        <w:rPr>
          <w:color w:val="auto"/>
          <w:sz w:val="24"/>
          <w:highlight w:val="none"/>
        </w:rPr>
      </w:pPr>
      <w:r>
        <w:rPr>
          <w:color w:val="auto"/>
          <w:sz w:val="24"/>
          <w:highlight w:val="none"/>
        </w:rPr>
        <w:t>注：</w:t>
      </w:r>
    </w:p>
    <w:p w14:paraId="703E0286">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对招标文件中的所有商务、技术要求，除本表所列明的所有偏离外，均视作供应商已对之理解和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14:paraId="4703B4D3">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w:t>
      </w:r>
    </w:p>
    <w:p w14:paraId="1866AB41">
      <w:pPr>
        <w:tabs>
          <w:tab w:val="left" w:pos="1800"/>
          <w:tab w:val="left" w:pos="5580"/>
        </w:tabs>
        <w:jc w:val="left"/>
        <w:rPr>
          <w:color w:val="auto"/>
          <w:sz w:val="24"/>
          <w:highlight w:val="none"/>
        </w:rPr>
      </w:pPr>
    </w:p>
    <w:p w14:paraId="7025B39F">
      <w:pPr>
        <w:tabs>
          <w:tab w:val="left" w:pos="1800"/>
          <w:tab w:val="left" w:pos="5580"/>
        </w:tabs>
        <w:jc w:val="left"/>
        <w:rPr>
          <w:color w:val="auto"/>
          <w:sz w:val="24"/>
          <w:highlight w:val="none"/>
        </w:rPr>
      </w:pPr>
    </w:p>
    <w:p w14:paraId="2B85BBD8">
      <w:pPr>
        <w:rPr>
          <w:color w:val="auto"/>
          <w:sz w:val="24"/>
          <w:szCs w:val="20"/>
          <w:highlight w:val="none"/>
        </w:rPr>
      </w:pPr>
    </w:p>
    <w:p w14:paraId="0551D1D0">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57305352">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rFonts w:hint="eastAsia"/>
          <w:color w:val="auto"/>
          <w:sz w:val="24"/>
          <w:highlight w:val="none"/>
        </w:rPr>
        <w:t>：</w:t>
      </w:r>
      <w:r>
        <w:rPr>
          <w:color w:val="auto"/>
          <w:sz w:val="24"/>
          <w:highlight w:val="none"/>
          <w:lang w:val="zh-CN"/>
        </w:rPr>
        <w:t>____________</w:t>
      </w:r>
    </w:p>
    <w:p w14:paraId="2A01F9D2">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39CDEEBF">
      <w:pPr>
        <w:spacing w:line="360" w:lineRule="auto"/>
        <w:rPr>
          <w:rFonts w:ascii="宋体"/>
          <w:b/>
          <w:color w:val="auto"/>
          <w:sz w:val="30"/>
          <w:szCs w:val="30"/>
          <w:highlight w:val="none"/>
        </w:rPr>
      </w:pPr>
    </w:p>
    <w:p w14:paraId="1E2E364F">
      <w:pPr>
        <w:spacing w:line="360" w:lineRule="auto"/>
        <w:rPr>
          <w:rFonts w:hint="eastAsia" w:ascii="宋体"/>
          <w:b/>
          <w:color w:val="auto"/>
          <w:sz w:val="30"/>
          <w:szCs w:val="30"/>
          <w:highlight w:val="none"/>
        </w:rPr>
      </w:pPr>
    </w:p>
    <w:p w14:paraId="18F234E2">
      <w:pPr>
        <w:spacing w:line="360" w:lineRule="auto"/>
        <w:rPr>
          <w:rFonts w:hint="eastAsia" w:ascii="宋体"/>
          <w:b/>
          <w:color w:val="auto"/>
          <w:sz w:val="30"/>
          <w:szCs w:val="30"/>
          <w:highlight w:val="none"/>
        </w:rPr>
      </w:pPr>
    </w:p>
    <w:p w14:paraId="647BAD75">
      <w:pPr>
        <w:spacing w:line="360" w:lineRule="auto"/>
        <w:rPr>
          <w:rFonts w:ascii="宋体"/>
          <w:bCs/>
          <w:color w:val="auto"/>
          <w:sz w:val="30"/>
          <w:szCs w:val="30"/>
          <w:highlight w:val="none"/>
        </w:rPr>
      </w:pPr>
      <w:r>
        <w:rPr>
          <w:rFonts w:hint="eastAsia" w:ascii="宋体"/>
          <w:bCs/>
          <w:color w:val="auto"/>
          <w:sz w:val="30"/>
          <w:szCs w:val="30"/>
          <w:highlight w:val="none"/>
        </w:rPr>
        <w:t>7 中小企业声明函</w:t>
      </w:r>
    </w:p>
    <w:p w14:paraId="6E4740E7">
      <w:pPr>
        <w:tabs>
          <w:tab w:val="left" w:pos="5580"/>
        </w:tabs>
        <w:spacing w:line="360" w:lineRule="auto"/>
        <w:rPr>
          <w:color w:val="auto"/>
          <w:sz w:val="24"/>
          <w:highlight w:val="none"/>
        </w:rPr>
      </w:pPr>
      <w:r>
        <w:rPr>
          <w:rFonts w:hint="eastAsia"/>
          <w:color w:val="auto"/>
          <w:sz w:val="24"/>
          <w:highlight w:val="none"/>
        </w:rPr>
        <w:t>说明：</w:t>
      </w:r>
    </w:p>
    <w:p w14:paraId="6D806EB7">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14:paraId="506D8471">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DFF49AE">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14:paraId="5133EB38">
      <w:pPr>
        <w:tabs>
          <w:tab w:val="left" w:pos="5580"/>
        </w:tabs>
        <w:spacing w:line="360" w:lineRule="auto"/>
        <w:rPr>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A754BCD">
      <w:pPr>
        <w:spacing w:line="360" w:lineRule="auto"/>
        <w:rPr>
          <w:rFonts w:hint="eastAsia" w:ascii="宋体"/>
          <w:b/>
          <w:color w:val="auto"/>
          <w:sz w:val="30"/>
          <w:szCs w:val="30"/>
          <w:highlight w:val="none"/>
        </w:rPr>
      </w:pPr>
    </w:p>
    <w:p w14:paraId="546F5A97">
      <w:pPr>
        <w:spacing w:line="360" w:lineRule="auto"/>
        <w:rPr>
          <w:rFonts w:hint="eastAsia" w:ascii="宋体"/>
          <w:b/>
          <w:color w:val="auto"/>
          <w:sz w:val="30"/>
          <w:szCs w:val="30"/>
          <w:highlight w:val="none"/>
        </w:rPr>
      </w:pPr>
    </w:p>
    <w:p w14:paraId="0E996519">
      <w:pPr>
        <w:spacing w:line="360" w:lineRule="auto"/>
        <w:rPr>
          <w:rFonts w:hint="eastAsia" w:ascii="宋体"/>
          <w:b/>
          <w:color w:val="auto"/>
          <w:sz w:val="30"/>
          <w:szCs w:val="30"/>
          <w:highlight w:val="none"/>
        </w:rPr>
      </w:pPr>
    </w:p>
    <w:p w14:paraId="5971179B">
      <w:pPr>
        <w:spacing w:line="360" w:lineRule="auto"/>
        <w:rPr>
          <w:rFonts w:hint="eastAsia" w:ascii="宋体"/>
          <w:b/>
          <w:color w:val="auto"/>
          <w:sz w:val="30"/>
          <w:szCs w:val="30"/>
          <w:highlight w:val="none"/>
        </w:rPr>
      </w:pPr>
    </w:p>
    <w:p w14:paraId="2EBBC816">
      <w:pPr>
        <w:spacing w:line="360" w:lineRule="auto"/>
        <w:rPr>
          <w:rFonts w:hint="eastAsia" w:ascii="宋体"/>
          <w:b/>
          <w:color w:val="auto"/>
          <w:sz w:val="30"/>
          <w:szCs w:val="30"/>
          <w:highlight w:val="none"/>
        </w:rPr>
      </w:pPr>
    </w:p>
    <w:p w14:paraId="090C9F90">
      <w:pPr>
        <w:spacing w:line="360" w:lineRule="auto"/>
        <w:rPr>
          <w:rFonts w:hint="eastAsia" w:ascii="宋体"/>
          <w:b/>
          <w:color w:val="auto"/>
          <w:sz w:val="30"/>
          <w:szCs w:val="30"/>
          <w:highlight w:val="none"/>
        </w:rPr>
      </w:pPr>
    </w:p>
    <w:p w14:paraId="1CAB95CE">
      <w:pPr>
        <w:spacing w:line="360" w:lineRule="auto"/>
        <w:rPr>
          <w:rFonts w:hint="eastAsia" w:ascii="宋体"/>
          <w:b/>
          <w:color w:val="auto"/>
          <w:sz w:val="30"/>
          <w:szCs w:val="30"/>
          <w:highlight w:val="none"/>
        </w:rPr>
      </w:pPr>
    </w:p>
    <w:p w14:paraId="16E64560">
      <w:pPr>
        <w:spacing w:line="360" w:lineRule="auto"/>
        <w:rPr>
          <w:rFonts w:hint="eastAsia" w:ascii="宋体"/>
          <w:b/>
          <w:color w:val="auto"/>
          <w:sz w:val="30"/>
          <w:szCs w:val="30"/>
          <w:highlight w:val="none"/>
        </w:rPr>
      </w:pPr>
    </w:p>
    <w:p w14:paraId="0D1CD686">
      <w:pPr>
        <w:spacing w:line="360" w:lineRule="auto"/>
        <w:rPr>
          <w:rFonts w:hint="eastAsia" w:ascii="宋体"/>
          <w:b/>
          <w:color w:val="auto"/>
          <w:sz w:val="30"/>
          <w:szCs w:val="30"/>
          <w:highlight w:val="none"/>
        </w:rPr>
      </w:pPr>
    </w:p>
    <w:p w14:paraId="5C870964">
      <w:pPr>
        <w:pStyle w:val="86"/>
        <w:ind w:firstLine="301"/>
        <w:rPr>
          <w:rFonts w:hint="eastAsia"/>
          <w:b/>
          <w:color w:val="auto"/>
          <w:sz w:val="30"/>
          <w:szCs w:val="30"/>
          <w:highlight w:val="none"/>
        </w:rPr>
      </w:pPr>
    </w:p>
    <w:p w14:paraId="03B7609F">
      <w:pPr>
        <w:pStyle w:val="68"/>
        <w:rPr>
          <w:rFonts w:hint="eastAsia" w:ascii="宋体"/>
          <w:b/>
          <w:color w:val="auto"/>
          <w:sz w:val="30"/>
          <w:szCs w:val="30"/>
          <w:highlight w:val="none"/>
        </w:rPr>
      </w:pPr>
    </w:p>
    <w:p w14:paraId="5B790805">
      <w:pPr>
        <w:rPr>
          <w:rFonts w:hint="eastAsia" w:ascii="宋体"/>
          <w:b/>
          <w:color w:val="auto"/>
          <w:sz w:val="30"/>
          <w:szCs w:val="30"/>
          <w:highlight w:val="none"/>
        </w:rPr>
      </w:pPr>
    </w:p>
    <w:p w14:paraId="08C13A55">
      <w:pPr>
        <w:pStyle w:val="86"/>
        <w:ind w:firstLine="210"/>
        <w:rPr>
          <w:rFonts w:hint="eastAsia"/>
          <w:color w:val="auto"/>
          <w:highlight w:val="none"/>
        </w:rPr>
      </w:pPr>
    </w:p>
    <w:p w14:paraId="14B96482">
      <w:pPr>
        <w:spacing w:line="360" w:lineRule="auto"/>
        <w:rPr>
          <w:rFonts w:hint="eastAsia" w:ascii="宋体"/>
          <w:b/>
          <w:color w:val="auto"/>
          <w:sz w:val="30"/>
          <w:szCs w:val="30"/>
          <w:highlight w:val="none"/>
        </w:rPr>
      </w:pPr>
    </w:p>
    <w:p w14:paraId="5258F802">
      <w:pPr>
        <w:spacing w:before="312" w:beforeLines="100" w:after="312" w:afterLines="100" w:line="360" w:lineRule="auto"/>
        <w:jc w:val="center"/>
        <w:rPr>
          <w:b/>
          <w:color w:val="auto"/>
          <w:sz w:val="36"/>
          <w:szCs w:val="36"/>
          <w:highlight w:val="none"/>
        </w:rPr>
      </w:pPr>
      <w:r>
        <w:rPr>
          <w:b/>
          <w:bCs/>
          <w:color w:val="auto"/>
          <w:sz w:val="36"/>
          <w:szCs w:val="36"/>
          <w:highlight w:val="none"/>
        </w:rPr>
        <w:t>中小企业声明函（货物）格式</w:t>
      </w:r>
    </w:p>
    <w:p w14:paraId="45A2B3B7">
      <w:pPr>
        <w:autoSpaceDE w:val="0"/>
        <w:autoSpaceDN w:val="0"/>
        <w:spacing w:line="360" w:lineRule="auto"/>
        <w:ind w:left="220" w:right="415" w:firstLine="64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i/>
          <w:color w:val="auto"/>
          <w:kern w:val="0"/>
          <w:sz w:val="24"/>
          <w:highlight w:val="none"/>
          <w:u w:val="single"/>
        </w:rPr>
        <w:t>（单位名称）</w:t>
      </w:r>
      <w:r>
        <w:rPr>
          <w:color w:val="auto"/>
          <w:kern w:val="0"/>
          <w:sz w:val="24"/>
          <w:highlight w:val="none"/>
        </w:rPr>
        <w:t>的</w:t>
      </w:r>
      <w:r>
        <w:rPr>
          <w:i/>
          <w:color w:val="auto"/>
          <w:kern w:val="0"/>
          <w:sz w:val="24"/>
          <w:highlight w:val="none"/>
          <w:u w:val="single"/>
        </w:rPr>
        <w:t>（项目名称）</w:t>
      </w:r>
      <w:r>
        <w:rPr>
          <w:color w:val="auto"/>
          <w:kern w:val="0"/>
          <w:sz w:val="24"/>
          <w:highlight w:val="none"/>
        </w:rPr>
        <w:t>采购活动，提供的货物全部由符合政策要求的中小企业制造。相关企业（含联合体中的中小企业、签订分包意向协议的中小企业）的具体情况如下：</w:t>
      </w:r>
    </w:p>
    <w:p w14:paraId="216BF004">
      <w:pPr>
        <w:numPr>
          <w:ilvl w:val="0"/>
          <w:numId w:val="37"/>
        </w:numPr>
        <w:tabs>
          <w:tab w:val="left" w:pos="1183"/>
          <w:tab w:val="left" w:pos="1484"/>
          <w:tab w:val="left" w:pos="4662"/>
          <w:tab w:val="left" w:pos="6903"/>
        </w:tabs>
        <w:autoSpaceDE w:val="0"/>
        <w:autoSpaceDN w:val="0"/>
        <w:spacing w:line="360" w:lineRule="auto"/>
        <w:ind w:right="169" w:firstLine="64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采购文件中明确的所属行业）行业</w:t>
      </w:r>
      <w:r>
        <w:rPr>
          <w:color w:val="auto"/>
          <w:kern w:val="0"/>
          <w:sz w:val="24"/>
          <w:highlight w:val="none"/>
        </w:rPr>
        <w:t>；制造商为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68A8D807">
      <w:pPr>
        <w:numPr>
          <w:ilvl w:val="0"/>
          <w:numId w:val="37"/>
        </w:numPr>
        <w:tabs>
          <w:tab w:val="left" w:pos="1165"/>
          <w:tab w:val="left" w:pos="1183"/>
          <w:tab w:val="left" w:pos="4362"/>
          <w:tab w:val="left" w:pos="6577"/>
        </w:tabs>
        <w:autoSpaceDE w:val="0"/>
        <w:autoSpaceDN w:val="0"/>
        <w:spacing w:line="360" w:lineRule="auto"/>
        <w:ind w:right="169" w:firstLine="64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采购文件中明确的所属行业）行业</w:t>
      </w:r>
      <w:r>
        <w:rPr>
          <w:color w:val="auto"/>
          <w:kern w:val="0"/>
          <w:sz w:val="24"/>
          <w:highlight w:val="none"/>
        </w:rPr>
        <w:t>；制造商为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17CC056D">
      <w:pPr>
        <w:autoSpaceDE w:val="0"/>
        <w:autoSpaceDN w:val="0"/>
        <w:spacing w:line="360" w:lineRule="auto"/>
        <w:ind w:left="860"/>
        <w:jc w:val="left"/>
        <w:rPr>
          <w:color w:val="auto"/>
          <w:kern w:val="0"/>
          <w:sz w:val="24"/>
          <w:highlight w:val="none"/>
        </w:rPr>
      </w:pPr>
      <w:r>
        <w:rPr>
          <w:color w:val="auto"/>
          <w:kern w:val="0"/>
          <w:sz w:val="24"/>
          <w:highlight w:val="none"/>
        </w:rPr>
        <w:t>……</w:t>
      </w:r>
    </w:p>
    <w:p w14:paraId="7672C1DC">
      <w:pPr>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7ED18F35">
      <w:pPr>
        <w:autoSpaceDE w:val="0"/>
        <w:autoSpaceDN w:val="0"/>
        <w:spacing w:line="360" w:lineRule="auto"/>
        <w:ind w:left="220" w:right="372" w:firstLine="645"/>
        <w:jc w:val="left"/>
        <w:rPr>
          <w:color w:val="auto"/>
          <w:kern w:val="0"/>
          <w:sz w:val="24"/>
          <w:highlight w:val="none"/>
        </w:rPr>
      </w:pPr>
      <w:r>
        <w:rPr>
          <w:color w:val="auto"/>
          <w:kern w:val="0"/>
          <w:sz w:val="24"/>
          <w:highlight w:val="none"/>
        </w:rPr>
        <w:t>本企业对上述声明内容的真实性负责。如有虚假，将依法承担相应责任。</w:t>
      </w:r>
    </w:p>
    <w:p w14:paraId="640BDEC3">
      <w:pPr>
        <w:spacing w:line="360" w:lineRule="auto"/>
        <w:ind w:firstLine="504"/>
        <w:rPr>
          <w:color w:val="auto"/>
          <w:spacing w:val="6"/>
          <w:sz w:val="24"/>
          <w:highlight w:val="none"/>
        </w:rPr>
      </w:pPr>
    </w:p>
    <w:p w14:paraId="0B66D008">
      <w:pPr>
        <w:spacing w:line="360" w:lineRule="auto"/>
        <w:ind w:firstLine="504"/>
        <w:rPr>
          <w:color w:val="auto"/>
          <w:spacing w:val="6"/>
          <w:sz w:val="24"/>
          <w:highlight w:val="none"/>
        </w:rPr>
      </w:pPr>
    </w:p>
    <w:p w14:paraId="2BF6B064">
      <w:pPr>
        <w:spacing w:line="360" w:lineRule="auto"/>
        <w:ind w:right="360" w:firstLine="480"/>
        <w:jc w:val="right"/>
        <w:rPr>
          <w:color w:val="auto"/>
          <w:sz w:val="24"/>
          <w:highlight w:val="none"/>
        </w:rPr>
      </w:pPr>
      <w:r>
        <w:rPr>
          <w:color w:val="auto"/>
          <w:sz w:val="24"/>
          <w:highlight w:val="none"/>
        </w:rPr>
        <w:t>企业名称（盖章）：________</w:t>
      </w:r>
    </w:p>
    <w:p w14:paraId="4BEAA338">
      <w:pPr>
        <w:spacing w:line="360" w:lineRule="auto"/>
        <w:ind w:right="360" w:firstLine="480"/>
        <w:jc w:val="right"/>
        <w:rPr>
          <w:color w:val="auto"/>
          <w:sz w:val="24"/>
          <w:highlight w:val="none"/>
        </w:rPr>
      </w:pPr>
      <w:r>
        <w:rPr>
          <w:color w:val="auto"/>
          <w:sz w:val="24"/>
          <w:highlight w:val="none"/>
        </w:rPr>
        <w:t>日 期：________</w:t>
      </w:r>
    </w:p>
    <w:p w14:paraId="6F2755E6">
      <w:pPr>
        <w:spacing w:line="360" w:lineRule="auto"/>
        <w:ind w:right="360" w:firstLine="480"/>
        <w:jc w:val="right"/>
        <w:rPr>
          <w:color w:val="auto"/>
          <w:sz w:val="24"/>
          <w:highlight w:val="none"/>
        </w:rPr>
      </w:pPr>
    </w:p>
    <w:p w14:paraId="39FD955E">
      <w:pPr>
        <w:spacing w:line="360" w:lineRule="auto"/>
        <w:ind w:right="360" w:firstLine="480"/>
        <w:jc w:val="right"/>
        <w:rPr>
          <w:color w:val="auto"/>
          <w:sz w:val="24"/>
          <w:highlight w:val="none"/>
        </w:rPr>
      </w:pPr>
    </w:p>
    <w:p w14:paraId="43B8F56E">
      <w:pPr>
        <w:spacing w:line="360" w:lineRule="auto"/>
        <w:rPr>
          <w:rFonts w:hint="eastAsia" w:ascii="宋体"/>
          <w:bCs/>
          <w:color w:val="auto"/>
          <w:szCs w:val="21"/>
          <w:highlight w:val="none"/>
        </w:rPr>
      </w:pPr>
      <w:r>
        <w:rPr>
          <w:rFonts w:hint="eastAsia" w:ascii="宋体"/>
          <w:bCs/>
          <w:color w:val="auto"/>
          <w:szCs w:val="21"/>
          <w:highlight w:val="none"/>
        </w:rPr>
        <w:t>从业人员、营业收入，资产总额填报上一年度数据，无上一年度数据的新成立企业可不填报。</w:t>
      </w:r>
    </w:p>
    <w:p w14:paraId="7B6DBC58">
      <w:pPr>
        <w:wordWrap w:val="0"/>
        <w:spacing w:line="360" w:lineRule="auto"/>
        <w:jc w:val="left"/>
        <w:rPr>
          <w:rFonts w:hint="eastAsia" w:ascii="宋体" w:hAnsi="宋体"/>
          <w:color w:val="auto"/>
          <w:sz w:val="24"/>
          <w:highlight w:val="none"/>
        </w:rPr>
      </w:pPr>
    </w:p>
    <w:p w14:paraId="60382C5E">
      <w:pPr>
        <w:pStyle w:val="86"/>
        <w:ind w:firstLine="210"/>
        <w:rPr>
          <w:rFonts w:hint="eastAsia"/>
          <w:color w:val="auto"/>
          <w:highlight w:val="none"/>
        </w:rPr>
      </w:pPr>
    </w:p>
    <w:p w14:paraId="7922B24A">
      <w:pPr>
        <w:wordWrap w:val="0"/>
        <w:spacing w:line="360" w:lineRule="auto"/>
        <w:jc w:val="left"/>
        <w:rPr>
          <w:rFonts w:hint="eastAsia" w:ascii="宋体" w:hAnsi="宋体"/>
          <w:color w:val="auto"/>
          <w:sz w:val="24"/>
          <w:highlight w:val="none"/>
        </w:rPr>
      </w:pPr>
    </w:p>
    <w:p w14:paraId="4A5B6877">
      <w:pPr>
        <w:wordWrap w:val="0"/>
        <w:spacing w:line="360" w:lineRule="auto"/>
        <w:jc w:val="left"/>
        <w:rPr>
          <w:rFonts w:hint="eastAsia" w:ascii="宋体" w:hAnsi="宋体"/>
          <w:color w:val="auto"/>
          <w:sz w:val="24"/>
          <w:highlight w:val="none"/>
        </w:rPr>
      </w:pPr>
    </w:p>
    <w:p w14:paraId="6DB280C2">
      <w:pPr>
        <w:wordWrap w:val="0"/>
        <w:spacing w:line="360" w:lineRule="auto"/>
        <w:jc w:val="left"/>
        <w:rPr>
          <w:rFonts w:hint="eastAsia" w:ascii="宋体" w:hAnsi="宋体"/>
          <w:color w:val="auto"/>
          <w:sz w:val="24"/>
          <w:highlight w:val="none"/>
        </w:rPr>
      </w:pPr>
    </w:p>
    <w:p w14:paraId="05A6CFA5">
      <w:pPr>
        <w:spacing w:line="480" w:lineRule="auto"/>
        <w:ind w:firstLine="570"/>
        <w:jc w:val="left"/>
        <w:rPr>
          <w:rFonts w:hint="eastAsia" w:ascii="宋体" w:hAnsi="宋体"/>
          <w:color w:val="auto"/>
          <w:sz w:val="24"/>
          <w:highlight w:val="none"/>
        </w:rPr>
      </w:pPr>
      <w:r>
        <w:rPr>
          <w:rFonts w:hint="eastAsia" w:ascii="宋体" w:hAnsi="宋体"/>
          <w:color w:val="auto"/>
          <w:sz w:val="24"/>
          <w:highlight w:val="none"/>
        </w:rPr>
        <w:t xml:space="preserve">                                         </w:t>
      </w:r>
    </w:p>
    <w:p w14:paraId="7160A7D5">
      <w:pPr>
        <w:pStyle w:val="86"/>
        <w:ind w:firstLine="210"/>
        <w:rPr>
          <w:rFonts w:hint="eastAsia"/>
          <w:color w:val="auto"/>
          <w:highlight w:val="none"/>
        </w:rPr>
      </w:pPr>
    </w:p>
    <w:p w14:paraId="6EBAC3E0">
      <w:pPr>
        <w:spacing w:before="312" w:beforeLines="100" w:after="312" w:afterLines="100" w:line="360" w:lineRule="auto"/>
        <w:jc w:val="center"/>
        <w:rPr>
          <w:color w:val="auto"/>
          <w:sz w:val="36"/>
          <w:szCs w:val="36"/>
          <w:highlight w:val="none"/>
        </w:rPr>
      </w:pPr>
      <w:r>
        <w:rPr>
          <w:b/>
          <w:bCs/>
          <w:color w:val="auto"/>
          <w:sz w:val="36"/>
          <w:szCs w:val="36"/>
          <w:highlight w:val="none"/>
        </w:rPr>
        <w:t>残疾人福利性单位声明函格式</w:t>
      </w:r>
      <w:r>
        <w:rPr>
          <w:color w:val="auto"/>
          <w:sz w:val="36"/>
          <w:szCs w:val="36"/>
          <w:highlight w:val="none"/>
        </w:rPr>
        <w:t xml:space="preserve"> </w:t>
      </w:r>
    </w:p>
    <w:p w14:paraId="2D206320">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44504AE2">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1D0D44AB">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0181058">
      <w:pPr>
        <w:spacing w:line="588" w:lineRule="exact"/>
        <w:ind w:firstLine="504" w:firstLineChars="200"/>
        <w:rPr>
          <w:color w:val="auto"/>
          <w:spacing w:val="6"/>
          <w:sz w:val="24"/>
          <w:highlight w:val="none"/>
        </w:rPr>
      </w:pPr>
      <w:r>
        <w:rPr>
          <w:b/>
          <w:color w:val="auto"/>
          <w:spacing w:val="6"/>
          <w:sz w:val="24"/>
          <w:highlight w:val="none"/>
        </w:rPr>
        <w:t>本单位对上述声明的真实性负责。如有虚假，将依法承担相应责任。</w:t>
      </w:r>
    </w:p>
    <w:p w14:paraId="6BC22B24">
      <w:pPr>
        <w:spacing w:line="588" w:lineRule="exact"/>
        <w:ind w:firstLine="504" w:firstLineChars="200"/>
        <w:rPr>
          <w:color w:val="auto"/>
          <w:spacing w:val="6"/>
          <w:sz w:val="24"/>
          <w:highlight w:val="none"/>
        </w:rPr>
      </w:pPr>
    </w:p>
    <w:p w14:paraId="790B3A45">
      <w:pPr>
        <w:spacing w:line="588" w:lineRule="exact"/>
        <w:ind w:firstLine="504" w:firstLineChars="200"/>
        <w:rPr>
          <w:color w:val="auto"/>
          <w:spacing w:val="6"/>
          <w:sz w:val="24"/>
          <w:highlight w:val="none"/>
        </w:rPr>
      </w:pPr>
    </w:p>
    <w:p w14:paraId="1A55E0FC">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078CDA4B">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34C84691">
      <w:pPr>
        <w:spacing w:line="360" w:lineRule="auto"/>
        <w:rPr>
          <w:rFonts w:hint="eastAsia"/>
          <w:color w:val="auto"/>
          <w:szCs w:val="20"/>
          <w:highlight w:val="none"/>
        </w:rPr>
      </w:pPr>
      <w:r>
        <w:rPr>
          <w:color w:val="auto"/>
          <w:szCs w:val="20"/>
          <w:highlight w:val="none"/>
        </w:rPr>
        <w:br w:type="page"/>
      </w:r>
      <w:r>
        <w:rPr>
          <w:rFonts w:hint="eastAsia" w:ascii="宋体" w:hAnsi="宋体" w:cs="宋体"/>
          <w:color w:val="auto"/>
          <w:sz w:val="30"/>
          <w:szCs w:val="30"/>
          <w:highlight w:val="none"/>
        </w:rPr>
        <w:t xml:space="preserve">8业绩一览表（实质性格式） </w:t>
      </w:r>
      <w:r>
        <w:rPr>
          <w:rFonts w:hint="eastAsia" w:ascii="宋体"/>
          <w:color w:val="auto"/>
          <w:sz w:val="24"/>
          <w:highlight w:val="none"/>
          <w:u w:val="single"/>
        </w:rPr>
        <w:t xml:space="preserve">     </w:t>
      </w:r>
    </w:p>
    <w:p w14:paraId="72B32F46">
      <w:pPr>
        <w:spacing w:line="360" w:lineRule="auto"/>
        <w:rPr>
          <w:color w:val="auto"/>
          <w:szCs w:val="20"/>
          <w:highlight w:val="none"/>
        </w:rPr>
      </w:pPr>
    </w:p>
    <w:p w14:paraId="3C0CC116">
      <w:pPr>
        <w:pStyle w:val="379"/>
        <w:spacing w:line="360" w:lineRule="auto"/>
        <w:jc w:val="center"/>
        <w:rPr>
          <w:rFonts w:hint="eastAsia" w:ascii="宋体"/>
          <w:color w:val="auto"/>
          <w:sz w:val="24"/>
          <w:highlight w:val="none"/>
        </w:rPr>
      </w:pPr>
      <w:r>
        <w:rPr>
          <w:rFonts w:hint="eastAsia" w:ascii="宋体" w:hAnsi="宋体"/>
          <w:b/>
          <w:color w:val="auto"/>
          <w:sz w:val="36"/>
          <w:szCs w:val="36"/>
          <w:highlight w:val="none"/>
        </w:rPr>
        <w:t>投标人供货业绩一览表</w:t>
      </w:r>
      <w:r>
        <w:rPr>
          <w:rFonts w:hint="eastAsia" w:ascii="宋体"/>
          <w:color w:val="auto"/>
          <w:sz w:val="36"/>
          <w:szCs w:val="36"/>
          <w:highlight w:val="none"/>
          <w:u w:val="singl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p>
    <w:tbl>
      <w:tblPr>
        <w:tblStyle w:val="88"/>
        <w:tblpPr w:leftFromText="180" w:rightFromText="180" w:vertAnchor="text" w:horzAnchor="page" w:tblpX="1117" w:tblpY="27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29"/>
        <w:gridCol w:w="1351"/>
        <w:gridCol w:w="1737"/>
        <w:gridCol w:w="1573"/>
        <w:gridCol w:w="1805"/>
      </w:tblGrid>
      <w:tr w14:paraId="7C37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46" w:type="pct"/>
            <w:noWrap w:val="0"/>
            <w:vAlign w:val="center"/>
          </w:tcPr>
          <w:p w14:paraId="3570F26C">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序号</w:t>
            </w:r>
          </w:p>
        </w:tc>
        <w:tc>
          <w:tcPr>
            <w:tcW w:w="1152" w:type="pct"/>
            <w:noWrap w:val="0"/>
            <w:vAlign w:val="center"/>
          </w:tcPr>
          <w:p w14:paraId="22766CCA">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项目名称</w:t>
            </w:r>
          </w:p>
        </w:tc>
        <w:tc>
          <w:tcPr>
            <w:tcW w:w="731" w:type="pct"/>
            <w:noWrap w:val="0"/>
            <w:vAlign w:val="center"/>
          </w:tcPr>
          <w:p w14:paraId="2AEDD19A">
            <w:pPr>
              <w:pStyle w:val="384"/>
              <w:spacing w:line="360" w:lineRule="auto"/>
              <w:ind w:left="94" w:leftChars="-329" w:hanging="784" w:hangingChars="327"/>
              <w:jc w:val="center"/>
              <w:rPr>
                <w:rFonts w:hint="eastAsia" w:ascii="宋体" w:eastAsia="宋体" w:cs="Times New Roman"/>
                <w:color w:val="auto"/>
                <w:highlight w:val="none"/>
              </w:rPr>
            </w:pPr>
            <w:r>
              <w:rPr>
                <w:rFonts w:hint="eastAsia" w:ascii="宋体" w:eastAsia="宋体" w:cs="Times New Roman"/>
                <w:color w:val="auto"/>
                <w:highlight w:val="none"/>
              </w:rPr>
              <w:t xml:space="preserve">     合同金额</w:t>
            </w:r>
          </w:p>
        </w:tc>
        <w:tc>
          <w:tcPr>
            <w:tcW w:w="940" w:type="pct"/>
            <w:noWrap w:val="0"/>
            <w:vAlign w:val="center"/>
          </w:tcPr>
          <w:p w14:paraId="6B1BA8E8">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供货内容</w:t>
            </w:r>
          </w:p>
        </w:tc>
        <w:tc>
          <w:tcPr>
            <w:tcW w:w="851" w:type="pct"/>
            <w:noWrap w:val="0"/>
            <w:vAlign w:val="center"/>
          </w:tcPr>
          <w:p w14:paraId="4D6217B6">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签约日期</w:t>
            </w:r>
          </w:p>
        </w:tc>
        <w:tc>
          <w:tcPr>
            <w:tcW w:w="976" w:type="pct"/>
            <w:noWrap w:val="0"/>
            <w:vAlign w:val="center"/>
          </w:tcPr>
          <w:p w14:paraId="2114E808">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备注</w:t>
            </w:r>
          </w:p>
        </w:tc>
      </w:tr>
      <w:tr w14:paraId="109D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1AEF2ECA">
            <w:pPr>
              <w:pStyle w:val="384"/>
              <w:spacing w:line="360" w:lineRule="auto"/>
              <w:jc w:val="center"/>
              <w:rPr>
                <w:rFonts w:hint="eastAsia" w:ascii="宋体" w:eastAsia="宋体" w:cs="Times New Roman"/>
                <w:color w:val="auto"/>
                <w:highlight w:val="none"/>
              </w:rPr>
            </w:pPr>
          </w:p>
        </w:tc>
        <w:tc>
          <w:tcPr>
            <w:tcW w:w="1152" w:type="pct"/>
            <w:noWrap w:val="0"/>
            <w:vAlign w:val="center"/>
          </w:tcPr>
          <w:p w14:paraId="175CFE7B">
            <w:pPr>
              <w:pStyle w:val="384"/>
              <w:spacing w:line="360" w:lineRule="auto"/>
              <w:jc w:val="center"/>
              <w:rPr>
                <w:rFonts w:hint="eastAsia" w:ascii="宋体" w:eastAsia="宋体" w:cs="Times New Roman"/>
                <w:color w:val="auto"/>
                <w:highlight w:val="none"/>
              </w:rPr>
            </w:pPr>
          </w:p>
        </w:tc>
        <w:tc>
          <w:tcPr>
            <w:tcW w:w="731" w:type="pct"/>
            <w:noWrap w:val="0"/>
            <w:vAlign w:val="center"/>
          </w:tcPr>
          <w:p w14:paraId="3C0D54C8">
            <w:pPr>
              <w:pStyle w:val="384"/>
              <w:spacing w:line="360" w:lineRule="auto"/>
              <w:jc w:val="center"/>
              <w:rPr>
                <w:rFonts w:hint="eastAsia" w:ascii="宋体" w:eastAsia="宋体" w:cs="Times New Roman"/>
                <w:color w:val="auto"/>
                <w:highlight w:val="none"/>
              </w:rPr>
            </w:pPr>
          </w:p>
        </w:tc>
        <w:tc>
          <w:tcPr>
            <w:tcW w:w="940" w:type="pct"/>
            <w:noWrap w:val="0"/>
            <w:vAlign w:val="top"/>
          </w:tcPr>
          <w:p w14:paraId="255AC02A">
            <w:pPr>
              <w:pStyle w:val="384"/>
              <w:spacing w:line="360" w:lineRule="auto"/>
              <w:jc w:val="center"/>
              <w:rPr>
                <w:rFonts w:hint="eastAsia" w:ascii="宋体" w:eastAsia="宋体" w:cs="Times New Roman"/>
                <w:color w:val="auto"/>
                <w:highlight w:val="none"/>
              </w:rPr>
            </w:pPr>
          </w:p>
        </w:tc>
        <w:tc>
          <w:tcPr>
            <w:tcW w:w="851" w:type="pct"/>
            <w:noWrap w:val="0"/>
            <w:vAlign w:val="center"/>
          </w:tcPr>
          <w:p w14:paraId="482A4C53">
            <w:pPr>
              <w:pStyle w:val="384"/>
              <w:spacing w:line="360" w:lineRule="auto"/>
              <w:jc w:val="center"/>
              <w:rPr>
                <w:rFonts w:hint="eastAsia" w:ascii="宋体" w:eastAsia="宋体" w:cs="Times New Roman"/>
                <w:color w:val="auto"/>
                <w:highlight w:val="none"/>
              </w:rPr>
            </w:pPr>
          </w:p>
        </w:tc>
        <w:tc>
          <w:tcPr>
            <w:tcW w:w="976" w:type="pct"/>
            <w:noWrap w:val="0"/>
            <w:vAlign w:val="center"/>
          </w:tcPr>
          <w:p w14:paraId="11A54DA5">
            <w:pPr>
              <w:pStyle w:val="384"/>
              <w:spacing w:line="360" w:lineRule="auto"/>
              <w:jc w:val="center"/>
              <w:rPr>
                <w:rFonts w:hint="eastAsia" w:ascii="宋体" w:eastAsia="宋体" w:cs="Times New Roman"/>
                <w:color w:val="auto"/>
                <w:highlight w:val="none"/>
              </w:rPr>
            </w:pPr>
          </w:p>
        </w:tc>
      </w:tr>
      <w:tr w14:paraId="3E5D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503EBB4D">
            <w:pPr>
              <w:pStyle w:val="384"/>
              <w:spacing w:line="360" w:lineRule="auto"/>
              <w:jc w:val="center"/>
              <w:rPr>
                <w:rFonts w:hint="eastAsia" w:ascii="宋体" w:eastAsia="宋体" w:cs="Times New Roman"/>
                <w:color w:val="auto"/>
                <w:highlight w:val="none"/>
              </w:rPr>
            </w:pPr>
          </w:p>
        </w:tc>
        <w:tc>
          <w:tcPr>
            <w:tcW w:w="1152" w:type="pct"/>
            <w:noWrap w:val="0"/>
            <w:vAlign w:val="center"/>
          </w:tcPr>
          <w:p w14:paraId="58F0C5D1">
            <w:pPr>
              <w:pStyle w:val="384"/>
              <w:spacing w:line="360" w:lineRule="auto"/>
              <w:jc w:val="center"/>
              <w:rPr>
                <w:rFonts w:hint="eastAsia" w:ascii="宋体" w:eastAsia="宋体" w:cs="Times New Roman"/>
                <w:color w:val="auto"/>
                <w:highlight w:val="none"/>
              </w:rPr>
            </w:pPr>
          </w:p>
        </w:tc>
        <w:tc>
          <w:tcPr>
            <w:tcW w:w="731" w:type="pct"/>
            <w:noWrap w:val="0"/>
            <w:vAlign w:val="center"/>
          </w:tcPr>
          <w:p w14:paraId="3165DF1B">
            <w:pPr>
              <w:pStyle w:val="384"/>
              <w:spacing w:line="360" w:lineRule="auto"/>
              <w:jc w:val="center"/>
              <w:rPr>
                <w:rFonts w:hint="eastAsia" w:ascii="宋体" w:eastAsia="宋体" w:cs="Times New Roman"/>
                <w:color w:val="auto"/>
                <w:highlight w:val="none"/>
              </w:rPr>
            </w:pPr>
          </w:p>
        </w:tc>
        <w:tc>
          <w:tcPr>
            <w:tcW w:w="940" w:type="pct"/>
            <w:noWrap w:val="0"/>
            <w:vAlign w:val="top"/>
          </w:tcPr>
          <w:p w14:paraId="217E5453">
            <w:pPr>
              <w:pStyle w:val="384"/>
              <w:spacing w:line="360" w:lineRule="auto"/>
              <w:jc w:val="center"/>
              <w:rPr>
                <w:rFonts w:hint="eastAsia" w:ascii="宋体" w:eastAsia="宋体" w:cs="Times New Roman"/>
                <w:color w:val="auto"/>
                <w:highlight w:val="none"/>
              </w:rPr>
            </w:pPr>
          </w:p>
        </w:tc>
        <w:tc>
          <w:tcPr>
            <w:tcW w:w="851" w:type="pct"/>
            <w:noWrap w:val="0"/>
            <w:vAlign w:val="center"/>
          </w:tcPr>
          <w:p w14:paraId="2C41AD51">
            <w:pPr>
              <w:pStyle w:val="384"/>
              <w:spacing w:line="360" w:lineRule="auto"/>
              <w:jc w:val="center"/>
              <w:rPr>
                <w:rFonts w:hint="eastAsia" w:ascii="宋体" w:eastAsia="宋体" w:cs="Times New Roman"/>
                <w:color w:val="auto"/>
                <w:highlight w:val="none"/>
              </w:rPr>
            </w:pPr>
          </w:p>
        </w:tc>
        <w:tc>
          <w:tcPr>
            <w:tcW w:w="976" w:type="pct"/>
            <w:noWrap w:val="0"/>
            <w:vAlign w:val="center"/>
          </w:tcPr>
          <w:p w14:paraId="30689B2F">
            <w:pPr>
              <w:pStyle w:val="384"/>
              <w:spacing w:line="360" w:lineRule="auto"/>
              <w:jc w:val="center"/>
              <w:rPr>
                <w:rFonts w:hint="eastAsia" w:ascii="宋体" w:eastAsia="宋体" w:cs="Times New Roman"/>
                <w:color w:val="auto"/>
                <w:highlight w:val="none"/>
              </w:rPr>
            </w:pPr>
          </w:p>
        </w:tc>
      </w:tr>
      <w:tr w14:paraId="22F8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70950632">
            <w:pPr>
              <w:pStyle w:val="384"/>
              <w:spacing w:line="360" w:lineRule="auto"/>
              <w:jc w:val="center"/>
              <w:rPr>
                <w:rFonts w:hint="eastAsia" w:ascii="宋体" w:eastAsia="宋体" w:cs="Times New Roman"/>
                <w:color w:val="auto"/>
                <w:highlight w:val="none"/>
              </w:rPr>
            </w:pPr>
          </w:p>
        </w:tc>
        <w:tc>
          <w:tcPr>
            <w:tcW w:w="1152" w:type="pct"/>
            <w:noWrap w:val="0"/>
            <w:vAlign w:val="center"/>
          </w:tcPr>
          <w:p w14:paraId="5252CD4B">
            <w:pPr>
              <w:pStyle w:val="384"/>
              <w:spacing w:line="360" w:lineRule="auto"/>
              <w:jc w:val="center"/>
              <w:rPr>
                <w:rFonts w:hint="eastAsia" w:ascii="宋体" w:eastAsia="宋体" w:cs="Times New Roman"/>
                <w:color w:val="auto"/>
                <w:highlight w:val="none"/>
              </w:rPr>
            </w:pPr>
          </w:p>
        </w:tc>
        <w:tc>
          <w:tcPr>
            <w:tcW w:w="731" w:type="pct"/>
            <w:noWrap w:val="0"/>
            <w:vAlign w:val="center"/>
          </w:tcPr>
          <w:p w14:paraId="30591907">
            <w:pPr>
              <w:pStyle w:val="384"/>
              <w:spacing w:line="360" w:lineRule="auto"/>
              <w:jc w:val="center"/>
              <w:rPr>
                <w:rFonts w:hint="eastAsia" w:ascii="宋体" w:eastAsia="宋体" w:cs="Times New Roman"/>
                <w:color w:val="auto"/>
                <w:highlight w:val="none"/>
              </w:rPr>
            </w:pPr>
          </w:p>
        </w:tc>
        <w:tc>
          <w:tcPr>
            <w:tcW w:w="940" w:type="pct"/>
            <w:noWrap w:val="0"/>
            <w:vAlign w:val="top"/>
          </w:tcPr>
          <w:p w14:paraId="5F25837D">
            <w:pPr>
              <w:pStyle w:val="384"/>
              <w:spacing w:line="360" w:lineRule="auto"/>
              <w:jc w:val="center"/>
              <w:rPr>
                <w:rFonts w:hint="eastAsia" w:ascii="宋体" w:eastAsia="宋体" w:cs="Times New Roman"/>
                <w:color w:val="auto"/>
                <w:highlight w:val="none"/>
              </w:rPr>
            </w:pPr>
          </w:p>
        </w:tc>
        <w:tc>
          <w:tcPr>
            <w:tcW w:w="851" w:type="pct"/>
            <w:noWrap w:val="0"/>
            <w:vAlign w:val="center"/>
          </w:tcPr>
          <w:p w14:paraId="59B3973E">
            <w:pPr>
              <w:pStyle w:val="384"/>
              <w:spacing w:line="360" w:lineRule="auto"/>
              <w:jc w:val="center"/>
              <w:rPr>
                <w:rFonts w:hint="eastAsia" w:ascii="宋体" w:eastAsia="宋体" w:cs="Times New Roman"/>
                <w:color w:val="auto"/>
                <w:highlight w:val="none"/>
              </w:rPr>
            </w:pPr>
          </w:p>
        </w:tc>
        <w:tc>
          <w:tcPr>
            <w:tcW w:w="976" w:type="pct"/>
            <w:noWrap w:val="0"/>
            <w:vAlign w:val="center"/>
          </w:tcPr>
          <w:p w14:paraId="481595BE">
            <w:pPr>
              <w:pStyle w:val="384"/>
              <w:spacing w:line="360" w:lineRule="auto"/>
              <w:jc w:val="center"/>
              <w:rPr>
                <w:rFonts w:hint="eastAsia" w:ascii="宋体" w:eastAsia="宋体" w:cs="Times New Roman"/>
                <w:color w:val="auto"/>
                <w:highlight w:val="none"/>
              </w:rPr>
            </w:pPr>
          </w:p>
        </w:tc>
      </w:tr>
      <w:tr w14:paraId="15E6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5E80DA1C">
            <w:pPr>
              <w:pStyle w:val="384"/>
              <w:spacing w:line="360" w:lineRule="auto"/>
              <w:jc w:val="center"/>
              <w:rPr>
                <w:rFonts w:hint="eastAsia" w:ascii="宋体" w:eastAsia="宋体" w:cs="Times New Roman"/>
                <w:color w:val="auto"/>
                <w:highlight w:val="none"/>
              </w:rPr>
            </w:pPr>
          </w:p>
        </w:tc>
        <w:tc>
          <w:tcPr>
            <w:tcW w:w="1152" w:type="pct"/>
            <w:noWrap w:val="0"/>
            <w:vAlign w:val="center"/>
          </w:tcPr>
          <w:p w14:paraId="7FC610D1">
            <w:pPr>
              <w:pStyle w:val="384"/>
              <w:spacing w:line="360" w:lineRule="auto"/>
              <w:jc w:val="center"/>
              <w:rPr>
                <w:rFonts w:hint="eastAsia" w:ascii="宋体" w:eastAsia="宋体" w:cs="Times New Roman"/>
                <w:color w:val="auto"/>
                <w:highlight w:val="none"/>
              </w:rPr>
            </w:pPr>
          </w:p>
        </w:tc>
        <w:tc>
          <w:tcPr>
            <w:tcW w:w="731" w:type="pct"/>
            <w:noWrap w:val="0"/>
            <w:vAlign w:val="center"/>
          </w:tcPr>
          <w:p w14:paraId="218A3C5A">
            <w:pPr>
              <w:pStyle w:val="384"/>
              <w:spacing w:line="360" w:lineRule="auto"/>
              <w:jc w:val="center"/>
              <w:rPr>
                <w:rFonts w:hint="eastAsia" w:ascii="宋体" w:eastAsia="宋体" w:cs="Times New Roman"/>
                <w:color w:val="auto"/>
                <w:highlight w:val="none"/>
              </w:rPr>
            </w:pPr>
          </w:p>
        </w:tc>
        <w:tc>
          <w:tcPr>
            <w:tcW w:w="940" w:type="pct"/>
            <w:noWrap w:val="0"/>
            <w:vAlign w:val="top"/>
          </w:tcPr>
          <w:p w14:paraId="182AE861">
            <w:pPr>
              <w:pStyle w:val="384"/>
              <w:spacing w:line="360" w:lineRule="auto"/>
              <w:jc w:val="center"/>
              <w:rPr>
                <w:rFonts w:hint="eastAsia" w:ascii="宋体" w:eastAsia="宋体" w:cs="Times New Roman"/>
                <w:color w:val="auto"/>
                <w:highlight w:val="none"/>
              </w:rPr>
            </w:pPr>
          </w:p>
        </w:tc>
        <w:tc>
          <w:tcPr>
            <w:tcW w:w="851" w:type="pct"/>
            <w:noWrap w:val="0"/>
            <w:vAlign w:val="center"/>
          </w:tcPr>
          <w:p w14:paraId="768B7E1A">
            <w:pPr>
              <w:pStyle w:val="384"/>
              <w:spacing w:line="360" w:lineRule="auto"/>
              <w:jc w:val="center"/>
              <w:rPr>
                <w:rFonts w:hint="eastAsia" w:ascii="宋体" w:eastAsia="宋体" w:cs="Times New Roman"/>
                <w:color w:val="auto"/>
                <w:highlight w:val="none"/>
              </w:rPr>
            </w:pPr>
          </w:p>
        </w:tc>
        <w:tc>
          <w:tcPr>
            <w:tcW w:w="976" w:type="pct"/>
            <w:noWrap w:val="0"/>
            <w:vAlign w:val="center"/>
          </w:tcPr>
          <w:p w14:paraId="67160FFF">
            <w:pPr>
              <w:pStyle w:val="384"/>
              <w:spacing w:line="360" w:lineRule="auto"/>
              <w:jc w:val="center"/>
              <w:rPr>
                <w:rFonts w:hint="eastAsia" w:ascii="宋体" w:eastAsia="宋体" w:cs="Times New Roman"/>
                <w:color w:val="auto"/>
                <w:highlight w:val="none"/>
              </w:rPr>
            </w:pPr>
          </w:p>
        </w:tc>
      </w:tr>
      <w:tr w14:paraId="5764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390122FF">
            <w:pPr>
              <w:pStyle w:val="384"/>
              <w:spacing w:line="360" w:lineRule="auto"/>
              <w:jc w:val="center"/>
              <w:rPr>
                <w:rFonts w:hint="eastAsia" w:ascii="宋体" w:eastAsia="宋体" w:cs="Times New Roman"/>
                <w:color w:val="auto"/>
                <w:highlight w:val="none"/>
              </w:rPr>
            </w:pPr>
          </w:p>
        </w:tc>
        <w:tc>
          <w:tcPr>
            <w:tcW w:w="1152" w:type="pct"/>
            <w:noWrap w:val="0"/>
            <w:vAlign w:val="center"/>
          </w:tcPr>
          <w:p w14:paraId="363A7582">
            <w:pPr>
              <w:pStyle w:val="384"/>
              <w:spacing w:line="360" w:lineRule="auto"/>
              <w:jc w:val="center"/>
              <w:rPr>
                <w:rFonts w:hint="eastAsia" w:ascii="宋体" w:eastAsia="宋体" w:cs="Times New Roman"/>
                <w:color w:val="auto"/>
                <w:highlight w:val="none"/>
              </w:rPr>
            </w:pPr>
          </w:p>
        </w:tc>
        <w:tc>
          <w:tcPr>
            <w:tcW w:w="731" w:type="pct"/>
            <w:noWrap w:val="0"/>
            <w:vAlign w:val="center"/>
          </w:tcPr>
          <w:p w14:paraId="28A0C39C">
            <w:pPr>
              <w:pStyle w:val="384"/>
              <w:spacing w:line="360" w:lineRule="auto"/>
              <w:jc w:val="center"/>
              <w:rPr>
                <w:rFonts w:hint="eastAsia" w:ascii="宋体" w:eastAsia="宋体" w:cs="Times New Roman"/>
                <w:color w:val="auto"/>
                <w:highlight w:val="none"/>
              </w:rPr>
            </w:pPr>
          </w:p>
        </w:tc>
        <w:tc>
          <w:tcPr>
            <w:tcW w:w="940" w:type="pct"/>
            <w:noWrap w:val="0"/>
            <w:vAlign w:val="top"/>
          </w:tcPr>
          <w:p w14:paraId="268160BB">
            <w:pPr>
              <w:pStyle w:val="384"/>
              <w:spacing w:line="360" w:lineRule="auto"/>
              <w:jc w:val="center"/>
              <w:rPr>
                <w:rFonts w:hint="eastAsia" w:ascii="宋体" w:eastAsia="宋体" w:cs="Times New Roman"/>
                <w:color w:val="auto"/>
                <w:highlight w:val="none"/>
              </w:rPr>
            </w:pPr>
          </w:p>
        </w:tc>
        <w:tc>
          <w:tcPr>
            <w:tcW w:w="851" w:type="pct"/>
            <w:noWrap w:val="0"/>
            <w:vAlign w:val="center"/>
          </w:tcPr>
          <w:p w14:paraId="1F27C067">
            <w:pPr>
              <w:pStyle w:val="384"/>
              <w:spacing w:line="360" w:lineRule="auto"/>
              <w:jc w:val="center"/>
              <w:rPr>
                <w:rFonts w:hint="eastAsia" w:ascii="宋体" w:eastAsia="宋体" w:cs="Times New Roman"/>
                <w:color w:val="auto"/>
                <w:highlight w:val="none"/>
              </w:rPr>
            </w:pPr>
          </w:p>
        </w:tc>
        <w:tc>
          <w:tcPr>
            <w:tcW w:w="976" w:type="pct"/>
            <w:noWrap w:val="0"/>
            <w:vAlign w:val="center"/>
          </w:tcPr>
          <w:p w14:paraId="4BDA2B2D">
            <w:pPr>
              <w:pStyle w:val="384"/>
              <w:spacing w:line="360" w:lineRule="auto"/>
              <w:jc w:val="center"/>
              <w:rPr>
                <w:rFonts w:hint="eastAsia" w:ascii="宋体" w:eastAsia="宋体" w:cs="Times New Roman"/>
                <w:color w:val="auto"/>
                <w:highlight w:val="none"/>
              </w:rPr>
            </w:pPr>
          </w:p>
        </w:tc>
      </w:tr>
      <w:tr w14:paraId="0852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3D4B2938">
            <w:pPr>
              <w:pStyle w:val="384"/>
              <w:spacing w:line="360" w:lineRule="auto"/>
              <w:jc w:val="center"/>
              <w:rPr>
                <w:rFonts w:hint="eastAsia" w:ascii="宋体" w:eastAsia="宋体" w:cs="Times New Roman"/>
                <w:color w:val="auto"/>
                <w:highlight w:val="none"/>
              </w:rPr>
            </w:pPr>
          </w:p>
        </w:tc>
        <w:tc>
          <w:tcPr>
            <w:tcW w:w="1152" w:type="pct"/>
            <w:noWrap w:val="0"/>
            <w:vAlign w:val="center"/>
          </w:tcPr>
          <w:p w14:paraId="057B4C46">
            <w:pPr>
              <w:pStyle w:val="384"/>
              <w:spacing w:line="360" w:lineRule="auto"/>
              <w:jc w:val="center"/>
              <w:rPr>
                <w:rFonts w:hint="eastAsia" w:ascii="宋体" w:eastAsia="宋体" w:cs="Times New Roman"/>
                <w:color w:val="auto"/>
                <w:highlight w:val="none"/>
              </w:rPr>
            </w:pPr>
          </w:p>
        </w:tc>
        <w:tc>
          <w:tcPr>
            <w:tcW w:w="731" w:type="pct"/>
            <w:noWrap w:val="0"/>
            <w:vAlign w:val="center"/>
          </w:tcPr>
          <w:p w14:paraId="72A4593A">
            <w:pPr>
              <w:pStyle w:val="384"/>
              <w:spacing w:line="360" w:lineRule="auto"/>
              <w:jc w:val="center"/>
              <w:rPr>
                <w:rFonts w:hint="eastAsia" w:ascii="宋体" w:eastAsia="宋体" w:cs="Times New Roman"/>
                <w:color w:val="auto"/>
                <w:highlight w:val="none"/>
              </w:rPr>
            </w:pPr>
          </w:p>
        </w:tc>
        <w:tc>
          <w:tcPr>
            <w:tcW w:w="940" w:type="pct"/>
            <w:noWrap w:val="0"/>
            <w:vAlign w:val="top"/>
          </w:tcPr>
          <w:p w14:paraId="7040703B">
            <w:pPr>
              <w:pStyle w:val="384"/>
              <w:spacing w:line="360" w:lineRule="auto"/>
              <w:jc w:val="center"/>
              <w:rPr>
                <w:rFonts w:hint="eastAsia" w:ascii="宋体" w:eastAsia="宋体" w:cs="Times New Roman"/>
                <w:color w:val="auto"/>
                <w:highlight w:val="none"/>
              </w:rPr>
            </w:pPr>
          </w:p>
        </w:tc>
        <w:tc>
          <w:tcPr>
            <w:tcW w:w="851" w:type="pct"/>
            <w:noWrap w:val="0"/>
            <w:vAlign w:val="center"/>
          </w:tcPr>
          <w:p w14:paraId="4EDB5132">
            <w:pPr>
              <w:pStyle w:val="384"/>
              <w:spacing w:line="360" w:lineRule="auto"/>
              <w:jc w:val="center"/>
              <w:rPr>
                <w:rFonts w:hint="eastAsia" w:ascii="宋体" w:eastAsia="宋体" w:cs="Times New Roman"/>
                <w:color w:val="auto"/>
                <w:highlight w:val="none"/>
              </w:rPr>
            </w:pPr>
          </w:p>
        </w:tc>
        <w:tc>
          <w:tcPr>
            <w:tcW w:w="976" w:type="pct"/>
            <w:noWrap w:val="0"/>
            <w:vAlign w:val="center"/>
          </w:tcPr>
          <w:p w14:paraId="6D55586A">
            <w:pPr>
              <w:pStyle w:val="384"/>
              <w:spacing w:line="360" w:lineRule="auto"/>
              <w:jc w:val="center"/>
              <w:rPr>
                <w:rFonts w:hint="eastAsia" w:ascii="宋体" w:eastAsia="宋体" w:cs="Times New Roman"/>
                <w:color w:val="auto"/>
                <w:highlight w:val="none"/>
              </w:rPr>
            </w:pPr>
          </w:p>
        </w:tc>
      </w:tr>
      <w:tr w14:paraId="2DF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5CA3F5FE">
            <w:pPr>
              <w:pStyle w:val="384"/>
              <w:spacing w:line="360" w:lineRule="auto"/>
              <w:jc w:val="center"/>
              <w:rPr>
                <w:rFonts w:hint="eastAsia" w:ascii="宋体" w:eastAsia="宋体" w:cs="Times New Roman"/>
                <w:color w:val="auto"/>
                <w:highlight w:val="none"/>
              </w:rPr>
            </w:pPr>
          </w:p>
        </w:tc>
        <w:tc>
          <w:tcPr>
            <w:tcW w:w="1152" w:type="pct"/>
            <w:noWrap w:val="0"/>
            <w:vAlign w:val="center"/>
          </w:tcPr>
          <w:p w14:paraId="300E2E9E">
            <w:pPr>
              <w:pStyle w:val="384"/>
              <w:spacing w:line="360" w:lineRule="auto"/>
              <w:jc w:val="center"/>
              <w:rPr>
                <w:rFonts w:hint="eastAsia" w:ascii="宋体" w:eastAsia="宋体" w:cs="Times New Roman"/>
                <w:color w:val="auto"/>
                <w:highlight w:val="none"/>
              </w:rPr>
            </w:pPr>
          </w:p>
        </w:tc>
        <w:tc>
          <w:tcPr>
            <w:tcW w:w="731" w:type="pct"/>
            <w:noWrap w:val="0"/>
            <w:vAlign w:val="center"/>
          </w:tcPr>
          <w:p w14:paraId="55A13A81">
            <w:pPr>
              <w:pStyle w:val="384"/>
              <w:spacing w:line="360" w:lineRule="auto"/>
              <w:jc w:val="center"/>
              <w:rPr>
                <w:rFonts w:hint="eastAsia" w:ascii="宋体" w:eastAsia="宋体" w:cs="Times New Roman"/>
                <w:color w:val="auto"/>
                <w:highlight w:val="none"/>
              </w:rPr>
            </w:pPr>
          </w:p>
        </w:tc>
        <w:tc>
          <w:tcPr>
            <w:tcW w:w="940" w:type="pct"/>
            <w:noWrap w:val="0"/>
            <w:vAlign w:val="top"/>
          </w:tcPr>
          <w:p w14:paraId="3FF56F93">
            <w:pPr>
              <w:pStyle w:val="384"/>
              <w:spacing w:line="360" w:lineRule="auto"/>
              <w:jc w:val="center"/>
              <w:rPr>
                <w:rFonts w:hint="eastAsia" w:ascii="宋体" w:eastAsia="宋体" w:cs="Times New Roman"/>
                <w:color w:val="auto"/>
                <w:highlight w:val="none"/>
              </w:rPr>
            </w:pPr>
          </w:p>
        </w:tc>
        <w:tc>
          <w:tcPr>
            <w:tcW w:w="851" w:type="pct"/>
            <w:noWrap w:val="0"/>
            <w:vAlign w:val="center"/>
          </w:tcPr>
          <w:p w14:paraId="678C3418">
            <w:pPr>
              <w:pStyle w:val="384"/>
              <w:spacing w:line="360" w:lineRule="auto"/>
              <w:jc w:val="center"/>
              <w:rPr>
                <w:rFonts w:hint="eastAsia" w:ascii="宋体" w:eastAsia="宋体" w:cs="Times New Roman"/>
                <w:color w:val="auto"/>
                <w:highlight w:val="none"/>
              </w:rPr>
            </w:pPr>
          </w:p>
        </w:tc>
        <w:tc>
          <w:tcPr>
            <w:tcW w:w="976" w:type="pct"/>
            <w:noWrap w:val="0"/>
            <w:vAlign w:val="center"/>
          </w:tcPr>
          <w:p w14:paraId="0233E258">
            <w:pPr>
              <w:pStyle w:val="384"/>
              <w:spacing w:line="360" w:lineRule="auto"/>
              <w:jc w:val="center"/>
              <w:rPr>
                <w:rFonts w:hint="eastAsia" w:ascii="宋体" w:eastAsia="宋体" w:cs="Times New Roman"/>
                <w:color w:val="auto"/>
                <w:highlight w:val="none"/>
              </w:rPr>
            </w:pPr>
          </w:p>
        </w:tc>
      </w:tr>
      <w:tr w14:paraId="474E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41C252F7">
            <w:pPr>
              <w:pStyle w:val="384"/>
              <w:spacing w:line="360" w:lineRule="auto"/>
              <w:jc w:val="center"/>
              <w:rPr>
                <w:rFonts w:hint="eastAsia" w:ascii="宋体" w:eastAsia="宋体" w:cs="Times New Roman"/>
                <w:color w:val="auto"/>
                <w:highlight w:val="none"/>
              </w:rPr>
            </w:pPr>
          </w:p>
        </w:tc>
        <w:tc>
          <w:tcPr>
            <w:tcW w:w="1152" w:type="pct"/>
            <w:noWrap w:val="0"/>
            <w:vAlign w:val="center"/>
          </w:tcPr>
          <w:p w14:paraId="5061D65B">
            <w:pPr>
              <w:pStyle w:val="384"/>
              <w:spacing w:line="360" w:lineRule="auto"/>
              <w:jc w:val="center"/>
              <w:rPr>
                <w:rFonts w:hint="eastAsia" w:ascii="宋体" w:eastAsia="宋体" w:cs="Times New Roman"/>
                <w:color w:val="auto"/>
                <w:highlight w:val="none"/>
              </w:rPr>
            </w:pPr>
          </w:p>
        </w:tc>
        <w:tc>
          <w:tcPr>
            <w:tcW w:w="731" w:type="pct"/>
            <w:noWrap w:val="0"/>
            <w:vAlign w:val="center"/>
          </w:tcPr>
          <w:p w14:paraId="43290458">
            <w:pPr>
              <w:pStyle w:val="384"/>
              <w:spacing w:line="360" w:lineRule="auto"/>
              <w:jc w:val="center"/>
              <w:rPr>
                <w:rFonts w:hint="eastAsia" w:ascii="宋体" w:eastAsia="宋体" w:cs="Times New Roman"/>
                <w:color w:val="auto"/>
                <w:highlight w:val="none"/>
              </w:rPr>
            </w:pPr>
          </w:p>
        </w:tc>
        <w:tc>
          <w:tcPr>
            <w:tcW w:w="940" w:type="pct"/>
            <w:noWrap w:val="0"/>
            <w:vAlign w:val="top"/>
          </w:tcPr>
          <w:p w14:paraId="531BB0CB">
            <w:pPr>
              <w:pStyle w:val="384"/>
              <w:spacing w:line="360" w:lineRule="auto"/>
              <w:jc w:val="center"/>
              <w:rPr>
                <w:rFonts w:hint="eastAsia" w:ascii="宋体" w:eastAsia="宋体" w:cs="Times New Roman"/>
                <w:color w:val="auto"/>
                <w:highlight w:val="none"/>
              </w:rPr>
            </w:pPr>
          </w:p>
        </w:tc>
        <w:tc>
          <w:tcPr>
            <w:tcW w:w="851" w:type="pct"/>
            <w:noWrap w:val="0"/>
            <w:vAlign w:val="center"/>
          </w:tcPr>
          <w:p w14:paraId="35BEB92C">
            <w:pPr>
              <w:pStyle w:val="384"/>
              <w:spacing w:line="360" w:lineRule="auto"/>
              <w:jc w:val="center"/>
              <w:rPr>
                <w:rFonts w:hint="eastAsia" w:ascii="宋体" w:eastAsia="宋体" w:cs="Times New Roman"/>
                <w:color w:val="auto"/>
                <w:highlight w:val="none"/>
              </w:rPr>
            </w:pPr>
          </w:p>
        </w:tc>
        <w:tc>
          <w:tcPr>
            <w:tcW w:w="976" w:type="pct"/>
            <w:noWrap w:val="0"/>
            <w:vAlign w:val="center"/>
          </w:tcPr>
          <w:p w14:paraId="2813609F">
            <w:pPr>
              <w:pStyle w:val="384"/>
              <w:spacing w:line="360" w:lineRule="auto"/>
              <w:jc w:val="center"/>
              <w:rPr>
                <w:rFonts w:hint="eastAsia" w:ascii="宋体" w:eastAsia="宋体" w:cs="Times New Roman"/>
                <w:color w:val="auto"/>
                <w:highlight w:val="none"/>
              </w:rPr>
            </w:pPr>
          </w:p>
        </w:tc>
      </w:tr>
      <w:tr w14:paraId="3D9C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31F27530">
            <w:pPr>
              <w:pStyle w:val="384"/>
              <w:spacing w:line="360" w:lineRule="auto"/>
              <w:jc w:val="center"/>
              <w:rPr>
                <w:rFonts w:hint="eastAsia" w:ascii="宋体" w:eastAsia="宋体" w:cs="Times New Roman"/>
                <w:color w:val="auto"/>
                <w:highlight w:val="none"/>
              </w:rPr>
            </w:pPr>
          </w:p>
        </w:tc>
        <w:tc>
          <w:tcPr>
            <w:tcW w:w="1152" w:type="pct"/>
            <w:noWrap w:val="0"/>
            <w:vAlign w:val="center"/>
          </w:tcPr>
          <w:p w14:paraId="3E46EB68">
            <w:pPr>
              <w:pStyle w:val="384"/>
              <w:spacing w:line="360" w:lineRule="auto"/>
              <w:jc w:val="center"/>
              <w:rPr>
                <w:rFonts w:hint="eastAsia" w:ascii="宋体" w:eastAsia="宋体" w:cs="Times New Roman"/>
                <w:color w:val="auto"/>
                <w:highlight w:val="none"/>
              </w:rPr>
            </w:pPr>
          </w:p>
        </w:tc>
        <w:tc>
          <w:tcPr>
            <w:tcW w:w="731" w:type="pct"/>
            <w:noWrap w:val="0"/>
            <w:vAlign w:val="center"/>
          </w:tcPr>
          <w:p w14:paraId="74423073">
            <w:pPr>
              <w:pStyle w:val="384"/>
              <w:spacing w:line="360" w:lineRule="auto"/>
              <w:jc w:val="center"/>
              <w:rPr>
                <w:rFonts w:hint="eastAsia" w:ascii="宋体" w:eastAsia="宋体" w:cs="Times New Roman"/>
                <w:color w:val="auto"/>
                <w:highlight w:val="none"/>
              </w:rPr>
            </w:pPr>
          </w:p>
        </w:tc>
        <w:tc>
          <w:tcPr>
            <w:tcW w:w="940" w:type="pct"/>
            <w:noWrap w:val="0"/>
            <w:vAlign w:val="top"/>
          </w:tcPr>
          <w:p w14:paraId="15A254F6">
            <w:pPr>
              <w:pStyle w:val="384"/>
              <w:spacing w:line="360" w:lineRule="auto"/>
              <w:jc w:val="center"/>
              <w:rPr>
                <w:rFonts w:hint="eastAsia" w:ascii="宋体" w:eastAsia="宋体" w:cs="Times New Roman"/>
                <w:color w:val="auto"/>
                <w:highlight w:val="none"/>
              </w:rPr>
            </w:pPr>
          </w:p>
        </w:tc>
        <w:tc>
          <w:tcPr>
            <w:tcW w:w="851" w:type="pct"/>
            <w:noWrap w:val="0"/>
            <w:vAlign w:val="center"/>
          </w:tcPr>
          <w:p w14:paraId="72F26922">
            <w:pPr>
              <w:pStyle w:val="384"/>
              <w:spacing w:line="360" w:lineRule="auto"/>
              <w:jc w:val="center"/>
              <w:rPr>
                <w:rFonts w:hint="eastAsia" w:ascii="宋体" w:eastAsia="宋体" w:cs="Times New Roman"/>
                <w:color w:val="auto"/>
                <w:highlight w:val="none"/>
              </w:rPr>
            </w:pPr>
          </w:p>
        </w:tc>
        <w:tc>
          <w:tcPr>
            <w:tcW w:w="976" w:type="pct"/>
            <w:noWrap w:val="0"/>
            <w:vAlign w:val="center"/>
          </w:tcPr>
          <w:p w14:paraId="5C91A638">
            <w:pPr>
              <w:pStyle w:val="384"/>
              <w:spacing w:line="360" w:lineRule="auto"/>
              <w:jc w:val="center"/>
              <w:rPr>
                <w:rFonts w:hint="eastAsia" w:ascii="宋体" w:eastAsia="宋体" w:cs="Times New Roman"/>
                <w:color w:val="auto"/>
                <w:highlight w:val="none"/>
              </w:rPr>
            </w:pPr>
          </w:p>
        </w:tc>
      </w:tr>
      <w:tr w14:paraId="2BA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0F2F3882">
            <w:pPr>
              <w:pStyle w:val="384"/>
              <w:spacing w:line="360" w:lineRule="auto"/>
              <w:jc w:val="center"/>
              <w:rPr>
                <w:rFonts w:hint="eastAsia" w:ascii="宋体" w:eastAsia="宋体" w:cs="Times New Roman"/>
                <w:color w:val="auto"/>
                <w:highlight w:val="none"/>
              </w:rPr>
            </w:pPr>
          </w:p>
        </w:tc>
        <w:tc>
          <w:tcPr>
            <w:tcW w:w="1152" w:type="pct"/>
            <w:noWrap w:val="0"/>
            <w:vAlign w:val="center"/>
          </w:tcPr>
          <w:p w14:paraId="4BBA6DF1">
            <w:pPr>
              <w:pStyle w:val="384"/>
              <w:spacing w:line="360" w:lineRule="auto"/>
              <w:jc w:val="center"/>
              <w:rPr>
                <w:rFonts w:hint="eastAsia" w:ascii="宋体" w:eastAsia="宋体" w:cs="Times New Roman"/>
                <w:color w:val="auto"/>
                <w:highlight w:val="none"/>
              </w:rPr>
            </w:pPr>
          </w:p>
        </w:tc>
        <w:tc>
          <w:tcPr>
            <w:tcW w:w="731" w:type="pct"/>
            <w:noWrap w:val="0"/>
            <w:vAlign w:val="center"/>
          </w:tcPr>
          <w:p w14:paraId="3E7C366B">
            <w:pPr>
              <w:pStyle w:val="384"/>
              <w:spacing w:line="360" w:lineRule="auto"/>
              <w:jc w:val="center"/>
              <w:rPr>
                <w:rFonts w:hint="eastAsia" w:ascii="宋体" w:eastAsia="宋体" w:cs="Times New Roman"/>
                <w:color w:val="auto"/>
                <w:highlight w:val="none"/>
              </w:rPr>
            </w:pPr>
          </w:p>
        </w:tc>
        <w:tc>
          <w:tcPr>
            <w:tcW w:w="940" w:type="pct"/>
            <w:noWrap w:val="0"/>
            <w:vAlign w:val="top"/>
          </w:tcPr>
          <w:p w14:paraId="08D4830E">
            <w:pPr>
              <w:pStyle w:val="384"/>
              <w:spacing w:line="360" w:lineRule="auto"/>
              <w:jc w:val="center"/>
              <w:rPr>
                <w:rFonts w:hint="eastAsia" w:ascii="宋体" w:eastAsia="宋体" w:cs="Times New Roman"/>
                <w:color w:val="auto"/>
                <w:highlight w:val="none"/>
              </w:rPr>
            </w:pPr>
          </w:p>
        </w:tc>
        <w:tc>
          <w:tcPr>
            <w:tcW w:w="851" w:type="pct"/>
            <w:noWrap w:val="0"/>
            <w:vAlign w:val="center"/>
          </w:tcPr>
          <w:p w14:paraId="4FCDBF56">
            <w:pPr>
              <w:pStyle w:val="384"/>
              <w:spacing w:line="360" w:lineRule="auto"/>
              <w:jc w:val="center"/>
              <w:rPr>
                <w:rFonts w:hint="eastAsia" w:ascii="宋体" w:eastAsia="宋体" w:cs="Times New Roman"/>
                <w:color w:val="auto"/>
                <w:highlight w:val="none"/>
              </w:rPr>
            </w:pPr>
          </w:p>
        </w:tc>
        <w:tc>
          <w:tcPr>
            <w:tcW w:w="976" w:type="pct"/>
            <w:noWrap w:val="0"/>
            <w:vAlign w:val="center"/>
          </w:tcPr>
          <w:p w14:paraId="7F6091B6">
            <w:pPr>
              <w:pStyle w:val="384"/>
              <w:spacing w:line="360" w:lineRule="auto"/>
              <w:jc w:val="center"/>
              <w:rPr>
                <w:rFonts w:hint="eastAsia" w:ascii="宋体" w:eastAsia="宋体" w:cs="Times New Roman"/>
                <w:color w:val="auto"/>
                <w:highlight w:val="none"/>
              </w:rPr>
            </w:pPr>
          </w:p>
        </w:tc>
      </w:tr>
      <w:tr w14:paraId="03E3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2AE81212">
            <w:pPr>
              <w:pStyle w:val="384"/>
              <w:spacing w:line="360" w:lineRule="auto"/>
              <w:jc w:val="center"/>
              <w:rPr>
                <w:rFonts w:hint="eastAsia" w:ascii="宋体" w:eastAsia="宋体" w:cs="Times New Roman"/>
                <w:color w:val="auto"/>
                <w:highlight w:val="none"/>
              </w:rPr>
            </w:pPr>
          </w:p>
        </w:tc>
        <w:tc>
          <w:tcPr>
            <w:tcW w:w="1152" w:type="pct"/>
            <w:noWrap w:val="0"/>
            <w:vAlign w:val="center"/>
          </w:tcPr>
          <w:p w14:paraId="3DD72EAD">
            <w:pPr>
              <w:pStyle w:val="384"/>
              <w:spacing w:line="360" w:lineRule="auto"/>
              <w:jc w:val="center"/>
              <w:rPr>
                <w:rFonts w:hint="eastAsia" w:ascii="宋体" w:eastAsia="宋体" w:cs="Times New Roman"/>
                <w:color w:val="auto"/>
                <w:highlight w:val="none"/>
              </w:rPr>
            </w:pPr>
          </w:p>
        </w:tc>
        <w:tc>
          <w:tcPr>
            <w:tcW w:w="731" w:type="pct"/>
            <w:noWrap w:val="0"/>
            <w:vAlign w:val="center"/>
          </w:tcPr>
          <w:p w14:paraId="1CFE8A92">
            <w:pPr>
              <w:pStyle w:val="384"/>
              <w:spacing w:line="360" w:lineRule="auto"/>
              <w:jc w:val="center"/>
              <w:rPr>
                <w:rFonts w:hint="eastAsia" w:ascii="宋体" w:eastAsia="宋体" w:cs="Times New Roman"/>
                <w:color w:val="auto"/>
                <w:highlight w:val="none"/>
              </w:rPr>
            </w:pPr>
          </w:p>
        </w:tc>
        <w:tc>
          <w:tcPr>
            <w:tcW w:w="940" w:type="pct"/>
            <w:noWrap w:val="0"/>
            <w:vAlign w:val="top"/>
          </w:tcPr>
          <w:p w14:paraId="301B8F4F">
            <w:pPr>
              <w:pStyle w:val="384"/>
              <w:spacing w:line="360" w:lineRule="auto"/>
              <w:jc w:val="center"/>
              <w:rPr>
                <w:rFonts w:hint="eastAsia" w:ascii="宋体" w:eastAsia="宋体" w:cs="Times New Roman"/>
                <w:color w:val="auto"/>
                <w:highlight w:val="none"/>
              </w:rPr>
            </w:pPr>
          </w:p>
        </w:tc>
        <w:tc>
          <w:tcPr>
            <w:tcW w:w="851" w:type="pct"/>
            <w:noWrap w:val="0"/>
            <w:vAlign w:val="center"/>
          </w:tcPr>
          <w:p w14:paraId="62E93ADD">
            <w:pPr>
              <w:pStyle w:val="384"/>
              <w:spacing w:line="360" w:lineRule="auto"/>
              <w:jc w:val="center"/>
              <w:rPr>
                <w:rFonts w:hint="eastAsia" w:ascii="宋体" w:eastAsia="宋体" w:cs="Times New Roman"/>
                <w:color w:val="auto"/>
                <w:highlight w:val="none"/>
              </w:rPr>
            </w:pPr>
          </w:p>
        </w:tc>
        <w:tc>
          <w:tcPr>
            <w:tcW w:w="976" w:type="pct"/>
            <w:noWrap w:val="0"/>
            <w:vAlign w:val="center"/>
          </w:tcPr>
          <w:p w14:paraId="7944CE29">
            <w:pPr>
              <w:pStyle w:val="384"/>
              <w:spacing w:line="360" w:lineRule="auto"/>
              <w:jc w:val="center"/>
              <w:rPr>
                <w:rFonts w:hint="eastAsia" w:ascii="宋体" w:eastAsia="宋体" w:cs="Times New Roman"/>
                <w:color w:val="auto"/>
                <w:highlight w:val="none"/>
              </w:rPr>
            </w:pPr>
          </w:p>
        </w:tc>
      </w:tr>
    </w:tbl>
    <w:p w14:paraId="04181033">
      <w:pPr>
        <w:snapToGrid w:val="0"/>
        <w:spacing w:line="480" w:lineRule="auto"/>
        <w:ind w:left="498" w:leftChars="114" w:right="357" w:hanging="259" w:hangingChars="108"/>
        <w:rPr>
          <w:rFonts w:hint="eastAsia" w:ascii="宋体" w:hAnsi="宋体" w:cs="宋体"/>
          <w:color w:val="auto"/>
          <w:sz w:val="24"/>
          <w:highlight w:val="none"/>
        </w:rPr>
      </w:pPr>
      <w:r>
        <w:rPr>
          <w:rFonts w:hint="eastAsia" w:ascii="宋体" w:hAnsi="宋体" w:cs="宋体"/>
          <w:color w:val="auto"/>
          <w:sz w:val="24"/>
          <w:highlight w:val="none"/>
        </w:rPr>
        <w:t>注 1. 投标人应如实列出以上情况，如有隐瞒，一经查实将导致其投标被拒绝。</w:t>
      </w:r>
    </w:p>
    <w:p w14:paraId="003FA4B4">
      <w:pPr>
        <w:pStyle w:val="80"/>
        <w:spacing w:line="480" w:lineRule="auto"/>
        <w:ind w:firstLine="720" w:firstLineChars="300"/>
        <w:rPr>
          <w:color w:val="auto"/>
          <w:highlight w:val="none"/>
        </w:rPr>
      </w:pPr>
      <w:r>
        <w:rPr>
          <w:rFonts w:hint="eastAsia" w:ascii="宋体" w:hAnsi="宋体" w:cs="宋体"/>
          <w:color w:val="auto"/>
          <w:sz w:val="24"/>
          <w:highlight w:val="none"/>
        </w:rPr>
        <w:t>2.</w:t>
      </w:r>
      <w:r>
        <w:rPr>
          <w:rFonts w:ascii="宋体" w:hAnsi="宋体" w:cs="宋体"/>
          <w:color w:val="auto"/>
          <w:sz w:val="24"/>
          <w:szCs w:val="24"/>
          <w:highlight w:val="none"/>
        </w:rPr>
        <w:t>评委保留对上述资料原件审核的权利。</w:t>
      </w:r>
    </w:p>
    <w:p w14:paraId="1276AB4E">
      <w:pPr>
        <w:pStyle w:val="80"/>
        <w:rPr>
          <w:rFonts w:hint="eastAsia"/>
          <w:color w:val="auto"/>
          <w:highlight w:val="none"/>
        </w:rPr>
      </w:pPr>
    </w:p>
    <w:p w14:paraId="00AFFECA">
      <w:pPr>
        <w:tabs>
          <w:tab w:val="left" w:pos="4860"/>
        </w:tabs>
        <w:spacing w:line="588" w:lineRule="exact"/>
        <w:ind w:right="1560" w:firstLine="504" w:firstLineChars="200"/>
        <w:jc w:val="right"/>
        <w:rPr>
          <w:color w:val="auto"/>
          <w:spacing w:val="6"/>
          <w:sz w:val="24"/>
          <w:highlight w:val="none"/>
        </w:rPr>
      </w:pPr>
      <w:r>
        <w:rPr>
          <w:color w:val="auto"/>
          <w:spacing w:val="6"/>
          <w:sz w:val="24"/>
          <w:highlight w:val="none"/>
        </w:rPr>
        <w:t xml:space="preserve">  单位名称（盖章）：</w:t>
      </w:r>
    </w:p>
    <w:p w14:paraId="43E249B9">
      <w:pPr>
        <w:tabs>
          <w:tab w:val="left" w:pos="4860"/>
        </w:tabs>
        <w:spacing w:line="588" w:lineRule="exact"/>
        <w:ind w:right="1560" w:firstLine="4032" w:firstLineChars="1600"/>
        <w:jc w:val="right"/>
        <w:rPr>
          <w:color w:val="auto"/>
          <w:spacing w:val="6"/>
          <w:sz w:val="24"/>
          <w:highlight w:val="none"/>
        </w:rPr>
      </w:pPr>
      <w:r>
        <w:rPr>
          <w:color w:val="auto"/>
          <w:spacing w:val="6"/>
          <w:sz w:val="24"/>
          <w:highlight w:val="none"/>
        </w:rPr>
        <w:t>日  期：</w:t>
      </w:r>
    </w:p>
    <w:p w14:paraId="38B20C66">
      <w:pPr>
        <w:spacing w:line="360" w:lineRule="auto"/>
        <w:rPr>
          <w:color w:val="auto"/>
          <w:szCs w:val="20"/>
          <w:highlight w:val="none"/>
        </w:rPr>
      </w:pPr>
    </w:p>
    <w:p w14:paraId="6BBF70BF">
      <w:pPr>
        <w:spacing w:line="360" w:lineRule="auto"/>
        <w:rPr>
          <w:color w:val="auto"/>
          <w:szCs w:val="20"/>
          <w:highlight w:val="none"/>
        </w:rPr>
      </w:pPr>
    </w:p>
    <w:p w14:paraId="35947283">
      <w:pPr>
        <w:spacing w:line="360" w:lineRule="auto"/>
        <w:rPr>
          <w:color w:val="auto"/>
          <w:szCs w:val="20"/>
          <w:highlight w:val="none"/>
        </w:rPr>
      </w:pPr>
    </w:p>
    <w:p w14:paraId="1608F542">
      <w:pPr>
        <w:spacing w:line="360" w:lineRule="auto"/>
        <w:rPr>
          <w:color w:val="auto"/>
          <w:szCs w:val="20"/>
          <w:highlight w:val="none"/>
        </w:rPr>
      </w:pPr>
    </w:p>
    <w:p w14:paraId="196384A3">
      <w:pPr>
        <w:spacing w:line="360" w:lineRule="auto"/>
        <w:rPr>
          <w:color w:val="auto"/>
          <w:szCs w:val="20"/>
          <w:highlight w:val="none"/>
        </w:rPr>
      </w:pPr>
    </w:p>
    <w:p w14:paraId="43EC7DD1">
      <w:pPr>
        <w:spacing w:line="360" w:lineRule="auto"/>
        <w:rPr>
          <w:color w:val="auto"/>
          <w:szCs w:val="20"/>
          <w:highlight w:val="none"/>
        </w:rPr>
      </w:pPr>
    </w:p>
    <w:p w14:paraId="654CF311">
      <w:pPr>
        <w:spacing w:line="360" w:lineRule="auto"/>
        <w:rPr>
          <w:color w:val="auto"/>
          <w:szCs w:val="20"/>
          <w:highlight w:val="none"/>
        </w:rPr>
      </w:pPr>
    </w:p>
    <w:p w14:paraId="1C6862B8">
      <w:pPr>
        <w:spacing w:line="360" w:lineRule="auto"/>
        <w:rPr>
          <w:color w:val="auto"/>
          <w:sz w:val="24"/>
          <w:szCs w:val="20"/>
          <w:highlight w:val="none"/>
        </w:rPr>
      </w:pPr>
      <w:r>
        <w:rPr>
          <w:rFonts w:hint="eastAsia" w:ascii="宋体" w:hAnsi="宋体" w:cs="宋体"/>
          <w:color w:val="auto"/>
          <w:sz w:val="30"/>
          <w:szCs w:val="30"/>
          <w:highlight w:val="none"/>
        </w:rPr>
        <w:t>9 招标文件要求提供或投标人认为应附的其他材料</w:t>
      </w:r>
    </w:p>
    <w:p w14:paraId="3B1DB66E">
      <w:pPr>
        <w:autoSpaceDE w:val="0"/>
        <w:autoSpaceDN w:val="0"/>
        <w:adjustRightInd w:val="0"/>
        <w:spacing w:line="480" w:lineRule="auto"/>
        <w:jc w:val="center"/>
        <w:rPr>
          <w:rFonts w:ascii="宋体" w:hAnsi="宋体" w:cs="宋体"/>
          <w:color w:val="auto"/>
          <w:sz w:val="24"/>
          <w:highlight w:val="none"/>
        </w:rPr>
      </w:pPr>
    </w:p>
    <w:p w14:paraId="7970E474">
      <w:pPr>
        <w:spacing w:line="480" w:lineRule="auto"/>
        <w:jc w:val="left"/>
        <w:rPr>
          <w:rFonts w:hint="eastAsia" w:ascii="宋体" w:hAnsi="宋体"/>
          <w:b/>
          <w:color w:val="auto"/>
          <w:sz w:val="30"/>
          <w:szCs w:val="30"/>
          <w:highlight w:val="none"/>
        </w:rPr>
      </w:pPr>
    </w:p>
    <w:p w14:paraId="124C9D0C">
      <w:pPr>
        <w:pStyle w:val="86"/>
        <w:ind w:firstLine="301"/>
        <w:rPr>
          <w:rFonts w:hint="eastAsia" w:hAnsi="宋体"/>
          <w:b/>
          <w:color w:val="auto"/>
          <w:sz w:val="30"/>
          <w:szCs w:val="30"/>
          <w:highlight w:val="none"/>
        </w:rPr>
      </w:pPr>
    </w:p>
    <w:p w14:paraId="40DCC810">
      <w:pPr>
        <w:pStyle w:val="68"/>
        <w:rPr>
          <w:rFonts w:hint="eastAsia" w:ascii="宋体" w:hAnsi="宋体"/>
          <w:b/>
          <w:color w:val="auto"/>
          <w:sz w:val="30"/>
          <w:szCs w:val="30"/>
          <w:highlight w:val="none"/>
        </w:rPr>
      </w:pPr>
    </w:p>
    <w:p w14:paraId="44869CD0">
      <w:pPr>
        <w:rPr>
          <w:rFonts w:hint="eastAsia" w:ascii="宋体" w:hAnsi="宋体"/>
          <w:b/>
          <w:color w:val="auto"/>
          <w:sz w:val="30"/>
          <w:szCs w:val="30"/>
          <w:highlight w:val="none"/>
        </w:rPr>
      </w:pPr>
    </w:p>
    <w:p w14:paraId="2310ABCE">
      <w:pPr>
        <w:pStyle w:val="86"/>
        <w:ind w:firstLine="301"/>
        <w:rPr>
          <w:rFonts w:hint="eastAsia" w:hAnsi="宋体"/>
          <w:b/>
          <w:color w:val="auto"/>
          <w:sz w:val="30"/>
          <w:szCs w:val="30"/>
          <w:highlight w:val="none"/>
        </w:rPr>
      </w:pPr>
    </w:p>
    <w:p w14:paraId="78CB4C86">
      <w:pPr>
        <w:pStyle w:val="68"/>
        <w:rPr>
          <w:rFonts w:hint="eastAsia" w:ascii="宋体" w:hAnsi="宋体"/>
          <w:b/>
          <w:color w:val="auto"/>
          <w:sz w:val="30"/>
          <w:szCs w:val="30"/>
          <w:highlight w:val="none"/>
        </w:rPr>
      </w:pPr>
    </w:p>
    <w:p w14:paraId="01BD3B45">
      <w:pPr>
        <w:rPr>
          <w:rFonts w:hint="eastAsia" w:ascii="宋体" w:hAnsi="宋体"/>
          <w:b/>
          <w:color w:val="auto"/>
          <w:sz w:val="30"/>
          <w:szCs w:val="30"/>
          <w:highlight w:val="none"/>
        </w:rPr>
      </w:pPr>
    </w:p>
    <w:p w14:paraId="160E8F59">
      <w:pPr>
        <w:pStyle w:val="86"/>
        <w:ind w:firstLine="301"/>
        <w:rPr>
          <w:rFonts w:hint="eastAsia" w:hAnsi="宋体"/>
          <w:b/>
          <w:color w:val="auto"/>
          <w:sz w:val="30"/>
          <w:szCs w:val="30"/>
          <w:highlight w:val="none"/>
        </w:rPr>
      </w:pPr>
    </w:p>
    <w:p w14:paraId="5F3CB5A4">
      <w:pPr>
        <w:pStyle w:val="68"/>
        <w:rPr>
          <w:rFonts w:hint="eastAsia" w:ascii="宋体" w:hAnsi="宋体"/>
          <w:b/>
          <w:color w:val="auto"/>
          <w:sz w:val="30"/>
          <w:szCs w:val="30"/>
          <w:highlight w:val="none"/>
        </w:rPr>
      </w:pPr>
    </w:p>
    <w:p w14:paraId="385E9D27">
      <w:pPr>
        <w:rPr>
          <w:rFonts w:hint="eastAsia" w:ascii="宋体" w:hAnsi="宋体"/>
          <w:b/>
          <w:color w:val="auto"/>
          <w:sz w:val="30"/>
          <w:szCs w:val="30"/>
          <w:highlight w:val="none"/>
        </w:rPr>
      </w:pPr>
    </w:p>
    <w:p w14:paraId="79A47932">
      <w:pPr>
        <w:pStyle w:val="86"/>
        <w:ind w:firstLine="301"/>
        <w:rPr>
          <w:rFonts w:hint="eastAsia" w:hAnsi="宋体"/>
          <w:b/>
          <w:color w:val="auto"/>
          <w:sz w:val="30"/>
          <w:szCs w:val="30"/>
          <w:highlight w:val="none"/>
        </w:rPr>
      </w:pPr>
    </w:p>
    <w:p w14:paraId="6ED035A3">
      <w:pPr>
        <w:pStyle w:val="68"/>
        <w:rPr>
          <w:rFonts w:hint="eastAsia" w:ascii="宋体" w:hAnsi="宋体"/>
          <w:b/>
          <w:color w:val="auto"/>
          <w:sz w:val="30"/>
          <w:szCs w:val="30"/>
          <w:highlight w:val="none"/>
        </w:rPr>
      </w:pPr>
    </w:p>
    <w:p w14:paraId="0E8E6360">
      <w:pPr>
        <w:rPr>
          <w:rFonts w:hint="eastAsia" w:ascii="宋体" w:hAnsi="宋体"/>
          <w:b/>
          <w:color w:val="auto"/>
          <w:sz w:val="30"/>
          <w:szCs w:val="30"/>
          <w:highlight w:val="none"/>
        </w:rPr>
      </w:pPr>
    </w:p>
    <w:p w14:paraId="09BBAA54">
      <w:pPr>
        <w:pStyle w:val="86"/>
        <w:ind w:firstLine="301"/>
        <w:rPr>
          <w:rFonts w:hint="eastAsia" w:hAnsi="宋体"/>
          <w:b/>
          <w:color w:val="auto"/>
          <w:sz w:val="30"/>
          <w:szCs w:val="30"/>
          <w:highlight w:val="none"/>
        </w:rPr>
      </w:pPr>
    </w:p>
    <w:p w14:paraId="23AF0837">
      <w:pPr>
        <w:pStyle w:val="68"/>
        <w:rPr>
          <w:rFonts w:hint="eastAsia" w:ascii="宋体" w:hAnsi="宋体"/>
          <w:b/>
          <w:color w:val="auto"/>
          <w:sz w:val="30"/>
          <w:szCs w:val="30"/>
          <w:highlight w:val="none"/>
        </w:rPr>
      </w:pPr>
    </w:p>
    <w:p w14:paraId="33DDA7DA">
      <w:pPr>
        <w:rPr>
          <w:rFonts w:hint="eastAsia" w:ascii="宋体" w:hAnsi="宋体"/>
          <w:b/>
          <w:color w:val="auto"/>
          <w:sz w:val="30"/>
          <w:szCs w:val="30"/>
          <w:highlight w:val="none"/>
        </w:rPr>
      </w:pPr>
    </w:p>
    <w:p w14:paraId="3A25EF7D">
      <w:pPr>
        <w:pStyle w:val="86"/>
        <w:ind w:firstLine="301"/>
        <w:rPr>
          <w:rFonts w:hint="eastAsia" w:hAnsi="宋体"/>
          <w:b/>
          <w:color w:val="auto"/>
          <w:sz w:val="30"/>
          <w:szCs w:val="30"/>
          <w:highlight w:val="none"/>
        </w:rPr>
      </w:pPr>
    </w:p>
    <w:p w14:paraId="0A953C46">
      <w:pPr>
        <w:pStyle w:val="68"/>
        <w:rPr>
          <w:rFonts w:hint="eastAsia" w:ascii="宋体" w:hAnsi="宋体"/>
          <w:b/>
          <w:color w:val="auto"/>
          <w:sz w:val="30"/>
          <w:szCs w:val="30"/>
          <w:highlight w:val="none"/>
        </w:rPr>
      </w:pPr>
    </w:p>
    <w:p w14:paraId="63D80072">
      <w:pPr>
        <w:rPr>
          <w:rFonts w:hint="eastAsia"/>
          <w:color w:val="auto"/>
          <w:highlight w:val="none"/>
        </w:rPr>
      </w:pPr>
    </w:p>
    <w:p w14:paraId="341927CD">
      <w:pPr>
        <w:spacing w:line="480" w:lineRule="auto"/>
        <w:jc w:val="left"/>
        <w:rPr>
          <w:rFonts w:hint="eastAsia" w:ascii="宋体" w:hAnsi="宋体"/>
          <w:b/>
          <w:color w:val="auto"/>
          <w:sz w:val="30"/>
          <w:szCs w:val="30"/>
          <w:highlight w:val="none"/>
        </w:rPr>
      </w:pPr>
    </w:p>
    <w:p w14:paraId="6C20F80A">
      <w:pPr>
        <w:spacing w:line="48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资格证明文件格式</w:t>
      </w:r>
    </w:p>
    <w:p w14:paraId="4298AF50">
      <w:pPr>
        <w:spacing w:line="360" w:lineRule="auto"/>
        <w:rPr>
          <w:color w:val="auto"/>
          <w:sz w:val="24"/>
          <w:szCs w:val="20"/>
          <w:highlight w:val="none"/>
        </w:rPr>
      </w:pPr>
      <w:r>
        <w:rPr>
          <w:rFonts w:hint="eastAsia" w:ascii="宋体" w:hAnsi="宋体" w:cs="宋体"/>
          <w:color w:val="auto"/>
          <w:sz w:val="24"/>
          <w:szCs w:val="20"/>
          <w:highlight w:val="none"/>
        </w:rPr>
        <w:t xml:space="preserve">1 </w:t>
      </w:r>
      <w:r>
        <w:rPr>
          <w:color w:val="auto"/>
          <w:sz w:val="24"/>
          <w:highlight w:val="none"/>
        </w:rPr>
        <w:t>满足《中华人民共和国政府采购法》第二十二条规定及法律法规的其他规定</w:t>
      </w:r>
    </w:p>
    <w:p w14:paraId="6E363C89">
      <w:pPr>
        <w:spacing w:line="360" w:lineRule="auto"/>
        <w:rPr>
          <w:color w:val="auto"/>
          <w:sz w:val="24"/>
          <w:szCs w:val="20"/>
          <w:highlight w:val="none"/>
        </w:rPr>
      </w:pPr>
      <w:r>
        <w:rPr>
          <w:rFonts w:hint="eastAsia" w:ascii="宋体" w:hAnsi="宋体" w:cs="宋体"/>
          <w:color w:val="auto"/>
          <w:sz w:val="24"/>
          <w:szCs w:val="20"/>
          <w:highlight w:val="none"/>
        </w:rPr>
        <w:t>1-1</w:t>
      </w:r>
      <w:r>
        <w:rPr>
          <w:color w:val="auto"/>
          <w:sz w:val="24"/>
          <w:szCs w:val="20"/>
          <w:highlight w:val="none"/>
        </w:rPr>
        <w:t>营业执照等证明文件</w:t>
      </w:r>
    </w:p>
    <w:p w14:paraId="7615E11C">
      <w:pPr>
        <w:spacing w:line="360" w:lineRule="auto"/>
        <w:jc w:val="center"/>
        <w:rPr>
          <w:rFonts w:hint="eastAsia" w:ascii="宋体" w:hAnsi="宋体"/>
          <w:b/>
          <w:color w:val="auto"/>
          <w:sz w:val="30"/>
          <w:szCs w:val="30"/>
          <w:highlight w:val="none"/>
        </w:rPr>
      </w:pPr>
    </w:p>
    <w:p w14:paraId="7C022295">
      <w:pPr>
        <w:pStyle w:val="80"/>
        <w:rPr>
          <w:rFonts w:hint="eastAsia" w:ascii="宋体" w:hAnsi="宋体"/>
          <w:b/>
          <w:color w:val="auto"/>
          <w:sz w:val="30"/>
          <w:szCs w:val="30"/>
          <w:highlight w:val="none"/>
        </w:rPr>
      </w:pPr>
    </w:p>
    <w:p w14:paraId="4EDA5FBB">
      <w:pPr>
        <w:pStyle w:val="80"/>
        <w:rPr>
          <w:rFonts w:hint="eastAsia" w:ascii="宋体" w:hAnsi="宋体"/>
          <w:b/>
          <w:color w:val="auto"/>
          <w:sz w:val="30"/>
          <w:szCs w:val="30"/>
          <w:highlight w:val="none"/>
        </w:rPr>
      </w:pPr>
    </w:p>
    <w:p w14:paraId="6389269F">
      <w:pPr>
        <w:pStyle w:val="80"/>
        <w:rPr>
          <w:rFonts w:hint="eastAsia" w:ascii="宋体" w:hAnsi="宋体"/>
          <w:b/>
          <w:color w:val="auto"/>
          <w:sz w:val="30"/>
          <w:szCs w:val="30"/>
          <w:highlight w:val="none"/>
        </w:rPr>
      </w:pPr>
    </w:p>
    <w:p w14:paraId="63FD6CB0">
      <w:pPr>
        <w:pStyle w:val="80"/>
        <w:rPr>
          <w:rFonts w:hint="eastAsia" w:ascii="宋体" w:hAnsi="宋体"/>
          <w:b/>
          <w:color w:val="auto"/>
          <w:sz w:val="30"/>
          <w:szCs w:val="30"/>
          <w:highlight w:val="none"/>
        </w:rPr>
      </w:pPr>
    </w:p>
    <w:p w14:paraId="6610DE06">
      <w:pPr>
        <w:pStyle w:val="80"/>
        <w:rPr>
          <w:rFonts w:hint="eastAsia" w:ascii="宋体" w:hAnsi="宋体"/>
          <w:b/>
          <w:color w:val="auto"/>
          <w:sz w:val="30"/>
          <w:szCs w:val="30"/>
          <w:highlight w:val="none"/>
        </w:rPr>
      </w:pPr>
    </w:p>
    <w:p w14:paraId="4FF48AE8">
      <w:pPr>
        <w:pStyle w:val="80"/>
        <w:rPr>
          <w:rFonts w:hint="eastAsia" w:ascii="宋体" w:hAnsi="宋体"/>
          <w:b/>
          <w:color w:val="auto"/>
          <w:sz w:val="30"/>
          <w:szCs w:val="30"/>
          <w:highlight w:val="none"/>
        </w:rPr>
      </w:pPr>
    </w:p>
    <w:p w14:paraId="3C9488B5">
      <w:pPr>
        <w:pStyle w:val="80"/>
        <w:rPr>
          <w:rFonts w:hint="eastAsia" w:ascii="宋体" w:hAnsi="宋体"/>
          <w:b/>
          <w:color w:val="auto"/>
          <w:sz w:val="30"/>
          <w:szCs w:val="30"/>
          <w:highlight w:val="none"/>
        </w:rPr>
      </w:pPr>
    </w:p>
    <w:p w14:paraId="3F955854">
      <w:pPr>
        <w:pStyle w:val="80"/>
        <w:rPr>
          <w:rFonts w:hint="eastAsia" w:ascii="宋体" w:hAnsi="宋体"/>
          <w:b/>
          <w:color w:val="auto"/>
          <w:sz w:val="30"/>
          <w:szCs w:val="30"/>
          <w:highlight w:val="none"/>
        </w:rPr>
      </w:pPr>
    </w:p>
    <w:p w14:paraId="745E0CD3">
      <w:pPr>
        <w:pStyle w:val="80"/>
        <w:rPr>
          <w:rFonts w:hint="eastAsia" w:ascii="宋体" w:hAnsi="宋体"/>
          <w:b/>
          <w:color w:val="auto"/>
          <w:sz w:val="30"/>
          <w:szCs w:val="30"/>
          <w:highlight w:val="none"/>
        </w:rPr>
      </w:pPr>
    </w:p>
    <w:p w14:paraId="47584B5C">
      <w:pPr>
        <w:pStyle w:val="80"/>
        <w:rPr>
          <w:rFonts w:hint="eastAsia" w:ascii="宋体" w:hAnsi="宋体"/>
          <w:b/>
          <w:color w:val="auto"/>
          <w:sz w:val="30"/>
          <w:szCs w:val="30"/>
          <w:highlight w:val="none"/>
        </w:rPr>
      </w:pPr>
    </w:p>
    <w:p w14:paraId="7B90FE7C">
      <w:pPr>
        <w:pStyle w:val="80"/>
        <w:rPr>
          <w:rFonts w:hint="eastAsia" w:ascii="宋体" w:hAnsi="宋体"/>
          <w:b/>
          <w:color w:val="auto"/>
          <w:sz w:val="30"/>
          <w:szCs w:val="30"/>
          <w:highlight w:val="none"/>
        </w:rPr>
      </w:pPr>
    </w:p>
    <w:p w14:paraId="67E0BFEB">
      <w:pPr>
        <w:pStyle w:val="80"/>
        <w:rPr>
          <w:rFonts w:hint="eastAsia" w:ascii="宋体" w:hAnsi="宋体"/>
          <w:b/>
          <w:color w:val="auto"/>
          <w:sz w:val="30"/>
          <w:szCs w:val="30"/>
          <w:highlight w:val="none"/>
        </w:rPr>
      </w:pPr>
    </w:p>
    <w:p w14:paraId="2E27E6F3">
      <w:pPr>
        <w:pStyle w:val="80"/>
        <w:rPr>
          <w:rFonts w:hint="eastAsia" w:ascii="宋体" w:hAnsi="宋体"/>
          <w:b/>
          <w:color w:val="auto"/>
          <w:sz w:val="30"/>
          <w:szCs w:val="30"/>
          <w:highlight w:val="none"/>
        </w:rPr>
      </w:pPr>
    </w:p>
    <w:p w14:paraId="458E75C5">
      <w:pPr>
        <w:pStyle w:val="80"/>
        <w:rPr>
          <w:rFonts w:hint="eastAsia" w:ascii="宋体" w:hAnsi="宋体"/>
          <w:b/>
          <w:color w:val="auto"/>
          <w:sz w:val="30"/>
          <w:szCs w:val="30"/>
          <w:highlight w:val="none"/>
        </w:rPr>
      </w:pPr>
    </w:p>
    <w:p w14:paraId="6FA83358">
      <w:pPr>
        <w:pStyle w:val="80"/>
        <w:rPr>
          <w:rFonts w:hint="eastAsia" w:ascii="宋体" w:hAnsi="宋体"/>
          <w:b/>
          <w:color w:val="auto"/>
          <w:sz w:val="30"/>
          <w:szCs w:val="30"/>
          <w:highlight w:val="none"/>
        </w:rPr>
      </w:pPr>
    </w:p>
    <w:p w14:paraId="46CEB016">
      <w:pPr>
        <w:pStyle w:val="80"/>
        <w:rPr>
          <w:rFonts w:hint="eastAsia" w:ascii="宋体" w:hAnsi="宋体"/>
          <w:b/>
          <w:color w:val="auto"/>
          <w:sz w:val="30"/>
          <w:szCs w:val="30"/>
          <w:highlight w:val="none"/>
        </w:rPr>
      </w:pPr>
    </w:p>
    <w:p w14:paraId="0D74BD93">
      <w:pPr>
        <w:pStyle w:val="80"/>
        <w:rPr>
          <w:rFonts w:hint="eastAsia" w:ascii="宋体" w:hAnsi="宋体"/>
          <w:b/>
          <w:color w:val="auto"/>
          <w:sz w:val="30"/>
          <w:szCs w:val="30"/>
          <w:highlight w:val="none"/>
        </w:rPr>
      </w:pPr>
    </w:p>
    <w:p w14:paraId="45123A95">
      <w:pPr>
        <w:pStyle w:val="80"/>
        <w:rPr>
          <w:rFonts w:hint="eastAsia" w:ascii="宋体" w:hAnsi="宋体"/>
          <w:b/>
          <w:color w:val="auto"/>
          <w:sz w:val="30"/>
          <w:szCs w:val="30"/>
          <w:highlight w:val="none"/>
        </w:rPr>
      </w:pPr>
    </w:p>
    <w:p w14:paraId="7D235999">
      <w:pPr>
        <w:pStyle w:val="80"/>
        <w:rPr>
          <w:rFonts w:hint="eastAsia" w:ascii="宋体" w:hAnsi="宋体"/>
          <w:b/>
          <w:color w:val="auto"/>
          <w:sz w:val="30"/>
          <w:szCs w:val="30"/>
          <w:highlight w:val="none"/>
        </w:rPr>
      </w:pPr>
    </w:p>
    <w:p w14:paraId="153F1444">
      <w:pPr>
        <w:spacing w:line="360" w:lineRule="auto"/>
        <w:rPr>
          <w:rFonts w:hint="eastAsia" w:ascii="宋体"/>
          <w:b/>
          <w:color w:val="auto"/>
          <w:sz w:val="24"/>
          <w:highlight w:val="none"/>
        </w:rPr>
      </w:pPr>
    </w:p>
    <w:p w14:paraId="65F747FF">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 投标人资格声明书（实质性格式）</w:t>
      </w:r>
    </w:p>
    <w:p w14:paraId="6F604B1A">
      <w:pPr>
        <w:jc w:val="center"/>
        <w:rPr>
          <w:color w:val="auto"/>
          <w:sz w:val="24"/>
          <w:highlight w:val="none"/>
        </w:rPr>
      </w:pPr>
      <w:r>
        <w:rPr>
          <w:rFonts w:hint="eastAsia"/>
          <w:b/>
          <w:color w:val="auto"/>
          <w:sz w:val="36"/>
          <w:szCs w:val="36"/>
          <w:highlight w:val="none"/>
        </w:rPr>
        <w:t>投标人资格声明书</w:t>
      </w:r>
    </w:p>
    <w:p w14:paraId="2584D932">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2EDD4174">
      <w:pPr>
        <w:spacing w:line="360" w:lineRule="auto"/>
        <w:ind w:firstLine="480" w:firstLineChars="200"/>
        <w:rPr>
          <w:color w:val="auto"/>
          <w:sz w:val="24"/>
          <w:highlight w:val="none"/>
        </w:rPr>
      </w:pPr>
      <w:r>
        <w:rPr>
          <w:color w:val="auto"/>
          <w:sz w:val="24"/>
          <w:highlight w:val="none"/>
        </w:rPr>
        <w:t>在参与本次项目投标中，我单位承诺：</w:t>
      </w:r>
    </w:p>
    <w:p w14:paraId="0A319C72">
      <w:pPr>
        <w:numPr>
          <w:ilvl w:val="0"/>
          <w:numId w:val="38"/>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5D4AE94C">
      <w:pPr>
        <w:numPr>
          <w:ilvl w:val="0"/>
          <w:numId w:val="38"/>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0AD810CA">
      <w:pPr>
        <w:numPr>
          <w:ilvl w:val="0"/>
          <w:numId w:val="38"/>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66F6A100">
      <w:pPr>
        <w:numPr>
          <w:ilvl w:val="0"/>
          <w:numId w:val="38"/>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2BEA8B">
      <w:pPr>
        <w:numPr>
          <w:ilvl w:val="0"/>
          <w:numId w:val="38"/>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773C57E4">
      <w:pPr>
        <w:numPr>
          <w:ilvl w:val="0"/>
          <w:numId w:val="38"/>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51543F46">
      <w:pPr>
        <w:numPr>
          <w:ilvl w:val="0"/>
          <w:numId w:val="38"/>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6BA8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49EB633">
            <w:pPr>
              <w:jc w:val="center"/>
              <w:rPr>
                <w:rFonts w:eastAsia="宋体" w:cs="Times New Roman"/>
                <w:color w:val="auto"/>
                <w:sz w:val="24"/>
                <w:highlight w:val="none"/>
              </w:rPr>
            </w:pPr>
            <w:r>
              <w:rPr>
                <w:rFonts w:eastAsia="宋体" w:cs="Times New Roman"/>
                <w:color w:val="auto"/>
                <w:sz w:val="24"/>
                <w:highlight w:val="none"/>
              </w:rPr>
              <w:t>序号</w:t>
            </w:r>
          </w:p>
        </w:tc>
        <w:tc>
          <w:tcPr>
            <w:tcW w:w="4574" w:type="dxa"/>
            <w:noWrap w:val="0"/>
            <w:vAlign w:val="center"/>
          </w:tcPr>
          <w:p w14:paraId="7CDAF25F">
            <w:pPr>
              <w:jc w:val="center"/>
              <w:rPr>
                <w:rFonts w:eastAsia="宋体" w:cs="Times New Roman"/>
                <w:color w:val="auto"/>
                <w:sz w:val="24"/>
                <w:highlight w:val="none"/>
              </w:rPr>
            </w:pPr>
            <w:r>
              <w:rPr>
                <w:rFonts w:eastAsia="宋体" w:cs="Times New Roman"/>
                <w:color w:val="auto"/>
                <w:sz w:val="24"/>
                <w:highlight w:val="none"/>
              </w:rPr>
              <w:t>单位名称</w:t>
            </w:r>
          </w:p>
        </w:tc>
        <w:tc>
          <w:tcPr>
            <w:tcW w:w="2976" w:type="dxa"/>
            <w:noWrap w:val="0"/>
            <w:vAlign w:val="center"/>
          </w:tcPr>
          <w:p w14:paraId="5E024CB3">
            <w:pPr>
              <w:jc w:val="center"/>
              <w:rPr>
                <w:rFonts w:eastAsia="宋体" w:cs="Times New Roman"/>
                <w:color w:val="auto"/>
                <w:sz w:val="24"/>
                <w:highlight w:val="none"/>
              </w:rPr>
            </w:pPr>
            <w:r>
              <w:rPr>
                <w:rFonts w:eastAsia="宋体" w:cs="Times New Roman"/>
                <w:color w:val="auto"/>
                <w:sz w:val="24"/>
                <w:highlight w:val="none"/>
              </w:rPr>
              <w:t>相互关系</w:t>
            </w:r>
          </w:p>
        </w:tc>
      </w:tr>
      <w:tr w14:paraId="55DBD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C96E39E">
            <w:pPr>
              <w:jc w:val="center"/>
              <w:rPr>
                <w:rFonts w:eastAsia="宋体" w:cs="Times New Roman"/>
                <w:color w:val="auto"/>
                <w:sz w:val="24"/>
                <w:highlight w:val="none"/>
              </w:rPr>
            </w:pPr>
            <w:r>
              <w:rPr>
                <w:rFonts w:eastAsia="宋体" w:cs="Times New Roman"/>
                <w:color w:val="auto"/>
                <w:sz w:val="24"/>
                <w:highlight w:val="none"/>
              </w:rPr>
              <w:t>1</w:t>
            </w:r>
          </w:p>
        </w:tc>
        <w:tc>
          <w:tcPr>
            <w:tcW w:w="4574" w:type="dxa"/>
            <w:noWrap w:val="0"/>
            <w:vAlign w:val="center"/>
          </w:tcPr>
          <w:p w14:paraId="1912F4E8">
            <w:pPr>
              <w:jc w:val="center"/>
              <w:rPr>
                <w:rFonts w:eastAsia="宋体" w:cs="Times New Roman"/>
                <w:color w:val="auto"/>
                <w:sz w:val="24"/>
                <w:highlight w:val="none"/>
              </w:rPr>
            </w:pPr>
          </w:p>
        </w:tc>
        <w:tc>
          <w:tcPr>
            <w:tcW w:w="2976" w:type="dxa"/>
            <w:noWrap w:val="0"/>
            <w:vAlign w:val="center"/>
          </w:tcPr>
          <w:p w14:paraId="259CEB8A">
            <w:pPr>
              <w:jc w:val="center"/>
              <w:rPr>
                <w:rFonts w:eastAsia="宋体" w:cs="Times New Roman"/>
                <w:color w:val="auto"/>
                <w:sz w:val="24"/>
                <w:highlight w:val="none"/>
              </w:rPr>
            </w:pPr>
          </w:p>
        </w:tc>
      </w:tr>
      <w:tr w14:paraId="7450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559CBC9">
            <w:pPr>
              <w:jc w:val="center"/>
              <w:rPr>
                <w:rFonts w:eastAsia="宋体" w:cs="Times New Roman"/>
                <w:color w:val="auto"/>
                <w:sz w:val="24"/>
                <w:highlight w:val="none"/>
              </w:rPr>
            </w:pPr>
            <w:r>
              <w:rPr>
                <w:rFonts w:eastAsia="宋体" w:cs="Times New Roman"/>
                <w:color w:val="auto"/>
                <w:sz w:val="24"/>
                <w:highlight w:val="none"/>
              </w:rPr>
              <w:t>2</w:t>
            </w:r>
          </w:p>
        </w:tc>
        <w:tc>
          <w:tcPr>
            <w:tcW w:w="4574" w:type="dxa"/>
            <w:noWrap w:val="0"/>
            <w:vAlign w:val="center"/>
          </w:tcPr>
          <w:p w14:paraId="2375A335">
            <w:pPr>
              <w:jc w:val="center"/>
              <w:rPr>
                <w:rFonts w:eastAsia="宋体" w:cs="Times New Roman"/>
                <w:color w:val="auto"/>
                <w:sz w:val="24"/>
                <w:highlight w:val="none"/>
              </w:rPr>
            </w:pPr>
          </w:p>
        </w:tc>
        <w:tc>
          <w:tcPr>
            <w:tcW w:w="2976" w:type="dxa"/>
            <w:noWrap w:val="0"/>
            <w:vAlign w:val="center"/>
          </w:tcPr>
          <w:p w14:paraId="73457377">
            <w:pPr>
              <w:jc w:val="center"/>
              <w:rPr>
                <w:rFonts w:eastAsia="宋体" w:cs="Times New Roman"/>
                <w:color w:val="auto"/>
                <w:sz w:val="24"/>
                <w:highlight w:val="none"/>
              </w:rPr>
            </w:pPr>
          </w:p>
        </w:tc>
      </w:tr>
      <w:tr w14:paraId="21B9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7CA3F39">
            <w:pPr>
              <w:jc w:val="center"/>
              <w:rPr>
                <w:rFonts w:eastAsia="宋体" w:cs="Times New Roman"/>
                <w:color w:val="auto"/>
                <w:sz w:val="24"/>
                <w:highlight w:val="none"/>
              </w:rPr>
            </w:pPr>
            <w:r>
              <w:rPr>
                <w:rFonts w:eastAsia="宋体" w:cs="Times New Roman"/>
                <w:color w:val="auto"/>
                <w:sz w:val="24"/>
                <w:highlight w:val="none"/>
              </w:rPr>
              <w:t>…</w:t>
            </w:r>
          </w:p>
        </w:tc>
        <w:tc>
          <w:tcPr>
            <w:tcW w:w="4574" w:type="dxa"/>
            <w:noWrap w:val="0"/>
            <w:vAlign w:val="center"/>
          </w:tcPr>
          <w:p w14:paraId="59A251C1">
            <w:pPr>
              <w:jc w:val="center"/>
              <w:rPr>
                <w:rFonts w:eastAsia="宋体" w:cs="Times New Roman"/>
                <w:color w:val="auto"/>
                <w:sz w:val="24"/>
                <w:highlight w:val="none"/>
              </w:rPr>
            </w:pPr>
          </w:p>
        </w:tc>
        <w:tc>
          <w:tcPr>
            <w:tcW w:w="2976" w:type="dxa"/>
            <w:noWrap w:val="0"/>
            <w:vAlign w:val="center"/>
          </w:tcPr>
          <w:p w14:paraId="11EFBB4B">
            <w:pPr>
              <w:jc w:val="center"/>
              <w:rPr>
                <w:rFonts w:eastAsia="宋体" w:cs="Times New Roman"/>
                <w:color w:val="auto"/>
                <w:sz w:val="24"/>
                <w:highlight w:val="none"/>
              </w:rPr>
            </w:pPr>
          </w:p>
        </w:tc>
      </w:tr>
    </w:tbl>
    <w:p w14:paraId="1A7B0C60">
      <w:pPr>
        <w:rPr>
          <w:color w:val="auto"/>
          <w:highlight w:val="none"/>
        </w:rPr>
      </w:pPr>
    </w:p>
    <w:p w14:paraId="014B6B9D">
      <w:pPr>
        <w:ind w:firstLine="480" w:firstLineChars="200"/>
        <w:rPr>
          <w:color w:val="auto"/>
          <w:sz w:val="24"/>
          <w:szCs w:val="22"/>
          <w:highlight w:val="none"/>
        </w:rPr>
      </w:pPr>
      <w:r>
        <w:rPr>
          <w:color w:val="auto"/>
          <w:sz w:val="24"/>
          <w:highlight w:val="none"/>
        </w:rPr>
        <w:t>上述声明真实有效，否则我方负全部责任。</w:t>
      </w:r>
    </w:p>
    <w:p w14:paraId="2E4F10C5">
      <w:pPr>
        <w:spacing w:line="360" w:lineRule="auto"/>
        <w:rPr>
          <w:color w:val="auto"/>
          <w:sz w:val="24"/>
          <w:highlight w:val="none"/>
        </w:rPr>
      </w:pPr>
    </w:p>
    <w:p w14:paraId="1CB02A5E">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4F00616F">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29238121">
      <w:pPr>
        <w:pStyle w:val="21"/>
        <w:ind w:firstLine="480"/>
        <w:rPr>
          <w:rFonts w:hint="eastAsia"/>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p>
    <w:p w14:paraId="64DB8FAF">
      <w:pPr>
        <w:pStyle w:val="21"/>
        <w:ind w:firstLine="480"/>
        <w:rPr>
          <w:rFonts w:hint="eastAsia"/>
          <w:color w:val="auto"/>
          <w:sz w:val="24"/>
          <w:highlight w:val="none"/>
        </w:rPr>
      </w:pPr>
    </w:p>
    <w:p w14:paraId="2FF8CC59">
      <w:pPr>
        <w:spacing w:line="480" w:lineRule="auto"/>
        <w:ind w:firstLine="240" w:firstLineChars="100"/>
        <w:rPr>
          <w:rFonts w:hint="eastAsia" w:ascii="宋体" w:eastAsia="宋体"/>
          <w:b/>
          <w:color w:val="auto"/>
          <w:sz w:val="24"/>
          <w:highlight w:val="none"/>
          <w:lang w:eastAsia="zh-CN"/>
        </w:rPr>
      </w:pPr>
      <w:r>
        <w:rPr>
          <w:rFonts w:hint="eastAsia" w:ascii="宋体"/>
          <w:bCs/>
          <w:color w:val="auto"/>
          <w:sz w:val="24"/>
          <w:highlight w:val="none"/>
        </w:rPr>
        <w:t xml:space="preserve">1-3 </w:t>
      </w:r>
      <w:r>
        <w:rPr>
          <w:rFonts w:hint="eastAsia" w:ascii="宋体"/>
          <w:b/>
          <w:color w:val="auto"/>
          <w:sz w:val="24"/>
          <w:highlight w:val="none"/>
        </w:rPr>
        <w:t>供应商须提供会计师事务所出具的</w:t>
      </w:r>
      <w:r>
        <w:rPr>
          <w:rFonts w:hint="eastAsia" w:ascii="宋体"/>
          <w:b/>
          <w:color w:val="auto"/>
          <w:sz w:val="24"/>
          <w:highlight w:val="none"/>
          <w:lang w:eastAsia="zh-CN"/>
        </w:rPr>
        <w:t>2023年度财务</w:t>
      </w:r>
      <w:r>
        <w:rPr>
          <w:rFonts w:hint="eastAsia" w:ascii="宋体"/>
          <w:b/>
          <w:color w:val="auto"/>
          <w:sz w:val="24"/>
          <w:highlight w:val="none"/>
        </w:rPr>
        <w:t>审计报告复印件或银行在开标日前三个月内开具的资信证明（新成立公司提供自成立以来的财务报表）</w:t>
      </w:r>
      <w:r>
        <w:rPr>
          <w:rFonts w:hint="eastAsia" w:ascii="宋体"/>
          <w:b/>
          <w:color w:val="auto"/>
          <w:sz w:val="24"/>
          <w:highlight w:val="none"/>
          <w:lang w:eastAsia="zh-CN"/>
        </w:rPr>
        <w:t>，加盖公章</w:t>
      </w:r>
    </w:p>
    <w:p w14:paraId="0B070260">
      <w:pPr>
        <w:spacing w:line="480" w:lineRule="auto"/>
        <w:rPr>
          <w:rFonts w:hint="eastAsia" w:ascii="宋体"/>
          <w:color w:val="auto"/>
          <w:sz w:val="24"/>
          <w:highlight w:val="none"/>
        </w:rPr>
      </w:pPr>
      <w:r>
        <w:rPr>
          <w:rFonts w:hint="eastAsia" w:ascii="宋体"/>
          <w:color w:val="auto"/>
          <w:sz w:val="24"/>
          <w:highlight w:val="none"/>
        </w:rPr>
        <w:t>说明：1）财务审计报告必须是经会计师事务所出具的完整的财务审计报告。</w:t>
      </w:r>
    </w:p>
    <w:p w14:paraId="4E9D746B">
      <w:pPr>
        <w:spacing w:line="480" w:lineRule="auto"/>
        <w:rPr>
          <w:rFonts w:hint="eastAsia" w:ascii="宋体"/>
          <w:color w:val="auto"/>
          <w:sz w:val="24"/>
          <w:highlight w:val="none"/>
        </w:rPr>
      </w:pPr>
      <w:r>
        <w:rPr>
          <w:rFonts w:hint="eastAsia" w:ascii="宋体"/>
          <w:color w:val="auto"/>
          <w:sz w:val="24"/>
          <w:highlight w:val="none"/>
        </w:rPr>
        <w:t xml:space="preserve">      2）银行资信证明应能说明该投标人与银行之间业务往来正常，企业信誉良好等。银行出具的存款证明不能替代银行资信证明，存款证明无效。</w:t>
      </w:r>
    </w:p>
    <w:p w14:paraId="22BC5618">
      <w:pPr>
        <w:spacing w:line="480" w:lineRule="auto"/>
        <w:rPr>
          <w:rFonts w:hint="eastAsia" w:ascii="宋体"/>
          <w:color w:val="auto"/>
          <w:sz w:val="24"/>
          <w:highlight w:val="none"/>
        </w:rPr>
      </w:pPr>
      <w:r>
        <w:rPr>
          <w:rFonts w:hint="eastAsia" w:ascii="宋体"/>
          <w:color w:val="auto"/>
          <w:sz w:val="24"/>
          <w:highlight w:val="none"/>
        </w:rPr>
        <w:t xml:space="preserve">      3）银行资信证明可提供原件（附在投标文件正本中），也可提供银行在开标日前三个月内开具的资信证明的复印件。若提供的是复印件，采购人保留审核原件的权利。</w:t>
      </w:r>
    </w:p>
    <w:p w14:paraId="6FF8042E">
      <w:pPr>
        <w:spacing w:line="480" w:lineRule="auto"/>
        <w:ind w:firstLine="480"/>
        <w:rPr>
          <w:rFonts w:hint="eastAsia" w:ascii="宋体" w:hAnsi="宋体" w:cs="仿宋_GB2312"/>
          <w:b/>
          <w:color w:val="auto"/>
          <w:sz w:val="24"/>
          <w:highlight w:val="none"/>
        </w:rPr>
      </w:pPr>
    </w:p>
    <w:p w14:paraId="7757ED97">
      <w:pPr>
        <w:pStyle w:val="38"/>
        <w:rPr>
          <w:rFonts w:hint="eastAsia" w:hAnsi="宋体" w:cs="仿宋_GB2312"/>
          <w:b/>
          <w:color w:val="auto"/>
          <w:sz w:val="24"/>
          <w:highlight w:val="none"/>
        </w:rPr>
      </w:pPr>
    </w:p>
    <w:p w14:paraId="788B2D6D">
      <w:pPr>
        <w:pStyle w:val="38"/>
        <w:rPr>
          <w:rFonts w:hint="eastAsia" w:hAnsi="宋体" w:cs="仿宋_GB2312"/>
          <w:b/>
          <w:color w:val="auto"/>
          <w:sz w:val="24"/>
          <w:highlight w:val="none"/>
        </w:rPr>
      </w:pPr>
    </w:p>
    <w:p w14:paraId="7BFF3730">
      <w:pPr>
        <w:pStyle w:val="38"/>
        <w:rPr>
          <w:rFonts w:hint="eastAsia" w:hAnsi="宋体" w:cs="仿宋_GB2312"/>
          <w:b/>
          <w:color w:val="auto"/>
          <w:sz w:val="24"/>
          <w:highlight w:val="none"/>
        </w:rPr>
      </w:pPr>
    </w:p>
    <w:p w14:paraId="7B07372D">
      <w:pPr>
        <w:pStyle w:val="38"/>
        <w:rPr>
          <w:rFonts w:hint="eastAsia" w:hAnsi="宋体" w:cs="仿宋_GB2312"/>
          <w:b/>
          <w:color w:val="auto"/>
          <w:sz w:val="24"/>
          <w:highlight w:val="none"/>
        </w:rPr>
      </w:pPr>
    </w:p>
    <w:p w14:paraId="49B3F751">
      <w:pPr>
        <w:pStyle w:val="38"/>
        <w:rPr>
          <w:rFonts w:hint="eastAsia" w:hAnsi="宋体" w:cs="仿宋_GB2312"/>
          <w:b/>
          <w:color w:val="auto"/>
          <w:sz w:val="24"/>
          <w:highlight w:val="none"/>
        </w:rPr>
      </w:pPr>
    </w:p>
    <w:p w14:paraId="5A154EC6">
      <w:pPr>
        <w:pStyle w:val="38"/>
        <w:rPr>
          <w:rFonts w:hint="eastAsia" w:hAnsi="宋体" w:cs="仿宋_GB2312"/>
          <w:b/>
          <w:color w:val="auto"/>
          <w:sz w:val="24"/>
          <w:highlight w:val="none"/>
        </w:rPr>
      </w:pPr>
    </w:p>
    <w:p w14:paraId="5655ACC6">
      <w:pPr>
        <w:spacing w:line="360" w:lineRule="auto"/>
        <w:ind w:firstLine="240" w:firstLineChars="100"/>
        <w:rPr>
          <w:rFonts w:hint="eastAsia" w:ascii="宋体"/>
          <w:b/>
          <w:color w:val="auto"/>
          <w:sz w:val="24"/>
          <w:highlight w:val="none"/>
        </w:rPr>
      </w:pPr>
      <w:r>
        <w:rPr>
          <w:rFonts w:hint="eastAsia" w:ascii="宋体"/>
          <w:bCs/>
          <w:color w:val="auto"/>
          <w:sz w:val="24"/>
          <w:highlight w:val="none"/>
        </w:rPr>
        <w:t>1-4</w:t>
      </w:r>
      <w:r>
        <w:rPr>
          <w:rFonts w:hint="eastAsia" w:ascii="宋体"/>
          <w:b/>
          <w:color w:val="auto"/>
          <w:sz w:val="24"/>
          <w:highlight w:val="none"/>
        </w:rPr>
        <w:t xml:space="preserve"> 具备履行合同所必需的设备和专业技术能力的承诺（格式自拟须加盖</w:t>
      </w:r>
    </w:p>
    <w:p w14:paraId="3E1A6F39">
      <w:pPr>
        <w:spacing w:line="360" w:lineRule="auto"/>
        <w:ind w:firstLine="240" w:firstLineChars="100"/>
        <w:rPr>
          <w:rFonts w:hint="eastAsia" w:ascii="宋体"/>
          <w:b/>
          <w:color w:val="auto"/>
          <w:sz w:val="24"/>
          <w:highlight w:val="none"/>
        </w:rPr>
      </w:pPr>
      <w:r>
        <w:rPr>
          <w:rFonts w:hint="eastAsia" w:ascii="宋体"/>
          <w:b/>
          <w:color w:val="auto"/>
          <w:sz w:val="24"/>
          <w:highlight w:val="none"/>
        </w:rPr>
        <w:t>投标人公章）</w:t>
      </w:r>
    </w:p>
    <w:p w14:paraId="2FBBE79D">
      <w:pPr>
        <w:spacing w:line="360" w:lineRule="auto"/>
        <w:ind w:firstLine="240" w:firstLineChars="100"/>
        <w:rPr>
          <w:rFonts w:hint="eastAsia" w:ascii="宋体"/>
          <w:b/>
          <w:color w:val="auto"/>
          <w:sz w:val="24"/>
          <w:highlight w:val="none"/>
        </w:rPr>
      </w:pPr>
    </w:p>
    <w:p w14:paraId="0943557A">
      <w:pPr>
        <w:spacing w:line="360" w:lineRule="auto"/>
        <w:rPr>
          <w:rFonts w:hint="eastAsia" w:ascii="宋体"/>
          <w:b/>
          <w:color w:val="auto"/>
          <w:sz w:val="30"/>
          <w:szCs w:val="30"/>
          <w:highlight w:val="none"/>
        </w:rPr>
      </w:pPr>
    </w:p>
    <w:p w14:paraId="6E3D7B09">
      <w:pPr>
        <w:pStyle w:val="80"/>
        <w:rPr>
          <w:rFonts w:hint="eastAsia" w:ascii="宋体"/>
          <w:b/>
          <w:color w:val="auto"/>
          <w:sz w:val="30"/>
          <w:szCs w:val="30"/>
          <w:highlight w:val="none"/>
        </w:rPr>
      </w:pPr>
    </w:p>
    <w:p w14:paraId="69FABAAE">
      <w:pPr>
        <w:pStyle w:val="80"/>
        <w:rPr>
          <w:rFonts w:hint="eastAsia" w:ascii="宋体"/>
          <w:b/>
          <w:color w:val="auto"/>
          <w:sz w:val="30"/>
          <w:szCs w:val="30"/>
          <w:highlight w:val="none"/>
        </w:rPr>
      </w:pPr>
    </w:p>
    <w:p w14:paraId="7907442C">
      <w:pPr>
        <w:pStyle w:val="80"/>
        <w:rPr>
          <w:rFonts w:hint="eastAsia" w:ascii="宋体"/>
          <w:b/>
          <w:color w:val="auto"/>
          <w:sz w:val="30"/>
          <w:szCs w:val="30"/>
          <w:highlight w:val="none"/>
        </w:rPr>
      </w:pPr>
    </w:p>
    <w:p w14:paraId="0356C2D5">
      <w:pPr>
        <w:pStyle w:val="80"/>
        <w:rPr>
          <w:rFonts w:hint="eastAsia" w:ascii="宋体"/>
          <w:b/>
          <w:color w:val="auto"/>
          <w:sz w:val="30"/>
          <w:szCs w:val="30"/>
          <w:highlight w:val="none"/>
        </w:rPr>
      </w:pPr>
    </w:p>
    <w:p w14:paraId="42F13EDD">
      <w:pPr>
        <w:pStyle w:val="80"/>
        <w:rPr>
          <w:rFonts w:hint="eastAsia" w:ascii="宋体"/>
          <w:b/>
          <w:color w:val="auto"/>
          <w:sz w:val="30"/>
          <w:szCs w:val="30"/>
          <w:highlight w:val="none"/>
        </w:rPr>
      </w:pPr>
    </w:p>
    <w:p w14:paraId="0ED9534A">
      <w:pPr>
        <w:pStyle w:val="80"/>
        <w:rPr>
          <w:rFonts w:hint="eastAsia" w:ascii="宋体"/>
          <w:b/>
          <w:color w:val="auto"/>
          <w:sz w:val="30"/>
          <w:szCs w:val="30"/>
          <w:highlight w:val="none"/>
        </w:rPr>
      </w:pPr>
    </w:p>
    <w:p w14:paraId="7141FCEC">
      <w:pPr>
        <w:pStyle w:val="80"/>
        <w:rPr>
          <w:rFonts w:hint="eastAsia" w:ascii="宋体"/>
          <w:b/>
          <w:color w:val="auto"/>
          <w:sz w:val="30"/>
          <w:szCs w:val="30"/>
          <w:highlight w:val="none"/>
        </w:rPr>
      </w:pPr>
    </w:p>
    <w:p w14:paraId="220D10F4">
      <w:pPr>
        <w:spacing w:line="480" w:lineRule="auto"/>
        <w:ind w:firstLine="240" w:firstLineChars="100"/>
        <w:rPr>
          <w:rFonts w:hint="eastAsia" w:ascii="宋体" w:hAnsi="宋体" w:cs="仿宋"/>
          <w:b/>
          <w:color w:val="auto"/>
          <w:sz w:val="24"/>
          <w:highlight w:val="none"/>
        </w:rPr>
      </w:pPr>
      <w:r>
        <w:rPr>
          <w:rFonts w:hint="eastAsia" w:ascii="宋体" w:hAnsi="宋体" w:cs="仿宋_GB2312"/>
          <w:bCs/>
          <w:color w:val="auto"/>
          <w:sz w:val="24"/>
          <w:highlight w:val="none"/>
        </w:rPr>
        <w:t>1-5</w:t>
      </w:r>
      <w:r>
        <w:rPr>
          <w:rFonts w:hint="eastAsia" w:ascii="宋体" w:hAnsi="宋体" w:cs="仿宋_GB2312"/>
          <w:b/>
          <w:color w:val="auto"/>
          <w:sz w:val="24"/>
          <w:highlight w:val="none"/>
        </w:rPr>
        <w:t xml:space="preserve"> </w:t>
      </w:r>
      <w:r>
        <w:rPr>
          <w:rFonts w:hint="eastAsia" w:ascii="宋体" w:hAnsi="宋体" w:cs="仿宋"/>
          <w:b/>
          <w:color w:val="auto"/>
          <w:sz w:val="24"/>
          <w:highlight w:val="none"/>
        </w:rPr>
        <w:t>有依法缴纳税收和社会保障资金的良好记录的证明文件</w:t>
      </w:r>
    </w:p>
    <w:p w14:paraId="3DF31199">
      <w:pPr>
        <w:spacing w:line="480" w:lineRule="auto"/>
        <w:ind w:firstLine="787" w:firstLineChars="328"/>
        <w:rPr>
          <w:rFonts w:hint="eastAsia" w:ascii="宋体" w:hAnsi="宋体" w:cs="仿宋"/>
          <w:color w:val="auto"/>
          <w:sz w:val="24"/>
          <w:highlight w:val="none"/>
        </w:rPr>
      </w:pPr>
      <w:r>
        <w:rPr>
          <w:rFonts w:hint="eastAsia" w:ascii="宋体" w:hAnsi="宋体" w:cs="仿宋"/>
          <w:color w:val="auto"/>
          <w:sz w:val="24"/>
          <w:highlight w:val="none"/>
        </w:rPr>
        <w:t>投标人需提供有依法缴纳税收和社会保障资金的良好纪录，提供近一年内</w:t>
      </w:r>
      <w:r>
        <w:rPr>
          <w:rFonts w:hint="eastAsia" w:ascii="宋体" w:hAnsi="宋体" w:cs="仿宋"/>
          <w:color w:val="auto"/>
          <w:sz w:val="24"/>
          <w:highlight w:val="none"/>
          <w:lang w:eastAsia="zh-CN"/>
        </w:rPr>
        <w:t>任意一个月</w:t>
      </w:r>
      <w:r>
        <w:rPr>
          <w:rFonts w:hint="eastAsia" w:ascii="宋体" w:hAnsi="宋体" w:cs="仿宋"/>
          <w:color w:val="auto"/>
          <w:sz w:val="24"/>
          <w:highlight w:val="none"/>
        </w:rPr>
        <w:t>缴纳社保证明原件或复印件加盖公章。</w:t>
      </w:r>
    </w:p>
    <w:p w14:paraId="3E2244B5">
      <w:pPr>
        <w:spacing w:line="480" w:lineRule="auto"/>
        <w:ind w:firstLine="787" w:firstLineChars="328"/>
        <w:rPr>
          <w:rFonts w:hint="eastAsia" w:ascii="宋体" w:hAnsi="宋体" w:cs="仿宋"/>
          <w:color w:val="auto"/>
          <w:sz w:val="24"/>
          <w:highlight w:val="none"/>
        </w:rPr>
      </w:pPr>
      <w:r>
        <w:rPr>
          <w:rFonts w:hint="eastAsia" w:ascii="宋体" w:hAnsi="宋体" w:cs="仿宋"/>
          <w:color w:val="auto"/>
          <w:sz w:val="24"/>
          <w:highlight w:val="none"/>
        </w:rPr>
        <w:t>依法不需要缴纳社会保障资金的投标人，须提供相应文件证明其依法不需要缴纳社会保障资金（须加盖投标人公章）。</w:t>
      </w:r>
    </w:p>
    <w:p w14:paraId="6F49DCEF">
      <w:pPr>
        <w:spacing w:line="480" w:lineRule="auto"/>
        <w:ind w:firstLine="787" w:firstLineChars="328"/>
        <w:rPr>
          <w:rFonts w:hint="eastAsia" w:ascii="宋体" w:hAnsi="宋体" w:cs="仿宋"/>
          <w:color w:val="auto"/>
          <w:sz w:val="24"/>
          <w:highlight w:val="none"/>
        </w:rPr>
      </w:pPr>
      <w:r>
        <w:rPr>
          <w:rFonts w:hint="eastAsia" w:ascii="宋体" w:hAnsi="宋体" w:cs="仿宋"/>
          <w:color w:val="auto"/>
          <w:sz w:val="24"/>
          <w:highlight w:val="none"/>
        </w:rPr>
        <w:t>依法免税或零报税的投标人，须提供相应文件证明其依法免税证明文件或纳税申报表复印件（须加盖投标人公章）。</w:t>
      </w:r>
    </w:p>
    <w:p w14:paraId="39E1E78D">
      <w:pPr>
        <w:spacing w:line="480" w:lineRule="auto"/>
        <w:ind w:firstLine="787" w:firstLineChars="328"/>
        <w:rPr>
          <w:rFonts w:hint="eastAsia" w:ascii="宋体" w:hAnsi="宋体" w:cs="仿宋"/>
          <w:color w:val="auto"/>
          <w:sz w:val="24"/>
          <w:highlight w:val="none"/>
        </w:rPr>
      </w:pPr>
      <w:r>
        <w:rPr>
          <w:rFonts w:hint="eastAsia" w:ascii="宋体"/>
          <w:color w:val="auto"/>
          <w:sz w:val="24"/>
          <w:highlight w:val="none"/>
        </w:rPr>
        <w:t>公司成立不到三个月的从成立之日起</w:t>
      </w:r>
      <w:r>
        <w:rPr>
          <w:rFonts w:hint="eastAsia" w:ascii="宋体" w:hAnsi="宋体" w:cs="仿宋"/>
          <w:color w:val="auto"/>
          <w:sz w:val="24"/>
          <w:highlight w:val="none"/>
        </w:rPr>
        <w:t>。</w:t>
      </w:r>
    </w:p>
    <w:p w14:paraId="5C420234">
      <w:pPr>
        <w:pStyle w:val="80"/>
        <w:spacing w:line="480" w:lineRule="auto"/>
        <w:rPr>
          <w:color w:val="auto"/>
          <w:highlight w:val="none"/>
        </w:rPr>
      </w:pPr>
      <w:r>
        <w:rPr>
          <w:rFonts w:hint="eastAsia" w:ascii="宋体" w:hAnsi="宋体" w:cs="仿宋"/>
          <w:color w:val="auto"/>
          <w:sz w:val="24"/>
          <w:highlight w:val="none"/>
        </w:rPr>
        <w:t xml:space="preserve">  </w:t>
      </w:r>
    </w:p>
    <w:p w14:paraId="3A3BC89F">
      <w:pPr>
        <w:spacing w:line="360" w:lineRule="auto"/>
        <w:ind w:firstLine="480"/>
        <w:rPr>
          <w:rFonts w:hint="eastAsia" w:ascii="仿宋" w:hAnsi="仿宋" w:eastAsia="仿宋" w:cs="仿宋"/>
          <w:color w:val="auto"/>
          <w:sz w:val="24"/>
          <w:highlight w:val="none"/>
        </w:rPr>
      </w:pPr>
    </w:p>
    <w:p w14:paraId="4D1C5981">
      <w:pPr>
        <w:rPr>
          <w:rFonts w:hint="eastAsia"/>
          <w:color w:val="auto"/>
          <w:highlight w:val="none"/>
        </w:rPr>
      </w:pPr>
    </w:p>
    <w:p w14:paraId="5AD9C2A5">
      <w:pPr>
        <w:pStyle w:val="379"/>
        <w:ind w:firstLine="480"/>
        <w:rPr>
          <w:rFonts w:hint="eastAsia" w:ascii="仿宋" w:hAnsi="仿宋" w:eastAsia="仿宋" w:cs="仿宋_GB2312"/>
          <w:b/>
          <w:color w:val="auto"/>
          <w:sz w:val="24"/>
          <w:highlight w:val="none"/>
        </w:rPr>
      </w:pPr>
    </w:p>
    <w:p w14:paraId="6BDC88F9">
      <w:pPr>
        <w:pStyle w:val="379"/>
        <w:ind w:firstLine="480"/>
        <w:rPr>
          <w:rFonts w:hint="eastAsia" w:ascii="仿宋" w:hAnsi="仿宋" w:eastAsia="仿宋" w:cs="仿宋_GB2312"/>
          <w:b/>
          <w:color w:val="auto"/>
          <w:sz w:val="24"/>
          <w:highlight w:val="none"/>
        </w:rPr>
      </w:pPr>
    </w:p>
    <w:p w14:paraId="7B1C0AC0">
      <w:pPr>
        <w:pStyle w:val="379"/>
        <w:ind w:firstLine="480"/>
        <w:rPr>
          <w:rFonts w:hint="eastAsia" w:ascii="仿宋" w:hAnsi="仿宋" w:eastAsia="仿宋" w:cs="仿宋_GB2312"/>
          <w:b/>
          <w:color w:val="auto"/>
          <w:sz w:val="24"/>
          <w:highlight w:val="none"/>
        </w:rPr>
      </w:pPr>
    </w:p>
    <w:p w14:paraId="03B4CF33">
      <w:pPr>
        <w:pStyle w:val="379"/>
        <w:ind w:firstLine="480"/>
        <w:rPr>
          <w:rFonts w:hint="eastAsia" w:ascii="仿宋" w:hAnsi="仿宋" w:eastAsia="仿宋" w:cs="仿宋_GB2312"/>
          <w:b/>
          <w:color w:val="auto"/>
          <w:sz w:val="24"/>
          <w:highlight w:val="none"/>
        </w:rPr>
      </w:pPr>
    </w:p>
    <w:p w14:paraId="625C7FFA">
      <w:pPr>
        <w:pStyle w:val="379"/>
        <w:ind w:firstLine="480"/>
        <w:rPr>
          <w:rFonts w:hint="eastAsia" w:ascii="仿宋" w:hAnsi="仿宋" w:eastAsia="仿宋" w:cs="仿宋_GB2312"/>
          <w:b/>
          <w:color w:val="auto"/>
          <w:sz w:val="24"/>
          <w:highlight w:val="none"/>
        </w:rPr>
      </w:pPr>
    </w:p>
    <w:p w14:paraId="330D50B4">
      <w:pPr>
        <w:pStyle w:val="379"/>
        <w:ind w:firstLine="480"/>
        <w:rPr>
          <w:rFonts w:hint="eastAsia" w:ascii="仿宋" w:hAnsi="仿宋" w:eastAsia="仿宋" w:cs="仿宋_GB2312"/>
          <w:b/>
          <w:color w:val="auto"/>
          <w:sz w:val="24"/>
          <w:highlight w:val="none"/>
        </w:rPr>
      </w:pPr>
    </w:p>
    <w:p w14:paraId="3E1D90AF">
      <w:pPr>
        <w:pStyle w:val="379"/>
        <w:ind w:firstLine="480"/>
        <w:rPr>
          <w:rFonts w:hint="eastAsia" w:ascii="仿宋" w:hAnsi="仿宋" w:eastAsia="仿宋" w:cs="仿宋_GB2312"/>
          <w:b/>
          <w:color w:val="auto"/>
          <w:sz w:val="24"/>
          <w:highlight w:val="none"/>
        </w:rPr>
      </w:pPr>
    </w:p>
    <w:p w14:paraId="3BDB81EE">
      <w:pPr>
        <w:pStyle w:val="379"/>
        <w:ind w:firstLine="480"/>
        <w:rPr>
          <w:rFonts w:hint="eastAsia" w:ascii="仿宋" w:hAnsi="仿宋" w:eastAsia="仿宋" w:cs="仿宋_GB2312"/>
          <w:b/>
          <w:color w:val="auto"/>
          <w:sz w:val="24"/>
          <w:highlight w:val="none"/>
        </w:rPr>
      </w:pPr>
    </w:p>
    <w:p w14:paraId="5053E7FA">
      <w:pPr>
        <w:pStyle w:val="379"/>
        <w:ind w:firstLine="480"/>
        <w:rPr>
          <w:rFonts w:hint="eastAsia" w:ascii="仿宋" w:hAnsi="仿宋" w:eastAsia="仿宋" w:cs="仿宋_GB2312"/>
          <w:b/>
          <w:color w:val="auto"/>
          <w:sz w:val="24"/>
          <w:highlight w:val="none"/>
        </w:rPr>
      </w:pPr>
    </w:p>
    <w:p w14:paraId="137FA92C">
      <w:pPr>
        <w:pStyle w:val="379"/>
        <w:ind w:firstLine="480"/>
        <w:rPr>
          <w:rFonts w:hint="eastAsia" w:ascii="仿宋" w:hAnsi="仿宋" w:eastAsia="仿宋" w:cs="仿宋_GB2312"/>
          <w:b/>
          <w:color w:val="auto"/>
          <w:sz w:val="24"/>
          <w:highlight w:val="none"/>
        </w:rPr>
      </w:pPr>
    </w:p>
    <w:p w14:paraId="56669E5B">
      <w:pPr>
        <w:pStyle w:val="379"/>
        <w:ind w:firstLine="480"/>
        <w:rPr>
          <w:rFonts w:hint="eastAsia" w:ascii="仿宋" w:hAnsi="仿宋" w:eastAsia="仿宋" w:cs="仿宋_GB2312"/>
          <w:b/>
          <w:color w:val="auto"/>
          <w:sz w:val="24"/>
          <w:highlight w:val="none"/>
        </w:rPr>
      </w:pPr>
    </w:p>
    <w:p w14:paraId="496AFFC9">
      <w:pPr>
        <w:pStyle w:val="379"/>
        <w:ind w:firstLine="480"/>
        <w:rPr>
          <w:rFonts w:hint="eastAsia" w:ascii="仿宋" w:hAnsi="仿宋" w:eastAsia="仿宋" w:cs="仿宋_GB2312"/>
          <w:b/>
          <w:color w:val="auto"/>
          <w:sz w:val="24"/>
          <w:highlight w:val="none"/>
        </w:rPr>
      </w:pPr>
    </w:p>
    <w:p w14:paraId="67F7F5F0">
      <w:pPr>
        <w:pStyle w:val="379"/>
        <w:ind w:firstLine="480"/>
        <w:rPr>
          <w:rFonts w:hint="eastAsia" w:ascii="仿宋" w:hAnsi="仿宋" w:eastAsia="仿宋" w:cs="仿宋_GB2312"/>
          <w:b/>
          <w:color w:val="auto"/>
          <w:sz w:val="24"/>
          <w:highlight w:val="none"/>
        </w:rPr>
      </w:pPr>
    </w:p>
    <w:p w14:paraId="247575C6">
      <w:pPr>
        <w:pStyle w:val="379"/>
        <w:ind w:firstLine="480"/>
        <w:rPr>
          <w:rFonts w:hint="eastAsia" w:ascii="仿宋" w:hAnsi="仿宋" w:eastAsia="仿宋" w:cs="仿宋_GB2312"/>
          <w:b/>
          <w:color w:val="auto"/>
          <w:sz w:val="24"/>
          <w:highlight w:val="none"/>
        </w:rPr>
      </w:pPr>
    </w:p>
    <w:p w14:paraId="262DF8D1">
      <w:pPr>
        <w:pStyle w:val="379"/>
        <w:ind w:firstLine="480"/>
        <w:rPr>
          <w:rFonts w:hint="eastAsia" w:ascii="仿宋" w:hAnsi="仿宋" w:eastAsia="仿宋" w:cs="仿宋_GB2312"/>
          <w:b/>
          <w:color w:val="auto"/>
          <w:sz w:val="24"/>
          <w:highlight w:val="none"/>
        </w:rPr>
      </w:pPr>
    </w:p>
    <w:p w14:paraId="61558168">
      <w:pPr>
        <w:pStyle w:val="379"/>
        <w:ind w:firstLine="480"/>
        <w:rPr>
          <w:rFonts w:hint="eastAsia" w:ascii="仿宋" w:hAnsi="仿宋" w:eastAsia="仿宋" w:cs="仿宋_GB2312"/>
          <w:b/>
          <w:color w:val="auto"/>
          <w:sz w:val="24"/>
          <w:highlight w:val="none"/>
        </w:rPr>
      </w:pPr>
    </w:p>
    <w:p w14:paraId="4A052B45">
      <w:pPr>
        <w:pStyle w:val="379"/>
        <w:ind w:firstLine="480"/>
        <w:rPr>
          <w:rFonts w:hint="eastAsia" w:ascii="仿宋" w:hAnsi="仿宋" w:eastAsia="仿宋" w:cs="仿宋_GB2312"/>
          <w:b/>
          <w:color w:val="auto"/>
          <w:sz w:val="24"/>
          <w:highlight w:val="none"/>
        </w:rPr>
      </w:pPr>
    </w:p>
    <w:p w14:paraId="444DD2D8">
      <w:pPr>
        <w:pStyle w:val="379"/>
        <w:ind w:firstLine="480"/>
        <w:rPr>
          <w:rFonts w:hint="eastAsia" w:ascii="仿宋" w:hAnsi="仿宋" w:eastAsia="仿宋" w:cs="仿宋_GB2312"/>
          <w:b/>
          <w:color w:val="auto"/>
          <w:sz w:val="24"/>
          <w:highlight w:val="none"/>
        </w:rPr>
      </w:pPr>
    </w:p>
    <w:p w14:paraId="3DE61EE1">
      <w:pPr>
        <w:pStyle w:val="379"/>
        <w:ind w:firstLine="480"/>
        <w:rPr>
          <w:rFonts w:hint="eastAsia" w:ascii="仿宋" w:hAnsi="仿宋" w:eastAsia="仿宋" w:cs="仿宋_GB2312"/>
          <w:b/>
          <w:color w:val="auto"/>
          <w:sz w:val="24"/>
          <w:highlight w:val="none"/>
        </w:rPr>
      </w:pPr>
    </w:p>
    <w:p w14:paraId="5A00E1DD">
      <w:pPr>
        <w:pStyle w:val="379"/>
        <w:ind w:firstLine="480"/>
        <w:rPr>
          <w:rFonts w:hint="eastAsia" w:ascii="仿宋" w:hAnsi="仿宋" w:eastAsia="仿宋" w:cs="仿宋_GB2312"/>
          <w:b/>
          <w:color w:val="auto"/>
          <w:sz w:val="24"/>
          <w:highlight w:val="none"/>
        </w:rPr>
      </w:pPr>
    </w:p>
    <w:p w14:paraId="41587B28">
      <w:pPr>
        <w:pStyle w:val="379"/>
        <w:ind w:firstLine="480"/>
        <w:rPr>
          <w:rFonts w:hint="eastAsia" w:ascii="仿宋" w:hAnsi="仿宋" w:eastAsia="仿宋" w:cs="仿宋_GB2312"/>
          <w:b/>
          <w:color w:val="auto"/>
          <w:sz w:val="24"/>
          <w:highlight w:val="none"/>
        </w:rPr>
      </w:pPr>
    </w:p>
    <w:p w14:paraId="6FD0B398">
      <w:pPr>
        <w:pStyle w:val="379"/>
        <w:ind w:firstLine="480"/>
        <w:rPr>
          <w:rFonts w:hint="eastAsia" w:ascii="仿宋" w:hAnsi="仿宋" w:eastAsia="仿宋" w:cs="仿宋_GB2312"/>
          <w:b/>
          <w:color w:val="auto"/>
          <w:sz w:val="24"/>
          <w:highlight w:val="none"/>
        </w:rPr>
      </w:pPr>
    </w:p>
    <w:p w14:paraId="4635CBEE">
      <w:pPr>
        <w:pStyle w:val="379"/>
        <w:ind w:firstLine="480"/>
        <w:rPr>
          <w:rFonts w:hint="eastAsia" w:ascii="仿宋" w:hAnsi="仿宋" w:eastAsia="仿宋" w:cs="仿宋_GB2312"/>
          <w:b/>
          <w:color w:val="auto"/>
          <w:sz w:val="24"/>
          <w:highlight w:val="none"/>
        </w:rPr>
      </w:pPr>
    </w:p>
    <w:p w14:paraId="1169C65A">
      <w:pPr>
        <w:spacing w:line="480" w:lineRule="auto"/>
        <w:rPr>
          <w:rFonts w:hint="eastAsia" w:ascii="宋体" w:hAnsi="宋体" w:cs="仿宋"/>
          <w:b/>
          <w:color w:val="auto"/>
          <w:sz w:val="24"/>
          <w:highlight w:val="none"/>
        </w:rPr>
      </w:pPr>
      <w:r>
        <w:rPr>
          <w:rFonts w:hint="eastAsia" w:ascii="宋体" w:hAnsi="宋体" w:cs="仿宋_GB2312"/>
          <w:b/>
          <w:color w:val="auto"/>
          <w:sz w:val="24"/>
          <w:highlight w:val="none"/>
        </w:rPr>
        <w:br w:type="page"/>
      </w:r>
      <w:r>
        <w:rPr>
          <w:rFonts w:hint="eastAsia" w:ascii="宋体" w:hAnsi="宋体" w:cs="仿宋"/>
          <w:bCs/>
          <w:color w:val="auto"/>
          <w:sz w:val="24"/>
          <w:highlight w:val="none"/>
        </w:rPr>
        <w:t>1-6</w:t>
      </w:r>
      <w:r>
        <w:rPr>
          <w:rFonts w:hint="eastAsia" w:ascii="宋体" w:hAnsi="宋体" w:cs="仿宋"/>
          <w:b/>
          <w:color w:val="auto"/>
          <w:sz w:val="24"/>
          <w:highlight w:val="none"/>
        </w:rPr>
        <w:t xml:space="preserve"> 本项目的特定资质要求</w:t>
      </w:r>
    </w:p>
    <w:p w14:paraId="0D6290A0">
      <w:pPr>
        <w:spacing w:line="360" w:lineRule="auto"/>
        <w:rPr>
          <w:rFonts w:hint="eastAsia" w:ascii="宋体"/>
          <w:b/>
          <w:color w:val="auto"/>
          <w:sz w:val="30"/>
          <w:szCs w:val="30"/>
          <w:highlight w:val="none"/>
        </w:rPr>
      </w:pPr>
    </w:p>
    <w:p w14:paraId="2A335133">
      <w:pPr>
        <w:rPr>
          <w:rFonts w:hint="eastAsia"/>
          <w:color w:val="auto"/>
          <w:highlight w:val="none"/>
        </w:rPr>
      </w:pPr>
    </w:p>
    <w:p w14:paraId="2A44E463">
      <w:pPr>
        <w:widowControl/>
        <w:spacing w:line="480" w:lineRule="auto"/>
        <w:rPr>
          <w:rFonts w:hint="eastAsia" w:ascii="宋体" w:hAnsi="宋体"/>
          <w:b/>
          <w:color w:val="auto"/>
          <w:sz w:val="30"/>
          <w:szCs w:val="30"/>
          <w:highlight w:val="none"/>
        </w:rPr>
      </w:pPr>
    </w:p>
    <w:sectPr>
      <w:headerReference r:id="rId4" w:type="first"/>
      <w:headerReference r:id="rId3" w:type="default"/>
      <w:footerReference r:id="rId5" w:type="default"/>
      <w:footerReference r:id="rId6" w:type="even"/>
      <w:pgSz w:w="11906" w:h="16838"/>
      <w:pgMar w:top="1080" w:right="1440" w:bottom="1080" w:left="1440" w:header="907" w:footer="9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DejaVu Math TeX Gyre"/>
    <w:panose1 w:val="02020603050405020304"/>
    <w:charset w:val="00"/>
    <w:family w:val="roman"/>
    <w:pitch w:val="default"/>
    <w:sig w:usb0="00000000" w:usb1="00000000" w:usb2="00000000" w:usb3="00000000" w:csb0="0001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Geneva">
    <w:altName w:val="Arial"/>
    <w:panose1 w:val="020B0503030404040204"/>
    <w:charset w:val="00"/>
    <w:family w:val="swiss"/>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8912">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963E8">
                          <w:pPr>
                            <w:pStyle w:val="55"/>
                            <w:rPr>
                              <w:rStyle w:val="93"/>
                            </w:rPr>
                          </w:pPr>
                          <w:r>
                            <w:fldChar w:fldCharType="begin"/>
                          </w:r>
                          <w:r>
                            <w:rPr>
                              <w:rStyle w:val="93"/>
                            </w:rPr>
                            <w:instrText xml:space="preserve">PAGE  </w:instrText>
                          </w:r>
                          <w:r>
                            <w:fldChar w:fldCharType="separate"/>
                          </w:r>
                          <w:r>
                            <w:rPr>
                              <w:rStyle w:val="93"/>
                            </w:rPr>
                            <w:t>62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12E963E8">
                    <w:pPr>
                      <w:pStyle w:val="55"/>
                      <w:rPr>
                        <w:rStyle w:val="93"/>
                      </w:rPr>
                    </w:pPr>
                    <w:r>
                      <w:fldChar w:fldCharType="begin"/>
                    </w:r>
                    <w:r>
                      <w:rPr>
                        <w:rStyle w:val="93"/>
                      </w:rPr>
                      <w:instrText xml:space="preserve">PAGE  </w:instrText>
                    </w:r>
                    <w:r>
                      <w:fldChar w:fldCharType="separate"/>
                    </w:r>
                    <w:r>
                      <w:rPr>
                        <w:rStyle w:val="93"/>
                      </w:rP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7717">
    <w:pPr>
      <w:pStyle w:val="55"/>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14:paraId="2A91E401">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24D29">
    <w:pPr>
      <w:pStyle w:val="57"/>
      <w:tabs>
        <w:tab w:val="left" w:pos="8250"/>
      </w:tabs>
      <w:ind w:firstLine="5940" w:firstLineChars="3300"/>
      <w:jc w:val="both"/>
      <w:rPr>
        <w:rFonts w:hint="eastAsia" w:ascii="宋体"/>
      </w:rPr>
    </w:pPr>
    <w:r>
      <w:rPr>
        <w:rFonts w:hint="eastAsia" w:ascii="宋体" w:hAnsi="宋体"/>
        <w:i/>
        <w:iCs/>
      </w:rPr>
      <w:t>新疆星耀天都项目管理有限责任公司</w:t>
    </w:r>
    <w:r>
      <w:rPr>
        <w:rFonts w:hint="eastAsia" w:ascii="宋体" w:hAnsi="宋体"/>
        <w:iCs/>
      </w:rPr>
      <w:t xml:space="preserve">                                                       </w:t>
    </w:r>
    <w:r>
      <w:rPr>
        <w:rFonts w:hint="eastAsia" w:ascii="宋体"/>
        <w:iCs/>
      </w:rPr>
      <w:t xml:space="preserve"> </w:t>
    </w: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CB08">
    <w:pPr>
      <w:pStyle w:val="57"/>
      <w:jc w:val="both"/>
    </w:pPr>
    <w:r>
      <w:rPr>
        <w:rFonts w:hint="eastAsia" w:ascii="宋体" w:hAnsi="宋体"/>
        <w:i/>
      </w:rPr>
      <w:t>新疆瑞恒中信工程项目管理有限公司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911FF"/>
    <w:multiLevelType w:val="singleLevel"/>
    <w:tmpl w:val="822911FF"/>
    <w:lvl w:ilvl="0" w:tentative="0">
      <w:start w:val="2"/>
      <w:numFmt w:val="chineseCounting"/>
      <w:suff w:val="nothing"/>
      <w:lvlText w:val="%1、"/>
      <w:lvlJc w:val="left"/>
      <w:rPr>
        <w:rFonts w:hint="eastAsia"/>
      </w:rPr>
    </w:lvl>
  </w:abstractNum>
  <w:abstractNum w:abstractNumId="1">
    <w:nsid w:val="B2CC91AE"/>
    <w:multiLevelType w:val="singleLevel"/>
    <w:tmpl w:val="B2CC91AE"/>
    <w:lvl w:ilvl="0" w:tentative="0">
      <w:start w:val="1"/>
      <w:numFmt w:val="decimal"/>
      <w:lvlText w:val="%1."/>
      <w:lvlJc w:val="left"/>
      <w:pPr>
        <w:ind w:left="635" w:hanging="425"/>
      </w:pPr>
      <w:rPr>
        <w:rFonts w:hint="default"/>
      </w:rPr>
    </w:lvl>
  </w:abstractNum>
  <w:abstractNum w:abstractNumId="2">
    <w:nsid w:val="FDFC708F"/>
    <w:multiLevelType w:val="singleLevel"/>
    <w:tmpl w:val="FDFC708F"/>
    <w:lvl w:ilvl="0" w:tentative="0">
      <w:start w:val="4"/>
      <w:numFmt w:val="decimal"/>
      <w:suff w:val="nothing"/>
      <w:lvlText w:val="%1．"/>
      <w:lvlJc w:val="left"/>
    </w:lvl>
  </w:abstractNum>
  <w:abstractNum w:abstractNumId="3">
    <w:nsid w:val="FE30D40F"/>
    <w:multiLevelType w:val="singleLevel"/>
    <w:tmpl w:val="FE30D40F"/>
    <w:lvl w:ilvl="0" w:tentative="0">
      <w:start w:val="1"/>
      <w:numFmt w:val="decimal"/>
      <w:lvlText w:val="%1"/>
      <w:lvlJc w:val="left"/>
      <w:pPr>
        <w:tabs>
          <w:tab w:val="left" w:pos="420"/>
        </w:tabs>
        <w:ind w:left="425" w:hanging="425"/>
      </w:pPr>
      <w:rPr>
        <w:rFonts w:hint="default"/>
      </w:rPr>
    </w:lvl>
  </w:abstractNum>
  <w:abstractNum w:abstractNumId="4">
    <w:nsid w:val="00000002"/>
    <w:multiLevelType w:val="multilevel"/>
    <w:tmpl w:val="00000002"/>
    <w:lvl w:ilvl="0" w:tentative="0">
      <w:start w:val="1"/>
      <w:numFmt w:val="decimal"/>
      <w:pStyle w:val="65"/>
      <w:lvlText w:val="%1."/>
      <w:lvlJc w:val="left"/>
      <w:pPr>
        <w:tabs>
          <w:tab w:val="left" w:pos="2040"/>
        </w:tabs>
        <w:ind w:left="204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3"/>
    <w:multiLevelType w:val="multilevel"/>
    <w:tmpl w:val="00000003"/>
    <w:lvl w:ilvl="0" w:tentative="0">
      <w:start w:val="1"/>
      <w:numFmt w:val="decimal"/>
      <w:pStyle w:val="159"/>
      <w:lvlText w:val="%1."/>
      <w:lvlJc w:val="left"/>
      <w:pPr>
        <w:tabs>
          <w:tab w:val="left" w:pos="1620"/>
        </w:tabs>
        <w:ind w:left="162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4"/>
    <w:multiLevelType w:val="multilevel"/>
    <w:tmpl w:val="00000004"/>
    <w:lvl w:ilvl="0" w:tentative="0">
      <w:start w:val="1"/>
      <w:numFmt w:val="decimal"/>
      <w:pStyle w:val="36"/>
      <w:lvlText w:val="%1."/>
      <w:lvlJc w:val="left"/>
      <w:pPr>
        <w:tabs>
          <w:tab w:val="left" w:pos="1200"/>
        </w:tabs>
        <w:ind w:left="1200" w:hanging="360"/>
      </w:p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7">
    <w:nsid w:val="00000005"/>
    <w:multiLevelType w:val="multilevel"/>
    <w:tmpl w:val="00000005"/>
    <w:lvl w:ilvl="0" w:tentative="0">
      <w:start w:val="1"/>
      <w:numFmt w:val="decimal"/>
      <w:pStyle w:val="14"/>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6"/>
    <w:multiLevelType w:val="singleLevel"/>
    <w:tmpl w:val="00000006"/>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9">
    <w:nsid w:val="00000007"/>
    <w:multiLevelType w:val="singleLevel"/>
    <w:tmpl w:val="00000007"/>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0">
    <w:nsid w:val="00000008"/>
    <w:multiLevelType w:val="multilevel"/>
    <w:tmpl w:val="00000008"/>
    <w:lvl w:ilvl="0" w:tentative="0">
      <w:start w:val="1"/>
      <w:numFmt w:val="bullet"/>
      <w:pStyle w:val="33"/>
      <w:lvlText w:val=""/>
      <w:lvlJc w:val="left"/>
      <w:pPr>
        <w:tabs>
          <w:tab w:val="left" w:pos="1200"/>
        </w:tabs>
        <w:ind w:left="1200" w:hanging="360"/>
      </w:pPr>
      <w:rPr>
        <w:rFonts w:hint="default" w:ascii="Wingdings" w:hAnsi="Wingdings"/>
      </w:rPr>
    </w:lvl>
    <w:lvl w:ilvl="1" w:tentative="0">
      <w:start w:val="1"/>
      <w:numFmt w:val="decimal"/>
      <w:lvlText w:val="%1.%2"/>
      <w:lvlJc w:val="left"/>
      <w:pPr>
        <w:tabs>
          <w:tab w:val="left" w:pos="1296"/>
        </w:tabs>
        <w:ind w:left="1296" w:hanging="576"/>
      </w:pPr>
      <w:rPr>
        <w:rFonts w:hint="eastAsia"/>
      </w:rPr>
    </w:lvl>
    <w:lvl w:ilvl="2" w:tentative="0">
      <w:start w:val="1"/>
      <w:numFmt w:val="decimal"/>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11">
    <w:nsid w:val="00000009"/>
    <w:multiLevelType w:val="multilevel"/>
    <w:tmpl w:val="00000009"/>
    <w:lvl w:ilvl="0" w:tentative="0">
      <w:start w:val="1"/>
      <w:numFmt w:val="bullet"/>
      <w:pStyle w:val="41"/>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A"/>
    <w:multiLevelType w:val="singleLevel"/>
    <w:tmpl w:val="0000000A"/>
    <w:lvl w:ilvl="0" w:tentative="0">
      <w:start w:val="1"/>
      <w:numFmt w:val="decimal"/>
      <w:pStyle w:val="20"/>
      <w:lvlText w:val="%1."/>
      <w:lvlJc w:val="left"/>
      <w:pPr>
        <w:tabs>
          <w:tab w:val="left" w:pos="360"/>
        </w:tabs>
        <w:ind w:left="360" w:hanging="360"/>
      </w:pPr>
    </w:lvl>
  </w:abstractNum>
  <w:abstractNum w:abstractNumId="13">
    <w:nsid w:val="0000000D"/>
    <w:multiLevelType w:val="multilevel"/>
    <w:tmpl w:val="0000000D"/>
    <w:lvl w:ilvl="0" w:tentative="0">
      <w:start w:val="1"/>
      <w:numFmt w:val="bullet"/>
      <w:pStyle w:val="32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4">
    <w:nsid w:val="0000000E"/>
    <w:multiLevelType w:val="multilevel"/>
    <w:tmpl w:val="0000000E"/>
    <w:lvl w:ilvl="0" w:tentative="0">
      <w:start w:val="1"/>
      <w:numFmt w:val="decimal"/>
      <w:pStyle w:val="300"/>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00000010"/>
    <w:multiLevelType w:val="multilevel"/>
    <w:tmpl w:val="00000010"/>
    <w:lvl w:ilvl="0" w:tentative="0">
      <w:start w:val="1"/>
      <w:numFmt w:val="bullet"/>
      <w:pStyle w:val="46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48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1"/>
    <w:multiLevelType w:val="multilevel"/>
    <w:tmpl w:val="00000011"/>
    <w:lvl w:ilvl="0" w:tentative="0">
      <w:start w:val="1"/>
      <w:numFmt w:val="decimal"/>
      <w:pStyle w:val="310"/>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0">
      <w:start w:val="1"/>
      <w:numFmt w:val="bullet"/>
      <w:pStyle w:val="460"/>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19">
    <w:nsid w:val="00000013"/>
    <w:multiLevelType w:val="multilevel"/>
    <w:tmpl w:val="00000013"/>
    <w:lvl w:ilvl="0" w:tentative="0">
      <w:start w:val="1"/>
      <w:numFmt w:val="decimal"/>
      <w:pStyle w:val="338"/>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lvlText w:val="%1）"/>
      <w:lvlJc w:val="left"/>
      <w:pPr>
        <w:tabs>
          <w:tab w:val="left" w:pos="840"/>
        </w:tabs>
        <w:ind w:left="840" w:hanging="420"/>
      </w:pPr>
      <w:rPr>
        <w:rFonts w:hint="eastAsia"/>
      </w:rPr>
    </w:lvl>
    <w:lvl w:ilvl="1" w:tentative="0">
      <w:start w:val="1"/>
      <w:numFmt w:val="decimal"/>
      <w:pStyle w:val="317"/>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5"/>
    <w:multiLevelType w:val="multilevel"/>
    <w:tmpl w:val="00000015"/>
    <w:lvl w:ilvl="0" w:tentative="0">
      <w:start w:val="1"/>
      <w:numFmt w:val="none"/>
      <w:pStyle w:val="449"/>
      <w:suff w:val="nothing"/>
      <w:lvlText w:val=""/>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397"/>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59"/>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2">
    <w:nsid w:val="00000016"/>
    <w:multiLevelType w:val="multilevel"/>
    <w:tmpl w:val="00000016"/>
    <w:lvl w:ilvl="0" w:tentative="0">
      <w:start w:val="1"/>
      <w:numFmt w:val="decimal"/>
      <w:pStyle w:val="418"/>
      <w:lvlText w:val="表 3.%1"/>
      <w:lvlJc w:val="left"/>
      <w:pPr>
        <w:tabs>
          <w:tab w:val="left" w:pos="902"/>
        </w:tabs>
        <w:ind w:left="902" w:hanging="420"/>
      </w:pPr>
      <w:rPr>
        <w:rFonts w:hint="eastAsia"/>
      </w:rPr>
    </w:lvl>
    <w:lvl w:ilvl="1" w:tentative="0">
      <w:start w:val="1"/>
      <w:numFmt w:val="lowerLetter"/>
      <w:pStyle w:val="39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7"/>
    <w:multiLevelType w:val="multilevel"/>
    <w:tmpl w:val="00000017"/>
    <w:lvl w:ilvl="0" w:tentative="0">
      <w:start w:val="1"/>
      <w:numFmt w:val="decimal"/>
      <w:pStyle w:val="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00000018"/>
    <w:multiLevelType w:val="multilevel"/>
    <w:tmpl w:val="00000018"/>
    <w:lvl w:ilvl="0" w:tentative="0">
      <w:start w:val="1"/>
      <w:numFmt w:val="decimal"/>
      <w:pStyle w:val="409"/>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5">
    <w:nsid w:val="00000019"/>
    <w:multiLevelType w:val="multilevel"/>
    <w:tmpl w:val="00000019"/>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Text w:val="表%1.%2-%3."/>
      <w:lvlJc w:val="left"/>
      <w:pPr>
        <w:tabs>
          <w:tab w:val="left" w:pos="709"/>
        </w:tabs>
        <w:ind w:left="709" w:hanging="709"/>
      </w:pPr>
      <w:rPr>
        <w:rFonts w:hint="eastAsia" w:eastAsia="宋体"/>
        <w:sz w:val="18"/>
      </w:rPr>
    </w:lvl>
    <w:lvl w:ilvl="3" w:tentative="0">
      <w:start w:val="1"/>
      <w:numFmt w:val="decimal"/>
      <w:pStyle w:val="33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1A"/>
    <w:multiLevelType w:val="multilevel"/>
    <w:tmpl w:val="0000001A"/>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53"/>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27">
    <w:nsid w:val="0000001B"/>
    <w:multiLevelType w:val="multilevel"/>
    <w:tmpl w:val="0000001B"/>
    <w:lvl w:ilvl="0" w:tentative="0">
      <w:start w:val="1"/>
      <w:numFmt w:val="bullet"/>
      <w:pStyle w:val="322"/>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000001C"/>
    <w:multiLevelType w:val="singleLevel"/>
    <w:tmpl w:val="0000001C"/>
    <w:lvl w:ilvl="0" w:tentative="0">
      <w:start w:val="1"/>
      <w:numFmt w:val="lowerLetter"/>
      <w:pStyle w:val="404"/>
      <w:lvlText w:val="(%1)"/>
      <w:lvlJc w:val="left"/>
      <w:pPr>
        <w:tabs>
          <w:tab w:val="left" w:pos="1695"/>
        </w:tabs>
        <w:ind w:left="1695" w:hanging="450"/>
      </w:pPr>
      <w:rPr>
        <w:rFonts w:hint="default"/>
      </w:rPr>
    </w:lvl>
  </w:abstractNum>
  <w:abstractNum w:abstractNumId="29">
    <w:nsid w:val="0000001D"/>
    <w:multiLevelType w:val="multilevel"/>
    <w:tmpl w:val="0000001D"/>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370"/>
      <w:lvlText w:val=""/>
      <w:lvlJc w:val="left"/>
      <w:pPr>
        <w:tabs>
          <w:tab w:val="left" w:pos="420"/>
        </w:tabs>
        <w:ind w:left="839" w:hanging="419"/>
      </w:pPr>
      <w:rPr>
        <w:rFonts w:hint="default"/>
      </w:rPr>
    </w:lvl>
    <w:lvl w:ilvl="2" w:tentative="0">
      <w:start w:val="1"/>
      <w:numFmt w:val="decimal"/>
      <w:pStyle w:val="412"/>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pStyle w:val="298"/>
      <w:lvlText w:val="%5)"/>
      <w:lvlJc w:val="left"/>
      <w:pPr>
        <w:tabs>
          <w:tab w:val="left" w:pos="1259"/>
        </w:tabs>
        <w:ind w:left="1678" w:hanging="419"/>
      </w:pPr>
      <w:rPr>
        <w:rFonts w:hint="eastAsia"/>
      </w:rPr>
    </w:lvl>
    <w:lvl w:ilvl="5" w:tentative="0">
      <w:start w:val="1"/>
      <w:numFmt w:val="bullet"/>
      <w:pStyle w:val="386"/>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isLgl/>
      <w:suff w:val="space"/>
      <w:lvlText w:val="%8"/>
      <w:lvlJc w:val="left"/>
      <w:pPr>
        <w:ind w:left="0" w:firstLine="0"/>
      </w:pPr>
      <w:rPr>
        <w:rFonts w:hint="eastAsia"/>
      </w:rPr>
    </w:lvl>
    <w:lvl w:ilvl="8" w:tentative="0">
      <w:start w:val="1"/>
      <w:numFmt w:val="decimal"/>
      <w:isLgl/>
      <w:suff w:val="space"/>
      <w:lvlText w:val="%9"/>
      <w:lvlJc w:val="left"/>
      <w:pPr>
        <w:ind w:left="0" w:firstLine="0"/>
      </w:pPr>
      <w:rPr>
        <w:rFonts w:hint="eastAsia"/>
      </w:rPr>
    </w:lvl>
  </w:abstractNum>
  <w:abstractNum w:abstractNumId="3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1">
    <w:nsid w:val="0E42DB15"/>
    <w:multiLevelType w:val="singleLevel"/>
    <w:tmpl w:val="0E42DB15"/>
    <w:lvl w:ilvl="0" w:tentative="0">
      <w:start w:val="2"/>
      <w:numFmt w:val="decimal"/>
      <w:suff w:val="nothing"/>
      <w:lvlText w:val="%1、"/>
      <w:lvlJc w:val="left"/>
      <w:rPr>
        <w:rFonts w:hint="default"/>
        <w:b/>
        <w:bCs/>
      </w:rPr>
    </w:lvl>
  </w:abstractNum>
  <w:abstractNum w:abstractNumId="3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4">
    <w:nsid w:val="3152A0EC"/>
    <w:multiLevelType w:val="singleLevel"/>
    <w:tmpl w:val="3152A0EC"/>
    <w:lvl w:ilvl="0" w:tentative="0">
      <w:start w:val="1"/>
      <w:numFmt w:val="chineseCounting"/>
      <w:suff w:val="nothing"/>
      <w:lvlText w:val="%1、"/>
      <w:lvlJc w:val="left"/>
      <w:rPr>
        <w:rFonts w:hint="eastAsia"/>
      </w:rPr>
    </w:lvl>
  </w:abstractNum>
  <w:abstractNum w:abstractNumId="3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CDD58E"/>
    <w:multiLevelType w:val="singleLevel"/>
    <w:tmpl w:val="54CDD58E"/>
    <w:lvl w:ilvl="0" w:tentative="0">
      <w:start w:val="1"/>
      <w:numFmt w:val="decimal"/>
      <w:lvlText w:val="%1."/>
      <w:lvlJc w:val="left"/>
      <w:pPr>
        <w:tabs>
          <w:tab w:val="left" w:pos="312"/>
        </w:tabs>
      </w:pPr>
    </w:lvl>
  </w:abstractNum>
  <w:abstractNum w:abstractNumId="37">
    <w:nsid w:val="67E15999"/>
    <w:multiLevelType w:val="singleLevel"/>
    <w:tmpl w:val="67E15999"/>
    <w:lvl w:ilvl="0" w:tentative="0">
      <w:start w:val="1"/>
      <w:numFmt w:val="decimal"/>
      <w:suff w:val="nothing"/>
      <w:lvlText w:val="（%1）"/>
      <w:lvlJc w:val="left"/>
    </w:lvl>
  </w:abstractNum>
  <w:num w:numId="1">
    <w:abstractNumId w:val="7"/>
  </w:num>
  <w:num w:numId="2">
    <w:abstractNumId w:val="9"/>
  </w:num>
  <w:num w:numId="3">
    <w:abstractNumId w:val="12"/>
  </w:num>
  <w:num w:numId="4">
    <w:abstractNumId w:val="23"/>
  </w:num>
  <w:num w:numId="5">
    <w:abstractNumId w:val="10"/>
  </w:num>
  <w:num w:numId="6">
    <w:abstractNumId w:val="6"/>
  </w:num>
  <w:num w:numId="7">
    <w:abstractNumId w:val="11"/>
  </w:num>
  <w:num w:numId="8">
    <w:abstractNumId w:val="8"/>
  </w:num>
  <w:num w:numId="9">
    <w:abstractNumId w:val="4"/>
  </w:num>
  <w:num w:numId="10">
    <w:abstractNumId w:val="15"/>
  </w:num>
  <w:num w:numId="11">
    <w:abstractNumId w:val="5"/>
  </w:num>
  <w:num w:numId="12">
    <w:abstractNumId w:val="29"/>
  </w:num>
  <w:num w:numId="13">
    <w:abstractNumId w:val="14"/>
  </w:num>
  <w:num w:numId="14">
    <w:abstractNumId w:val="17"/>
  </w:num>
  <w:num w:numId="15">
    <w:abstractNumId w:val="20"/>
  </w:num>
  <w:num w:numId="16">
    <w:abstractNumId w:val="27"/>
  </w:num>
  <w:num w:numId="17">
    <w:abstractNumId w:val="13"/>
  </w:num>
  <w:num w:numId="18">
    <w:abstractNumId w:val="19"/>
  </w:num>
  <w:num w:numId="19">
    <w:abstractNumId w:val="25"/>
  </w:num>
  <w:num w:numId="20">
    <w:abstractNumId w:val="26"/>
  </w:num>
  <w:num w:numId="21">
    <w:abstractNumId w:val="21"/>
  </w:num>
  <w:num w:numId="22">
    <w:abstractNumId w:val="22"/>
  </w:num>
  <w:num w:numId="23">
    <w:abstractNumId w:val="28"/>
  </w:num>
  <w:num w:numId="24">
    <w:abstractNumId w:val="24"/>
  </w:num>
  <w:num w:numId="25">
    <w:abstractNumId w:val="18"/>
  </w:num>
  <w:num w:numId="26">
    <w:abstractNumId w:val="16"/>
  </w:num>
  <w:num w:numId="27">
    <w:abstractNumId w:val="0"/>
  </w:num>
  <w:num w:numId="28">
    <w:abstractNumId w:val="3"/>
  </w:num>
  <w:num w:numId="29">
    <w:abstractNumId w:val="30"/>
  </w:num>
  <w:num w:numId="30">
    <w:abstractNumId w:val="32"/>
  </w:num>
  <w:num w:numId="31">
    <w:abstractNumId w:val="1"/>
  </w:num>
  <w:num w:numId="32">
    <w:abstractNumId w:val="2"/>
  </w:num>
  <w:num w:numId="33">
    <w:abstractNumId w:val="36"/>
  </w:num>
  <w:num w:numId="34">
    <w:abstractNumId w:val="34"/>
  </w:num>
  <w:num w:numId="35">
    <w:abstractNumId w:val="37"/>
  </w:num>
  <w:num w:numId="36">
    <w:abstractNumId w:val="31"/>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OTk4M2E2YTg0NDMyYjkzOTU0ZmIyZGIzODBlOWUifQ=="/>
    <w:docVar w:name="KSO_WPS_MARK_KEY" w:val="4fd906ee-c0c5-43e1-9b5b-ffb1ab9b32fc"/>
  </w:docVars>
  <w:rsids>
    <w:rsidRoot w:val="00172A27"/>
    <w:rsid w:val="00003FE5"/>
    <w:rsid w:val="00004B00"/>
    <w:rsid w:val="000059B4"/>
    <w:rsid w:val="0000637D"/>
    <w:rsid w:val="000063D6"/>
    <w:rsid w:val="00013993"/>
    <w:rsid w:val="00014EBF"/>
    <w:rsid w:val="00015BE5"/>
    <w:rsid w:val="00017508"/>
    <w:rsid w:val="00017DF3"/>
    <w:rsid w:val="000248E5"/>
    <w:rsid w:val="00024C83"/>
    <w:rsid w:val="0002506F"/>
    <w:rsid w:val="00030C3E"/>
    <w:rsid w:val="00032AC9"/>
    <w:rsid w:val="00032CF1"/>
    <w:rsid w:val="00033541"/>
    <w:rsid w:val="00034EC6"/>
    <w:rsid w:val="000357A0"/>
    <w:rsid w:val="00035851"/>
    <w:rsid w:val="00036B15"/>
    <w:rsid w:val="00037D95"/>
    <w:rsid w:val="00041124"/>
    <w:rsid w:val="0004263E"/>
    <w:rsid w:val="00044EC6"/>
    <w:rsid w:val="00047276"/>
    <w:rsid w:val="00047DCB"/>
    <w:rsid w:val="00051948"/>
    <w:rsid w:val="00052D09"/>
    <w:rsid w:val="00053ADC"/>
    <w:rsid w:val="00053F53"/>
    <w:rsid w:val="0005458C"/>
    <w:rsid w:val="00055304"/>
    <w:rsid w:val="00057B2C"/>
    <w:rsid w:val="00060A39"/>
    <w:rsid w:val="0006118C"/>
    <w:rsid w:val="0006477D"/>
    <w:rsid w:val="00066C11"/>
    <w:rsid w:val="00071AB4"/>
    <w:rsid w:val="00072C10"/>
    <w:rsid w:val="000741B1"/>
    <w:rsid w:val="000750BF"/>
    <w:rsid w:val="00075598"/>
    <w:rsid w:val="00080554"/>
    <w:rsid w:val="00081334"/>
    <w:rsid w:val="00081FD5"/>
    <w:rsid w:val="00083DA9"/>
    <w:rsid w:val="00084AAA"/>
    <w:rsid w:val="00084F12"/>
    <w:rsid w:val="00085039"/>
    <w:rsid w:val="00085FD3"/>
    <w:rsid w:val="00087DD5"/>
    <w:rsid w:val="00087F97"/>
    <w:rsid w:val="00091A92"/>
    <w:rsid w:val="00091AEC"/>
    <w:rsid w:val="00092219"/>
    <w:rsid w:val="0009391C"/>
    <w:rsid w:val="00095340"/>
    <w:rsid w:val="000A2EAD"/>
    <w:rsid w:val="000A3EB7"/>
    <w:rsid w:val="000A5F33"/>
    <w:rsid w:val="000A6D91"/>
    <w:rsid w:val="000B072A"/>
    <w:rsid w:val="000B0A2C"/>
    <w:rsid w:val="000B0F34"/>
    <w:rsid w:val="000B2073"/>
    <w:rsid w:val="000B3982"/>
    <w:rsid w:val="000B3F0B"/>
    <w:rsid w:val="000B413C"/>
    <w:rsid w:val="000B45E6"/>
    <w:rsid w:val="000B4842"/>
    <w:rsid w:val="000B5B39"/>
    <w:rsid w:val="000C0E5A"/>
    <w:rsid w:val="000C2806"/>
    <w:rsid w:val="000C66B3"/>
    <w:rsid w:val="000D05E5"/>
    <w:rsid w:val="000D0CE7"/>
    <w:rsid w:val="000D1294"/>
    <w:rsid w:val="000D1855"/>
    <w:rsid w:val="000D292D"/>
    <w:rsid w:val="000D2ABA"/>
    <w:rsid w:val="000D2AFA"/>
    <w:rsid w:val="000D3C97"/>
    <w:rsid w:val="000E3F9F"/>
    <w:rsid w:val="000E50BC"/>
    <w:rsid w:val="000E5818"/>
    <w:rsid w:val="000F0902"/>
    <w:rsid w:val="000F2649"/>
    <w:rsid w:val="000F48D1"/>
    <w:rsid w:val="000F6DA7"/>
    <w:rsid w:val="000F7373"/>
    <w:rsid w:val="000F787A"/>
    <w:rsid w:val="00100D05"/>
    <w:rsid w:val="001010B9"/>
    <w:rsid w:val="00102430"/>
    <w:rsid w:val="00105F9E"/>
    <w:rsid w:val="001063BA"/>
    <w:rsid w:val="0010777B"/>
    <w:rsid w:val="0010778F"/>
    <w:rsid w:val="001101BA"/>
    <w:rsid w:val="00110396"/>
    <w:rsid w:val="00113F67"/>
    <w:rsid w:val="00117038"/>
    <w:rsid w:val="0012078B"/>
    <w:rsid w:val="00122970"/>
    <w:rsid w:val="00124741"/>
    <w:rsid w:val="0012575A"/>
    <w:rsid w:val="0012639D"/>
    <w:rsid w:val="001270D0"/>
    <w:rsid w:val="00130568"/>
    <w:rsid w:val="00130E53"/>
    <w:rsid w:val="0013189C"/>
    <w:rsid w:val="00132311"/>
    <w:rsid w:val="0013405C"/>
    <w:rsid w:val="001358AF"/>
    <w:rsid w:val="00135C02"/>
    <w:rsid w:val="0013605D"/>
    <w:rsid w:val="00141D2D"/>
    <w:rsid w:val="00142D46"/>
    <w:rsid w:val="001452BE"/>
    <w:rsid w:val="001506F9"/>
    <w:rsid w:val="00150FD5"/>
    <w:rsid w:val="001512D1"/>
    <w:rsid w:val="0015223C"/>
    <w:rsid w:val="00152CBB"/>
    <w:rsid w:val="00153768"/>
    <w:rsid w:val="0015424A"/>
    <w:rsid w:val="00154A8A"/>
    <w:rsid w:val="00156519"/>
    <w:rsid w:val="001606CE"/>
    <w:rsid w:val="001660AA"/>
    <w:rsid w:val="00166FEE"/>
    <w:rsid w:val="0017041D"/>
    <w:rsid w:val="00171F51"/>
    <w:rsid w:val="00174DE6"/>
    <w:rsid w:val="00174DFD"/>
    <w:rsid w:val="00175998"/>
    <w:rsid w:val="00176D14"/>
    <w:rsid w:val="00180606"/>
    <w:rsid w:val="0018577B"/>
    <w:rsid w:val="00187128"/>
    <w:rsid w:val="00187543"/>
    <w:rsid w:val="001879B0"/>
    <w:rsid w:val="00187B2D"/>
    <w:rsid w:val="001927C5"/>
    <w:rsid w:val="00194EC5"/>
    <w:rsid w:val="00195820"/>
    <w:rsid w:val="00195B86"/>
    <w:rsid w:val="001976EE"/>
    <w:rsid w:val="00197AB2"/>
    <w:rsid w:val="001A0FD9"/>
    <w:rsid w:val="001A10EF"/>
    <w:rsid w:val="001A2835"/>
    <w:rsid w:val="001A32D1"/>
    <w:rsid w:val="001A5C9E"/>
    <w:rsid w:val="001A73B0"/>
    <w:rsid w:val="001A768E"/>
    <w:rsid w:val="001A7AF5"/>
    <w:rsid w:val="001B117D"/>
    <w:rsid w:val="001B1418"/>
    <w:rsid w:val="001B1C5E"/>
    <w:rsid w:val="001B271A"/>
    <w:rsid w:val="001B2FD5"/>
    <w:rsid w:val="001B5B62"/>
    <w:rsid w:val="001B5EE4"/>
    <w:rsid w:val="001B697C"/>
    <w:rsid w:val="001B6FC5"/>
    <w:rsid w:val="001C024E"/>
    <w:rsid w:val="001C2196"/>
    <w:rsid w:val="001C21B0"/>
    <w:rsid w:val="001C2730"/>
    <w:rsid w:val="001C45B3"/>
    <w:rsid w:val="001C47F5"/>
    <w:rsid w:val="001C5A7D"/>
    <w:rsid w:val="001C784C"/>
    <w:rsid w:val="001D0871"/>
    <w:rsid w:val="001D30CD"/>
    <w:rsid w:val="001D466F"/>
    <w:rsid w:val="001D586F"/>
    <w:rsid w:val="001E14DE"/>
    <w:rsid w:val="001E15B3"/>
    <w:rsid w:val="001E252C"/>
    <w:rsid w:val="001E35EA"/>
    <w:rsid w:val="001E379D"/>
    <w:rsid w:val="001E3C46"/>
    <w:rsid w:val="001E5249"/>
    <w:rsid w:val="001E63F7"/>
    <w:rsid w:val="001F0D52"/>
    <w:rsid w:val="001F11ED"/>
    <w:rsid w:val="001F2342"/>
    <w:rsid w:val="00201F48"/>
    <w:rsid w:val="00203BDD"/>
    <w:rsid w:val="00207282"/>
    <w:rsid w:val="0021009D"/>
    <w:rsid w:val="00212791"/>
    <w:rsid w:val="002133E2"/>
    <w:rsid w:val="002152D1"/>
    <w:rsid w:val="00215C0A"/>
    <w:rsid w:val="00215FDA"/>
    <w:rsid w:val="00217273"/>
    <w:rsid w:val="00217F14"/>
    <w:rsid w:val="00220A18"/>
    <w:rsid w:val="002229D0"/>
    <w:rsid w:val="0022324E"/>
    <w:rsid w:val="002321C7"/>
    <w:rsid w:val="00232563"/>
    <w:rsid w:val="002344EA"/>
    <w:rsid w:val="0023504B"/>
    <w:rsid w:val="00236144"/>
    <w:rsid w:val="0023676C"/>
    <w:rsid w:val="00237F92"/>
    <w:rsid w:val="00240231"/>
    <w:rsid w:val="00240AEE"/>
    <w:rsid w:val="00243025"/>
    <w:rsid w:val="002440B7"/>
    <w:rsid w:val="00244F71"/>
    <w:rsid w:val="00252D8D"/>
    <w:rsid w:val="002530DD"/>
    <w:rsid w:val="00254219"/>
    <w:rsid w:val="00254C0E"/>
    <w:rsid w:val="00255845"/>
    <w:rsid w:val="002564E9"/>
    <w:rsid w:val="002569F0"/>
    <w:rsid w:val="00257040"/>
    <w:rsid w:val="002623B1"/>
    <w:rsid w:val="002649DC"/>
    <w:rsid w:val="002718D8"/>
    <w:rsid w:val="00272C29"/>
    <w:rsid w:val="00272EFC"/>
    <w:rsid w:val="00274D9C"/>
    <w:rsid w:val="00276487"/>
    <w:rsid w:val="00276FE4"/>
    <w:rsid w:val="002775B1"/>
    <w:rsid w:val="00282B00"/>
    <w:rsid w:val="00284879"/>
    <w:rsid w:val="00285534"/>
    <w:rsid w:val="00291EB6"/>
    <w:rsid w:val="002939C7"/>
    <w:rsid w:val="00294089"/>
    <w:rsid w:val="00295E04"/>
    <w:rsid w:val="00297684"/>
    <w:rsid w:val="002A499C"/>
    <w:rsid w:val="002A4AD0"/>
    <w:rsid w:val="002A62E8"/>
    <w:rsid w:val="002A76C2"/>
    <w:rsid w:val="002A7D14"/>
    <w:rsid w:val="002B179C"/>
    <w:rsid w:val="002C199B"/>
    <w:rsid w:val="002D03A8"/>
    <w:rsid w:val="002D37CC"/>
    <w:rsid w:val="002D3A66"/>
    <w:rsid w:val="002D63AA"/>
    <w:rsid w:val="002E04B4"/>
    <w:rsid w:val="002E07EB"/>
    <w:rsid w:val="002E175E"/>
    <w:rsid w:val="002E1B51"/>
    <w:rsid w:val="002E2262"/>
    <w:rsid w:val="002E3EF7"/>
    <w:rsid w:val="002E5F2B"/>
    <w:rsid w:val="002F0BD9"/>
    <w:rsid w:val="002F267A"/>
    <w:rsid w:val="002F2D74"/>
    <w:rsid w:val="002F3850"/>
    <w:rsid w:val="002F46D2"/>
    <w:rsid w:val="002F5175"/>
    <w:rsid w:val="002F546A"/>
    <w:rsid w:val="002F5DCA"/>
    <w:rsid w:val="002F67AA"/>
    <w:rsid w:val="002F773A"/>
    <w:rsid w:val="002F7BBE"/>
    <w:rsid w:val="0030185F"/>
    <w:rsid w:val="00302742"/>
    <w:rsid w:val="00306B81"/>
    <w:rsid w:val="00307523"/>
    <w:rsid w:val="00307A20"/>
    <w:rsid w:val="00310612"/>
    <w:rsid w:val="00310CE6"/>
    <w:rsid w:val="00310E99"/>
    <w:rsid w:val="003119FF"/>
    <w:rsid w:val="00314AAC"/>
    <w:rsid w:val="003165CE"/>
    <w:rsid w:val="00316F8D"/>
    <w:rsid w:val="0032251C"/>
    <w:rsid w:val="00323886"/>
    <w:rsid w:val="00332E0B"/>
    <w:rsid w:val="00333928"/>
    <w:rsid w:val="00333F65"/>
    <w:rsid w:val="00340B29"/>
    <w:rsid w:val="00350262"/>
    <w:rsid w:val="00351586"/>
    <w:rsid w:val="003528EA"/>
    <w:rsid w:val="00352EB4"/>
    <w:rsid w:val="00354D8D"/>
    <w:rsid w:val="0035547D"/>
    <w:rsid w:val="003602D0"/>
    <w:rsid w:val="003615B6"/>
    <w:rsid w:val="00363214"/>
    <w:rsid w:val="003652AB"/>
    <w:rsid w:val="00366300"/>
    <w:rsid w:val="0036659D"/>
    <w:rsid w:val="003666B6"/>
    <w:rsid w:val="00371A60"/>
    <w:rsid w:val="0037776C"/>
    <w:rsid w:val="00380353"/>
    <w:rsid w:val="00381C02"/>
    <w:rsid w:val="00386A73"/>
    <w:rsid w:val="00386D57"/>
    <w:rsid w:val="003901FB"/>
    <w:rsid w:val="0039266D"/>
    <w:rsid w:val="00394BE0"/>
    <w:rsid w:val="003960D9"/>
    <w:rsid w:val="003A1720"/>
    <w:rsid w:val="003A4BAF"/>
    <w:rsid w:val="003A56A4"/>
    <w:rsid w:val="003B1B6F"/>
    <w:rsid w:val="003B29ED"/>
    <w:rsid w:val="003B31CD"/>
    <w:rsid w:val="003C0526"/>
    <w:rsid w:val="003C089A"/>
    <w:rsid w:val="003C3413"/>
    <w:rsid w:val="003C4564"/>
    <w:rsid w:val="003C7863"/>
    <w:rsid w:val="003D1322"/>
    <w:rsid w:val="003D2C2E"/>
    <w:rsid w:val="003D3633"/>
    <w:rsid w:val="003D471A"/>
    <w:rsid w:val="003D4F1A"/>
    <w:rsid w:val="003D530C"/>
    <w:rsid w:val="003D6615"/>
    <w:rsid w:val="003D6EA7"/>
    <w:rsid w:val="003D6FB6"/>
    <w:rsid w:val="003D70CB"/>
    <w:rsid w:val="003E0DEF"/>
    <w:rsid w:val="003E4350"/>
    <w:rsid w:val="003F1E93"/>
    <w:rsid w:val="003F32A0"/>
    <w:rsid w:val="003F3FA5"/>
    <w:rsid w:val="003F47E9"/>
    <w:rsid w:val="003F5041"/>
    <w:rsid w:val="003F5C77"/>
    <w:rsid w:val="003F6DC2"/>
    <w:rsid w:val="003F7C18"/>
    <w:rsid w:val="004009C8"/>
    <w:rsid w:val="0040227D"/>
    <w:rsid w:val="004043B0"/>
    <w:rsid w:val="00412FE1"/>
    <w:rsid w:val="004168E8"/>
    <w:rsid w:val="00420612"/>
    <w:rsid w:val="00421494"/>
    <w:rsid w:val="00421D34"/>
    <w:rsid w:val="004223A4"/>
    <w:rsid w:val="00424614"/>
    <w:rsid w:val="00425D22"/>
    <w:rsid w:val="00425DC9"/>
    <w:rsid w:val="004268F3"/>
    <w:rsid w:val="004274A9"/>
    <w:rsid w:val="0043174E"/>
    <w:rsid w:val="004363FD"/>
    <w:rsid w:val="00441F3E"/>
    <w:rsid w:val="00442E6E"/>
    <w:rsid w:val="00443293"/>
    <w:rsid w:val="00444696"/>
    <w:rsid w:val="00444992"/>
    <w:rsid w:val="00447721"/>
    <w:rsid w:val="004477E3"/>
    <w:rsid w:val="00447EBC"/>
    <w:rsid w:val="0045037D"/>
    <w:rsid w:val="00453315"/>
    <w:rsid w:val="00453414"/>
    <w:rsid w:val="00453E68"/>
    <w:rsid w:val="0045518C"/>
    <w:rsid w:val="0045550C"/>
    <w:rsid w:val="004638B4"/>
    <w:rsid w:val="00464662"/>
    <w:rsid w:val="00465B55"/>
    <w:rsid w:val="00467611"/>
    <w:rsid w:val="00471481"/>
    <w:rsid w:val="00473314"/>
    <w:rsid w:val="00476C3F"/>
    <w:rsid w:val="00483A7C"/>
    <w:rsid w:val="00483B3D"/>
    <w:rsid w:val="0048481D"/>
    <w:rsid w:val="00484C69"/>
    <w:rsid w:val="00486C82"/>
    <w:rsid w:val="00492AF8"/>
    <w:rsid w:val="0049313C"/>
    <w:rsid w:val="004936AD"/>
    <w:rsid w:val="00493A8A"/>
    <w:rsid w:val="00495073"/>
    <w:rsid w:val="0049657B"/>
    <w:rsid w:val="00497075"/>
    <w:rsid w:val="004A02E2"/>
    <w:rsid w:val="004A0959"/>
    <w:rsid w:val="004A2132"/>
    <w:rsid w:val="004A2E4C"/>
    <w:rsid w:val="004A408A"/>
    <w:rsid w:val="004A6A09"/>
    <w:rsid w:val="004B08CC"/>
    <w:rsid w:val="004B1B70"/>
    <w:rsid w:val="004B251C"/>
    <w:rsid w:val="004B30E9"/>
    <w:rsid w:val="004B4D5B"/>
    <w:rsid w:val="004C44E5"/>
    <w:rsid w:val="004C4AD9"/>
    <w:rsid w:val="004C5828"/>
    <w:rsid w:val="004C5F2D"/>
    <w:rsid w:val="004C6BCB"/>
    <w:rsid w:val="004C6D32"/>
    <w:rsid w:val="004D28CD"/>
    <w:rsid w:val="004D3FCE"/>
    <w:rsid w:val="004D4A1C"/>
    <w:rsid w:val="004D67C4"/>
    <w:rsid w:val="004D67D5"/>
    <w:rsid w:val="004D7585"/>
    <w:rsid w:val="004E0999"/>
    <w:rsid w:val="004E2DB1"/>
    <w:rsid w:val="004E6FDC"/>
    <w:rsid w:val="004F0785"/>
    <w:rsid w:val="004F2A17"/>
    <w:rsid w:val="004F2F9A"/>
    <w:rsid w:val="004F3D40"/>
    <w:rsid w:val="004F5E07"/>
    <w:rsid w:val="004F751D"/>
    <w:rsid w:val="004F799E"/>
    <w:rsid w:val="00502830"/>
    <w:rsid w:val="00502EA1"/>
    <w:rsid w:val="0050307D"/>
    <w:rsid w:val="00503F6D"/>
    <w:rsid w:val="005050CF"/>
    <w:rsid w:val="00513A94"/>
    <w:rsid w:val="00520251"/>
    <w:rsid w:val="0052132D"/>
    <w:rsid w:val="00521DC9"/>
    <w:rsid w:val="00524459"/>
    <w:rsid w:val="00525C58"/>
    <w:rsid w:val="00525FF9"/>
    <w:rsid w:val="005276CF"/>
    <w:rsid w:val="00527AF1"/>
    <w:rsid w:val="00527B73"/>
    <w:rsid w:val="00530771"/>
    <w:rsid w:val="0053133F"/>
    <w:rsid w:val="00534A4A"/>
    <w:rsid w:val="005358EF"/>
    <w:rsid w:val="00535C38"/>
    <w:rsid w:val="0054719E"/>
    <w:rsid w:val="00554613"/>
    <w:rsid w:val="00554C3D"/>
    <w:rsid w:val="00555949"/>
    <w:rsid w:val="00557010"/>
    <w:rsid w:val="005570D6"/>
    <w:rsid w:val="00560013"/>
    <w:rsid w:val="00561233"/>
    <w:rsid w:val="005612BC"/>
    <w:rsid w:val="00563180"/>
    <w:rsid w:val="00564CBD"/>
    <w:rsid w:val="00566263"/>
    <w:rsid w:val="00566475"/>
    <w:rsid w:val="00566BB0"/>
    <w:rsid w:val="00566F4D"/>
    <w:rsid w:val="005679F9"/>
    <w:rsid w:val="00572185"/>
    <w:rsid w:val="005725BA"/>
    <w:rsid w:val="00572D38"/>
    <w:rsid w:val="00573BB4"/>
    <w:rsid w:val="00573F16"/>
    <w:rsid w:val="0057488C"/>
    <w:rsid w:val="00576829"/>
    <w:rsid w:val="005803E3"/>
    <w:rsid w:val="0058082E"/>
    <w:rsid w:val="005812D9"/>
    <w:rsid w:val="005812DD"/>
    <w:rsid w:val="00581367"/>
    <w:rsid w:val="00585ADA"/>
    <w:rsid w:val="0058787E"/>
    <w:rsid w:val="00590172"/>
    <w:rsid w:val="005905AD"/>
    <w:rsid w:val="00590B94"/>
    <w:rsid w:val="005922C9"/>
    <w:rsid w:val="00594020"/>
    <w:rsid w:val="00596D93"/>
    <w:rsid w:val="005A0169"/>
    <w:rsid w:val="005A1299"/>
    <w:rsid w:val="005A14C1"/>
    <w:rsid w:val="005A5C56"/>
    <w:rsid w:val="005A7104"/>
    <w:rsid w:val="005B1F45"/>
    <w:rsid w:val="005B38CF"/>
    <w:rsid w:val="005C02E8"/>
    <w:rsid w:val="005C0E3A"/>
    <w:rsid w:val="005C2498"/>
    <w:rsid w:val="005C3ABC"/>
    <w:rsid w:val="005C4ECB"/>
    <w:rsid w:val="005C4FFA"/>
    <w:rsid w:val="005C599C"/>
    <w:rsid w:val="005C600B"/>
    <w:rsid w:val="005C73F7"/>
    <w:rsid w:val="005C7AB1"/>
    <w:rsid w:val="005D0067"/>
    <w:rsid w:val="005E0F2A"/>
    <w:rsid w:val="005E1F4A"/>
    <w:rsid w:val="005E46DF"/>
    <w:rsid w:val="005E4C97"/>
    <w:rsid w:val="005E4F03"/>
    <w:rsid w:val="005F248E"/>
    <w:rsid w:val="005F3171"/>
    <w:rsid w:val="005F384B"/>
    <w:rsid w:val="005F6B8F"/>
    <w:rsid w:val="005F74EB"/>
    <w:rsid w:val="00601F3F"/>
    <w:rsid w:val="00603834"/>
    <w:rsid w:val="006043C3"/>
    <w:rsid w:val="0060497F"/>
    <w:rsid w:val="0060682F"/>
    <w:rsid w:val="006068C9"/>
    <w:rsid w:val="0060763F"/>
    <w:rsid w:val="00607E33"/>
    <w:rsid w:val="0061115F"/>
    <w:rsid w:val="006123C1"/>
    <w:rsid w:val="00612471"/>
    <w:rsid w:val="006128B2"/>
    <w:rsid w:val="00615F4A"/>
    <w:rsid w:val="00617360"/>
    <w:rsid w:val="00620970"/>
    <w:rsid w:val="00621A6F"/>
    <w:rsid w:val="00622005"/>
    <w:rsid w:val="006230C1"/>
    <w:rsid w:val="00624704"/>
    <w:rsid w:val="0063000D"/>
    <w:rsid w:val="00630CA3"/>
    <w:rsid w:val="00631C92"/>
    <w:rsid w:val="00634205"/>
    <w:rsid w:val="00634C5E"/>
    <w:rsid w:val="00636AD2"/>
    <w:rsid w:val="006375FC"/>
    <w:rsid w:val="00641A10"/>
    <w:rsid w:val="00641AC3"/>
    <w:rsid w:val="006453A9"/>
    <w:rsid w:val="00652483"/>
    <w:rsid w:val="006536C0"/>
    <w:rsid w:val="00653CD8"/>
    <w:rsid w:val="00654715"/>
    <w:rsid w:val="00655B41"/>
    <w:rsid w:val="00656532"/>
    <w:rsid w:val="00656FD7"/>
    <w:rsid w:val="006578EA"/>
    <w:rsid w:val="00657AEA"/>
    <w:rsid w:val="00660C4D"/>
    <w:rsid w:val="00663C42"/>
    <w:rsid w:val="006642A7"/>
    <w:rsid w:val="00664320"/>
    <w:rsid w:val="00666A47"/>
    <w:rsid w:val="006675E2"/>
    <w:rsid w:val="0067398F"/>
    <w:rsid w:val="00673B28"/>
    <w:rsid w:val="0067487C"/>
    <w:rsid w:val="0067537F"/>
    <w:rsid w:val="0068147D"/>
    <w:rsid w:val="00682069"/>
    <w:rsid w:val="00682FA0"/>
    <w:rsid w:val="006867F3"/>
    <w:rsid w:val="00686B5D"/>
    <w:rsid w:val="00686CD7"/>
    <w:rsid w:val="006872EA"/>
    <w:rsid w:val="00687EAC"/>
    <w:rsid w:val="006900FE"/>
    <w:rsid w:val="006902F7"/>
    <w:rsid w:val="00693314"/>
    <w:rsid w:val="00693A0B"/>
    <w:rsid w:val="00693BAA"/>
    <w:rsid w:val="0069557A"/>
    <w:rsid w:val="006A0175"/>
    <w:rsid w:val="006A048A"/>
    <w:rsid w:val="006A1AA5"/>
    <w:rsid w:val="006A2764"/>
    <w:rsid w:val="006A3F77"/>
    <w:rsid w:val="006A57D4"/>
    <w:rsid w:val="006A7710"/>
    <w:rsid w:val="006A7C0E"/>
    <w:rsid w:val="006B03F6"/>
    <w:rsid w:val="006B344E"/>
    <w:rsid w:val="006B3815"/>
    <w:rsid w:val="006B3CD2"/>
    <w:rsid w:val="006C0A3C"/>
    <w:rsid w:val="006C1820"/>
    <w:rsid w:val="006C2027"/>
    <w:rsid w:val="006C3745"/>
    <w:rsid w:val="006C3F86"/>
    <w:rsid w:val="006C71EF"/>
    <w:rsid w:val="006C7C45"/>
    <w:rsid w:val="006D047B"/>
    <w:rsid w:val="006D0ADD"/>
    <w:rsid w:val="006D218B"/>
    <w:rsid w:val="006D317E"/>
    <w:rsid w:val="006D318D"/>
    <w:rsid w:val="006D545A"/>
    <w:rsid w:val="006D7DF3"/>
    <w:rsid w:val="006E2BC4"/>
    <w:rsid w:val="006E3021"/>
    <w:rsid w:val="006E527A"/>
    <w:rsid w:val="006E691D"/>
    <w:rsid w:val="006E6A82"/>
    <w:rsid w:val="006E7918"/>
    <w:rsid w:val="006E7AC2"/>
    <w:rsid w:val="006F1B0F"/>
    <w:rsid w:val="006F1F6F"/>
    <w:rsid w:val="006F234A"/>
    <w:rsid w:val="006F6A85"/>
    <w:rsid w:val="006F6A91"/>
    <w:rsid w:val="006F7C35"/>
    <w:rsid w:val="007008B3"/>
    <w:rsid w:val="00701F63"/>
    <w:rsid w:val="00702DAD"/>
    <w:rsid w:val="00705D15"/>
    <w:rsid w:val="00706809"/>
    <w:rsid w:val="007077B2"/>
    <w:rsid w:val="00712CBC"/>
    <w:rsid w:val="007135A3"/>
    <w:rsid w:val="00713CDB"/>
    <w:rsid w:val="007179A7"/>
    <w:rsid w:val="007202EC"/>
    <w:rsid w:val="007204D3"/>
    <w:rsid w:val="00721996"/>
    <w:rsid w:val="00721BBC"/>
    <w:rsid w:val="007222B9"/>
    <w:rsid w:val="007235A6"/>
    <w:rsid w:val="0072458F"/>
    <w:rsid w:val="007248A9"/>
    <w:rsid w:val="0072705E"/>
    <w:rsid w:val="00727DBB"/>
    <w:rsid w:val="00730565"/>
    <w:rsid w:val="00731146"/>
    <w:rsid w:val="00731382"/>
    <w:rsid w:val="007313D8"/>
    <w:rsid w:val="0073186F"/>
    <w:rsid w:val="00731C6F"/>
    <w:rsid w:val="00732368"/>
    <w:rsid w:val="00732623"/>
    <w:rsid w:val="0073406D"/>
    <w:rsid w:val="00734D16"/>
    <w:rsid w:val="00735600"/>
    <w:rsid w:val="00740437"/>
    <w:rsid w:val="00742E99"/>
    <w:rsid w:val="007465D3"/>
    <w:rsid w:val="00747756"/>
    <w:rsid w:val="00750852"/>
    <w:rsid w:val="007562DC"/>
    <w:rsid w:val="00761B88"/>
    <w:rsid w:val="00764D95"/>
    <w:rsid w:val="0076602F"/>
    <w:rsid w:val="00766E13"/>
    <w:rsid w:val="0077131A"/>
    <w:rsid w:val="007721C1"/>
    <w:rsid w:val="00772242"/>
    <w:rsid w:val="00772458"/>
    <w:rsid w:val="0077448E"/>
    <w:rsid w:val="00774F81"/>
    <w:rsid w:val="0077538A"/>
    <w:rsid w:val="00775F6E"/>
    <w:rsid w:val="0077632E"/>
    <w:rsid w:val="00780ECE"/>
    <w:rsid w:val="007816B5"/>
    <w:rsid w:val="0078312B"/>
    <w:rsid w:val="007838C9"/>
    <w:rsid w:val="00784D48"/>
    <w:rsid w:val="00785FC9"/>
    <w:rsid w:val="00786712"/>
    <w:rsid w:val="00787607"/>
    <w:rsid w:val="00790050"/>
    <w:rsid w:val="00792013"/>
    <w:rsid w:val="0079674E"/>
    <w:rsid w:val="00796902"/>
    <w:rsid w:val="007A08A4"/>
    <w:rsid w:val="007A20EE"/>
    <w:rsid w:val="007B16CF"/>
    <w:rsid w:val="007B1CD3"/>
    <w:rsid w:val="007B2B3A"/>
    <w:rsid w:val="007B4903"/>
    <w:rsid w:val="007B6E4B"/>
    <w:rsid w:val="007C1AB7"/>
    <w:rsid w:val="007C2339"/>
    <w:rsid w:val="007C5359"/>
    <w:rsid w:val="007C6593"/>
    <w:rsid w:val="007D1286"/>
    <w:rsid w:val="007D3421"/>
    <w:rsid w:val="007D3B21"/>
    <w:rsid w:val="007D4E51"/>
    <w:rsid w:val="007D683C"/>
    <w:rsid w:val="007D7443"/>
    <w:rsid w:val="007E0DAD"/>
    <w:rsid w:val="007E167B"/>
    <w:rsid w:val="007E4A2D"/>
    <w:rsid w:val="007E5B62"/>
    <w:rsid w:val="007E68AD"/>
    <w:rsid w:val="007E6AAE"/>
    <w:rsid w:val="007E79E0"/>
    <w:rsid w:val="007F07AB"/>
    <w:rsid w:val="007F1691"/>
    <w:rsid w:val="007F2F59"/>
    <w:rsid w:val="007F4966"/>
    <w:rsid w:val="007F57E6"/>
    <w:rsid w:val="007F5C5C"/>
    <w:rsid w:val="007F6A18"/>
    <w:rsid w:val="008016C4"/>
    <w:rsid w:val="00802CD5"/>
    <w:rsid w:val="008038C8"/>
    <w:rsid w:val="0080581C"/>
    <w:rsid w:val="00810D99"/>
    <w:rsid w:val="00811C9C"/>
    <w:rsid w:val="00814514"/>
    <w:rsid w:val="00814CEE"/>
    <w:rsid w:val="00815212"/>
    <w:rsid w:val="008153E8"/>
    <w:rsid w:val="0081720C"/>
    <w:rsid w:val="00817DDA"/>
    <w:rsid w:val="00820912"/>
    <w:rsid w:val="00821995"/>
    <w:rsid w:val="0082280F"/>
    <w:rsid w:val="00823030"/>
    <w:rsid w:val="00824313"/>
    <w:rsid w:val="008277E1"/>
    <w:rsid w:val="008319B5"/>
    <w:rsid w:val="00832943"/>
    <w:rsid w:val="00832AF0"/>
    <w:rsid w:val="00833AB5"/>
    <w:rsid w:val="008347BB"/>
    <w:rsid w:val="008406CE"/>
    <w:rsid w:val="00842F6D"/>
    <w:rsid w:val="008458B1"/>
    <w:rsid w:val="00846E1A"/>
    <w:rsid w:val="00847941"/>
    <w:rsid w:val="008511BD"/>
    <w:rsid w:val="008532EE"/>
    <w:rsid w:val="00853956"/>
    <w:rsid w:val="00853FE4"/>
    <w:rsid w:val="00855120"/>
    <w:rsid w:val="008554BF"/>
    <w:rsid w:val="00856806"/>
    <w:rsid w:val="00856B76"/>
    <w:rsid w:val="008573F8"/>
    <w:rsid w:val="008629A9"/>
    <w:rsid w:val="00862C91"/>
    <w:rsid w:val="00863379"/>
    <w:rsid w:val="00863685"/>
    <w:rsid w:val="008649FD"/>
    <w:rsid w:val="00865A7E"/>
    <w:rsid w:val="008662A5"/>
    <w:rsid w:val="00866A2E"/>
    <w:rsid w:val="00866B7C"/>
    <w:rsid w:val="008703A7"/>
    <w:rsid w:val="00870AEE"/>
    <w:rsid w:val="00871A0A"/>
    <w:rsid w:val="00874A1D"/>
    <w:rsid w:val="00875560"/>
    <w:rsid w:val="00880268"/>
    <w:rsid w:val="00880F74"/>
    <w:rsid w:val="008823BB"/>
    <w:rsid w:val="00882A03"/>
    <w:rsid w:val="00882C4C"/>
    <w:rsid w:val="00884752"/>
    <w:rsid w:val="00886650"/>
    <w:rsid w:val="008913B8"/>
    <w:rsid w:val="0089178C"/>
    <w:rsid w:val="0089443B"/>
    <w:rsid w:val="00894E1A"/>
    <w:rsid w:val="0089673F"/>
    <w:rsid w:val="008A1F40"/>
    <w:rsid w:val="008A2334"/>
    <w:rsid w:val="008A2D91"/>
    <w:rsid w:val="008A53E1"/>
    <w:rsid w:val="008A54AE"/>
    <w:rsid w:val="008A7295"/>
    <w:rsid w:val="008A7B82"/>
    <w:rsid w:val="008B4164"/>
    <w:rsid w:val="008B73C6"/>
    <w:rsid w:val="008B7ADC"/>
    <w:rsid w:val="008C269F"/>
    <w:rsid w:val="008C35ED"/>
    <w:rsid w:val="008C3E5C"/>
    <w:rsid w:val="008C4CEA"/>
    <w:rsid w:val="008C5BDB"/>
    <w:rsid w:val="008C62F5"/>
    <w:rsid w:val="008C6B8B"/>
    <w:rsid w:val="008C772B"/>
    <w:rsid w:val="008D0F1B"/>
    <w:rsid w:val="008D24FC"/>
    <w:rsid w:val="008D27D3"/>
    <w:rsid w:val="008D3E34"/>
    <w:rsid w:val="008D4FA3"/>
    <w:rsid w:val="008D6158"/>
    <w:rsid w:val="008E00DC"/>
    <w:rsid w:val="008E56EC"/>
    <w:rsid w:val="008E6F04"/>
    <w:rsid w:val="008F12CD"/>
    <w:rsid w:val="008F12F1"/>
    <w:rsid w:val="008F2AD4"/>
    <w:rsid w:val="008F4DC2"/>
    <w:rsid w:val="008F4F94"/>
    <w:rsid w:val="008F53D1"/>
    <w:rsid w:val="008F5435"/>
    <w:rsid w:val="008F678B"/>
    <w:rsid w:val="00901C69"/>
    <w:rsid w:val="009043DB"/>
    <w:rsid w:val="00905BC4"/>
    <w:rsid w:val="009062A0"/>
    <w:rsid w:val="00906619"/>
    <w:rsid w:val="00907C6F"/>
    <w:rsid w:val="00907CEA"/>
    <w:rsid w:val="009106DB"/>
    <w:rsid w:val="00911728"/>
    <w:rsid w:val="00911F31"/>
    <w:rsid w:val="00920226"/>
    <w:rsid w:val="00920C1F"/>
    <w:rsid w:val="00920C3F"/>
    <w:rsid w:val="00922660"/>
    <w:rsid w:val="00923427"/>
    <w:rsid w:val="00925806"/>
    <w:rsid w:val="0093139D"/>
    <w:rsid w:val="00931787"/>
    <w:rsid w:val="00931EA4"/>
    <w:rsid w:val="00932AC4"/>
    <w:rsid w:val="00932B4A"/>
    <w:rsid w:val="00933315"/>
    <w:rsid w:val="009339F4"/>
    <w:rsid w:val="00937311"/>
    <w:rsid w:val="00940A77"/>
    <w:rsid w:val="00941273"/>
    <w:rsid w:val="00941B21"/>
    <w:rsid w:val="0094571E"/>
    <w:rsid w:val="0095165B"/>
    <w:rsid w:val="00954084"/>
    <w:rsid w:val="009543F0"/>
    <w:rsid w:val="00955AD1"/>
    <w:rsid w:val="00956ECE"/>
    <w:rsid w:val="00957573"/>
    <w:rsid w:val="009578DE"/>
    <w:rsid w:val="00960625"/>
    <w:rsid w:val="00961494"/>
    <w:rsid w:val="00962A60"/>
    <w:rsid w:val="00963447"/>
    <w:rsid w:val="009638BA"/>
    <w:rsid w:val="00964EA1"/>
    <w:rsid w:val="0096788B"/>
    <w:rsid w:val="00971114"/>
    <w:rsid w:val="00971225"/>
    <w:rsid w:val="00976085"/>
    <w:rsid w:val="00980162"/>
    <w:rsid w:val="009807D5"/>
    <w:rsid w:val="009819ED"/>
    <w:rsid w:val="00984748"/>
    <w:rsid w:val="009854AD"/>
    <w:rsid w:val="0098648E"/>
    <w:rsid w:val="0098666D"/>
    <w:rsid w:val="00987B45"/>
    <w:rsid w:val="0099331C"/>
    <w:rsid w:val="0099391B"/>
    <w:rsid w:val="00993958"/>
    <w:rsid w:val="009952D4"/>
    <w:rsid w:val="00995AAB"/>
    <w:rsid w:val="009A25E2"/>
    <w:rsid w:val="009A2F6E"/>
    <w:rsid w:val="009A37A8"/>
    <w:rsid w:val="009B03E1"/>
    <w:rsid w:val="009B0A59"/>
    <w:rsid w:val="009B6548"/>
    <w:rsid w:val="009B79AF"/>
    <w:rsid w:val="009C112E"/>
    <w:rsid w:val="009C1462"/>
    <w:rsid w:val="009C3A7E"/>
    <w:rsid w:val="009C6D4E"/>
    <w:rsid w:val="009C7993"/>
    <w:rsid w:val="009D046E"/>
    <w:rsid w:val="009D2DF6"/>
    <w:rsid w:val="009D6687"/>
    <w:rsid w:val="009D67F3"/>
    <w:rsid w:val="009D6E58"/>
    <w:rsid w:val="009D744B"/>
    <w:rsid w:val="009D78E2"/>
    <w:rsid w:val="009E3701"/>
    <w:rsid w:val="009E4972"/>
    <w:rsid w:val="009E7857"/>
    <w:rsid w:val="009E7EAA"/>
    <w:rsid w:val="009F13F8"/>
    <w:rsid w:val="009F3532"/>
    <w:rsid w:val="009F38C4"/>
    <w:rsid w:val="009F426D"/>
    <w:rsid w:val="009F48D0"/>
    <w:rsid w:val="009F4CE6"/>
    <w:rsid w:val="009F57C6"/>
    <w:rsid w:val="00A00E44"/>
    <w:rsid w:val="00A013B3"/>
    <w:rsid w:val="00A0287A"/>
    <w:rsid w:val="00A0379A"/>
    <w:rsid w:val="00A06418"/>
    <w:rsid w:val="00A07655"/>
    <w:rsid w:val="00A07BAB"/>
    <w:rsid w:val="00A10155"/>
    <w:rsid w:val="00A1053A"/>
    <w:rsid w:val="00A1179F"/>
    <w:rsid w:val="00A15E3D"/>
    <w:rsid w:val="00A16509"/>
    <w:rsid w:val="00A2053F"/>
    <w:rsid w:val="00A2115D"/>
    <w:rsid w:val="00A21234"/>
    <w:rsid w:val="00A21961"/>
    <w:rsid w:val="00A21B3D"/>
    <w:rsid w:val="00A22D28"/>
    <w:rsid w:val="00A24A5C"/>
    <w:rsid w:val="00A25910"/>
    <w:rsid w:val="00A26BAB"/>
    <w:rsid w:val="00A33A12"/>
    <w:rsid w:val="00A341DE"/>
    <w:rsid w:val="00A352B9"/>
    <w:rsid w:val="00A369F6"/>
    <w:rsid w:val="00A37D02"/>
    <w:rsid w:val="00A40CE8"/>
    <w:rsid w:val="00A46C4C"/>
    <w:rsid w:val="00A4788A"/>
    <w:rsid w:val="00A47A7A"/>
    <w:rsid w:val="00A50559"/>
    <w:rsid w:val="00A50BF1"/>
    <w:rsid w:val="00A513C7"/>
    <w:rsid w:val="00A5161D"/>
    <w:rsid w:val="00A52683"/>
    <w:rsid w:val="00A54145"/>
    <w:rsid w:val="00A57A51"/>
    <w:rsid w:val="00A606D1"/>
    <w:rsid w:val="00A65841"/>
    <w:rsid w:val="00A72432"/>
    <w:rsid w:val="00A75047"/>
    <w:rsid w:val="00A75E30"/>
    <w:rsid w:val="00A77F80"/>
    <w:rsid w:val="00A81EFF"/>
    <w:rsid w:val="00A85D4D"/>
    <w:rsid w:val="00A90161"/>
    <w:rsid w:val="00A901B2"/>
    <w:rsid w:val="00A90297"/>
    <w:rsid w:val="00A96E48"/>
    <w:rsid w:val="00AA20FD"/>
    <w:rsid w:val="00AA2213"/>
    <w:rsid w:val="00AA355B"/>
    <w:rsid w:val="00AA611A"/>
    <w:rsid w:val="00AB0237"/>
    <w:rsid w:val="00AB1D40"/>
    <w:rsid w:val="00AB2037"/>
    <w:rsid w:val="00AB2611"/>
    <w:rsid w:val="00AB3068"/>
    <w:rsid w:val="00AB38B0"/>
    <w:rsid w:val="00AB45B2"/>
    <w:rsid w:val="00AB4B19"/>
    <w:rsid w:val="00AB5CF8"/>
    <w:rsid w:val="00AB63A1"/>
    <w:rsid w:val="00AB6761"/>
    <w:rsid w:val="00AB7BA4"/>
    <w:rsid w:val="00AC1F0F"/>
    <w:rsid w:val="00AC264B"/>
    <w:rsid w:val="00AC2BDD"/>
    <w:rsid w:val="00AC48B0"/>
    <w:rsid w:val="00AC4D66"/>
    <w:rsid w:val="00AC54CA"/>
    <w:rsid w:val="00AC54FF"/>
    <w:rsid w:val="00AC55CD"/>
    <w:rsid w:val="00AC6461"/>
    <w:rsid w:val="00AC6503"/>
    <w:rsid w:val="00AD08AA"/>
    <w:rsid w:val="00AD2E77"/>
    <w:rsid w:val="00AD44AE"/>
    <w:rsid w:val="00AD49BD"/>
    <w:rsid w:val="00AD4CE0"/>
    <w:rsid w:val="00AE1603"/>
    <w:rsid w:val="00AE1CE6"/>
    <w:rsid w:val="00AE4539"/>
    <w:rsid w:val="00AE73A1"/>
    <w:rsid w:val="00AE75B0"/>
    <w:rsid w:val="00AF1A56"/>
    <w:rsid w:val="00AF2F81"/>
    <w:rsid w:val="00AF5A28"/>
    <w:rsid w:val="00AF6F60"/>
    <w:rsid w:val="00AF71E6"/>
    <w:rsid w:val="00B015DE"/>
    <w:rsid w:val="00B0333D"/>
    <w:rsid w:val="00B0463E"/>
    <w:rsid w:val="00B101A1"/>
    <w:rsid w:val="00B13545"/>
    <w:rsid w:val="00B139A8"/>
    <w:rsid w:val="00B13EB3"/>
    <w:rsid w:val="00B14128"/>
    <w:rsid w:val="00B1585F"/>
    <w:rsid w:val="00B16B78"/>
    <w:rsid w:val="00B2044F"/>
    <w:rsid w:val="00B21F1B"/>
    <w:rsid w:val="00B22653"/>
    <w:rsid w:val="00B22BAE"/>
    <w:rsid w:val="00B244B5"/>
    <w:rsid w:val="00B254D1"/>
    <w:rsid w:val="00B25932"/>
    <w:rsid w:val="00B27967"/>
    <w:rsid w:val="00B27BEE"/>
    <w:rsid w:val="00B31548"/>
    <w:rsid w:val="00B32FE5"/>
    <w:rsid w:val="00B363D5"/>
    <w:rsid w:val="00B3771B"/>
    <w:rsid w:val="00B37BA7"/>
    <w:rsid w:val="00B405B1"/>
    <w:rsid w:val="00B4638E"/>
    <w:rsid w:val="00B5031C"/>
    <w:rsid w:val="00B50F78"/>
    <w:rsid w:val="00B52FEB"/>
    <w:rsid w:val="00B5507F"/>
    <w:rsid w:val="00B60324"/>
    <w:rsid w:val="00B60C6A"/>
    <w:rsid w:val="00B60CF5"/>
    <w:rsid w:val="00B61BD8"/>
    <w:rsid w:val="00B62A7A"/>
    <w:rsid w:val="00B62D50"/>
    <w:rsid w:val="00B634AB"/>
    <w:rsid w:val="00B64370"/>
    <w:rsid w:val="00B6668D"/>
    <w:rsid w:val="00B67198"/>
    <w:rsid w:val="00B73238"/>
    <w:rsid w:val="00B734CD"/>
    <w:rsid w:val="00B762DA"/>
    <w:rsid w:val="00B80123"/>
    <w:rsid w:val="00B82737"/>
    <w:rsid w:val="00B84581"/>
    <w:rsid w:val="00B86B9B"/>
    <w:rsid w:val="00B90629"/>
    <w:rsid w:val="00B91F8C"/>
    <w:rsid w:val="00B93611"/>
    <w:rsid w:val="00B93E40"/>
    <w:rsid w:val="00B96608"/>
    <w:rsid w:val="00B96DB4"/>
    <w:rsid w:val="00B97765"/>
    <w:rsid w:val="00BA26B0"/>
    <w:rsid w:val="00BA4304"/>
    <w:rsid w:val="00BA5572"/>
    <w:rsid w:val="00BA5D31"/>
    <w:rsid w:val="00BB1DFD"/>
    <w:rsid w:val="00BB48A0"/>
    <w:rsid w:val="00BB4D63"/>
    <w:rsid w:val="00BB61E1"/>
    <w:rsid w:val="00BB63E0"/>
    <w:rsid w:val="00BB6B43"/>
    <w:rsid w:val="00BB6B53"/>
    <w:rsid w:val="00BB7466"/>
    <w:rsid w:val="00BB7908"/>
    <w:rsid w:val="00BC0C69"/>
    <w:rsid w:val="00BC5EEE"/>
    <w:rsid w:val="00BC65A2"/>
    <w:rsid w:val="00BC65AA"/>
    <w:rsid w:val="00BC66E1"/>
    <w:rsid w:val="00BC6D45"/>
    <w:rsid w:val="00BD0008"/>
    <w:rsid w:val="00BD0EC2"/>
    <w:rsid w:val="00BD2631"/>
    <w:rsid w:val="00BD2A2E"/>
    <w:rsid w:val="00BD5E2D"/>
    <w:rsid w:val="00BD6786"/>
    <w:rsid w:val="00BD716B"/>
    <w:rsid w:val="00BE4D88"/>
    <w:rsid w:val="00BF16CF"/>
    <w:rsid w:val="00BF2D8D"/>
    <w:rsid w:val="00BF327E"/>
    <w:rsid w:val="00BF361A"/>
    <w:rsid w:val="00BF58C7"/>
    <w:rsid w:val="00C009D9"/>
    <w:rsid w:val="00C01028"/>
    <w:rsid w:val="00C01679"/>
    <w:rsid w:val="00C01DC9"/>
    <w:rsid w:val="00C03389"/>
    <w:rsid w:val="00C04DB6"/>
    <w:rsid w:val="00C05227"/>
    <w:rsid w:val="00C05D93"/>
    <w:rsid w:val="00C06B13"/>
    <w:rsid w:val="00C076E2"/>
    <w:rsid w:val="00C12245"/>
    <w:rsid w:val="00C149C5"/>
    <w:rsid w:val="00C159C6"/>
    <w:rsid w:val="00C161C0"/>
    <w:rsid w:val="00C209E2"/>
    <w:rsid w:val="00C2112F"/>
    <w:rsid w:val="00C213C4"/>
    <w:rsid w:val="00C21FB7"/>
    <w:rsid w:val="00C23618"/>
    <w:rsid w:val="00C2464B"/>
    <w:rsid w:val="00C27799"/>
    <w:rsid w:val="00C312DF"/>
    <w:rsid w:val="00C3184A"/>
    <w:rsid w:val="00C337D9"/>
    <w:rsid w:val="00C33E3C"/>
    <w:rsid w:val="00C35475"/>
    <w:rsid w:val="00C36380"/>
    <w:rsid w:val="00C36690"/>
    <w:rsid w:val="00C415E2"/>
    <w:rsid w:val="00C42125"/>
    <w:rsid w:val="00C456F4"/>
    <w:rsid w:val="00C465EA"/>
    <w:rsid w:val="00C46AC3"/>
    <w:rsid w:val="00C5034A"/>
    <w:rsid w:val="00C50814"/>
    <w:rsid w:val="00C52757"/>
    <w:rsid w:val="00C52E42"/>
    <w:rsid w:val="00C55078"/>
    <w:rsid w:val="00C55169"/>
    <w:rsid w:val="00C55485"/>
    <w:rsid w:val="00C5579A"/>
    <w:rsid w:val="00C55CF0"/>
    <w:rsid w:val="00C57E97"/>
    <w:rsid w:val="00C60789"/>
    <w:rsid w:val="00C63B5B"/>
    <w:rsid w:val="00C64C59"/>
    <w:rsid w:val="00C653DA"/>
    <w:rsid w:val="00C70ADE"/>
    <w:rsid w:val="00C74A17"/>
    <w:rsid w:val="00C80A48"/>
    <w:rsid w:val="00C81F9F"/>
    <w:rsid w:val="00C83C82"/>
    <w:rsid w:val="00C85311"/>
    <w:rsid w:val="00C865A9"/>
    <w:rsid w:val="00C8774C"/>
    <w:rsid w:val="00C87D24"/>
    <w:rsid w:val="00C91257"/>
    <w:rsid w:val="00C94F55"/>
    <w:rsid w:val="00CA0F21"/>
    <w:rsid w:val="00CA25EC"/>
    <w:rsid w:val="00CA26C5"/>
    <w:rsid w:val="00CB76F2"/>
    <w:rsid w:val="00CC0545"/>
    <w:rsid w:val="00CC0F01"/>
    <w:rsid w:val="00CC11F4"/>
    <w:rsid w:val="00CC1D8F"/>
    <w:rsid w:val="00CC1EA3"/>
    <w:rsid w:val="00CC3A1C"/>
    <w:rsid w:val="00CC4027"/>
    <w:rsid w:val="00CC49BE"/>
    <w:rsid w:val="00CC5394"/>
    <w:rsid w:val="00CC5840"/>
    <w:rsid w:val="00CC6686"/>
    <w:rsid w:val="00CC6F6C"/>
    <w:rsid w:val="00CD4DFE"/>
    <w:rsid w:val="00CD5BB7"/>
    <w:rsid w:val="00CD6571"/>
    <w:rsid w:val="00CE058D"/>
    <w:rsid w:val="00CE2BA6"/>
    <w:rsid w:val="00CE5B70"/>
    <w:rsid w:val="00CE71BA"/>
    <w:rsid w:val="00CE7235"/>
    <w:rsid w:val="00CF18D0"/>
    <w:rsid w:val="00CF35C9"/>
    <w:rsid w:val="00CF57CE"/>
    <w:rsid w:val="00CF62E5"/>
    <w:rsid w:val="00CF6F0E"/>
    <w:rsid w:val="00CF736E"/>
    <w:rsid w:val="00D00189"/>
    <w:rsid w:val="00D0413D"/>
    <w:rsid w:val="00D07520"/>
    <w:rsid w:val="00D10206"/>
    <w:rsid w:val="00D104CA"/>
    <w:rsid w:val="00D10564"/>
    <w:rsid w:val="00D10830"/>
    <w:rsid w:val="00D10B4E"/>
    <w:rsid w:val="00D11920"/>
    <w:rsid w:val="00D12E8B"/>
    <w:rsid w:val="00D12F36"/>
    <w:rsid w:val="00D13948"/>
    <w:rsid w:val="00D144CE"/>
    <w:rsid w:val="00D16E7A"/>
    <w:rsid w:val="00D21834"/>
    <w:rsid w:val="00D26206"/>
    <w:rsid w:val="00D301C7"/>
    <w:rsid w:val="00D303EE"/>
    <w:rsid w:val="00D3054E"/>
    <w:rsid w:val="00D31037"/>
    <w:rsid w:val="00D317AE"/>
    <w:rsid w:val="00D3285D"/>
    <w:rsid w:val="00D32F30"/>
    <w:rsid w:val="00D332BD"/>
    <w:rsid w:val="00D33422"/>
    <w:rsid w:val="00D341C0"/>
    <w:rsid w:val="00D34883"/>
    <w:rsid w:val="00D3626B"/>
    <w:rsid w:val="00D36946"/>
    <w:rsid w:val="00D3695B"/>
    <w:rsid w:val="00D3714E"/>
    <w:rsid w:val="00D4032B"/>
    <w:rsid w:val="00D428E7"/>
    <w:rsid w:val="00D44D24"/>
    <w:rsid w:val="00D51C8D"/>
    <w:rsid w:val="00D54243"/>
    <w:rsid w:val="00D54AC2"/>
    <w:rsid w:val="00D56C58"/>
    <w:rsid w:val="00D61E93"/>
    <w:rsid w:val="00D620A9"/>
    <w:rsid w:val="00D63159"/>
    <w:rsid w:val="00D63D82"/>
    <w:rsid w:val="00D6485E"/>
    <w:rsid w:val="00D649BB"/>
    <w:rsid w:val="00D64F14"/>
    <w:rsid w:val="00D65C2E"/>
    <w:rsid w:val="00D669AB"/>
    <w:rsid w:val="00D701DF"/>
    <w:rsid w:val="00D71322"/>
    <w:rsid w:val="00D7332F"/>
    <w:rsid w:val="00D743FB"/>
    <w:rsid w:val="00D767A2"/>
    <w:rsid w:val="00D81FE2"/>
    <w:rsid w:val="00D82A71"/>
    <w:rsid w:val="00D82A95"/>
    <w:rsid w:val="00D863B6"/>
    <w:rsid w:val="00D864C6"/>
    <w:rsid w:val="00D911FE"/>
    <w:rsid w:val="00D91BB1"/>
    <w:rsid w:val="00D91BBA"/>
    <w:rsid w:val="00D94918"/>
    <w:rsid w:val="00D94959"/>
    <w:rsid w:val="00D967C4"/>
    <w:rsid w:val="00D97FCE"/>
    <w:rsid w:val="00DA0E8D"/>
    <w:rsid w:val="00DA5015"/>
    <w:rsid w:val="00DA5399"/>
    <w:rsid w:val="00DA5792"/>
    <w:rsid w:val="00DA6428"/>
    <w:rsid w:val="00DA742A"/>
    <w:rsid w:val="00DA7615"/>
    <w:rsid w:val="00DB224E"/>
    <w:rsid w:val="00DB5AE5"/>
    <w:rsid w:val="00DB6621"/>
    <w:rsid w:val="00DB7602"/>
    <w:rsid w:val="00DB791C"/>
    <w:rsid w:val="00DC00FD"/>
    <w:rsid w:val="00DC0BCF"/>
    <w:rsid w:val="00DC10C0"/>
    <w:rsid w:val="00DC1176"/>
    <w:rsid w:val="00DC11F5"/>
    <w:rsid w:val="00DC4896"/>
    <w:rsid w:val="00DC6D0F"/>
    <w:rsid w:val="00DD3B55"/>
    <w:rsid w:val="00DF20B5"/>
    <w:rsid w:val="00DF2548"/>
    <w:rsid w:val="00DF5831"/>
    <w:rsid w:val="00DF6168"/>
    <w:rsid w:val="00DF61BA"/>
    <w:rsid w:val="00DF7678"/>
    <w:rsid w:val="00E01393"/>
    <w:rsid w:val="00E05ECB"/>
    <w:rsid w:val="00E06FA1"/>
    <w:rsid w:val="00E07A1F"/>
    <w:rsid w:val="00E13481"/>
    <w:rsid w:val="00E137DF"/>
    <w:rsid w:val="00E14223"/>
    <w:rsid w:val="00E14907"/>
    <w:rsid w:val="00E157A7"/>
    <w:rsid w:val="00E15FA2"/>
    <w:rsid w:val="00E20694"/>
    <w:rsid w:val="00E2194D"/>
    <w:rsid w:val="00E24244"/>
    <w:rsid w:val="00E24643"/>
    <w:rsid w:val="00E26D4D"/>
    <w:rsid w:val="00E27680"/>
    <w:rsid w:val="00E307AD"/>
    <w:rsid w:val="00E30C2E"/>
    <w:rsid w:val="00E32D23"/>
    <w:rsid w:val="00E32DB4"/>
    <w:rsid w:val="00E32FC2"/>
    <w:rsid w:val="00E34D9B"/>
    <w:rsid w:val="00E36C1C"/>
    <w:rsid w:val="00E37BC3"/>
    <w:rsid w:val="00E37F90"/>
    <w:rsid w:val="00E4040E"/>
    <w:rsid w:val="00E42EE0"/>
    <w:rsid w:val="00E567E2"/>
    <w:rsid w:val="00E56C6C"/>
    <w:rsid w:val="00E57295"/>
    <w:rsid w:val="00E618FA"/>
    <w:rsid w:val="00E62188"/>
    <w:rsid w:val="00E62822"/>
    <w:rsid w:val="00E734CD"/>
    <w:rsid w:val="00E746FA"/>
    <w:rsid w:val="00E758B1"/>
    <w:rsid w:val="00E7623C"/>
    <w:rsid w:val="00E77385"/>
    <w:rsid w:val="00E80331"/>
    <w:rsid w:val="00E8072E"/>
    <w:rsid w:val="00E848AE"/>
    <w:rsid w:val="00E86CF1"/>
    <w:rsid w:val="00E8738A"/>
    <w:rsid w:val="00E907CB"/>
    <w:rsid w:val="00E91FD6"/>
    <w:rsid w:val="00E92983"/>
    <w:rsid w:val="00E92D47"/>
    <w:rsid w:val="00E94BA1"/>
    <w:rsid w:val="00E962B2"/>
    <w:rsid w:val="00EA010E"/>
    <w:rsid w:val="00EA0600"/>
    <w:rsid w:val="00EA0F2B"/>
    <w:rsid w:val="00EA0F83"/>
    <w:rsid w:val="00EA454C"/>
    <w:rsid w:val="00EA546D"/>
    <w:rsid w:val="00EA59F1"/>
    <w:rsid w:val="00EB091E"/>
    <w:rsid w:val="00EB0A92"/>
    <w:rsid w:val="00EB2274"/>
    <w:rsid w:val="00EB2C7E"/>
    <w:rsid w:val="00EB3C20"/>
    <w:rsid w:val="00EB4728"/>
    <w:rsid w:val="00EB5622"/>
    <w:rsid w:val="00EB594D"/>
    <w:rsid w:val="00EB6F22"/>
    <w:rsid w:val="00EC222F"/>
    <w:rsid w:val="00EC3D09"/>
    <w:rsid w:val="00EC7166"/>
    <w:rsid w:val="00EC7270"/>
    <w:rsid w:val="00EC7CD0"/>
    <w:rsid w:val="00ED2D5D"/>
    <w:rsid w:val="00ED4CA5"/>
    <w:rsid w:val="00ED5EE3"/>
    <w:rsid w:val="00ED677C"/>
    <w:rsid w:val="00EF038B"/>
    <w:rsid w:val="00EF0725"/>
    <w:rsid w:val="00EF0EFE"/>
    <w:rsid w:val="00EF287A"/>
    <w:rsid w:val="00EF7361"/>
    <w:rsid w:val="00F0478C"/>
    <w:rsid w:val="00F063CE"/>
    <w:rsid w:val="00F12B84"/>
    <w:rsid w:val="00F16A02"/>
    <w:rsid w:val="00F17D20"/>
    <w:rsid w:val="00F20B1A"/>
    <w:rsid w:val="00F213D5"/>
    <w:rsid w:val="00F21FBE"/>
    <w:rsid w:val="00F237D1"/>
    <w:rsid w:val="00F23E7F"/>
    <w:rsid w:val="00F24B47"/>
    <w:rsid w:val="00F26263"/>
    <w:rsid w:val="00F3342F"/>
    <w:rsid w:val="00F35940"/>
    <w:rsid w:val="00F35F88"/>
    <w:rsid w:val="00F3730C"/>
    <w:rsid w:val="00F37BCF"/>
    <w:rsid w:val="00F400AB"/>
    <w:rsid w:val="00F42127"/>
    <w:rsid w:val="00F42D7E"/>
    <w:rsid w:val="00F4614B"/>
    <w:rsid w:val="00F469BF"/>
    <w:rsid w:val="00F47527"/>
    <w:rsid w:val="00F50201"/>
    <w:rsid w:val="00F50719"/>
    <w:rsid w:val="00F538A2"/>
    <w:rsid w:val="00F54FF0"/>
    <w:rsid w:val="00F619FF"/>
    <w:rsid w:val="00F63312"/>
    <w:rsid w:val="00F64265"/>
    <w:rsid w:val="00F643DA"/>
    <w:rsid w:val="00F6441C"/>
    <w:rsid w:val="00F75BBC"/>
    <w:rsid w:val="00F76BA7"/>
    <w:rsid w:val="00F81224"/>
    <w:rsid w:val="00F81F46"/>
    <w:rsid w:val="00F82FC6"/>
    <w:rsid w:val="00F85343"/>
    <w:rsid w:val="00F86019"/>
    <w:rsid w:val="00F93D10"/>
    <w:rsid w:val="00F952EE"/>
    <w:rsid w:val="00F96608"/>
    <w:rsid w:val="00FA0199"/>
    <w:rsid w:val="00FB1133"/>
    <w:rsid w:val="00FB3418"/>
    <w:rsid w:val="00FB3821"/>
    <w:rsid w:val="00FB52CA"/>
    <w:rsid w:val="00FB7A1E"/>
    <w:rsid w:val="00FC2E9D"/>
    <w:rsid w:val="00FC419D"/>
    <w:rsid w:val="00FC53B2"/>
    <w:rsid w:val="00FC60BF"/>
    <w:rsid w:val="00FC61E8"/>
    <w:rsid w:val="00FD0023"/>
    <w:rsid w:val="00FD04F2"/>
    <w:rsid w:val="00FD1E0A"/>
    <w:rsid w:val="00FD546F"/>
    <w:rsid w:val="00FD55ED"/>
    <w:rsid w:val="00FD63D9"/>
    <w:rsid w:val="00FE0110"/>
    <w:rsid w:val="00FE0718"/>
    <w:rsid w:val="00FE35FC"/>
    <w:rsid w:val="00FE4783"/>
    <w:rsid w:val="00FF1494"/>
    <w:rsid w:val="00FF3463"/>
    <w:rsid w:val="00FF410D"/>
    <w:rsid w:val="00FF4E34"/>
    <w:rsid w:val="00FF5B26"/>
    <w:rsid w:val="00FF7C03"/>
    <w:rsid w:val="010258E6"/>
    <w:rsid w:val="01262A11"/>
    <w:rsid w:val="01524546"/>
    <w:rsid w:val="01710365"/>
    <w:rsid w:val="01722C33"/>
    <w:rsid w:val="017A7499"/>
    <w:rsid w:val="01944054"/>
    <w:rsid w:val="019B1002"/>
    <w:rsid w:val="01AD0284"/>
    <w:rsid w:val="01C50A60"/>
    <w:rsid w:val="01CB7206"/>
    <w:rsid w:val="01CC187D"/>
    <w:rsid w:val="01CE3A0A"/>
    <w:rsid w:val="01E02BDF"/>
    <w:rsid w:val="01E518DC"/>
    <w:rsid w:val="01EF3E79"/>
    <w:rsid w:val="01F0738A"/>
    <w:rsid w:val="020052E3"/>
    <w:rsid w:val="020B3CEA"/>
    <w:rsid w:val="020C3EDC"/>
    <w:rsid w:val="02184C85"/>
    <w:rsid w:val="02225B04"/>
    <w:rsid w:val="02555ED9"/>
    <w:rsid w:val="026043E7"/>
    <w:rsid w:val="029307AF"/>
    <w:rsid w:val="02C56869"/>
    <w:rsid w:val="02E229F7"/>
    <w:rsid w:val="02E32C2F"/>
    <w:rsid w:val="02E62FD5"/>
    <w:rsid w:val="031D1EDF"/>
    <w:rsid w:val="032C72CF"/>
    <w:rsid w:val="033D0C2F"/>
    <w:rsid w:val="03507D3F"/>
    <w:rsid w:val="03753A54"/>
    <w:rsid w:val="03867E22"/>
    <w:rsid w:val="03951B32"/>
    <w:rsid w:val="03CE5A28"/>
    <w:rsid w:val="03F70B81"/>
    <w:rsid w:val="03F70E8A"/>
    <w:rsid w:val="040672AE"/>
    <w:rsid w:val="04355770"/>
    <w:rsid w:val="043D6C25"/>
    <w:rsid w:val="04475109"/>
    <w:rsid w:val="044A28B0"/>
    <w:rsid w:val="046161A6"/>
    <w:rsid w:val="047645FF"/>
    <w:rsid w:val="047737F2"/>
    <w:rsid w:val="0481340E"/>
    <w:rsid w:val="04A13783"/>
    <w:rsid w:val="04AB3B6F"/>
    <w:rsid w:val="04B802B2"/>
    <w:rsid w:val="04CD4875"/>
    <w:rsid w:val="04D923B8"/>
    <w:rsid w:val="04D94D70"/>
    <w:rsid w:val="04DD5A3E"/>
    <w:rsid w:val="04F079D4"/>
    <w:rsid w:val="04F163A1"/>
    <w:rsid w:val="051A4677"/>
    <w:rsid w:val="0535135D"/>
    <w:rsid w:val="054D2E98"/>
    <w:rsid w:val="055B2BDE"/>
    <w:rsid w:val="056A0F0E"/>
    <w:rsid w:val="05841700"/>
    <w:rsid w:val="058B3C36"/>
    <w:rsid w:val="058F568C"/>
    <w:rsid w:val="05935113"/>
    <w:rsid w:val="05980C29"/>
    <w:rsid w:val="059A1A6C"/>
    <w:rsid w:val="05B11A90"/>
    <w:rsid w:val="05C11C45"/>
    <w:rsid w:val="05D222F6"/>
    <w:rsid w:val="05D74029"/>
    <w:rsid w:val="05DC0DD7"/>
    <w:rsid w:val="05DC2881"/>
    <w:rsid w:val="05E7387D"/>
    <w:rsid w:val="05EC4FCA"/>
    <w:rsid w:val="05F64927"/>
    <w:rsid w:val="065F10D4"/>
    <w:rsid w:val="06622B79"/>
    <w:rsid w:val="06821BF2"/>
    <w:rsid w:val="068B1EC9"/>
    <w:rsid w:val="069F5975"/>
    <w:rsid w:val="06A30B04"/>
    <w:rsid w:val="06B156A8"/>
    <w:rsid w:val="06B371CB"/>
    <w:rsid w:val="06C673A5"/>
    <w:rsid w:val="07041C7C"/>
    <w:rsid w:val="07071080"/>
    <w:rsid w:val="07133987"/>
    <w:rsid w:val="072E2EA5"/>
    <w:rsid w:val="074F1149"/>
    <w:rsid w:val="075B4DA8"/>
    <w:rsid w:val="077C7890"/>
    <w:rsid w:val="077E17E6"/>
    <w:rsid w:val="078367DF"/>
    <w:rsid w:val="07915B35"/>
    <w:rsid w:val="0798526C"/>
    <w:rsid w:val="07B6743B"/>
    <w:rsid w:val="07B90CB8"/>
    <w:rsid w:val="07CB711C"/>
    <w:rsid w:val="08052EE4"/>
    <w:rsid w:val="081D6FE5"/>
    <w:rsid w:val="08273E74"/>
    <w:rsid w:val="08402632"/>
    <w:rsid w:val="08437164"/>
    <w:rsid w:val="08534C69"/>
    <w:rsid w:val="085C2B1F"/>
    <w:rsid w:val="08751806"/>
    <w:rsid w:val="08776D15"/>
    <w:rsid w:val="087F6EAD"/>
    <w:rsid w:val="08964B56"/>
    <w:rsid w:val="08967162"/>
    <w:rsid w:val="08A10FEE"/>
    <w:rsid w:val="08A528C9"/>
    <w:rsid w:val="08AF0661"/>
    <w:rsid w:val="08D04256"/>
    <w:rsid w:val="08D16FB0"/>
    <w:rsid w:val="08DD4D56"/>
    <w:rsid w:val="08E81855"/>
    <w:rsid w:val="08F13B72"/>
    <w:rsid w:val="091E2FEC"/>
    <w:rsid w:val="092D0237"/>
    <w:rsid w:val="093E25FC"/>
    <w:rsid w:val="09573A1A"/>
    <w:rsid w:val="095B0F5C"/>
    <w:rsid w:val="095F6407"/>
    <w:rsid w:val="099754A0"/>
    <w:rsid w:val="09C474A0"/>
    <w:rsid w:val="09D21BBD"/>
    <w:rsid w:val="09DF42DA"/>
    <w:rsid w:val="0A0007F1"/>
    <w:rsid w:val="0A1B0A61"/>
    <w:rsid w:val="0A1B7A08"/>
    <w:rsid w:val="0A291522"/>
    <w:rsid w:val="0A4E4BD2"/>
    <w:rsid w:val="0A586AAE"/>
    <w:rsid w:val="0A5D69CB"/>
    <w:rsid w:val="0A607158"/>
    <w:rsid w:val="0A670F45"/>
    <w:rsid w:val="0A7F5310"/>
    <w:rsid w:val="0A832232"/>
    <w:rsid w:val="0A892929"/>
    <w:rsid w:val="0A892BC4"/>
    <w:rsid w:val="0A8B6749"/>
    <w:rsid w:val="0A8E2DE3"/>
    <w:rsid w:val="0A972DEB"/>
    <w:rsid w:val="0A9732D9"/>
    <w:rsid w:val="0AA90B70"/>
    <w:rsid w:val="0AB87005"/>
    <w:rsid w:val="0ABB4084"/>
    <w:rsid w:val="0AC66E25"/>
    <w:rsid w:val="0AC92C3E"/>
    <w:rsid w:val="0ACC376C"/>
    <w:rsid w:val="0AE866D6"/>
    <w:rsid w:val="0AEA27D9"/>
    <w:rsid w:val="0B217598"/>
    <w:rsid w:val="0B467B2B"/>
    <w:rsid w:val="0B88110C"/>
    <w:rsid w:val="0B8E4B2D"/>
    <w:rsid w:val="0BB06CD5"/>
    <w:rsid w:val="0BD70481"/>
    <w:rsid w:val="0BDF6813"/>
    <w:rsid w:val="0BF73665"/>
    <w:rsid w:val="0C717B0B"/>
    <w:rsid w:val="0CB06269"/>
    <w:rsid w:val="0CB355D9"/>
    <w:rsid w:val="0CF20ED2"/>
    <w:rsid w:val="0CFD389B"/>
    <w:rsid w:val="0D351124"/>
    <w:rsid w:val="0D4A0154"/>
    <w:rsid w:val="0D56502D"/>
    <w:rsid w:val="0D715CDF"/>
    <w:rsid w:val="0D955794"/>
    <w:rsid w:val="0DA63A8D"/>
    <w:rsid w:val="0DA939CD"/>
    <w:rsid w:val="0DC67D96"/>
    <w:rsid w:val="0DE03541"/>
    <w:rsid w:val="0DEE338A"/>
    <w:rsid w:val="0DFF42DB"/>
    <w:rsid w:val="0E026119"/>
    <w:rsid w:val="0E2449B2"/>
    <w:rsid w:val="0E344BF5"/>
    <w:rsid w:val="0E415846"/>
    <w:rsid w:val="0E420208"/>
    <w:rsid w:val="0E6346D4"/>
    <w:rsid w:val="0E694E77"/>
    <w:rsid w:val="0E952174"/>
    <w:rsid w:val="0ECB3CB1"/>
    <w:rsid w:val="0EE91E83"/>
    <w:rsid w:val="0EF44384"/>
    <w:rsid w:val="0F152C78"/>
    <w:rsid w:val="0F311A88"/>
    <w:rsid w:val="0F352F56"/>
    <w:rsid w:val="0F442DCE"/>
    <w:rsid w:val="0F457191"/>
    <w:rsid w:val="0F47797A"/>
    <w:rsid w:val="0FAB4FAD"/>
    <w:rsid w:val="0FF024AD"/>
    <w:rsid w:val="0FF356C9"/>
    <w:rsid w:val="0FF7412C"/>
    <w:rsid w:val="10036A83"/>
    <w:rsid w:val="100E04A5"/>
    <w:rsid w:val="100E6912"/>
    <w:rsid w:val="10220EDB"/>
    <w:rsid w:val="103B5476"/>
    <w:rsid w:val="104022F7"/>
    <w:rsid w:val="1050649F"/>
    <w:rsid w:val="105C41BD"/>
    <w:rsid w:val="10747245"/>
    <w:rsid w:val="10796280"/>
    <w:rsid w:val="10CE1DC4"/>
    <w:rsid w:val="10EB5448"/>
    <w:rsid w:val="10FE14EA"/>
    <w:rsid w:val="111C0A10"/>
    <w:rsid w:val="112524BF"/>
    <w:rsid w:val="112B73CC"/>
    <w:rsid w:val="112C24B3"/>
    <w:rsid w:val="112C684D"/>
    <w:rsid w:val="114C54EF"/>
    <w:rsid w:val="117479FE"/>
    <w:rsid w:val="119E6584"/>
    <w:rsid w:val="11A37BF8"/>
    <w:rsid w:val="11A53328"/>
    <w:rsid w:val="11BB68E0"/>
    <w:rsid w:val="11BB7CC8"/>
    <w:rsid w:val="11CF03A6"/>
    <w:rsid w:val="11D86CF1"/>
    <w:rsid w:val="11DA7008"/>
    <w:rsid w:val="11E85D62"/>
    <w:rsid w:val="11EE155E"/>
    <w:rsid w:val="11FD1476"/>
    <w:rsid w:val="12282CC2"/>
    <w:rsid w:val="122B630F"/>
    <w:rsid w:val="12371157"/>
    <w:rsid w:val="12475BAC"/>
    <w:rsid w:val="124F64A1"/>
    <w:rsid w:val="127B3870"/>
    <w:rsid w:val="12952491"/>
    <w:rsid w:val="129F2902"/>
    <w:rsid w:val="12A1106E"/>
    <w:rsid w:val="12A667F2"/>
    <w:rsid w:val="12AC5875"/>
    <w:rsid w:val="12AC726A"/>
    <w:rsid w:val="12AF4946"/>
    <w:rsid w:val="12CC5D44"/>
    <w:rsid w:val="12CE73C0"/>
    <w:rsid w:val="12F87246"/>
    <w:rsid w:val="13336CF6"/>
    <w:rsid w:val="136519AE"/>
    <w:rsid w:val="13661C14"/>
    <w:rsid w:val="139044BF"/>
    <w:rsid w:val="13987C4E"/>
    <w:rsid w:val="13A4281C"/>
    <w:rsid w:val="13BD4555"/>
    <w:rsid w:val="13E40F27"/>
    <w:rsid w:val="13EA5F4E"/>
    <w:rsid w:val="13FA0506"/>
    <w:rsid w:val="14024A47"/>
    <w:rsid w:val="142723FC"/>
    <w:rsid w:val="14316C52"/>
    <w:rsid w:val="14462912"/>
    <w:rsid w:val="14586327"/>
    <w:rsid w:val="1461070D"/>
    <w:rsid w:val="14625C43"/>
    <w:rsid w:val="14815555"/>
    <w:rsid w:val="14852A00"/>
    <w:rsid w:val="14A360CE"/>
    <w:rsid w:val="14EE1002"/>
    <w:rsid w:val="151D28B7"/>
    <w:rsid w:val="151D5A6C"/>
    <w:rsid w:val="15225A98"/>
    <w:rsid w:val="152C362B"/>
    <w:rsid w:val="15362F72"/>
    <w:rsid w:val="156C736A"/>
    <w:rsid w:val="15846331"/>
    <w:rsid w:val="159F3BE1"/>
    <w:rsid w:val="15BE15BB"/>
    <w:rsid w:val="15D7147E"/>
    <w:rsid w:val="160617B7"/>
    <w:rsid w:val="16200CA3"/>
    <w:rsid w:val="163316E9"/>
    <w:rsid w:val="16446300"/>
    <w:rsid w:val="1647748F"/>
    <w:rsid w:val="165027E8"/>
    <w:rsid w:val="16542A1D"/>
    <w:rsid w:val="16557DFE"/>
    <w:rsid w:val="16601997"/>
    <w:rsid w:val="166461BF"/>
    <w:rsid w:val="167069E6"/>
    <w:rsid w:val="1674659D"/>
    <w:rsid w:val="168F3AB7"/>
    <w:rsid w:val="169935CC"/>
    <w:rsid w:val="16A05662"/>
    <w:rsid w:val="16E01E2C"/>
    <w:rsid w:val="16E328B7"/>
    <w:rsid w:val="16E42F30"/>
    <w:rsid w:val="16F83709"/>
    <w:rsid w:val="17012E3C"/>
    <w:rsid w:val="17013AE2"/>
    <w:rsid w:val="17155AED"/>
    <w:rsid w:val="171D549C"/>
    <w:rsid w:val="17266E90"/>
    <w:rsid w:val="172B57F8"/>
    <w:rsid w:val="172C5385"/>
    <w:rsid w:val="173A3FAE"/>
    <w:rsid w:val="17500F99"/>
    <w:rsid w:val="17677340"/>
    <w:rsid w:val="176F196A"/>
    <w:rsid w:val="17885D15"/>
    <w:rsid w:val="17975338"/>
    <w:rsid w:val="17A105FD"/>
    <w:rsid w:val="17D5EAC6"/>
    <w:rsid w:val="182A5193"/>
    <w:rsid w:val="18583BD5"/>
    <w:rsid w:val="18590D07"/>
    <w:rsid w:val="185B733F"/>
    <w:rsid w:val="18631746"/>
    <w:rsid w:val="187C0023"/>
    <w:rsid w:val="1883469D"/>
    <w:rsid w:val="188A404B"/>
    <w:rsid w:val="189B7BDE"/>
    <w:rsid w:val="18B1358A"/>
    <w:rsid w:val="18C66D91"/>
    <w:rsid w:val="18D07C10"/>
    <w:rsid w:val="18F8087E"/>
    <w:rsid w:val="18FB26D4"/>
    <w:rsid w:val="191B028F"/>
    <w:rsid w:val="192078F4"/>
    <w:rsid w:val="1948016A"/>
    <w:rsid w:val="19512494"/>
    <w:rsid w:val="19673EED"/>
    <w:rsid w:val="196F5834"/>
    <w:rsid w:val="19777ED5"/>
    <w:rsid w:val="197907DA"/>
    <w:rsid w:val="19822FE5"/>
    <w:rsid w:val="198729C4"/>
    <w:rsid w:val="198829FA"/>
    <w:rsid w:val="198834D0"/>
    <w:rsid w:val="1998289E"/>
    <w:rsid w:val="19B906A4"/>
    <w:rsid w:val="19D77233"/>
    <w:rsid w:val="19DA45A3"/>
    <w:rsid w:val="19DB21F8"/>
    <w:rsid w:val="19DD5645"/>
    <w:rsid w:val="19F52E27"/>
    <w:rsid w:val="1A2A17EE"/>
    <w:rsid w:val="1A2A2B7C"/>
    <w:rsid w:val="1A364661"/>
    <w:rsid w:val="1A536E19"/>
    <w:rsid w:val="1A7B0075"/>
    <w:rsid w:val="1A8B49F2"/>
    <w:rsid w:val="1A8F40D1"/>
    <w:rsid w:val="1A9F1B1F"/>
    <w:rsid w:val="1AA255DC"/>
    <w:rsid w:val="1AAA694D"/>
    <w:rsid w:val="1AAE6582"/>
    <w:rsid w:val="1AB360A8"/>
    <w:rsid w:val="1ACA0B0B"/>
    <w:rsid w:val="1ADF405D"/>
    <w:rsid w:val="1AE23359"/>
    <w:rsid w:val="1AE31E7C"/>
    <w:rsid w:val="1AE56A59"/>
    <w:rsid w:val="1AF05D37"/>
    <w:rsid w:val="1B0F21BB"/>
    <w:rsid w:val="1B146529"/>
    <w:rsid w:val="1B1C3DE6"/>
    <w:rsid w:val="1B1F554D"/>
    <w:rsid w:val="1B4A4F0A"/>
    <w:rsid w:val="1B6034CD"/>
    <w:rsid w:val="1B674A96"/>
    <w:rsid w:val="1B692200"/>
    <w:rsid w:val="1B787B1B"/>
    <w:rsid w:val="1B7F3B26"/>
    <w:rsid w:val="1B9F38C9"/>
    <w:rsid w:val="1BB25E5E"/>
    <w:rsid w:val="1BBB0EE8"/>
    <w:rsid w:val="1BC42A1A"/>
    <w:rsid w:val="1BD417C5"/>
    <w:rsid w:val="1BE26FB4"/>
    <w:rsid w:val="1BF328A2"/>
    <w:rsid w:val="1BFB1448"/>
    <w:rsid w:val="1C001873"/>
    <w:rsid w:val="1C1A54B6"/>
    <w:rsid w:val="1C2F66D2"/>
    <w:rsid w:val="1C38596F"/>
    <w:rsid w:val="1C7C4434"/>
    <w:rsid w:val="1C8306EB"/>
    <w:rsid w:val="1CBE3535"/>
    <w:rsid w:val="1CD53A47"/>
    <w:rsid w:val="1CD7116E"/>
    <w:rsid w:val="1CE41F63"/>
    <w:rsid w:val="1CE66C80"/>
    <w:rsid w:val="1CED1957"/>
    <w:rsid w:val="1D1A3B4F"/>
    <w:rsid w:val="1D2F5DDB"/>
    <w:rsid w:val="1D35423C"/>
    <w:rsid w:val="1D4202F0"/>
    <w:rsid w:val="1D7D6017"/>
    <w:rsid w:val="1D7E7F9C"/>
    <w:rsid w:val="1D927CE7"/>
    <w:rsid w:val="1D993B0D"/>
    <w:rsid w:val="1DCF1881"/>
    <w:rsid w:val="1DD67B98"/>
    <w:rsid w:val="1DED3012"/>
    <w:rsid w:val="1E0B5C51"/>
    <w:rsid w:val="1E283EAC"/>
    <w:rsid w:val="1E2E78B2"/>
    <w:rsid w:val="1E54567C"/>
    <w:rsid w:val="1E696B3C"/>
    <w:rsid w:val="1E98411C"/>
    <w:rsid w:val="1EA96208"/>
    <w:rsid w:val="1EAD038F"/>
    <w:rsid w:val="1EFE78C3"/>
    <w:rsid w:val="1F1D16D5"/>
    <w:rsid w:val="1F204D21"/>
    <w:rsid w:val="1F2C5E05"/>
    <w:rsid w:val="1F2C64C8"/>
    <w:rsid w:val="1F637CE2"/>
    <w:rsid w:val="1F747C83"/>
    <w:rsid w:val="1F764420"/>
    <w:rsid w:val="1F931E59"/>
    <w:rsid w:val="1F9A5A2D"/>
    <w:rsid w:val="1F9D7CD1"/>
    <w:rsid w:val="1FB55DAA"/>
    <w:rsid w:val="1FBE6F6A"/>
    <w:rsid w:val="1FD004F5"/>
    <w:rsid w:val="1FD14F87"/>
    <w:rsid w:val="1FD9384E"/>
    <w:rsid w:val="1FE060AE"/>
    <w:rsid w:val="1FEC755D"/>
    <w:rsid w:val="20137A5C"/>
    <w:rsid w:val="202C43AF"/>
    <w:rsid w:val="204A0C66"/>
    <w:rsid w:val="20743B5C"/>
    <w:rsid w:val="208551D3"/>
    <w:rsid w:val="20912542"/>
    <w:rsid w:val="20AA65FB"/>
    <w:rsid w:val="20AD547B"/>
    <w:rsid w:val="20AF2286"/>
    <w:rsid w:val="20BD5921"/>
    <w:rsid w:val="21015B36"/>
    <w:rsid w:val="21035A81"/>
    <w:rsid w:val="21054E11"/>
    <w:rsid w:val="211A5ECC"/>
    <w:rsid w:val="21374756"/>
    <w:rsid w:val="213E25AB"/>
    <w:rsid w:val="215238B8"/>
    <w:rsid w:val="215A0945"/>
    <w:rsid w:val="215C5FAE"/>
    <w:rsid w:val="215F4227"/>
    <w:rsid w:val="218778A7"/>
    <w:rsid w:val="21A55B15"/>
    <w:rsid w:val="21B207FA"/>
    <w:rsid w:val="21D10EFC"/>
    <w:rsid w:val="21DD6EFA"/>
    <w:rsid w:val="220E6500"/>
    <w:rsid w:val="22253FD6"/>
    <w:rsid w:val="22261FE7"/>
    <w:rsid w:val="222709E7"/>
    <w:rsid w:val="22315346"/>
    <w:rsid w:val="22327245"/>
    <w:rsid w:val="22385160"/>
    <w:rsid w:val="224107BA"/>
    <w:rsid w:val="224B6CC8"/>
    <w:rsid w:val="22643BC0"/>
    <w:rsid w:val="227B5FAC"/>
    <w:rsid w:val="227C4964"/>
    <w:rsid w:val="229A37FF"/>
    <w:rsid w:val="22A326A6"/>
    <w:rsid w:val="22B7671F"/>
    <w:rsid w:val="22C57A7B"/>
    <w:rsid w:val="22E23E78"/>
    <w:rsid w:val="22F96DE1"/>
    <w:rsid w:val="22FE4DE1"/>
    <w:rsid w:val="230D36D5"/>
    <w:rsid w:val="232B1D4E"/>
    <w:rsid w:val="234E1B73"/>
    <w:rsid w:val="23533917"/>
    <w:rsid w:val="23703091"/>
    <w:rsid w:val="23AA7947"/>
    <w:rsid w:val="240264F6"/>
    <w:rsid w:val="240C1608"/>
    <w:rsid w:val="240E51C0"/>
    <w:rsid w:val="24170263"/>
    <w:rsid w:val="241B0B05"/>
    <w:rsid w:val="241E57EC"/>
    <w:rsid w:val="242B6642"/>
    <w:rsid w:val="245308D6"/>
    <w:rsid w:val="245865E6"/>
    <w:rsid w:val="24594C3E"/>
    <w:rsid w:val="245D0DDE"/>
    <w:rsid w:val="247809F1"/>
    <w:rsid w:val="247B3126"/>
    <w:rsid w:val="247F4E11"/>
    <w:rsid w:val="248107A8"/>
    <w:rsid w:val="24822706"/>
    <w:rsid w:val="24BB1774"/>
    <w:rsid w:val="24C12570"/>
    <w:rsid w:val="24C7424D"/>
    <w:rsid w:val="24EB3F4B"/>
    <w:rsid w:val="25034910"/>
    <w:rsid w:val="253D5080"/>
    <w:rsid w:val="253D7DEA"/>
    <w:rsid w:val="2541395F"/>
    <w:rsid w:val="25473008"/>
    <w:rsid w:val="25486290"/>
    <w:rsid w:val="256F08AA"/>
    <w:rsid w:val="257F7258"/>
    <w:rsid w:val="25805D05"/>
    <w:rsid w:val="258263CE"/>
    <w:rsid w:val="258767B4"/>
    <w:rsid w:val="259D25D1"/>
    <w:rsid w:val="25A71113"/>
    <w:rsid w:val="25B12960"/>
    <w:rsid w:val="25B267A3"/>
    <w:rsid w:val="25BF34E6"/>
    <w:rsid w:val="25CF010B"/>
    <w:rsid w:val="25D80C5E"/>
    <w:rsid w:val="25DB1C90"/>
    <w:rsid w:val="25EE4D65"/>
    <w:rsid w:val="266E3EFE"/>
    <w:rsid w:val="266F6ABF"/>
    <w:rsid w:val="267F6EE2"/>
    <w:rsid w:val="26825EE6"/>
    <w:rsid w:val="268362C1"/>
    <w:rsid w:val="2688703D"/>
    <w:rsid w:val="26D1527F"/>
    <w:rsid w:val="26D57B6E"/>
    <w:rsid w:val="26E52AD8"/>
    <w:rsid w:val="26FF4219"/>
    <w:rsid w:val="270F3FF9"/>
    <w:rsid w:val="2719721C"/>
    <w:rsid w:val="273D1A9E"/>
    <w:rsid w:val="27602664"/>
    <w:rsid w:val="276F6AC2"/>
    <w:rsid w:val="277F281B"/>
    <w:rsid w:val="27D355A2"/>
    <w:rsid w:val="27DB768F"/>
    <w:rsid w:val="27E20350"/>
    <w:rsid w:val="27FC6D98"/>
    <w:rsid w:val="27FF492C"/>
    <w:rsid w:val="283D4CDC"/>
    <w:rsid w:val="284362B1"/>
    <w:rsid w:val="284B16F9"/>
    <w:rsid w:val="28560797"/>
    <w:rsid w:val="286B275E"/>
    <w:rsid w:val="287E7FC6"/>
    <w:rsid w:val="28B641DF"/>
    <w:rsid w:val="28C16628"/>
    <w:rsid w:val="28E079FB"/>
    <w:rsid w:val="28EE35DA"/>
    <w:rsid w:val="29026788"/>
    <w:rsid w:val="291E02F7"/>
    <w:rsid w:val="293B2E83"/>
    <w:rsid w:val="294F4398"/>
    <w:rsid w:val="29802F8C"/>
    <w:rsid w:val="299B0BF2"/>
    <w:rsid w:val="29A03A8A"/>
    <w:rsid w:val="29A46C7B"/>
    <w:rsid w:val="29AE26E8"/>
    <w:rsid w:val="29B128B9"/>
    <w:rsid w:val="29B659E6"/>
    <w:rsid w:val="29C72D49"/>
    <w:rsid w:val="29CC221A"/>
    <w:rsid w:val="29FB0865"/>
    <w:rsid w:val="2A195C9B"/>
    <w:rsid w:val="2A1C757A"/>
    <w:rsid w:val="2A2C7F02"/>
    <w:rsid w:val="2A30280C"/>
    <w:rsid w:val="2A3B3D9F"/>
    <w:rsid w:val="2A4A5DB7"/>
    <w:rsid w:val="2A5F0DF4"/>
    <w:rsid w:val="2A681F0D"/>
    <w:rsid w:val="2A6C14CA"/>
    <w:rsid w:val="2AA94997"/>
    <w:rsid w:val="2AAB228B"/>
    <w:rsid w:val="2ABB7F5B"/>
    <w:rsid w:val="2AC673DA"/>
    <w:rsid w:val="2AEF7A52"/>
    <w:rsid w:val="2AF5107C"/>
    <w:rsid w:val="2B0944C7"/>
    <w:rsid w:val="2B280569"/>
    <w:rsid w:val="2B34402E"/>
    <w:rsid w:val="2B381D70"/>
    <w:rsid w:val="2B5C5333"/>
    <w:rsid w:val="2B606BD1"/>
    <w:rsid w:val="2B664B38"/>
    <w:rsid w:val="2B7B45A9"/>
    <w:rsid w:val="2B830D1E"/>
    <w:rsid w:val="2B8D373E"/>
    <w:rsid w:val="2B932EB6"/>
    <w:rsid w:val="2B9539D6"/>
    <w:rsid w:val="2BA50A88"/>
    <w:rsid w:val="2BA921D9"/>
    <w:rsid w:val="2BB32B9B"/>
    <w:rsid w:val="2BBD46D5"/>
    <w:rsid w:val="2BC27C2B"/>
    <w:rsid w:val="2BC91D25"/>
    <w:rsid w:val="2BD01B2E"/>
    <w:rsid w:val="2BF25CC3"/>
    <w:rsid w:val="2C252E34"/>
    <w:rsid w:val="2C40644A"/>
    <w:rsid w:val="2C4A5163"/>
    <w:rsid w:val="2C5542C8"/>
    <w:rsid w:val="2C5E7B90"/>
    <w:rsid w:val="2C602C01"/>
    <w:rsid w:val="2C79652A"/>
    <w:rsid w:val="2C7A27D6"/>
    <w:rsid w:val="2C83526D"/>
    <w:rsid w:val="2CAD7DA3"/>
    <w:rsid w:val="2CF452A6"/>
    <w:rsid w:val="2D1862B6"/>
    <w:rsid w:val="2D345419"/>
    <w:rsid w:val="2D746964"/>
    <w:rsid w:val="2DB80198"/>
    <w:rsid w:val="2DC55411"/>
    <w:rsid w:val="2DD20ACB"/>
    <w:rsid w:val="2DD80BA8"/>
    <w:rsid w:val="2DE45E81"/>
    <w:rsid w:val="2DFA6E35"/>
    <w:rsid w:val="2E0C23DA"/>
    <w:rsid w:val="2E0C7CF6"/>
    <w:rsid w:val="2E103614"/>
    <w:rsid w:val="2E123636"/>
    <w:rsid w:val="2E5439F2"/>
    <w:rsid w:val="2E596A1F"/>
    <w:rsid w:val="2E8777F6"/>
    <w:rsid w:val="2EBB5C93"/>
    <w:rsid w:val="2EF165E6"/>
    <w:rsid w:val="2EFB3CAB"/>
    <w:rsid w:val="2F140BE5"/>
    <w:rsid w:val="2F307927"/>
    <w:rsid w:val="2F355E53"/>
    <w:rsid w:val="2F4C1926"/>
    <w:rsid w:val="2F625C5D"/>
    <w:rsid w:val="2F756CB7"/>
    <w:rsid w:val="2F831500"/>
    <w:rsid w:val="2F856BFE"/>
    <w:rsid w:val="2F860BD0"/>
    <w:rsid w:val="2F9257C7"/>
    <w:rsid w:val="2F9B5725"/>
    <w:rsid w:val="2FA523D0"/>
    <w:rsid w:val="2FB44BF4"/>
    <w:rsid w:val="2FB45B96"/>
    <w:rsid w:val="2FC558BF"/>
    <w:rsid w:val="2FCE1DB4"/>
    <w:rsid w:val="2FE12C6D"/>
    <w:rsid w:val="2FEB5A06"/>
    <w:rsid w:val="2FFD0D24"/>
    <w:rsid w:val="2FFF7B5B"/>
    <w:rsid w:val="302E6679"/>
    <w:rsid w:val="303F6441"/>
    <w:rsid w:val="30757ABD"/>
    <w:rsid w:val="3091377F"/>
    <w:rsid w:val="30C31889"/>
    <w:rsid w:val="30D609A8"/>
    <w:rsid w:val="30EA2141"/>
    <w:rsid w:val="30FF6E8C"/>
    <w:rsid w:val="31291B85"/>
    <w:rsid w:val="312C245E"/>
    <w:rsid w:val="31441204"/>
    <w:rsid w:val="316469E5"/>
    <w:rsid w:val="31670352"/>
    <w:rsid w:val="31A570F1"/>
    <w:rsid w:val="31B41A25"/>
    <w:rsid w:val="31D112FC"/>
    <w:rsid w:val="31DA388F"/>
    <w:rsid w:val="31E17474"/>
    <w:rsid w:val="31E83F9C"/>
    <w:rsid w:val="321A060F"/>
    <w:rsid w:val="323860F4"/>
    <w:rsid w:val="325D7F84"/>
    <w:rsid w:val="326506D6"/>
    <w:rsid w:val="32786EF6"/>
    <w:rsid w:val="328B3083"/>
    <w:rsid w:val="32A7158A"/>
    <w:rsid w:val="32B44476"/>
    <w:rsid w:val="32C1089D"/>
    <w:rsid w:val="32CB0F77"/>
    <w:rsid w:val="331035D3"/>
    <w:rsid w:val="336C531E"/>
    <w:rsid w:val="33857A69"/>
    <w:rsid w:val="338628A0"/>
    <w:rsid w:val="33A06705"/>
    <w:rsid w:val="33AD6EDF"/>
    <w:rsid w:val="33BD1552"/>
    <w:rsid w:val="33C61963"/>
    <w:rsid w:val="33E83C08"/>
    <w:rsid w:val="33EB57CA"/>
    <w:rsid w:val="33F56325"/>
    <w:rsid w:val="34133255"/>
    <w:rsid w:val="34213ADE"/>
    <w:rsid w:val="3433755B"/>
    <w:rsid w:val="343911B8"/>
    <w:rsid w:val="344C4565"/>
    <w:rsid w:val="34776E7E"/>
    <w:rsid w:val="34800297"/>
    <w:rsid w:val="34BB1FF1"/>
    <w:rsid w:val="34CA2491"/>
    <w:rsid w:val="34D2413D"/>
    <w:rsid w:val="34FA1E45"/>
    <w:rsid w:val="351E7C74"/>
    <w:rsid w:val="353F58BE"/>
    <w:rsid w:val="354D2B95"/>
    <w:rsid w:val="355652B1"/>
    <w:rsid w:val="355745B4"/>
    <w:rsid w:val="35913D8C"/>
    <w:rsid w:val="35944047"/>
    <w:rsid w:val="35951620"/>
    <w:rsid w:val="35954123"/>
    <w:rsid w:val="35D6790D"/>
    <w:rsid w:val="35FA429B"/>
    <w:rsid w:val="35FD6207"/>
    <w:rsid w:val="3606322E"/>
    <w:rsid w:val="361713A1"/>
    <w:rsid w:val="361D629B"/>
    <w:rsid w:val="362A2E87"/>
    <w:rsid w:val="3678200B"/>
    <w:rsid w:val="367A0D0D"/>
    <w:rsid w:val="367D0F7F"/>
    <w:rsid w:val="368041FC"/>
    <w:rsid w:val="368F5504"/>
    <w:rsid w:val="369D4FE5"/>
    <w:rsid w:val="36A04C6E"/>
    <w:rsid w:val="36AB5D5A"/>
    <w:rsid w:val="36BA47CE"/>
    <w:rsid w:val="36CC7811"/>
    <w:rsid w:val="36E77985"/>
    <w:rsid w:val="37061E20"/>
    <w:rsid w:val="3731114C"/>
    <w:rsid w:val="374723F2"/>
    <w:rsid w:val="37885527"/>
    <w:rsid w:val="3790083E"/>
    <w:rsid w:val="37914970"/>
    <w:rsid w:val="37A45FE2"/>
    <w:rsid w:val="37A6224D"/>
    <w:rsid w:val="37AE305B"/>
    <w:rsid w:val="37D036AB"/>
    <w:rsid w:val="3804345D"/>
    <w:rsid w:val="38045A99"/>
    <w:rsid w:val="3811517A"/>
    <w:rsid w:val="38125963"/>
    <w:rsid w:val="38244C66"/>
    <w:rsid w:val="382611A3"/>
    <w:rsid w:val="382A705F"/>
    <w:rsid w:val="38507FCD"/>
    <w:rsid w:val="385B0E4C"/>
    <w:rsid w:val="38613F89"/>
    <w:rsid w:val="38B03DC9"/>
    <w:rsid w:val="38B35BDE"/>
    <w:rsid w:val="38C25E74"/>
    <w:rsid w:val="38CB72DE"/>
    <w:rsid w:val="38DD0DE1"/>
    <w:rsid w:val="391050F5"/>
    <w:rsid w:val="39363667"/>
    <w:rsid w:val="394346B0"/>
    <w:rsid w:val="396E6B88"/>
    <w:rsid w:val="39791943"/>
    <w:rsid w:val="397B7FF1"/>
    <w:rsid w:val="39810C1F"/>
    <w:rsid w:val="39885E40"/>
    <w:rsid w:val="39A3140E"/>
    <w:rsid w:val="39B06C31"/>
    <w:rsid w:val="39B10684"/>
    <w:rsid w:val="3A0F1E72"/>
    <w:rsid w:val="3A232BC3"/>
    <w:rsid w:val="3A4A6E81"/>
    <w:rsid w:val="3A4F63DE"/>
    <w:rsid w:val="3A541FF7"/>
    <w:rsid w:val="3A8909A5"/>
    <w:rsid w:val="3AA75EF9"/>
    <w:rsid w:val="3AAF5389"/>
    <w:rsid w:val="3AF87034"/>
    <w:rsid w:val="3B015F4A"/>
    <w:rsid w:val="3B065811"/>
    <w:rsid w:val="3B20012B"/>
    <w:rsid w:val="3B2C6648"/>
    <w:rsid w:val="3B405BA3"/>
    <w:rsid w:val="3B410007"/>
    <w:rsid w:val="3B4D03F8"/>
    <w:rsid w:val="3B767B4F"/>
    <w:rsid w:val="3BCE2C7E"/>
    <w:rsid w:val="3BE12E93"/>
    <w:rsid w:val="3BE1426F"/>
    <w:rsid w:val="3C010CB3"/>
    <w:rsid w:val="3C281AD0"/>
    <w:rsid w:val="3C3342BA"/>
    <w:rsid w:val="3C5F6A31"/>
    <w:rsid w:val="3C7710C7"/>
    <w:rsid w:val="3CA26E71"/>
    <w:rsid w:val="3CB076A6"/>
    <w:rsid w:val="3CC03F7A"/>
    <w:rsid w:val="3CD15B81"/>
    <w:rsid w:val="3D175A04"/>
    <w:rsid w:val="3D22462E"/>
    <w:rsid w:val="3D4D286C"/>
    <w:rsid w:val="3D5662C1"/>
    <w:rsid w:val="3D6F113D"/>
    <w:rsid w:val="3D752FF4"/>
    <w:rsid w:val="3DB32402"/>
    <w:rsid w:val="3DBA4867"/>
    <w:rsid w:val="3DD75419"/>
    <w:rsid w:val="3DEE5033"/>
    <w:rsid w:val="3DF225C2"/>
    <w:rsid w:val="3E0128E4"/>
    <w:rsid w:val="3E03620E"/>
    <w:rsid w:val="3E88226F"/>
    <w:rsid w:val="3EAC2037"/>
    <w:rsid w:val="3EB35670"/>
    <w:rsid w:val="3EBF5EA2"/>
    <w:rsid w:val="3ECA6D2C"/>
    <w:rsid w:val="3ECB191C"/>
    <w:rsid w:val="3ED40755"/>
    <w:rsid w:val="3EF65F26"/>
    <w:rsid w:val="3EFF1D4F"/>
    <w:rsid w:val="3F1B7469"/>
    <w:rsid w:val="3F1E3063"/>
    <w:rsid w:val="3F2569E5"/>
    <w:rsid w:val="3F5A2E3F"/>
    <w:rsid w:val="3F706D19"/>
    <w:rsid w:val="3F792273"/>
    <w:rsid w:val="3F7D0FB8"/>
    <w:rsid w:val="3F830C89"/>
    <w:rsid w:val="3F886640"/>
    <w:rsid w:val="3FBE2135"/>
    <w:rsid w:val="3FC6523A"/>
    <w:rsid w:val="3FDC1F21"/>
    <w:rsid w:val="3FE1257F"/>
    <w:rsid w:val="3FF42F63"/>
    <w:rsid w:val="3FFE1829"/>
    <w:rsid w:val="401646F6"/>
    <w:rsid w:val="402B2D53"/>
    <w:rsid w:val="402D4438"/>
    <w:rsid w:val="404A4339"/>
    <w:rsid w:val="4057639D"/>
    <w:rsid w:val="405E3BCF"/>
    <w:rsid w:val="40622700"/>
    <w:rsid w:val="406D24EA"/>
    <w:rsid w:val="40920E20"/>
    <w:rsid w:val="409B39B4"/>
    <w:rsid w:val="409C60B3"/>
    <w:rsid w:val="40AC3CB8"/>
    <w:rsid w:val="40F95903"/>
    <w:rsid w:val="40FB0420"/>
    <w:rsid w:val="41032592"/>
    <w:rsid w:val="411B5154"/>
    <w:rsid w:val="413770F2"/>
    <w:rsid w:val="41485875"/>
    <w:rsid w:val="414E41D4"/>
    <w:rsid w:val="417774FF"/>
    <w:rsid w:val="418036D2"/>
    <w:rsid w:val="418900A4"/>
    <w:rsid w:val="4192711A"/>
    <w:rsid w:val="419369CD"/>
    <w:rsid w:val="41976C1F"/>
    <w:rsid w:val="419A0E97"/>
    <w:rsid w:val="41AC6998"/>
    <w:rsid w:val="41C22CBA"/>
    <w:rsid w:val="41CF4659"/>
    <w:rsid w:val="41DA65E6"/>
    <w:rsid w:val="41E23FDC"/>
    <w:rsid w:val="41E910A5"/>
    <w:rsid w:val="420C31B7"/>
    <w:rsid w:val="420E402C"/>
    <w:rsid w:val="421129AA"/>
    <w:rsid w:val="421F09C3"/>
    <w:rsid w:val="422B0CB0"/>
    <w:rsid w:val="423D722F"/>
    <w:rsid w:val="42907FA7"/>
    <w:rsid w:val="42CC1E3C"/>
    <w:rsid w:val="42F500EF"/>
    <w:rsid w:val="43047077"/>
    <w:rsid w:val="43094F00"/>
    <w:rsid w:val="430A54D8"/>
    <w:rsid w:val="434A3F97"/>
    <w:rsid w:val="434D5498"/>
    <w:rsid w:val="43650BC5"/>
    <w:rsid w:val="4388613E"/>
    <w:rsid w:val="43A06FC6"/>
    <w:rsid w:val="43B61C1B"/>
    <w:rsid w:val="43BD7F7C"/>
    <w:rsid w:val="43C57640"/>
    <w:rsid w:val="43E9461E"/>
    <w:rsid w:val="44326FE1"/>
    <w:rsid w:val="44330C01"/>
    <w:rsid w:val="4451477E"/>
    <w:rsid w:val="4455682A"/>
    <w:rsid w:val="447731F5"/>
    <w:rsid w:val="448766F9"/>
    <w:rsid w:val="44CE29A6"/>
    <w:rsid w:val="4533763C"/>
    <w:rsid w:val="45523861"/>
    <w:rsid w:val="45572B48"/>
    <w:rsid w:val="45633AC6"/>
    <w:rsid w:val="456450B8"/>
    <w:rsid w:val="4568674A"/>
    <w:rsid w:val="45905EAD"/>
    <w:rsid w:val="45B26D6E"/>
    <w:rsid w:val="45DE7414"/>
    <w:rsid w:val="45F85EF2"/>
    <w:rsid w:val="45FC3BBA"/>
    <w:rsid w:val="46081504"/>
    <w:rsid w:val="46231109"/>
    <w:rsid w:val="46256122"/>
    <w:rsid w:val="464701A3"/>
    <w:rsid w:val="466546F5"/>
    <w:rsid w:val="4666723C"/>
    <w:rsid w:val="466F19AF"/>
    <w:rsid w:val="467422F7"/>
    <w:rsid w:val="46875502"/>
    <w:rsid w:val="469B1FD8"/>
    <w:rsid w:val="46BE04EF"/>
    <w:rsid w:val="46C36F8C"/>
    <w:rsid w:val="46EF5346"/>
    <w:rsid w:val="47275A7F"/>
    <w:rsid w:val="47446DFB"/>
    <w:rsid w:val="4753292B"/>
    <w:rsid w:val="475A2C17"/>
    <w:rsid w:val="476C235F"/>
    <w:rsid w:val="47771D75"/>
    <w:rsid w:val="477C62A7"/>
    <w:rsid w:val="47A378E2"/>
    <w:rsid w:val="47A7028D"/>
    <w:rsid w:val="47B565FD"/>
    <w:rsid w:val="47C6636F"/>
    <w:rsid w:val="47CB622F"/>
    <w:rsid w:val="480D0CB7"/>
    <w:rsid w:val="481235C1"/>
    <w:rsid w:val="481E1E96"/>
    <w:rsid w:val="48506558"/>
    <w:rsid w:val="487A69FC"/>
    <w:rsid w:val="488121C6"/>
    <w:rsid w:val="489447CC"/>
    <w:rsid w:val="48CA20CF"/>
    <w:rsid w:val="48D47DD7"/>
    <w:rsid w:val="48DF2F46"/>
    <w:rsid w:val="48F74E06"/>
    <w:rsid w:val="491874C7"/>
    <w:rsid w:val="4948541D"/>
    <w:rsid w:val="49495BD8"/>
    <w:rsid w:val="496478AA"/>
    <w:rsid w:val="49714403"/>
    <w:rsid w:val="499248EA"/>
    <w:rsid w:val="49DD48AE"/>
    <w:rsid w:val="49DF11B1"/>
    <w:rsid w:val="49DF445F"/>
    <w:rsid w:val="4A1470AD"/>
    <w:rsid w:val="4A286533"/>
    <w:rsid w:val="4A322344"/>
    <w:rsid w:val="4A372512"/>
    <w:rsid w:val="4A571AF5"/>
    <w:rsid w:val="4A6136E7"/>
    <w:rsid w:val="4A7A53CB"/>
    <w:rsid w:val="4A952002"/>
    <w:rsid w:val="4A9561B7"/>
    <w:rsid w:val="4A9F5568"/>
    <w:rsid w:val="4AB368C6"/>
    <w:rsid w:val="4AB96913"/>
    <w:rsid w:val="4ACD1016"/>
    <w:rsid w:val="4ADD3943"/>
    <w:rsid w:val="4AE03433"/>
    <w:rsid w:val="4AE207CB"/>
    <w:rsid w:val="4AE459C5"/>
    <w:rsid w:val="4AE80864"/>
    <w:rsid w:val="4AF82065"/>
    <w:rsid w:val="4B013AD5"/>
    <w:rsid w:val="4B0C7A46"/>
    <w:rsid w:val="4B196DB3"/>
    <w:rsid w:val="4B22136B"/>
    <w:rsid w:val="4B3316F7"/>
    <w:rsid w:val="4B447056"/>
    <w:rsid w:val="4B4614E8"/>
    <w:rsid w:val="4B561BFE"/>
    <w:rsid w:val="4B850135"/>
    <w:rsid w:val="4B9C2292"/>
    <w:rsid w:val="4BA15517"/>
    <w:rsid w:val="4BC43176"/>
    <w:rsid w:val="4BD6100E"/>
    <w:rsid w:val="4BD905AE"/>
    <w:rsid w:val="4C5E609A"/>
    <w:rsid w:val="4C8D4B8F"/>
    <w:rsid w:val="4C906DC5"/>
    <w:rsid w:val="4CB95429"/>
    <w:rsid w:val="4CDA293F"/>
    <w:rsid w:val="4CE85F51"/>
    <w:rsid w:val="4CF130CF"/>
    <w:rsid w:val="4D05767A"/>
    <w:rsid w:val="4D0E0101"/>
    <w:rsid w:val="4D0E3CBE"/>
    <w:rsid w:val="4D1B32EB"/>
    <w:rsid w:val="4D1B4BF6"/>
    <w:rsid w:val="4D2F64EB"/>
    <w:rsid w:val="4D4C08B7"/>
    <w:rsid w:val="4D5422B9"/>
    <w:rsid w:val="4D602609"/>
    <w:rsid w:val="4D645B34"/>
    <w:rsid w:val="4D831A5F"/>
    <w:rsid w:val="4DB27D05"/>
    <w:rsid w:val="4DC56CFC"/>
    <w:rsid w:val="4DD54E89"/>
    <w:rsid w:val="4DE35CAD"/>
    <w:rsid w:val="4DED7D72"/>
    <w:rsid w:val="4E0835AA"/>
    <w:rsid w:val="4E1C19EE"/>
    <w:rsid w:val="4E2B6EEB"/>
    <w:rsid w:val="4E306893"/>
    <w:rsid w:val="4E347341"/>
    <w:rsid w:val="4E4F62F8"/>
    <w:rsid w:val="4E557C94"/>
    <w:rsid w:val="4E6469F8"/>
    <w:rsid w:val="4E665155"/>
    <w:rsid w:val="4E764A01"/>
    <w:rsid w:val="4EA64C0D"/>
    <w:rsid w:val="4EBC1B0D"/>
    <w:rsid w:val="4ECF2FA4"/>
    <w:rsid w:val="4EFE0E07"/>
    <w:rsid w:val="4F130F08"/>
    <w:rsid w:val="4F151BC9"/>
    <w:rsid w:val="4F1F09CE"/>
    <w:rsid w:val="4F3124AF"/>
    <w:rsid w:val="4F405D22"/>
    <w:rsid w:val="4F675BF2"/>
    <w:rsid w:val="4F69769F"/>
    <w:rsid w:val="4F7436F2"/>
    <w:rsid w:val="4FAB6054"/>
    <w:rsid w:val="4FAF1F81"/>
    <w:rsid w:val="4FE838E6"/>
    <w:rsid w:val="501D3CE1"/>
    <w:rsid w:val="501F67AB"/>
    <w:rsid w:val="50237F18"/>
    <w:rsid w:val="503128F3"/>
    <w:rsid w:val="504A6795"/>
    <w:rsid w:val="50505CBF"/>
    <w:rsid w:val="507528AC"/>
    <w:rsid w:val="507904F2"/>
    <w:rsid w:val="508235C7"/>
    <w:rsid w:val="50890FCE"/>
    <w:rsid w:val="50B84A9A"/>
    <w:rsid w:val="50C569C4"/>
    <w:rsid w:val="50DE1EEF"/>
    <w:rsid w:val="50E27F05"/>
    <w:rsid w:val="50F631F4"/>
    <w:rsid w:val="50FA4F71"/>
    <w:rsid w:val="5126560C"/>
    <w:rsid w:val="51275918"/>
    <w:rsid w:val="51422D6B"/>
    <w:rsid w:val="515B1066"/>
    <w:rsid w:val="517A400C"/>
    <w:rsid w:val="51826198"/>
    <w:rsid w:val="51AC040F"/>
    <w:rsid w:val="51BE5546"/>
    <w:rsid w:val="521B1F42"/>
    <w:rsid w:val="52496B49"/>
    <w:rsid w:val="526E7576"/>
    <w:rsid w:val="52C13A27"/>
    <w:rsid w:val="52C553E8"/>
    <w:rsid w:val="52E65221"/>
    <w:rsid w:val="52EC6A32"/>
    <w:rsid w:val="52FD4303"/>
    <w:rsid w:val="52FF09CA"/>
    <w:rsid w:val="53130849"/>
    <w:rsid w:val="53172ADE"/>
    <w:rsid w:val="53336D0B"/>
    <w:rsid w:val="533B4368"/>
    <w:rsid w:val="5375148C"/>
    <w:rsid w:val="538B7520"/>
    <w:rsid w:val="539F55FF"/>
    <w:rsid w:val="53A70972"/>
    <w:rsid w:val="53C81291"/>
    <w:rsid w:val="53CD3FF3"/>
    <w:rsid w:val="53D77AC9"/>
    <w:rsid w:val="53DC15DC"/>
    <w:rsid w:val="53E30436"/>
    <w:rsid w:val="53F77BF1"/>
    <w:rsid w:val="540378EC"/>
    <w:rsid w:val="54057810"/>
    <w:rsid w:val="54302D35"/>
    <w:rsid w:val="54314E77"/>
    <w:rsid w:val="54424E61"/>
    <w:rsid w:val="54AA38A5"/>
    <w:rsid w:val="54DC7FA7"/>
    <w:rsid w:val="54E1466B"/>
    <w:rsid w:val="54EC13E4"/>
    <w:rsid w:val="54EF2BF0"/>
    <w:rsid w:val="54F17FB9"/>
    <w:rsid w:val="54F50104"/>
    <w:rsid w:val="5503044A"/>
    <w:rsid w:val="55097CAF"/>
    <w:rsid w:val="550D12C8"/>
    <w:rsid w:val="550F6DEF"/>
    <w:rsid w:val="551A29E8"/>
    <w:rsid w:val="552337B2"/>
    <w:rsid w:val="5523558A"/>
    <w:rsid w:val="554479CA"/>
    <w:rsid w:val="555C16BF"/>
    <w:rsid w:val="555E5384"/>
    <w:rsid w:val="557C6D43"/>
    <w:rsid w:val="559317CE"/>
    <w:rsid w:val="55C63470"/>
    <w:rsid w:val="55E8349D"/>
    <w:rsid w:val="55F32AF9"/>
    <w:rsid w:val="55FD7DCE"/>
    <w:rsid w:val="55FFE65A"/>
    <w:rsid w:val="5605002B"/>
    <w:rsid w:val="562C03F2"/>
    <w:rsid w:val="562E2E6A"/>
    <w:rsid w:val="565F7879"/>
    <w:rsid w:val="56746079"/>
    <w:rsid w:val="567A65DE"/>
    <w:rsid w:val="56B924DC"/>
    <w:rsid w:val="56C67788"/>
    <w:rsid w:val="56CB672A"/>
    <w:rsid w:val="56D169A5"/>
    <w:rsid w:val="56E0651C"/>
    <w:rsid w:val="570F7747"/>
    <w:rsid w:val="57246A2D"/>
    <w:rsid w:val="57526C00"/>
    <w:rsid w:val="576C4A4E"/>
    <w:rsid w:val="57714B49"/>
    <w:rsid w:val="57874D0D"/>
    <w:rsid w:val="57995095"/>
    <w:rsid w:val="57BF7648"/>
    <w:rsid w:val="58003366"/>
    <w:rsid w:val="58073315"/>
    <w:rsid w:val="58102F9C"/>
    <w:rsid w:val="58217726"/>
    <w:rsid w:val="583354EA"/>
    <w:rsid w:val="583E4FC4"/>
    <w:rsid w:val="583F7EB4"/>
    <w:rsid w:val="58421289"/>
    <w:rsid w:val="585C61F7"/>
    <w:rsid w:val="587D4F4A"/>
    <w:rsid w:val="5888407D"/>
    <w:rsid w:val="588A1F15"/>
    <w:rsid w:val="589A62F9"/>
    <w:rsid w:val="58C5625F"/>
    <w:rsid w:val="58C72BC0"/>
    <w:rsid w:val="58D00FA8"/>
    <w:rsid w:val="58D565A1"/>
    <w:rsid w:val="58EF7663"/>
    <w:rsid w:val="58F7376E"/>
    <w:rsid w:val="590E34D8"/>
    <w:rsid w:val="592B7F6F"/>
    <w:rsid w:val="59945B14"/>
    <w:rsid w:val="599D6464"/>
    <w:rsid w:val="59AB4973"/>
    <w:rsid w:val="59BD7219"/>
    <w:rsid w:val="59C341E6"/>
    <w:rsid w:val="59D533FB"/>
    <w:rsid w:val="59EB238B"/>
    <w:rsid w:val="59ED40B7"/>
    <w:rsid w:val="59F84646"/>
    <w:rsid w:val="59F958BF"/>
    <w:rsid w:val="5A1D5B0A"/>
    <w:rsid w:val="5A2C62BE"/>
    <w:rsid w:val="5A362415"/>
    <w:rsid w:val="5A5D23AA"/>
    <w:rsid w:val="5A6A48D7"/>
    <w:rsid w:val="5A7C41AD"/>
    <w:rsid w:val="5A7C4F26"/>
    <w:rsid w:val="5A852710"/>
    <w:rsid w:val="5A9C7F8C"/>
    <w:rsid w:val="5AC36D40"/>
    <w:rsid w:val="5AE50AEE"/>
    <w:rsid w:val="5AFB694F"/>
    <w:rsid w:val="5AFD593B"/>
    <w:rsid w:val="5B2466C0"/>
    <w:rsid w:val="5B2973D4"/>
    <w:rsid w:val="5B2D39DD"/>
    <w:rsid w:val="5BA95A32"/>
    <w:rsid w:val="5BB835CB"/>
    <w:rsid w:val="5BC86A6F"/>
    <w:rsid w:val="5BD97E2F"/>
    <w:rsid w:val="5BE741F5"/>
    <w:rsid w:val="5BE753ED"/>
    <w:rsid w:val="5BEC1872"/>
    <w:rsid w:val="5C096932"/>
    <w:rsid w:val="5C134751"/>
    <w:rsid w:val="5C2C0286"/>
    <w:rsid w:val="5C431A13"/>
    <w:rsid w:val="5C6169CF"/>
    <w:rsid w:val="5C7C1415"/>
    <w:rsid w:val="5C82311E"/>
    <w:rsid w:val="5C843674"/>
    <w:rsid w:val="5C8B2A1B"/>
    <w:rsid w:val="5C962F24"/>
    <w:rsid w:val="5CA220B8"/>
    <w:rsid w:val="5CC93D27"/>
    <w:rsid w:val="5CEB1EEF"/>
    <w:rsid w:val="5CFC234E"/>
    <w:rsid w:val="5CFFA0E8"/>
    <w:rsid w:val="5D037506"/>
    <w:rsid w:val="5D166C33"/>
    <w:rsid w:val="5D224533"/>
    <w:rsid w:val="5D446AC4"/>
    <w:rsid w:val="5D4F0B1A"/>
    <w:rsid w:val="5D5E4DB7"/>
    <w:rsid w:val="5D720B40"/>
    <w:rsid w:val="5D7A14C5"/>
    <w:rsid w:val="5D7A51C0"/>
    <w:rsid w:val="5D9E51B4"/>
    <w:rsid w:val="5DAF7627"/>
    <w:rsid w:val="5DB838EB"/>
    <w:rsid w:val="5DD06E1A"/>
    <w:rsid w:val="5DD22655"/>
    <w:rsid w:val="5DD36F6B"/>
    <w:rsid w:val="5E382390"/>
    <w:rsid w:val="5E3931AE"/>
    <w:rsid w:val="5E550696"/>
    <w:rsid w:val="5E667610"/>
    <w:rsid w:val="5E6F206C"/>
    <w:rsid w:val="5E6F404D"/>
    <w:rsid w:val="5E6F6A5D"/>
    <w:rsid w:val="5E73187B"/>
    <w:rsid w:val="5E783672"/>
    <w:rsid w:val="5E7C6D2C"/>
    <w:rsid w:val="5E8635BE"/>
    <w:rsid w:val="5E870F86"/>
    <w:rsid w:val="5E96232F"/>
    <w:rsid w:val="5E9E53C7"/>
    <w:rsid w:val="5EC46357"/>
    <w:rsid w:val="5EEB6A2A"/>
    <w:rsid w:val="5F0E0D60"/>
    <w:rsid w:val="5F1124E1"/>
    <w:rsid w:val="5F2A2690"/>
    <w:rsid w:val="5F2D2C93"/>
    <w:rsid w:val="5F4E6765"/>
    <w:rsid w:val="5F6D75C3"/>
    <w:rsid w:val="5F732881"/>
    <w:rsid w:val="5F7C1524"/>
    <w:rsid w:val="5F8B3350"/>
    <w:rsid w:val="5F922062"/>
    <w:rsid w:val="5F927F59"/>
    <w:rsid w:val="5FB57945"/>
    <w:rsid w:val="5FC52ECB"/>
    <w:rsid w:val="5FE02463"/>
    <w:rsid w:val="5FF52815"/>
    <w:rsid w:val="5FF96F4F"/>
    <w:rsid w:val="600A4D82"/>
    <w:rsid w:val="600F6E2C"/>
    <w:rsid w:val="604665DE"/>
    <w:rsid w:val="605D4695"/>
    <w:rsid w:val="60627F63"/>
    <w:rsid w:val="609B36C0"/>
    <w:rsid w:val="60D86A0F"/>
    <w:rsid w:val="60E6375A"/>
    <w:rsid w:val="60E96BD3"/>
    <w:rsid w:val="60EB0726"/>
    <w:rsid w:val="61243C22"/>
    <w:rsid w:val="612D7FAB"/>
    <w:rsid w:val="614C4B7F"/>
    <w:rsid w:val="61552047"/>
    <w:rsid w:val="6167675B"/>
    <w:rsid w:val="618E3E9F"/>
    <w:rsid w:val="619B3581"/>
    <w:rsid w:val="61BC5A96"/>
    <w:rsid w:val="61E3081A"/>
    <w:rsid w:val="61FA5794"/>
    <w:rsid w:val="62081145"/>
    <w:rsid w:val="625166E3"/>
    <w:rsid w:val="629007CB"/>
    <w:rsid w:val="629E3A45"/>
    <w:rsid w:val="62A057B3"/>
    <w:rsid w:val="62AB128E"/>
    <w:rsid w:val="62BD47B5"/>
    <w:rsid w:val="62D865FA"/>
    <w:rsid w:val="62D90002"/>
    <w:rsid w:val="62DB73CC"/>
    <w:rsid w:val="62EF3BCF"/>
    <w:rsid w:val="62F17C34"/>
    <w:rsid w:val="632E3943"/>
    <w:rsid w:val="63462859"/>
    <w:rsid w:val="634B7B8C"/>
    <w:rsid w:val="63555494"/>
    <w:rsid w:val="635D341B"/>
    <w:rsid w:val="635D4A51"/>
    <w:rsid w:val="63934DFA"/>
    <w:rsid w:val="63B97653"/>
    <w:rsid w:val="63C80A91"/>
    <w:rsid w:val="63D52190"/>
    <w:rsid w:val="63EB4B5E"/>
    <w:rsid w:val="63EC1D5A"/>
    <w:rsid w:val="63F35EC1"/>
    <w:rsid w:val="640D4189"/>
    <w:rsid w:val="640E1DDB"/>
    <w:rsid w:val="641C36DD"/>
    <w:rsid w:val="643425CC"/>
    <w:rsid w:val="64362A83"/>
    <w:rsid w:val="646627A3"/>
    <w:rsid w:val="64C51278"/>
    <w:rsid w:val="64ED07CF"/>
    <w:rsid w:val="65076481"/>
    <w:rsid w:val="652906CE"/>
    <w:rsid w:val="653E3B3A"/>
    <w:rsid w:val="65A978E6"/>
    <w:rsid w:val="65AB04CD"/>
    <w:rsid w:val="65BD3F77"/>
    <w:rsid w:val="65C42B4E"/>
    <w:rsid w:val="65FF4B2B"/>
    <w:rsid w:val="6603106E"/>
    <w:rsid w:val="66063A14"/>
    <w:rsid w:val="660F51F1"/>
    <w:rsid w:val="661F5D4C"/>
    <w:rsid w:val="66264853"/>
    <w:rsid w:val="663353B2"/>
    <w:rsid w:val="6638120E"/>
    <w:rsid w:val="663F2B37"/>
    <w:rsid w:val="66415E12"/>
    <w:rsid w:val="66575B95"/>
    <w:rsid w:val="66877D54"/>
    <w:rsid w:val="669B0ED4"/>
    <w:rsid w:val="66C154AE"/>
    <w:rsid w:val="66CD2666"/>
    <w:rsid w:val="66E8749F"/>
    <w:rsid w:val="66F978FF"/>
    <w:rsid w:val="670262DD"/>
    <w:rsid w:val="67131CE9"/>
    <w:rsid w:val="6724339D"/>
    <w:rsid w:val="673051D2"/>
    <w:rsid w:val="6735466B"/>
    <w:rsid w:val="67577BE5"/>
    <w:rsid w:val="67634076"/>
    <w:rsid w:val="677610A8"/>
    <w:rsid w:val="677F7147"/>
    <w:rsid w:val="678F3DBF"/>
    <w:rsid w:val="67C972D1"/>
    <w:rsid w:val="67DA3D7C"/>
    <w:rsid w:val="67F835D2"/>
    <w:rsid w:val="6807044F"/>
    <w:rsid w:val="682D180C"/>
    <w:rsid w:val="68401F12"/>
    <w:rsid w:val="68636D64"/>
    <w:rsid w:val="68637725"/>
    <w:rsid w:val="68831B76"/>
    <w:rsid w:val="688F6FB3"/>
    <w:rsid w:val="68B84658"/>
    <w:rsid w:val="68FB1E0B"/>
    <w:rsid w:val="692E4922"/>
    <w:rsid w:val="69466333"/>
    <w:rsid w:val="697B0BEB"/>
    <w:rsid w:val="697B284D"/>
    <w:rsid w:val="69826438"/>
    <w:rsid w:val="69891532"/>
    <w:rsid w:val="69937B96"/>
    <w:rsid w:val="69B135A5"/>
    <w:rsid w:val="69D215D7"/>
    <w:rsid w:val="69E04B4A"/>
    <w:rsid w:val="6A044559"/>
    <w:rsid w:val="6A134611"/>
    <w:rsid w:val="6A13593B"/>
    <w:rsid w:val="6A422169"/>
    <w:rsid w:val="6A575F27"/>
    <w:rsid w:val="6A5C6301"/>
    <w:rsid w:val="6A7D2AFF"/>
    <w:rsid w:val="6A851524"/>
    <w:rsid w:val="6A965EB1"/>
    <w:rsid w:val="6AA06742"/>
    <w:rsid w:val="6AAE14AC"/>
    <w:rsid w:val="6ABA0D09"/>
    <w:rsid w:val="6ABE7F5F"/>
    <w:rsid w:val="6ADC25AD"/>
    <w:rsid w:val="6AF91AED"/>
    <w:rsid w:val="6B0D5EAA"/>
    <w:rsid w:val="6B1733DA"/>
    <w:rsid w:val="6B29213D"/>
    <w:rsid w:val="6B543C91"/>
    <w:rsid w:val="6B7C4340"/>
    <w:rsid w:val="6B91303E"/>
    <w:rsid w:val="6BA914C0"/>
    <w:rsid w:val="6BB9765C"/>
    <w:rsid w:val="6BC86629"/>
    <w:rsid w:val="6BCA1F8B"/>
    <w:rsid w:val="6BFA1EDA"/>
    <w:rsid w:val="6C075EB3"/>
    <w:rsid w:val="6C081093"/>
    <w:rsid w:val="6C137AB7"/>
    <w:rsid w:val="6C3C4C57"/>
    <w:rsid w:val="6C3F4A5E"/>
    <w:rsid w:val="6C694751"/>
    <w:rsid w:val="6C6C46CF"/>
    <w:rsid w:val="6C6E1E7B"/>
    <w:rsid w:val="6C9C6C5A"/>
    <w:rsid w:val="6CA16645"/>
    <w:rsid w:val="6CA65E33"/>
    <w:rsid w:val="6CB74297"/>
    <w:rsid w:val="6CBC5656"/>
    <w:rsid w:val="6CEB0CC5"/>
    <w:rsid w:val="6CEE3336"/>
    <w:rsid w:val="6D0B399E"/>
    <w:rsid w:val="6D0C2C61"/>
    <w:rsid w:val="6D0D1276"/>
    <w:rsid w:val="6D314B3F"/>
    <w:rsid w:val="6D512242"/>
    <w:rsid w:val="6D7432CD"/>
    <w:rsid w:val="6D8B5ECD"/>
    <w:rsid w:val="6DA167D7"/>
    <w:rsid w:val="6DA67E51"/>
    <w:rsid w:val="6DCA5781"/>
    <w:rsid w:val="6DFF1D3F"/>
    <w:rsid w:val="6E14501E"/>
    <w:rsid w:val="6E230DE3"/>
    <w:rsid w:val="6E2B1BE1"/>
    <w:rsid w:val="6E3A2D67"/>
    <w:rsid w:val="6E480F1D"/>
    <w:rsid w:val="6E506D2B"/>
    <w:rsid w:val="6E6525E5"/>
    <w:rsid w:val="6E7173C2"/>
    <w:rsid w:val="6E7361E8"/>
    <w:rsid w:val="6E744080"/>
    <w:rsid w:val="6E783978"/>
    <w:rsid w:val="6E7A7A7F"/>
    <w:rsid w:val="6E7C35A9"/>
    <w:rsid w:val="6EA75E92"/>
    <w:rsid w:val="6EAE5472"/>
    <w:rsid w:val="6ECA41E2"/>
    <w:rsid w:val="6ECB7EFD"/>
    <w:rsid w:val="6ECE341F"/>
    <w:rsid w:val="6ED33E4E"/>
    <w:rsid w:val="6F0F3F1E"/>
    <w:rsid w:val="6F13767C"/>
    <w:rsid w:val="6F1C1401"/>
    <w:rsid w:val="6F414C2C"/>
    <w:rsid w:val="6F432DD1"/>
    <w:rsid w:val="6F4B2CC1"/>
    <w:rsid w:val="6F5E47A3"/>
    <w:rsid w:val="6F7D29C1"/>
    <w:rsid w:val="6F99373A"/>
    <w:rsid w:val="6FB845D0"/>
    <w:rsid w:val="6FC636EF"/>
    <w:rsid w:val="6FDB72C9"/>
    <w:rsid w:val="6FF93F6D"/>
    <w:rsid w:val="70003BEF"/>
    <w:rsid w:val="7027641B"/>
    <w:rsid w:val="7030468F"/>
    <w:rsid w:val="70404239"/>
    <w:rsid w:val="704D13B2"/>
    <w:rsid w:val="706B2590"/>
    <w:rsid w:val="70C461CA"/>
    <w:rsid w:val="70CC398E"/>
    <w:rsid w:val="70D17BC9"/>
    <w:rsid w:val="70F006EF"/>
    <w:rsid w:val="70F530E8"/>
    <w:rsid w:val="70FA2B9A"/>
    <w:rsid w:val="71136A93"/>
    <w:rsid w:val="71187F2B"/>
    <w:rsid w:val="719C5A56"/>
    <w:rsid w:val="71BE59CD"/>
    <w:rsid w:val="71F65166"/>
    <w:rsid w:val="71FA2E8C"/>
    <w:rsid w:val="720A0C12"/>
    <w:rsid w:val="72217B3E"/>
    <w:rsid w:val="72521954"/>
    <w:rsid w:val="726517A8"/>
    <w:rsid w:val="726C4248"/>
    <w:rsid w:val="727350C6"/>
    <w:rsid w:val="72784747"/>
    <w:rsid w:val="728D2D80"/>
    <w:rsid w:val="7290592C"/>
    <w:rsid w:val="72907369"/>
    <w:rsid w:val="72907B1A"/>
    <w:rsid w:val="729A69FA"/>
    <w:rsid w:val="72C33187"/>
    <w:rsid w:val="72E35577"/>
    <w:rsid w:val="72F52E09"/>
    <w:rsid w:val="73143536"/>
    <w:rsid w:val="73260D38"/>
    <w:rsid w:val="73276256"/>
    <w:rsid w:val="73376FE2"/>
    <w:rsid w:val="733777E5"/>
    <w:rsid w:val="73476D11"/>
    <w:rsid w:val="73501301"/>
    <w:rsid w:val="735326D4"/>
    <w:rsid w:val="73687B56"/>
    <w:rsid w:val="739979B0"/>
    <w:rsid w:val="739F7823"/>
    <w:rsid w:val="73C12ACB"/>
    <w:rsid w:val="73CB67D8"/>
    <w:rsid w:val="73D37117"/>
    <w:rsid w:val="73EA4857"/>
    <w:rsid w:val="73F92362"/>
    <w:rsid w:val="74041D6B"/>
    <w:rsid w:val="741772A1"/>
    <w:rsid w:val="741F798A"/>
    <w:rsid w:val="743C4107"/>
    <w:rsid w:val="74525DC1"/>
    <w:rsid w:val="745920FC"/>
    <w:rsid w:val="747212DE"/>
    <w:rsid w:val="74722FBA"/>
    <w:rsid w:val="74AF5617"/>
    <w:rsid w:val="74DC270D"/>
    <w:rsid w:val="74F104D1"/>
    <w:rsid w:val="74F277E5"/>
    <w:rsid w:val="74F6547D"/>
    <w:rsid w:val="74FE0472"/>
    <w:rsid w:val="75052B42"/>
    <w:rsid w:val="75131D85"/>
    <w:rsid w:val="75192C84"/>
    <w:rsid w:val="753019A7"/>
    <w:rsid w:val="7531048B"/>
    <w:rsid w:val="753D34A0"/>
    <w:rsid w:val="75425721"/>
    <w:rsid w:val="755410A8"/>
    <w:rsid w:val="75547EC6"/>
    <w:rsid w:val="756F42F7"/>
    <w:rsid w:val="757C3BD5"/>
    <w:rsid w:val="75812F99"/>
    <w:rsid w:val="75A35605"/>
    <w:rsid w:val="75A4081B"/>
    <w:rsid w:val="75B720C8"/>
    <w:rsid w:val="75DC59ED"/>
    <w:rsid w:val="75E242E2"/>
    <w:rsid w:val="75E44E88"/>
    <w:rsid w:val="75FD3554"/>
    <w:rsid w:val="7601232C"/>
    <w:rsid w:val="76012DBE"/>
    <w:rsid w:val="76057A9D"/>
    <w:rsid w:val="76152B25"/>
    <w:rsid w:val="761A10BC"/>
    <w:rsid w:val="761D0291"/>
    <w:rsid w:val="76282835"/>
    <w:rsid w:val="76465F91"/>
    <w:rsid w:val="764D5571"/>
    <w:rsid w:val="766E26D2"/>
    <w:rsid w:val="76A82F14"/>
    <w:rsid w:val="76D4359C"/>
    <w:rsid w:val="77390577"/>
    <w:rsid w:val="77585F59"/>
    <w:rsid w:val="77585F7B"/>
    <w:rsid w:val="776808B4"/>
    <w:rsid w:val="77806931"/>
    <w:rsid w:val="77955421"/>
    <w:rsid w:val="779A2A38"/>
    <w:rsid w:val="77A41CD5"/>
    <w:rsid w:val="77A43397"/>
    <w:rsid w:val="77C1415C"/>
    <w:rsid w:val="77CB43CA"/>
    <w:rsid w:val="77E14C5E"/>
    <w:rsid w:val="77FB994F"/>
    <w:rsid w:val="78030628"/>
    <w:rsid w:val="780F528E"/>
    <w:rsid w:val="7837697C"/>
    <w:rsid w:val="784309DA"/>
    <w:rsid w:val="78540221"/>
    <w:rsid w:val="785A5141"/>
    <w:rsid w:val="78665937"/>
    <w:rsid w:val="78960636"/>
    <w:rsid w:val="78D86ECE"/>
    <w:rsid w:val="78DB46B5"/>
    <w:rsid w:val="79050385"/>
    <w:rsid w:val="791445C8"/>
    <w:rsid w:val="792E03A7"/>
    <w:rsid w:val="794F170B"/>
    <w:rsid w:val="794F188E"/>
    <w:rsid w:val="79507900"/>
    <w:rsid w:val="79742288"/>
    <w:rsid w:val="798E03E8"/>
    <w:rsid w:val="798E14DF"/>
    <w:rsid w:val="79900E33"/>
    <w:rsid w:val="79B52463"/>
    <w:rsid w:val="79CC2ACC"/>
    <w:rsid w:val="79D70516"/>
    <w:rsid w:val="79DA711C"/>
    <w:rsid w:val="79ED0479"/>
    <w:rsid w:val="79F8022D"/>
    <w:rsid w:val="79F851D5"/>
    <w:rsid w:val="7A081747"/>
    <w:rsid w:val="7A0F57DB"/>
    <w:rsid w:val="7A5166CB"/>
    <w:rsid w:val="7A5549F4"/>
    <w:rsid w:val="7A6259E6"/>
    <w:rsid w:val="7A813065"/>
    <w:rsid w:val="7A964472"/>
    <w:rsid w:val="7AAC00BD"/>
    <w:rsid w:val="7AAC0EF1"/>
    <w:rsid w:val="7AAE6DEF"/>
    <w:rsid w:val="7AC17937"/>
    <w:rsid w:val="7AD435D8"/>
    <w:rsid w:val="7AD43623"/>
    <w:rsid w:val="7AF27D19"/>
    <w:rsid w:val="7B01028F"/>
    <w:rsid w:val="7B051B23"/>
    <w:rsid w:val="7B116B6D"/>
    <w:rsid w:val="7B1413AD"/>
    <w:rsid w:val="7B210D7B"/>
    <w:rsid w:val="7B3765F2"/>
    <w:rsid w:val="7B5D3CC6"/>
    <w:rsid w:val="7B5E3716"/>
    <w:rsid w:val="7B6D6F0B"/>
    <w:rsid w:val="7B722090"/>
    <w:rsid w:val="7B7470FC"/>
    <w:rsid w:val="7B8968C8"/>
    <w:rsid w:val="7BA76C73"/>
    <w:rsid w:val="7BB57E40"/>
    <w:rsid w:val="7BBC73DA"/>
    <w:rsid w:val="7BC017BE"/>
    <w:rsid w:val="7BC05BBE"/>
    <w:rsid w:val="7BC10593"/>
    <w:rsid w:val="7BC22E25"/>
    <w:rsid w:val="7BFD3EBB"/>
    <w:rsid w:val="7C5D034D"/>
    <w:rsid w:val="7C5E457E"/>
    <w:rsid w:val="7C6304A2"/>
    <w:rsid w:val="7C7A60D3"/>
    <w:rsid w:val="7C895885"/>
    <w:rsid w:val="7C9E1CC9"/>
    <w:rsid w:val="7CB94A59"/>
    <w:rsid w:val="7CBA52BE"/>
    <w:rsid w:val="7CCE6CDD"/>
    <w:rsid w:val="7CD81F5A"/>
    <w:rsid w:val="7D0D3CD9"/>
    <w:rsid w:val="7D254379"/>
    <w:rsid w:val="7D2C4132"/>
    <w:rsid w:val="7D4C6E62"/>
    <w:rsid w:val="7D5273A8"/>
    <w:rsid w:val="7D537911"/>
    <w:rsid w:val="7D586D18"/>
    <w:rsid w:val="7D5D7DDF"/>
    <w:rsid w:val="7D911A2A"/>
    <w:rsid w:val="7D916A64"/>
    <w:rsid w:val="7DCB7DA3"/>
    <w:rsid w:val="7DDE63A6"/>
    <w:rsid w:val="7E0309C8"/>
    <w:rsid w:val="7E125F4E"/>
    <w:rsid w:val="7E1D2805"/>
    <w:rsid w:val="7E3B36F2"/>
    <w:rsid w:val="7E3C0BAB"/>
    <w:rsid w:val="7E3C7D83"/>
    <w:rsid w:val="7E3D5ECB"/>
    <w:rsid w:val="7E470887"/>
    <w:rsid w:val="7E582DF3"/>
    <w:rsid w:val="7E5D576D"/>
    <w:rsid w:val="7E641CB4"/>
    <w:rsid w:val="7E9D5742"/>
    <w:rsid w:val="7EC5740A"/>
    <w:rsid w:val="7EC65CF6"/>
    <w:rsid w:val="7ECD5BE0"/>
    <w:rsid w:val="7F097577"/>
    <w:rsid w:val="7F105197"/>
    <w:rsid w:val="7F266160"/>
    <w:rsid w:val="7F3B28A9"/>
    <w:rsid w:val="7F45772D"/>
    <w:rsid w:val="7F4E1177"/>
    <w:rsid w:val="7F8941C0"/>
    <w:rsid w:val="7F8A670A"/>
    <w:rsid w:val="7FC22062"/>
    <w:rsid w:val="7FDA3CC4"/>
    <w:rsid w:val="7FEB1B9F"/>
    <w:rsid w:val="7FEE7525"/>
    <w:rsid w:val="7FF11A5D"/>
    <w:rsid w:val="7FFD6B75"/>
    <w:rsid w:val="9BFB4DD4"/>
    <w:rsid w:val="C7DEF7E7"/>
    <w:rsid w:val="CFCFE58C"/>
    <w:rsid w:val="DE9F628A"/>
    <w:rsid w:val="DEFAB353"/>
    <w:rsid w:val="E57D8CAE"/>
    <w:rsid w:val="EEF9D187"/>
    <w:rsid w:val="EF2BFCDC"/>
    <w:rsid w:val="EFBD7797"/>
    <w:rsid w:val="F5EF70BE"/>
    <w:rsid w:val="FDD5A0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0"/>
    <w:qFormat/>
    <w:uiPriority w:val="0"/>
    <w:pPr>
      <w:keepNext/>
      <w:keepLines/>
      <w:widowControl w:val="0"/>
      <w:spacing w:before="340" w:beforeLines="0" w:after="330" w:afterLines="0" w:line="576" w:lineRule="auto"/>
      <w:outlineLvl w:val="0"/>
    </w:pPr>
    <w:rPr>
      <w:b/>
      <w:kern w:val="44"/>
      <w:sz w:val="44"/>
      <w:szCs w:val="20"/>
    </w:rPr>
  </w:style>
  <w:style w:type="paragraph" w:styleId="4">
    <w:name w:val="heading 2"/>
    <w:basedOn w:val="1"/>
    <w:next w:val="1"/>
    <w:link w:val="10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102"/>
    <w:qFormat/>
    <w:uiPriority w:val="0"/>
    <w:pPr>
      <w:keepNext/>
      <w:keepLines/>
      <w:widowControl w:val="0"/>
      <w:spacing w:before="260" w:beforeLines="0" w:after="260" w:afterLines="0" w:line="415" w:lineRule="auto"/>
      <w:outlineLvl w:val="2"/>
    </w:pPr>
    <w:rPr>
      <w:rFonts w:cs="Angsana New"/>
      <w:b/>
      <w:bCs/>
      <w:sz w:val="32"/>
      <w:szCs w:val="32"/>
      <w:lang w:bidi="th-TH"/>
    </w:rPr>
  </w:style>
  <w:style w:type="paragraph" w:styleId="6">
    <w:name w:val="heading 4"/>
    <w:basedOn w:val="1"/>
    <w:next w:val="1"/>
    <w:link w:val="103"/>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link w:val="104"/>
    <w:qFormat/>
    <w:uiPriority w:val="0"/>
    <w:pPr>
      <w:keepNext/>
      <w:keepLines/>
      <w:spacing w:before="280" w:after="290" w:line="376" w:lineRule="auto"/>
      <w:outlineLvl w:val="4"/>
    </w:pPr>
    <w:rPr>
      <w:b/>
      <w:bCs/>
      <w:sz w:val="28"/>
      <w:szCs w:val="28"/>
    </w:rPr>
  </w:style>
  <w:style w:type="paragraph" w:styleId="8">
    <w:name w:val="heading 6"/>
    <w:basedOn w:val="1"/>
    <w:next w:val="1"/>
    <w:link w:val="105"/>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106"/>
    <w:qFormat/>
    <w:uiPriority w:val="0"/>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107"/>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108"/>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qFormat/>
    <w:uiPriority w:val="0"/>
    <w:rPr>
      <w:rFonts w:ascii="Calibri" w:hAnsi="Calibri" w:eastAsia="宋体" w:cs="Times New Roman"/>
    </w:rPr>
  </w:style>
  <w:style w:type="table" w:default="1" w:styleId="88">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macro"/>
    <w:link w:val="9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0"/>
    <w:pPr>
      <w:adjustRightInd w:val="0"/>
      <w:spacing w:line="312" w:lineRule="atLeast"/>
      <w:ind w:left="100" w:leftChars="400" w:hanging="200" w:hangingChars="200"/>
      <w:textAlignment w:val="baseline"/>
    </w:pPr>
    <w:rPr>
      <w:rFonts w:ascii="Calibri" w:hAnsi="Calibri" w:eastAsia="仿宋" w:cs="Times New Roman"/>
      <w:kern w:val="0"/>
      <w:sz w:val="32"/>
      <w:szCs w:val="20"/>
    </w:rPr>
  </w:style>
  <w:style w:type="paragraph" w:styleId="13">
    <w:name w:val="toc 7"/>
    <w:basedOn w:val="1"/>
    <w:next w:val="1"/>
    <w:qFormat/>
    <w:uiPriority w:val="0"/>
    <w:pPr>
      <w:ind w:left="2520" w:leftChars="1200"/>
    </w:pPr>
    <w:rPr>
      <w:rFonts w:ascii="Calibri" w:hAnsi="Calibri" w:eastAsia="宋体" w:cs="Times New Roman"/>
    </w:rPr>
  </w:style>
  <w:style w:type="paragraph" w:styleId="14">
    <w:name w:val="List Number 2"/>
    <w:basedOn w:val="1"/>
    <w:qFormat/>
    <w:uiPriority w:val="0"/>
    <w:pPr>
      <w:numPr>
        <w:ilvl w:val="0"/>
        <w:numId w:val="1"/>
      </w:numPr>
      <w:adjustRightInd w:val="0"/>
      <w:spacing w:line="312" w:lineRule="atLeast"/>
      <w:textAlignment w:val="baseline"/>
    </w:pPr>
    <w:rPr>
      <w:rFonts w:ascii="Calibri" w:hAnsi="Calibri" w:eastAsia="仿宋" w:cs="Times New Roman"/>
      <w:kern w:val="0"/>
      <w:sz w:val="32"/>
      <w:szCs w:val="20"/>
    </w:rPr>
  </w:style>
  <w:style w:type="paragraph" w:styleId="15">
    <w:name w:val="table of authorities"/>
    <w:basedOn w:val="1"/>
    <w:next w:val="1"/>
    <w:qFormat/>
    <w:uiPriority w:val="0"/>
    <w:pPr>
      <w:adjustRightInd w:val="0"/>
      <w:spacing w:line="312" w:lineRule="atLeast"/>
      <w:ind w:left="420" w:leftChars="200"/>
      <w:textAlignment w:val="baseline"/>
    </w:pPr>
    <w:rPr>
      <w:rFonts w:ascii="Calibri" w:hAnsi="Calibri" w:eastAsia="仿宋" w:cs="Times New Roman"/>
      <w:kern w:val="0"/>
      <w:sz w:val="32"/>
      <w:szCs w:val="20"/>
    </w:rPr>
  </w:style>
  <w:style w:type="paragraph" w:styleId="16">
    <w:name w:val="Note Heading"/>
    <w:basedOn w:val="1"/>
    <w:next w:val="1"/>
    <w:link w:val="109"/>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0"/>
    <w:pPr>
      <w:numPr>
        <w:ilvl w:val="0"/>
        <w:numId w:val="2"/>
      </w:numPr>
      <w:adjustRightInd w:val="0"/>
      <w:spacing w:line="312" w:lineRule="atLeast"/>
      <w:textAlignment w:val="baseline"/>
    </w:pPr>
    <w:rPr>
      <w:rFonts w:ascii="Calibri" w:hAnsi="Calibri" w:eastAsia="仿宋" w:cs="Times New Roman"/>
      <w:kern w:val="0"/>
      <w:sz w:val="32"/>
      <w:szCs w:val="20"/>
    </w:rPr>
  </w:style>
  <w:style w:type="paragraph" w:styleId="18">
    <w:name w:val="index 8"/>
    <w:basedOn w:val="1"/>
    <w:next w:val="1"/>
    <w:qFormat/>
    <w:uiPriority w:val="0"/>
    <w:pPr>
      <w:adjustRightInd w:val="0"/>
      <w:spacing w:line="312" w:lineRule="atLeast"/>
      <w:ind w:left="1400" w:leftChars="1400"/>
      <w:textAlignment w:val="baseline"/>
    </w:pPr>
    <w:rPr>
      <w:rFonts w:ascii="Calibri" w:hAnsi="Calibri" w:eastAsia="仿宋" w:cs="Times New Roman"/>
      <w:kern w:val="0"/>
      <w:sz w:val="32"/>
      <w:szCs w:val="20"/>
    </w:rPr>
  </w:style>
  <w:style w:type="paragraph" w:styleId="19">
    <w:name w:val="E-mail Signature"/>
    <w:basedOn w:val="1"/>
    <w:link w:val="110"/>
    <w:qFormat/>
    <w:uiPriority w:val="0"/>
    <w:pPr>
      <w:adjustRightInd w:val="0"/>
      <w:spacing w:line="312" w:lineRule="atLeast"/>
      <w:textAlignment w:val="baseline"/>
    </w:pPr>
    <w:rPr>
      <w:rFonts w:eastAsia="仿宋"/>
      <w:kern w:val="0"/>
      <w:sz w:val="32"/>
      <w:szCs w:val="20"/>
    </w:rPr>
  </w:style>
  <w:style w:type="paragraph" w:styleId="20">
    <w:name w:val="List Number"/>
    <w:basedOn w:val="1"/>
    <w:qFormat/>
    <w:uiPriority w:val="0"/>
    <w:pPr>
      <w:numPr>
        <w:ilvl w:val="0"/>
        <w:numId w:val="3"/>
      </w:numPr>
      <w:adjustRightInd w:val="0"/>
      <w:spacing w:line="312" w:lineRule="atLeast"/>
      <w:textAlignment w:val="baseline"/>
    </w:pPr>
    <w:rPr>
      <w:rFonts w:ascii="Calibri" w:hAnsi="Calibri" w:eastAsia="仿宋" w:cs="Times New Roman"/>
      <w:kern w:val="0"/>
      <w:sz w:val="32"/>
      <w:szCs w:val="20"/>
    </w:rPr>
  </w:style>
  <w:style w:type="paragraph" w:styleId="21">
    <w:name w:val="Normal Indent"/>
    <w:basedOn w:val="1"/>
    <w:link w:val="111"/>
    <w:qFormat/>
    <w:uiPriority w:val="0"/>
    <w:pPr>
      <w:spacing w:line="300" w:lineRule="auto"/>
      <w:ind w:firstLine="200" w:firstLine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adjustRightInd w:val="0"/>
      <w:spacing w:line="312" w:lineRule="atLeast"/>
      <w:ind w:left="800" w:leftChars="800"/>
      <w:textAlignment w:val="baseline"/>
    </w:pPr>
    <w:rPr>
      <w:rFonts w:ascii="Calibri" w:hAnsi="Calibri" w:eastAsia="仿宋" w:cs="Times New Roman"/>
      <w:kern w:val="0"/>
      <w:sz w:val="32"/>
      <w:szCs w:val="20"/>
    </w:rPr>
  </w:style>
  <w:style w:type="paragraph" w:styleId="24">
    <w:name w:val="List Bullet"/>
    <w:basedOn w:val="1"/>
    <w:qFormat/>
    <w:uiPriority w:val="0"/>
    <w:pPr>
      <w:numPr>
        <w:ilvl w:val="0"/>
        <w:numId w:val="4"/>
      </w:numPr>
      <w:tabs>
        <w:tab w:val="left" w:pos="360"/>
      </w:tabs>
      <w:ind w:left="360" w:hanging="360" w:hangingChars="200"/>
      <w:contextualSpacing/>
    </w:pPr>
    <w:rPr>
      <w:rFonts w:ascii="Calibri" w:hAnsi="Calibri" w:eastAsia="宋体" w:cs="Times New Roman"/>
    </w:rPr>
  </w:style>
  <w:style w:type="paragraph" w:styleId="25">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112"/>
    <w:qFormat/>
    <w:uiPriority w:val="0"/>
    <w:pPr>
      <w:shd w:val="clear" w:color="auto" w:fill="000080"/>
    </w:pPr>
  </w:style>
  <w:style w:type="paragraph" w:styleId="27">
    <w:name w:val="toa heading"/>
    <w:basedOn w:val="1"/>
    <w:next w:val="1"/>
    <w:qFormat/>
    <w:uiPriority w:val="0"/>
    <w:pPr>
      <w:spacing w:before="120"/>
    </w:pPr>
    <w:rPr>
      <w:rFonts w:ascii="Arial" w:hAnsi="Arial" w:eastAsia="仿宋" w:cs="Times New Roman"/>
      <w:sz w:val="24"/>
      <w:szCs w:val="20"/>
    </w:rPr>
  </w:style>
  <w:style w:type="paragraph" w:styleId="28">
    <w:name w:val="annotation text"/>
    <w:basedOn w:val="1"/>
    <w:link w:val="113"/>
    <w:qFormat/>
    <w:uiPriority w:val="0"/>
    <w:pPr>
      <w:jc w:val="left"/>
    </w:pPr>
  </w:style>
  <w:style w:type="paragraph" w:styleId="29">
    <w:name w:val="index 6"/>
    <w:basedOn w:val="1"/>
    <w:next w:val="1"/>
    <w:qFormat/>
    <w:uiPriority w:val="0"/>
    <w:pPr>
      <w:adjustRightInd w:val="0"/>
      <w:spacing w:line="312" w:lineRule="atLeast"/>
      <w:ind w:left="1000" w:leftChars="1000"/>
      <w:textAlignment w:val="baseline"/>
    </w:pPr>
    <w:rPr>
      <w:rFonts w:ascii="Calibri" w:hAnsi="Calibri" w:eastAsia="仿宋" w:cs="Times New Roman"/>
      <w:kern w:val="0"/>
      <w:sz w:val="32"/>
      <w:szCs w:val="20"/>
    </w:rPr>
  </w:style>
  <w:style w:type="paragraph" w:styleId="30">
    <w:name w:val="Salutation"/>
    <w:basedOn w:val="1"/>
    <w:next w:val="1"/>
    <w:link w:val="114"/>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115"/>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116"/>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0"/>
    <w:pPr>
      <w:numPr>
        <w:ilvl w:val="0"/>
        <w:numId w:val="5"/>
      </w:numPr>
      <w:adjustRightInd w:val="0"/>
      <w:spacing w:line="312" w:lineRule="atLeast"/>
      <w:textAlignment w:val="baseline"/>
    </w:pPr>
    <w:rPr>
      <w:rFonts w:ascii="Calibri" w:hAnsi="Calibri" w:eastAsia="仿宋" w:cs="Times New Roman"/>
      <w:kern w:val="0"/>
      <w:sz w:val="32"/>
      <w:szCs w:val="20"/>
    </w:rPr>
  </w:style>
  <w:style w:type="paragraph" w:styleId="34">
    <w:name w:val="Body Text"/>
    <w:basedOn w:val="1"/>
    <w:link w:val="117"/>
    <w:qFormat/>
    <w:uiPriority w:val="0"/>
    <w:pPr>
      <w:jc w:val="left"/>
    </w:pPr>
    <w:rPr>
      <w:rFonts w:ascii="宋体"/>
      <w:sz w:val="24"/>
    </w:rPr>
  </w:style>
  <w:style w:type="paragraph" w:styleId="35">
    <w:name w:val="Body Text Indent"/>
    <w:basedOn w:val="1"/>
    <w:link w:val="118"/>
    <w:qFormat/>
    <w:uiPriority w:val="0"/>
    <w:pPr>
      <w:ind w:firstLine="444"/>
    </w:pPr>
    <w:rPr>
      <w:b/>
      <w:sz w:val="24"/>
    </w:rPr>
  </w:style>
  <w:style w:type="paragraph" w:styleId="36">
    <w:name w:val="List Number 3"/>
    <w:basedOn w:val="1"/>
    <w:qFormat/>
    <w:uiPriority w:val="0"/>
    <w:pPr>
      <w:numPr>
        <w:ilvl w:val="0"/>
        <w:numId w:val="6"/>
      </w:numPr>
      <w:adjustRightInd w:val="0"/>
      <w:spacing w:line="312" w:lineRule="atLeast"/>
      <w:textAlignment w:val="baseline"/>
    </w:pPr>
    <w:rPr>
      <w:rFonts w:ascii="Calibri" w:hAnsi="Calibri" w:eastAsia="仿宋" w:cs="Times New Roman"/>
      <w:kern w:val="0"/>
      <w:sz w:val="32"/>
      <w:szCs w:val="20"/>
    </w:rPr>
  </w:style>
  <w:style w:type="paragraph" w:styleId="37">
    <w:name w:val="List 2"/>
    <w:basedOn w:val="1"/>
    <w:next w:val="38"/>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38">
    <w:name w:val="Plain Text"/>
    <w:basedOn w:val="1"/>
    <w:link w:val="119"/>
    <w:qFormat/>
    <w:uiPriority w:val="0"/>
    <w:rPr>
      <w:rFonts w:ascii="宋体"/>
      <w:szCs w:val="20"/>
    </w:rPr>
  </w:style>
  <w:style w:type="paragraph" w:styleId="39">
    <w:name w:val="List Continue"/>
    <w:basedOn w:val="1"/>
    <w:qFormat/>
    <w:uiPriority w:val="0"/>
    <w:pPr>
      <w:adjustRightInd w:val="0"/>
      <w:spacing w:after="120" w:line="312" w:lineRule="atLeast"/>
      <w:ind w:left="420" w:leftChars="200"/>
      <w:textAlignment w:val="baseline"/>
    </w:pPr>
    <w:rPr>
      <w:rFonts w:ascii="Calibri" w:hAnsi="Calibri" w:eastAsia="仿宋" w:cs="Times New Roman"/>
      <w:kern w:val="0"/>
      <w:sz w:val="32"/>
      <w:szCs w:val="20"/>
    </w:rPr>
  </w:style>
  <w:style w:type="paragraph" w:styleId="40">
    <w:name w:val="Block Text"/>
    <w:basedOn w:val="1"/>
    <w:qFormat/>
    <w:uiPriority w:val="0"/>
    <w:pPr>
      <w:adjustRightInd w:val="0"/>
      <w:spacing w:after="120" w:line="312" w:lineRule="atLeast"/>
      <w:ind w:left="1440" w:leftChars="700" w:right="1440" w:rightChars="700"/>
      <w:textAlignment w:val="baseline"/>
    </w:pPr>
    <w:rPr>
      <w:rFonts w:ascii="Calibri" w:hAnsi="Calibri" w:eastAsia="仿宋" w:cs="Times New Roman"/>
      <w:kern w:val="0"/>
      <w:sz w:val="32"/>
      <w:szCs w:val="20"/>
    </w:rPr>
  </w:style>
  <w:style w:type="paragraph" w:styleId="41">
    <w:name w:val="List Bullet 2"/>
    <w:basedOn w:val="1"/>
    <w:qFormat/>
    <w:uiPriority w:val="0"/>
    <w:pPr>
      <w:numPr>
        <w:ilvl w:val="0"/>
        <w:numId w:val="7"/>
      </w:numPr>
      <w:adjustRightInd w:val="0"/>
      <w:spacing w:line="312" w:lineRule="atLeast"/>
      <w:textAlignment w:val="baseline"/>
    </w:pPr>
    <w:rPr>
      <w:rFonts w:ascii="Calibri" w:hAnsi="Calibri" w:eastAsia="仿宋" w:cs="Times New Roman"/>
      <w:kern w:val="0"/>
      <w:sz w:val="32"/>
      <w:szCs w:val="20"/>
    </w:rPr>
  </w:style>
  <w:style w:type="paragraph" w:styleId="42">
    <w:name w:val="HTML Address"/>
    <w:basedOn w:val="1"/>
    <w:link w:val="120"/>
    <w:qFormat/>
    <w:uiPriority w:val="0"/>
    <w:pPr>
      <w:adjustRightInd w:val="0"/>
      <w:spacing w:line="312" w:lineRule="atLeast"/>
      <w:textAlignment w:val="baseline"/>
    </w:pPr>
    <w:rPr>
      <w:rFonts w:eastAsia="仿宋"/>
      <w:i/>
      <w:iCs/>
      <w:kern w:val="0"/>
      <w:sz w:val="32"/>
      <w:szCs w:val="20"/>
    </w:rPr>
  </w:style>
  <w:style w:type="paragraph" w:styleId="43">
    <w:name w:val="index 4"/>
    <w:basedOn w:val="1"/>
    <w:next w:val="1"/>
    <w:qFormat/>
    <w:uiPriority w:val="0"/>
    <w:pPr>
      <w:adjustRightInd w:val="0"/>
      <w:spacing w:line="312" w:lineRule="atLeast"/>
      <w:ind w:left="600" w:leftChars="600"/>
      <w:textAlignment w:val="baseline"/>
    </w:pPr>
    <w:rPr>
      <w:rFonts w:ascii="Calibri" w:hAnsi="Calibri" w:eastAsia="仿宋" w:cs="Times New Roman"/>
      <w:kern w:val="0"/>
      <w:sz w:val="32"/>
      <w:szCs w:val="20"/>
    </w:rPr>
  </w:style>
  <w:style w:type="paragraph" w:styleId="44">
    <w:name w:val="toc 5"/>
    <w:basedOn w:val="1"/>
    <w:next w:val="1"/>
    <w:qFormat/>
    <w:uiPriority w:val="0"/>
    <w:pPr>
      <w:ind w:left="1680" w:leftChars="800"/>
    </w:pPr>
    <w:rPr>
      <w:rFonts w:ascii="Calibri" w:hAnsi="Calibri" w:eastAsia="宋体" w:cs="Times New Roman"/>
    </w:rPr>
  </w:style>
  <w:style w:type="paragraph" w:styleId="45">
    <w:name w:val="toc 3"/>
    <w:basedOn w:val="1"/>
    <w:next w:val="1"/>
    <w:qFormat/>
    <w:uiPriority w:val="0"/>
    <w:pPr>
      <w:tabs>
        <w:tab w:val="left" w:pos="900"/>
        <w:tab w:val="right" w:leader="dot" w:pos="8494"/>
      </w:tabs>
      <w:spacing w:line="360" w:lineRule="auto"/>
      <w:ind w:left="539" w:leftChars="86" w:hanging="358" w:hangingChars="149"/>
    </w:pPr>
    <w:rPr>
      <w:rFonts w:ascii="Calibri" w:hAnsi="Calibri" w:eastAsia="宋体" w:cs="Times New Roman"/>
    </w:rPr>
  </w:style>
  <w:style w:type="paragraph" w:styleId="46">
    <w:name w:val="List Bullet 5"/>
    <w:basedOn w:val="1"/>
    <w:qFormat/>
    <w:uiPriority w:val="0"/>
    <w:pPr>
      <w:numPr>
        <w:ilvl w:val="0"/>
        <w:numId w:val="8"/>
      </w:numPr>
      <w:adjustRightInd w:val="0"/>
      <w:spacing w:line="312" w:lineRule="atLeast"/>
      <w:textAlignment w:val="baseline"/>
    </w:pPr>
    <w:rPr>
      <w:rFonts w:ascii="Calibri" w:hAnsi="Calibri" w:eastAsia="仿宋" w:cs="Times New Roman"/>
      <w:kern w:val="0"/>
      <w:sz w:val="32"/>
      <w:szCs w:val="20"/>
    </w:rPr>
  </w:style>
  <w:style w:type="paragraph" w:styleId="47">
    <w:name w:val="List Number 4"/>
    <w:basedOn w:val="1"/>
    <w:qFormat/>
    <w:uiPriority w:val="0"/>
    <w:pPr>
      <w:tabs>
        <w:tab w:val="left" w:pos="1620"/>
      </w:tabs>
      <w:adjustRightInd w:val="0"/>
      <w:spacing w:line="312" w:lineRule="atLeast"/>
      <w:ind w:left="1620" w:leftChars="600" w:hanging="360" w:hangingChars="200"/>
      <w:textAlignment w:val="baseline"/>
    </w:pPr>
    <w:rPr>
      <w:rFonts w:ascii="Calibri" w:hAnsi="Calibri" w:eastAsia="仿宋" w:cs="Times New Roman"/>
      <w:kern w:val="0"/>
      <w:sz w:val="32"/>
      <w:szCs w:val="20"/>
    </w:rPr>
  </w:style>
  <w:style w:type="paragraph" w:styleId="48">
    <w:name w:val="toc 8"/>
    <w:basedOn w:val="1"/>
    <w:next w:val="1"/>
    <w:qFormat/>
    <w:uiPriority w:val="0"/>
    <w:pPr>
      <w:ind w:left="2940" w:leftChars="1400"/>
    </w:pPr>
    <w:rPr>
      <w:rFonts w:ascii="Calibri" w:hAnsi="Calibri" w:eastAsia="宋体" w:cs="Times New Roman"/>
    </w:rPr>
  </w:style>
  <w:style w:type="paragraph" w:styleId="49">
    <w:name w:val="index 3"/>
    <w:basedOn w:val="1"/>
    <w:next w:val="1"/>
    <w:qFormat/>
    <w:uiPriority w:val="0"/>
    <w:pPr>
      <w:adjustRightInd w:val="0"/>
      <w:spacing w:line="312" w:lineRule="atLeast"/>
      <w:ind w:left="400" w:leftChars="400"/>
      <w:textAlignment w:val="baseline"/>
    </w:pPr>
    <w:rPr>
      <w:rFonts w:ascii="Calibri" w:hAnsi="Calibri" w:eastAsia="仿宋" w:cs="Times New Roman"/>
      <w:kern w:val="0"/>
      <w:sz w:val="32"/>
      <w:szCs w:val="20"/>
    </w:rPr>
  </w:style>
  <w:style w:type="paragraph" w:styleId="50">
    <w:name w:val="Date"/>
    <w:basedOn w:val="1"/>
    <w:next w:val="1"/>
    <w:link w:val="121"/>
    <w:qFormat/>
    <w:uiPriority w:val="0"/>
    <w:pPr>
      <w:ind w:left="2500" w:leftChars="2500"/>
    </w:pPr>
    <w:rPr>
      <w:rFonts w:ascii="宋体"/>
      <w:sz w:val="24"/>
    </w:rPr>
  </w:style>
  <w:style w:type="paragraph" w:styleId="51">
    <w:name w:val="Body Text Indent 2"/>
    <w:basedOn w:val="1"/>
    <w:link w:val="122"/>
    <w:qFormat/>
    <w:uiPriority w:val="0"/>
    <w:pPr>
      <w:spacing w:after="120" w:afterLines="0" w:line="480" w:lineRule="auto"/>
      <w:ind w:left="200" w:leftChars="200"/>
    </w:pPr>
  </w:style>
  <w:style w:type="paragraph" w:styleId="52">
    <w:name w:val="endnote text"/>
    <w:basedOn w:val="1"/>
    <w:link w:val="123"/>
    <w:qFormat/>
    <w:uiPriority w:val="0"/>
    <w:pPr>
      <w:snapToGrid w:val="0"/>
      <w:jc w:val="left"/>
    </w:pPr>
  </w:style>
  <w:style w:type="paragraph" w:styleId="53">
    <w:name w:val="List Continue 5"/>
    <w:basedOn w:val="1"/>
    <w:qFormat/>
    <w:uiPriority w:val="0"/>
    <w:pPr>
      <w:adjustRightInd w:val="0"/>
      <w:spacing w:after="120" w:line="312" w:lineRule="atLeast"/>
      <w:ind w:left="2100" w:leftChars="1000"/>
      <w:textAlignment w:val="baseline"/>
    </w:pPr>
    <w:rPr>
      <w:rFonts w:ascii="Calibri" w:hAnsi="Calibri" w:eastAsia="仿宋" w:cs="Times New Roman"/>
      <w:kern w:val="0"/>
      <w:sz w:val="32"/>
      <w:szCs w:val="20"/>
    </w:rPr>
  </w:style>
  <w:style w:type="paragraph" w:styleId="54">
    <w:name w:val="Balloon Text"/>
    <w:basedOn w:val="1"/>
    <w:link w:val="124"/>
    <w:qFormat/>
    <w:uiPriority w:val="0"/>
    <w:rPr>
      <w:sz w:val="18"/>
      <w:szCs w:val="18"/>
    </w:rPr>
  </w:style>
  <w:style w:type="paragraph" w:styleId="55">
    <w:name w:val="footer"/>
    <w:basedOn w:val="1"/>
    <w:link w:val="125"/>
    <w:qFormat/>
    <w:uiPriority w:val="0"/>
    <w:pPr>
      <w:tabs>
        <w:tab w:val="center" w:pos="4153"/>
        <w:tab w:val="right" w:pos="8306"/>
      </w:tabs>
      <w:snapToGrid w:val="0"/>
      <w:jc w:val="left"/>
    </w:pPr>
    <w:rPr>
      <w:sz w:val="18"/>
      <w:szCs w:val="18"/>
    </w:rPr>
  </w:style>
  <w:style w:type="paragraph" w:styleId="56">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57">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7"/>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0"/>
    <w:pPr>
      <w:tabs>
        <w:tab w:val="left" w:pos="540"/>
        <w:tab w:val="right" w:leader="dot" w:pos="8460"/>
      </w:tabs>
      <w:spacing w:before="156" w:beforeLines="50" w:after="156" w:afterLines="50" w:line="360" w:lineRule="auto"/>
    </w:pPr>
    <w:rPr>
      <w:rFonts w:ascii="宋体" w:hAnsi="宋体" w:eastAsia="宋体" w:cs="Arial"/>
      <w:b/>
      <w:sz w:val="24"/>
    </w:rPr>
  </w:style>
  <w:style w:type="paragraph" w:styleId="60">
    <w:name w:val="List Continue 4"/>
    <w:basedOn w:val="1"/>
    <w:qFormat/>
    <w:uiPriority w:val="0"/>
    <w:pPr>
      <w:adjustRightInd w:val="0"/>
      <w:spacing w:after="120" w:line="312" w:lineRule="atLeast"/>
      <w:ind w:left="1680" w:leftChars="800"/>
      <w:textAlignment w:val="baseline"/>
    </w:pPr>
    <w:rPr>
      <w:rFonts w:ascii="Calibri" w:hAnsi="Calibri" w:eastAsia="仿宋" w:cs="Times New Roman"/>
      <w:kern w:val="0"/>
      <w:sz w:val="32"/>
      <w:szCs w:val="20"/>
    </w:rPr>
  </w:style>
  <w:style w:type="paragraph" w:styleId="61">
    <w:name w:val="toc 4"/>
    <w:basedOn w:val="1"/>
    <w:next w:val="1"/>
    <w:qFormat/>
    <w:uiPriority w:val="0"/>
    <w:pPr>
      <w:tabs>
        <w:tab w:val="left" w:pos="1440"/>
        <w:tab w:val="right" w:leader="dot" w:pos="8494"/>
      </w:tabs>
      <w:spacing w:line="360" w:lineRule="auto"/>
      <w:ind w:left="1440" w:leftChars="257" w:hanging="900" w:hangingChars="375"/>
    </w:pPr>
    <w:rPr>
      <w:rFonts w:ascii="Calibri" w:hAnsi="Calibri" w:eastAsia="宋体" w:cs="Times New Roman"/>
    </w:r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qFormat/>
    <w:uiPriority w:val="0"/>
    <w:rPr>
      <w:rFonts w:ascii="Calibri" w:hAnsi="Calibri" w:eastAsia="仿宋_GB2312" w:cs="Times New Roman"/>
      <w:b/>
      <w:sz w:val="24"/>
      <w:szCs w:val="20"/>
    </w:rPr>
  </w:style>
  <w:style w:type="paragraph" w:styleId="64">
    <w:name w:val="Subtitle"/>
    <w:basedOn w:val="1"/>
    <w:next w:val="1"/>
    <w:link w:val="128"/>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9"/>
      </w:numPr>
      <w:adjustRightInd w:val="0"/>
      <w:spacing w:line="312" w:lineRule="atLeast"/>
      <w:textAlignment w:val="baseline"/>
    </w:pPr>
    <w:rPr>
      <w:rFonts w:ascii="Calibri" w:hAnsi="Calibri" w:eastAsia="仿宋" w:cs="Times New Roman"/>
      <w:kern w:val="0"/>
      <w:sz w:val="32"/>
      <w:szCs w:val="20"/>
    </w:rPr>
  </w:style>
  <w:style w:type="paragraph" w:styleId="66">
    <w:name w:val="List"/>
    <w:basedOn w:val="1"/>
    <w:qFormat/>
    <w:uiPriority w:val="0"/>
    <w:pPr>
      <w:adjustRightInd w:val="0"/>
      <w:spacing w:line="312" w:lineRule="atLeast"/>
      <w:ind w:left="200" w:hanging="200" w:hangingChars="200"/>
      <w:textAlignment w:val="baseline"/>
    </w:pPr>
    <w:rPr>
      <w:rFonts w:ascii="Calibri" w:hAnsi="Calibri" w:eastAsia="仿宋" w:cs="Times New Roman"/>
      <w:kern w:val="0"/>
      <w:sz w:val="32"/>
      <w:szCs w:val="20"/>
    </w:rPr>
  </w:style>
  <w:style w:type="paragraph" w:styleId="67">
    <w:name w:val="footnote text"/>
    <w:basedOn w:val="1"/>
    <w:link w:val="129"/>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0"/>
    <w:pPr>
      <w:ind w:left="2100" w:leftChars="1000"/>
    </w:pPr>
    <w:rPr>
      <w:rFonts w:ascii="Calibri" w:hAnsi="Calibri" w:eastAsia="宋体" w:cs="Times New Roman"/>
    </w:rPr>
  </w:style>
  <w:style w:type="paragraph" w:styleId="69">
    <w:name w:val="List 5"/>
    <w:basedOn w:val="1"/>
    <w:qFormat/>
    <w:uiPriority w:val="0"/>
    <w:pPr>
      <w:adjustRightInd w:val="0"/>
      <w:spacing w:line="312" w:lineRule="atLeast"/>
      <w:ind w:left="100" w:leftChars="800" w:hanging="200" w:hangingChars="200"/>
      <w:textAlignment w:val="baseline"/>
    </w:pPr>
    <w:rPr>
      <w:rFonts w:ascii="Calibri" w:hAnsi="Calibri" w:eastAsia="仿宋" w:cs="Times New Roman"/>
      <w:kern w:val="0"/>
      <w:sz w:val="32"/>
      <w:szCs w:val="20"/>
    </w:rPr>
  </w:style>
  <w:style w:type="paragraph" w:styleId="70">
    <w:name w:val="Body Text Indent 3"/>
    <w:basedOn w:val="1"/>
    <w:link w:val="130"/>
    <w:qFormat/>
    <w:uiPriority w:val="0"/>
    <w:pPr>
      <w:spacing w:line="440" w:lineRule="exact"/>
      <w:ind w:firstLine="200" w:firstLineChars="200"/>
    </w:pPr>
    <w:rPr>
      <w:rFonts w:ascii="宋体"/>
    </w:rPr>
  </w:style>
  <w:style w:type="paragraph" w:styleId="71">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72">
    <w:name w:val="index 9"/>
    <w:basedOn w:val="1"/>
    <w:next w:val="1"/>
    <w:qFormat/>
    <w:uiPriority w:val="0"/>
    <w:pPr>
      <w:adjustRightInd w:val="0"/>
      <w:spacing w:line="312" w:lineRule="atLeast"/>
      <w:ind w:left="1600" w:leftChars="1600"/>
      <w:textAlignment w:val="baseline"/>
    </w:pPr>
    <w:rPr>
      <w:rFonts w:ascii="Calibri" w:hAnsi="Calibri" w:eastAsia="仿宋" w:cs="Times New Roman"/>
      <w:kern w:val="0"/>
      <w:sz w:val="32"/>
      <w:szCs w:val="20"/>
    </w:rPr>
  </w:style>
  <w:style w:type="paragraph" w:styleId="73">
    <w:name w:val="table of figures"/>
    <w:basedOn w:val="1"/>
    <w:next w:val="1"/>
    <w:qFormat/>
    <w:uiPriority w:val="0"/>
    <w:pPr>
      <w:ind w:leftChars="200" w:hanging="200" w:hangingChars="200"/>
    </w:pPr>
    <w:rPr>
      <w:rFonts w:ascii="Calibri" w:hAnsi="Calibri" w:eastAsia="宋体" w:cs="Times New Roman"/>
    </w:rPr>
  </w:style>
  <w:style w:type="paragraph" w:styleId="74">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eastAsia="宋体" w:cs="Times New Roman"/>
      <w:b/>
      <w:smallCaps/>
      <w:sz w:val="24"/>
    </w:rPr>
  </w:style>
  <w:style w:type="paragraph" w:styleId="75">
    <w:name w:val="toc 9"/>
    <w:basedOn w:val="1"/>
    <w:next w:val="1"/>
    <w:qFormat/>
    <w:uiPriority w:val="0"/>
    <w:pPr>
      <w:ind w:left="3360" w:leftChars="1600"/>
    </w:pPr>
    <w:rPr>
      <w:rFonts w:ascii="Calibri" w:hAnsi="Calibri" w:eastAsia="宋体" w:cs="Times New Roman"/>
    </w:rPr>
  </w:style>
  <w:style w:type="paragraph" w:styleId="76">
    <w:name w:val="Body Text 2"/>
    <w:basedOn w:val="1"/>
    <w:link w:val="131"/>
    <w:qFormat/>
    <w:uiPriority w:val="0"/>
    <w:pPr>
      <w:numPr>
        <w:ilvl w:val="1"/>
        <w:numId w:val="10"/>
      </w:numPr>
      <w:spacing w:after="120" w:line="480" w:lineRule="auto"/>
      <w:ind w:left="0" w:firstLine="0"/>
    </w:pPr>
  </w:style>
  <w:style w:type="paragraph" w:styleId="77">
    <w:name w:val="List 4"/>
    <w:basedOn w:val="1"/>
    <w:qFormat/>
    <w:uiPriority w:val="0"/>
    <w:pPr>
      <w:adjustRightInd w:val="0"/>
      <w:spacing w:line="312" w:lineRule="atLeast"/>
      <w:ind w:left="100" w:leftChars="600" w:hanging="200" w:hangingChars="200"/>
      <w:textAlignment w:val="baseline"/>
    </w:pPr>
    <w:rPr>
      <w:rFonts w:ascii="Calibri" w:hAnsi="Calibri" w:eastAsia="仿宋" w:cs="Times New Roman"/>
      <w:kern w:val="0"/>
      <w:sz w:val="32"/>
      <w:szCs w:val="20"/>
    </w:rPr>
  </w:style>
  <w:style w:type="paragraph" w:styleId="78">
    <w:name w:val="List Continue 2"/>
    <w:basedOn w:val="1"/>
    <w:qFormat/>
    <w:uiPriority w:val="0"/>
    <w:pPr>
      <w:adjustRightInd w:val="0"/>
      <w:spacing w:after="120" w:line="312" w:lineRule="atLeast"/>
      <w:ind w:left="840" w:leftChars="400"/>
      <w:textAlignment w:val="baseline"/>
    </w:pPr>
    <w:rPr>
      <w:rFonts w:ascii="Calibri" w:hAnsi="Calibri" w:eastAsia="仿宋" w:cs="Times New Roman"/>
      <w:kern w:val="0"/>
      <w:sz w:val="32"/>
      <w:szCs w:val="20"/>
    </w:rPr>
  </w:style>
  <w:style w:type="paragraph" w:styleId="79">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qFormat/>
    <w:uiPriority w:val="0"/>
    <w:pPr>
      <w:widowControl/>
      <w:jc w:val="left"/>
    </w:pPr>
    <w:rPr>
      <w:rFonts w:ascii="宋体" w:hAnsi="Calibri" w:eastAsia="宋体" w:cs="宋体"/>
      <w:kern w:val="0"/>
      <w:sz w:val="24"/>
      <w:lang w:bidi="ar-SA"/>
    </w:rPr>
  </w:style>
  <w:style w:type="paragraph" w:styleId="82">
    <w:name w:val="List Continue 3"/>
    <w:basedOn w:val="1"/>
    <w:qFormat/>
    <w:uiPriority w:val="0"/>
    <w:pPr>
      <w:adjustRightInd w:val="0"/>
      <w:spacing w:after="120" w:line="312" w:lineRule="atLeast"/>
      <w:ind w:left="1260" w:leftChars="600"/>
      <w:textAlignment w:val="baseline"/>
    </w:pPr>
    <w:rPr>
      <w:rFonts w:ascii="Calibri" w:hAnsi="Calibri" w:eastAsia="仿宋" w:cs="Times New Roman"/>
      <w:kern w:val="0"/>
      <w:sz w:val="32"/>
      <w:szCs w:val="20"/>
    </w:rPr>
  </w:style>
  <w:style w:type="paragraph" w:styleId="83">
    <w:name w:val="index 2"/>
    <w:basedOn w:val="1"/>
    <w:next w:val="1"/>
    <w:qFormat/>
    <w:uiPriority w:val="0"/>
    <w:pPr>
      <w:adjustRightInd w:val="0"/>
      <w:spacing w:line="312" w:lineRule="atLeast"/>
      <w:ind w:left="200" w:leftChars="200"/>
      <w:textAlignment w:val="baseline"/>
    </w:pPr>
    <w:rPr>
      <w:rFonts w:ascii="Calibri" w:hAnsi="Calibri" w:eastAsia="仿宋" w:cs="Times New Roman"/>
      <w:kern w:val="0"/>
      <w:sz w:val="32"/>
      <w:szCs w:val="20"/>
    </w:rPr>
  </w:style>
  <w:style w:type="paragraph" w:styleId="84">
    <w:name w:val="Title"/>
    <w:basedOn w:val="1"/>
    <w:next w:val="1"/>
    <w:link w:val="134"/>
    <w:qFormat/>
    <w:uiPriority w:val="0"/>
    <w:pPr>
      <w:spacing w:before="240" w:beforeLines="0" w:after="60" w:afterLines="0"/>
      <w:jc w:val="center"/>
      <w:outlineLvl w:val="0"/>
    </w:pPr>
    <w:rPr>
      <w:rFonts w:ascii="Cambria" w:hAnsi="Cambria"/>
      <w:b/>
      <w:bCs/>
      <w:sz w:val="32"/>
      <w:szCs w:val="32"/>
    </w:rPr>
  </w:style>
  <w:style w:type="paragraph" w:styleId="85">
    <w:name w:val="annotation subject"/>
    <w:basedOn w:val="28"/>
    <w:next w:val="28"/>
    <w:link w:val="135"/>
    <w:qFormat/>
    <w:uiPriority w:val="0"/>
    <w:rPr>
      <w:b/>
      <w:bCs/>
    </w:rPr>
  </w:style>
  <w:style w:type="paragraph" w:styleId="86">
    <w:name w:val="Body Text First Indent"/>
    <w:basedOn w:val="34"/>
    <w:next w:val="68"/>
    <w:link w:val="136"/>
    <w:qFormat/>
    <w:uiPriority w:val="0"/>
    <w:pPr>
      <w:spacing w:after="120"/>
      <w:ind w:firstLine="420" w:firstLineChars="100"/>
      <w:jc w:val="both"/>
    </w:pPr>
    <w:rPr>
      <w:sz w:val="21"/>
    </w:rPr>
  </w:style>
  <w:style w:type="paragraph" w:styleId="87">
    <w:name w:val="Body Text First Indent 2"/>
    <w:basedOn w:val="35"/>
    <w:link w:val="137"/>
    <w:qFormat/>
    <w:uiPriority w:val="0"/>
    <w:pPr>
      <w:spacing w:after="120"/>
      <w:ind w:left="420" w:leftChars="200" w:firstLine="420" w:firstLineChars="200"/>
    </w:pPr>
    <w:rPr>
      <w:sz w:val="21"/>
    </w:rPr>
  </w:style>
  <w:style w:type="table" w:styleId="89">
    <w:name w:val="Table Grid"/>
    <w:basedOn w:val="8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rFonts w:ascii="Calibri" w:hAnsi="Calibri" w:eastAsia="宋体" w:cs="Times New Roman"/>
      <w:b/>
      <w:bCs/>
    </w:rPr>
  </w:style>
  <w:style w:type="character" w:styleId="92">
    <w:name w:val="endnote reference"/>
    <w:qFormat/>
    <w:uiPriority w:val="0"/>
    <w:rPr>
      <w:rFonts w:ascii="Calibri" w:hAnsi="Calibri" w:eastAsia="宋体" w:cs="Times New Roman"/>
      <w:vertAlign w:val="superscript"/>
    </w:rPr>
  </w:style>
  <w:style w:type="character" w:styleId="93">
    <w:name w:val="page number"/>
    <w:basedOn w:val="90"/>
    <w:qFormat/>
    <w:uiPriority w:val="0"/>
    <w:rPr>
      <w:rFonts w:ascii="Calibri" w:hAnsi="Calibri" w:eastAsia="宋体" w:cs="Times New Roman"/>
      <w:lang w:bidi="ar-SA"/>
    </w:rPr>
  </w:style>
  <w:style w:type="character" w:styleId="94">
    <w:name w:val="FollowedHyperlink"/>
    <w:qFormat/>
    <w:uiPriority w:val="0"/>
    <w:rPr>
      <w:rFonts w:ascii="Calibri" w:hAnsi="Calibri" w:eastAsia="宋体" w:cs="Times New Roman"/>
      <w:color w:val="800080"/>
      <w:u w:val="single"/>
    </w:rPr>
  </w:style>
  <w:style w:type="character" w:styleId="95">
    <w:name w:val="Emphasis"/>
    <w:qFormat/>
    <w:uiPriority w:val="0"/>
    <w:rPr>
      <w:rFonts w:ascii="Calibri" w:hAnsi="Calibri" w:eastAsia="宋体" w:cs="Times New Roman"/>
      <w:i/>
      <w:iCs/>
    </w:rPr>
  </w:style>
  <w:style w:type="character" w:styleId="96">
    <w:name w:val="Hyperlink"/>
    <w:qFormat/>
    <w:uiPriority w:val="0"/>
    <w:rPr>
      <w:rFonts w:ascii="Calibri" w:hAnsi="Calibri" w:eastAsia="宋体" w:cs="Times New Roman"/>
      <w:color w:val="0000FF"/>
      <w:u w:val="single"/>
    </w:rPr>
  </w:style>
  <w:style w:type="character" w:styleId="97">
    <w:name w:val="annotation reference"/>
    <w:qFormat/>
    <w:uiPriority w:val="0"/>
    <w:rPr>
      <w:rFonts w:ascii="Calibri" w:hAnsi="Calibri" w:eastAsia="宋体" w:cs="Times New Roman"/>
      <w:sz w:val="21"/>
      <w:szCs w:val="21"/>
    </w:rPr>
  </w:style>
  <w:style w:type="character" w:styleId="98">
    <w:name w:val="HTML Sample"/>
    <w:qFormat/>
    <w:uiPriority w:val="0"/>
    <w:rPr>
      <w:rFonts w:ascii="Courier New" w:hAnsi="Courier New" w:eastAsia="宋体" w:cs="Times New Roman"/>
    </w:rPr>
  </w:style>
  <w:style w:type="character" w:customStyle="1" w:styleId="99">
    <w:name w:val="宏文本 Char2"/>
    <w:link w:val="2"/>
    <w:qFormat/>
    <w:uiPriority w:val="0"/>
    <w:rPr>
      <w:rFonts w:ascii="Courier New" w:hAnsi="Courier New"/>
      <w:kern w:val="2"/>
      <w:sz w:val="24"/>
      <w:szCs w:val="24"/>
      <w:lang w:val="en-US" w:eastAsia="zh-CN" w:bidi="ar-SA"/>
    </w:rPr>
  </w:style>
  <w:style w:type="character" w:customStyle="1" w:styleId="100">
    <w:name w:val="标题 1 Char"/>
    <w:link w:val="3"/>
    <w:qFormat/>
    <w:uiPriority w:val="0"/>
    <w:rPr>
      <w:rFonts w:ascii="Calibri" w:hAnsi="Calibri" w:eastAsia="宋体" w:cs="Times New Roman"/>
      <w:b/>
      <w:kern w:val="44"/>
      <w:sz w:val="44"/>
    </w:rPr>
  </w:style>
  <w:style w:type="character" w:customStyle="1" w:styleId="101">
    <w:name w:val="标题 2 Char"/>
    <w:link w:val="4"/>
    <w:qFormat/>
    <w:uiPriority w:val="0"/>
    <w:rPr>
      <w:rFonts w:ascii="Arial" w:hAnsi="Arial" w:eastAsia="黑体" w:cs="Times New Roman"/>
      <w:b/>
      <w:bCs/>
      <w:kern w:val="2"/>
      <w:sz w:val="32"/>
      <w:szCs w:val="32"/>
    </w:rPr>
  </w:style>
  <w:style w:type="character" w:customStyle="1" w:styleId="102">
    <w:name w:val="标题 3 Char"/>
    <w:link w:val="5"/>
    <w:qFormat/>
    <w:uiPriority w:val="0"/>
    <w:rPr>
      <w:rFonts w:ascii="Calibri" w:hAnsi="Calibri" w:eastAsia="宋体" w:cs="Angsana New"/>
      <w:b/>
      <w:bCs/>
      <w:kern w:val="2"/>
      <w:sz w:val="32"/>
      <w:szCs w:val="32"/>
      <w:lang w:bidi="th-TH"/>
    </w:rPr>
  </w:style>
  <w:style w:type="character" w:customStyle="1" w:styleId="103">
    <w:name w:val="标题 4 Char"/>
    <w:link w:val="6"/>
    <w:qFormat/>
    <w:uiPriority w:val="0"/>
    <w:rPr>
      <w:rFonts w:ascii="Arial" w:hAnsi="Arial" w:eastAsia="黑体" w:cs="Times New Roman"/>
      <w:b/>
      <w:bCs/>
      <w:kern w:val="2"/>
      <w:sz w:val="28"/>
      <w:szCs w:val="28"/>
    </w:rPr>
  </w:style>
  <w:style w:type="character" w:customStyle="1" w:styleId="104">
    <w:name w:val="标题 5 Char"/>
    <w:link w:val="7"/>
    <w:qFormat/>
    <w:uiPriority w:val="0"/>
    <w:rPr>
      <w:rFonts w:ascii="Calibri" w:hAnsi="Calibri" w:eastAsia="宋体" w:cs="Times New Roman"/>
      <w:b/>
      <w:bCs/>
      <w:kern w:val="2"/>
      <w:sz w:val="28"/>
      <w:szCs w:val="28"/>
    </w:rPr>
  </w:style>
  <w:style w:type="character" w:customStyle="1" w:styleId="105">
    <w:name w:val="标题 6 Char"/>
    <w:link w:val="8"/>
    <w:qFormat/>
    <w:uiPriority w:val="0"/>
    <w:rPr>
      <w:rFonts w:ascii="Arial" w:hAnsi="Arial" w:eastAsia="黑体" w:cs="Times New Roman"/>
      <w:b/>
      <w:bCs/>
      <w:kern w:val="2"/>
      <w:sz w:val="24"/>
      <w:szCs w:val="24"/>
    </w:rPr>
  </w:style>
  <w:style w:type="character" w:customStyle="1" w:styleId="106">
    <w:name w:val="标题 7 Char"/>
    <w:link w:val="9"/>
    <w:qFormat/>
    <w:uiPriority w:val="0"/>
    <w:rPr>
      <w:rFonts w:ascii="Calibri" w:hAnsi="Calibri" w:eastAsia="宋体" w:cs="Times New Roman"/>
      <w:b/>
      <w:bCs/>
      <w:kern w:val="2"/>
      <w:sz w:val="24"/>
      <w:szCs w:val="24"/>
    </w:rPr>
  </w:style>
  <w:style w:type="character" w:customStyle="1" w:styleId="107">
    <w:name w:val="标题 8 Char"/>
    <w:link w:val="10"/>
    <w:qFormat/>
    <w:uiPriority w:val="0"/>
    <w:rPr>
      <w:rFonts w:ascii="Arial" w:hAnsi="Arial" w:eastAsia="黑体" w:cs="Times New Roman"/>
      <w:kern w:val="2"/>
      <w:sz w:val="24"/>
      <w:szCs w:val="24"/>
    </w:rPr>
  </w:style>
  <w:style w:type="character" w:customStyle="1" w:styleId="108">
    <w:name w:val="标题 9 Char"/>
    <w:link w:val="11"/>
    <w:qFormat/>
    <w:uiPriority w:val="0"/>
    <w:rPr>
      <w:rFonts w:ascii="Arial" w:hAnsi="Arial" w:eastAsia="黑体" w:cs="Times New Roman"/>
      <w:kern w:val="2"/>
      <w:sz w:val="21"/>
      <w:szCs w:val="21"/>
    </w:rPr>
  </w:style>
  <w:style w:type="character" w:customStyle="1" w:styleId="109">
    <w:name w:val="注释标题 Char2"/>
    <w:link w:val="16"/>
    <w:qFormat/>
    <w:uiPriority w:val="0"/>
    <w:rPr>
      <w:rFonts w:ascii="Calibri" w:hAnsi="Calibri" w:eastAsia="仿宋" w:cs="Times New Roman"/>
      <w:sz w:val="32"/>
    </w:rPr>
  </w:style>
  <w:style w:type="character" w:customStyle="1" w:styleId="110">
    <w:name w:val="电子邮件签名 Char2"/>
    <w:link w:val="19"/>
    <w:qFormat/>
    <w:uiPriority w:val="0"/>
    <w:rPr>
      <w:rFonts w:ascii="Calibri" w:hAnsi="Calibri" w:eastAsia="仿宋" w:cs="Times New Roman"/>
      <w:sz w:val="32"/>
    </w:rPr>
  </w:style>
  <w:style w:type="character" w:customStyle="1" w:styleId="111">
    <w:name w:val="正文缩进 Char"/>
    <w:link w:val="21"/>
    <w:qFormat/>
    <w:uiPriority w:val="0"/>
    <w:rPr>
      <w:rFonts w:ascii="Calibri" w:hAnsi="Calibri" w:eastAsia="宋体" w:cs="Times New Roman"/>
      <w:kern w:val="2"/>
      <w:sz w:val="21"/>
      <w:szCs w:val="24"/>
      <w:lang w:val="en-US" w:eastAsia="zh-CN" w:bidi="ar-SA"/>
    </w:rPr>
  </w:style>
  <w:style w:type="character" w:customStyle="1" w:styleId="112">
    <w:name w:val="文档结构图 Char"/>
    <w:link w:val="26"/>
    <w:qFormat/>
    <w:uiPriority w:val="0"/>
    <w:rPr>
      <w:rFonts w:ascii="Calibri" w:hAnsi="Calibri" w:eastAsia="宋体" w:cs="Times New Roman"/>
      <w:kern w:val="2"/>
      <w:sz w:val="21"/>
      <w:szCs w:val="24"/>
      <w:shd w:val="clear" w:color="auto" w:fill="000080"/>
    </w:rPr>
  </w:style>
  <w:style w:type="character" w:customStyle="1" w:styleId="113">
    <w:name w:val="批注文字 Char"/>
    <w:link w:val="28"/>
    <w:qFormat/>
    <w:uiPriority w:val="0"/>
    <w:rPr>
      <w:rFonts w:ascii="Calibri" w:hAnsi="Calibri" w:eastAsia="宋体" w:cs="Times New Roman"/>
      <w:kern w:val="2"/>
      <w:sz w:val="21"/>
      <w:szCs w:val="24"/>
    </w:rPr>
  </w:style>
  <w:style w:type="character" w:customStyle="1" w:styleId="114">
    <w:name w:val="称呼 Char2"/>
    <w:link w:val="30"/>
    <w:qFormat/>
    <w:uiPriority w:val="0"/>
    <w:rPr>
      <w:rFonts w:ascii="Calibri" w:hAnsi="Calibri" w:eastAsia="仿宋" w:cs="Times New Roman"/>
      <w:sz w:val="32"/>
    </w:rPr>
  </w:style>
  <w:style w:type="character" w:customStyle="1" w:styleId="115">
    <w:name w:val="正文文本 3 Char2"/>
    <w:link w:val="31"/>
    <w:qFormat/>
    <w:uiPriority w:val="0"/>
    <w:rPr>
      <w:rFonts w:ascii="Calibri" w:hAnsi="Calibri" w:eastAsia="仿宋" w:cs="Times New Roman"/>
      <w:sz w:val="16"/>
      <w:szCs w:val="16"/>
    </w:rPr>
  </w:style>
  <w:style w:type="character" w:customStyle="1" w:styleId="116">
    <w:name w:val="结束语 Char2"/>
    <w:link w:val="32"/>
    <w:qFormat/>
    <w:uiPriority w:val="0"/>
    <w:rPr>
      <w:rFonts w:ascii="Calibri" w:hAnsi="Calibri" w:eastAsia="仿宋" w:cs="Times New Roman"/>
      <w:sz w:val="32"/>
    </w:rPr>
  </w:style>
  <w:style w:type="character" w:customStyle="1" w:styleId="117">
    <w:name w:val="正文文本 Char"/>
    <w:link w:val="34"/>
    <w:qFormat/>
    <w:uiPriority w:val="0"/>
    <w:rPr>
      <w:rFonts w:ascii="宋体" w:hAnsi="Calibri" w:eastAsia="宋体" w:cs="Times New Roman"/>
      <w:kern w:val="2"/>
      <w:sz w:val="24"/>
      <w:szCs w:val="24"/>
    </w:rPr>
  </w:style>
  <w:style w:type="character" w:customStyle="1" w:styleId="118">
    <w:name w:val="正文文本缩进 Char1"/>
    <w:link w:val="35"/>
    <w:qFormat/>
    <w:uiPriority w:val="0"/>
    <w:rPr>
      <w:rFonts w:ascii="Calibri" w:hAnsi="Calibri" w:eastAsia="宋体" w:cs="Times New Roman"/>
      <w:b/>
      <w:kern w:val="2"/>
      <w:sz w:val="24"/>
      <w:szCs w:val="24"/>
    </w:rPr>
  </w:style>
  <w:style w:type="character" w:customStyle="1" w:styleId="119">
    <w:name w:val="纯文本 Char"/>
    <w:link w:val="38"/>
    <w:qFormat/>
    <w:uiPriority w:val="0"/>
    <w:rPr>
      <w:rFonts w:ascii="宋体" w:hAnsi="Calibri" w:eastAsia="宋体" w:cs="Times New Roman"/>
      <w:kern w:val="2"/>
      <w:sz w:val="21"/>
    </w:rPr>
  </w:style>
  <w:style w:type="character" w:customStyle="1" w:styleId="120">
    <w:name w:val="HTML 地址 Char2"/>
    <w:link w:val="42"/>
    <w:qFormat/>
    <w:uiPriority w:val="0"/>
    <w:rPr>
      <w:rFonts w:ascii="Calibri" w:hAnsi="Calibri" w:eastAsia="仿宋" w:cs="Times New Roman"/>
      <w:i/>
      <w:iCs/>
      <w:sz w:val="32"/>
    </w:rPr>
  </w:style>
  <w:style w:type="character" w:customStyle="1" w:styleId="121">
    <w:name w:val="日期 Char"/>
    <w:link w:val="50"/>
    <w:qFormat/>
    <w:uiPriority w:val="0"/>
    <w:rPr>
      <w:rFonts w:ascii="宋体" w:hAnsi="Calibri" w:eastAsia="宋体" w:cs="Times New Roman"/>
      <w:kern w:val="2"/>
      <w:sz w:val="24"/>
      <w:szCs w:val="24"/>
    </w:rPr>
  </w:style>
  <w:style w:type="character" w:customStyle="1" w:styleId="122">
    <w:name w:val="正文文本缩进 2 Char"/>
    <w:link w:val="51"/>
    <w:qFormat/>
    <w:uiPriority w:val="0"/>
    <w:rPr>
      <w:rFonts w:ascii="Calibri" w:hAnsi="Calibri" w:eastAsia="宋体" w:cs="Times New Roman"/>
      <w:kern w:val="2"/>
      <w:sz w:val="21"/>
      <w:szCs w:val="24"/>
    </w:rPr>
  </w:style>
  <w:style w:type="character" w:customStyle="1" w:styleId="123">
    <w:name w:val="尾注文本 Char"/>
    <w:link w:val="52"/>
    <w:qFormat/>
    <w:uiPriority w:val="0"/>
    <w:rPr>
      <w:rFonts w:ascii="Calibri" w:hAnsi="Calibri" w:eastAsia="宋体" w:cs="Times New Roman"/>
      <w:kern w:val="2"/>
      <w:sz w:val="21"/>
      <w:szCs w:val="24"/>
    </w:rPr>
  </w:style>
  <w:style w:type="character" w:customStyle="1" w:styleId="124">
    <w:name w:val="批注框文本 Char"/>
    <w:link w:val="54"/>
    <w:qFormat/>
    <w:uiPriority w:val="0"/>
    <w:rPr>
      <w:rFonts w:ascii="Calibri" w:hAnsi="Calibri" w:eastAsia="宋体" w:cs="Times New Roman"/>
      <w:kern w:val="2"/>
      <w:sz w:val="18"/>
      <w:szCs w:val="18"/>
    </w:rPr>
  </w:style>
  <w:style w:type="character" w:customStyle="1" w:styleId="125">
    <w:name w:val="页脚 Char"/>
    <w:link w:val="55"/>
    <w:qFormat/>
    <w:uiPriority w:val="0"/>
    <w:rPr>
      <w:rFonts w:ascii="Calibri" w:hAnsi="Calibri" w:eastAsia="宋体" w:cs="Times New Roman"/>
      <w:kern w:val="2"/>
      <w:sz w:val="18"/>
      <w:szCs w:val="18"/>
    </w:rPr>
  </w:style>
  <w:style w:type="character" w:customStyle="1" w:styleId="126">
    <w:name w:val="页眉 Char"/>
    <w:link w:val="57"/>
    <w:qFormat/>
    <w:uiPriority w:val="0"/>
    <w:rPr>
      <w:rFonts w:ascii="Calibri" w:hAnsi="Calibri" w:eastAsia="宋体" w:cs="Times New Roman"/>
      <w:kern w:val="2"/>
      <w:sz w:val="18"/>
      <w:szCs w:val="18"/>
    </w:rPr>
  </w:style>
  <w:style w:type="character" w:customStyle="1" w:styleId="127">
    <w:name w:val="签名 Char2"/>
    <w:link w:val="58"/>
    <w:qFormat/>
    <w:uiPriority w:val="0"/>
    <w:rPr>
      <w:rFonts w:ascii="Calibri" w:hAnsi="Calibri" w:eastAsia="仿宋" w:cs="Times New Roman"/>
      <w:sz w:val="32"/>
    </w:rPr>
  </w:style>
  <w:style w:type="character" w:customStyle="1" w:styleId="128">
    <w:name w:val="副标题 Char"/>
    <w:link w:val="64"/>
    <w:qFormat/>
    <w:uiPriority w:val="0"/>
    <w:rPr>
      <w:rFonts w:ascii="Cambria" w:hAnsi="Cambria" w:eastAsia="宋体" w:cs="Times New Roman"/>
      <w:b/>
      <w:bCs/>
      <w:kern w:val="28"/>
      <w:sz w:val="32"/>
      <w:szCs w:val="32"/>
    </w:rPr>
  </w:style>
  <w:style w:type="character" w:customStyle="1" w:styleId="129">
    <w:name w:val="脚注文本 Char2"/>
    <w:link w:val="67"/>
    <w:qFormat/>
    <w:uiPriority w:val="0"/>
    <w:rPr>
      <w:rFonts w:ascii="Calibri" w:hAnsi="Calibri" w:eastAsia="仿宋" w:cs="Times New Roman"/>
      <w:sz w:val="18"/>
      <w:szCs w:val="18"/>
    </w:rPr>
  </w:style>
  <w:style w:type="character" w:customStyle="1" w:styleId="130">
    <w:name w:val="正文文本缩进 3 Char"/>
    <w:link w:val="70"/>
    <w:qFormat/>
    <w:uiPriority w:val="0"/>
    <w:rPr>
      <w:rFonts w:ascii="宋体" w:hAnsi="Calibri" w:eastAsia="宋体" w:cs="Times New Roman"/>
      <w:kern w:val="2"/>
      <w:sz w:val="21"/>
      <w:szCs w:val="24"/>
    </w:rPr>
  </w:style>
  <w:style w:type="character" w:customStyle="1" w:styleId="131">
    <w:name w:val="正文文本 2 Char"/>
    <w:link w:val="76"/>
    <w:qFormat/>
    <w:uiPriority w:val="0"/>
    <w:rPr>
      <w:rFonts w:ascii="Calibri" w:hAnsi="Calibri" w:eastAsia="宋体" w:cs="Times New Roman"/>
      <w:kern w:val="2"/>
      <w:sz w:val="21"/>
      <w:szCs w:val="24"/>
    </w:rPr>
  </w:style>
  <w:style w:type="character" w:customStyle="1" w:styleId="132">
    <w:name w:val="信息标题 Char2"/>
    <w:link w:val="79"/>
    <w:qFormat/>
    <w:uiPriority w:val="0"/>
    <w:rPr>
      <w:rFonts w:ascii="Arial" w:hAnsi="Arial" w:eastAsia="仿宋" w:cs="Arial"/>
      <w:sz w:val="24"/>
      <w:szCs w:val="24"/>
      <w:shd w:val="pct20" w:color="auto" w:fill="auto"/>
    </w:rPr>
  </w:style>
  <w:style w:type="character" w:customStyle="1" w:styleId="133">
    <w:name w:val="HTML 预设格式 Char"/>
    <w:link w:val="80"/>
    <w:qFormat/>
    <w:uiPriority w:val="0"/>
    <w:rPr>
      <w:rFonts w:ascii="Arial" w:hAnsi="Arial" w:eastAsia="宋体" w:cs="Arial"/>
      <w:sz w:val="28"/>
      <w:szCs w:val="28"/>
    </w:rPr>
  </w:style>
  <w:style w:type="character" w:customStyle="1" w:styleId="134">
    <w:name w:val="标题 Char"/>
    <w:link w:val="84"/>
    <w:qFormat/>
    <w:uiPriority w:val="0"/>
    <w:rPr>
      <w:rFonts w:ascii="Cambria" w:hAnsi="Cambria" w:eastAsia="宋体" w:cs="Times New Roman"/>
      <w:b/>
      <w:bCs/>
      <w:kern w:val="2"/>
      <w:sz w:val="32"/>
      <w:szCs w:val="32"/>
    </w:rPr>
  </w:style>
  <w:style w:type="character" w:customStyle="1" w:styleId="135">
    <w:name w:val="批注主题 Char"/>
    <w:link w:val="85"/>
    <w:qFormat/>
    <w:uiPriority w:val="0"/>
    <w:rPr>
      <w:rFonts w:ascii="Calibri" w:hAnsi="Calibri" w:eastAsia="宋体" w:cs="Times New Roman"/>
      <w:b/>
      <w:bCs/>
      <w:kern w:val="2"/>
      <w:sz w:val="21"/>
      <w:szCs w:val="24"/>
    </w:rPr>
  </w:style>
  <w:style w:type="character" w:customStyle="1" w:styleId="136">
    <w:name w:val="正文首行缩进 Char"/>
    <w:link w:val="86"/>
    <w:qFormat/>
    <w:uiPriority w:val="0"/>
    <w:rPr>
      <w:rFonts w:ascii="宋体" w:hAnsi="Calibri" w:eastAsia="宋体" w:cs="Times New Roman"/>
      <w:kern w:val="2"/>
      <w:sz w:val="21"/>
      <w:szCs w:val="24"/>
    </w:rPr>
  </w:style>
  <w:style w:type="character" w:customStyle="1" w:styleId="137">
    <w:name w:val="正文首行缩进 2 Char"/>
    <w:link w:val="87"/>
    <w:qFormat/>
    <w:uiPriority w:val="0"/>
    <w:rPr>
      <w:rFonts w:ascii="Calibri" w:hAnsi="Calibri" w:eastAsia="宋体" w:cs="Times New Roman"/>
      <w:b/>
      <w:kern w:val="2"/>
      <w:sz w:val="21"/>
      <w:szCs w:val="24"/>
    </w:rPr>
  </w:style>
  <w:style w:type="paragraph" w:customStyle="1" w:styleId="138">
    <w:name w:val="Default"/>
    <w:basedOn w:val="8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9">
    <w:name w:val="正文文本缩进 Char"/>
    <w:qFormat/>
    <w:uiPriority w:val="0"/>
    <w:rPr>
      <w:rFonts w:ascii="Calibri" w:hAnsi="Calibri" w:eastAsia="宋体" w:cs="Times New Roman"/>
      <w:kern w:val="2"/>
      <w:sz w:val="21"/>
      <w:szCs w:val="24"/>
    </w:rPr>
  </w:style>
  <w:style w:type="character" w:customStyle="1" w:styleId="140">
    <w:name w:val="本级2 Char"/>
    <w:link w:val="141"/>
    <w:qFormat/>
    <w:uiPriority w:val="0"/>
    <w:rPr>
      <w:rFonts w:ascii="仿宋_GB2312" w:hAnsi="仿宋" w:eastAsia="仿宋_GB2312" w:cs="Times New Roman"/>
      <w:b/>
      <w:bCs/>
      <w:kern w:val="2"/>
      <w:sz w:val="32"/>
      <w:szCs w:val="24"/>
    </w:rPr>
  </w:style>
  <w:style w:type="paragraph" w:customStyle="1" w:styleId="141">
    <w:name w:val="本级2"/>
    <w:basedOn w:val="4"/>
    <w:link w:val="140"/>
    <w:qFormat/>
    <w:uiPriority w:val="0"/>
    <w:pPr>
      <w:numPr>
        <w:ilvl w:val="1"/>
        <w:numId w:val="0"/>
      </w:numPr>
      <w:tabs>
        <w:tab w:val="left" w:pos="567"/>
      </w:tabs>
      <w:spacing w:before="0" w:after="0" w:line="360" w:lineRule="auto"/>
      <w:ind w:left="567" w:hanging="567"/>
    </w:pPr>
    <w:rPr>
      <w:rFonts w:ascii="仿宋_GB2312" w:hAnsi="仿宋" w:eastAsia="仿宋_GB2312"/>
      <w:szCs w:val="24"/>
    </w:rPr>
  </w:style>
  <w:style w:type="character" w:customStyle="1" w:styleId="142">
    <w:name w:val="本级1 Char"/>
    <w:link w:val="143"/>
    <w:qFormat/>
    <w:uiPriority w:val="0"/>
    <w:rPr>
      <w:rFonts w:ascii="仿宋_GB2312" w:hAnsi="仿宋" w:eastAsia="仿宋_GB2312" w:cs="Times New Roman"/>
      <w:b/>
      <w:kern w:val="44"/>
      <w:sz w:val="32"/>
      <w:szCs w:val="24"/>
    </w:rPr>
  </w:style>
  <w:style w:type="paragraph" w:customStyle="1" w:styleId="143">
    <w:name w:val="本级1"/>
    <w:basedOn w:val="3"/>
    <w:link w:val="142"/>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144">
    <w:name w:val="正文缩进(ALT+Z) Char"/>
    <w:link w:val="145"/>
    <w:qFormat/>
    <w:uiPriority w:val="0"/>
    <w:rPr>
      <w:rFonts w:ascii="Calibri" w:hAnsi="Calibri" w:eastAsia="宋体" w:cs="Times New Roman"/>
      <w:kern w:val="2"/>
      <w:sz w:val="24"/>
      <w:szCs w:val="24"/>
    </w:rPr>
  </w:style>
  <w:style w:type="paragraph" w:customStyle="1" w:styleId="145">
    <w:name w:val="正文缩进(ALT+Z)"/>
    <w:basedOn w:val="1"/>
    <w:link w:val="144"/>
    <w:qFormat/>
    <w:uiPriority w:val="0"/>
    <w:pPr>
      <w:spacing w:line="360" w:lineRule="auto"/>
      <w:ind w:firstLine="200" w:firstLineChars="200"/>
    </w:pPr>
    <w:rPr>
      <w:sz w:val="24"/>
    </w:rPr>
  </w:style>
  <w:style w:type="character" w:customStyle="1" w:styleId="146">
    <w:name w:val="文档结构图 字符"/>
    <w:qFormat/>
    <w:uiPriority w:val="0"/>
    <w:rPr>
      <w:rFonts w:ascii="Times New Roman" w:hAnsi="Times New Roman" w:eastAsia="仿宋" w:cs="Times New Roman"/>
      <w:sz w:val="32"/>
      <w:shd w:val="clear" w:color="auto" w:fill="000080"/>
    </w:rPr>
  </w:style>
  <w:style w:type="character" w:customStyle="1" w:styleId="147">
    <w:name w:val="称呼 Char"/>
    <w:qFormat/>
    <w:uiPriority w:val="0"/>
    <w:rPr>
      <w:rFonts w:ascii="Calibri" w:hAnsi="Calibri" w:eastAsia="宋体" w:cs="Times New Roman"/>
      <w:kern w:val="2"/>
      <w:sz w:val="21"/>
      <w:szCs w:val="24"/>
    </w:rPr>
  </w:style>
  <w:style w:type="character" w:customStyle="1" w:styleId="148">
    <w:name w:val="页眉 字符"/>
    <w:qFormat/>
    <w:uiPriority w:val="0"/>
    <w:rPr>
      <w:rFonts w:ascii="Times New Roman" w:hAnsi="Times New Roman" w:eastAsia="仿宋" w:cs="Times New Roman"/>
      <w:sz w:val="18"/>
      <w:szCs w:val="18"/>
    </w:rPr>
  </w:style>
  <w:style w:type="character" w:customStyle="1" w:styleId="149">
    <w:name w:val="批注主题 字符"/>
    <w:qFormat/>
    <w:uiPriority w:val="0"/>
    <w:rPr>
      <w:rFonts w:ascii="Times New Roman" w:hAnsi="Times New Roman" w:eastAsia="仿宋" w:cs="Times New Roman"/>
      <w:b/>
      <w:bCs/>
      <w:sz w:val="32"/>
    </w:rPr>
  </w:style>
  <w:style w:type="character" w:customStyle="1" w:styleId="150">
    <w:name w:val="apple-converted-space"/>
    <w:qFormat/>
    <w:uiPriority w:val="0"/>
    <w:rPr>
      <w:rFonts w:ascii="Calibri" w:hAnsi="Calibri" w:eastAsia="宋体" w:cs="Times New Roman"/>
    </w:rPr>
  </w:style>
  <w:style w:type="character" w:customStyle="1" w:styleId="151">
    <w:name w:val="信息标题 Char1"/>
    <w:qFormat/>
    <w:uiPriority w:val="0"/>
    <w:rPr>
      <w:rFonts w:ascii="Arial" w:hAnsi="Arial" w:eastAsia="仿宋" w:cs="Times New Roman"/>
      <w:sz w:val="24"/>
      <w:szCs w:val="24"/>
      <w:shd w:val="pct20" w:color="auto" w:fill="auto"/>
    </w:rPr>
  </w:style>
  <w:style w:type="character" w:customStyle="1" w:styleId="152">
    <w:name w:val="纯文本 Char1"/>
    <w:qFormat/>
    <w:uiPriority w:val="0"/>
    <w:rPr>
      <w:rFonts w:ascii="宋体" w:hAnsi="宋体" w:eastAsia="宋体" w:cs="Times New Roman"/>
    </w:rPr>
  </w:style>
  <w:style w:type="character" w:customStyle="1" w:styleId="153">
    <w:name w:val="无间隔 Char"/>
    <w:link w:val="154"/>
    <w:qFormat/>
    <w:uiPriority w:val="0"/>
    <w:rPr>
      <w:rFonts w:ascii="Calibri" w:hAnsi="Calibri"/>
      <w:sz w:val="22"/>
      <w:lang w:val="en-US" w:eastAsia="zh-CN" w:bidi="ar-SA"/>
    </w:rPr>
  </w:style>
  <w:style w:type="paragraph" w:customStyle="1" w:styleId="154">
    <w:name w:val="No Spacing1"/>
    <w:link w:val="153"/>
    <w:qFormat/>
    <w:uiPriority w:val="0"/>
    <w:rPr>
      <w:rFonts w:ascii="Calibri" w:hAnsi="Calibri" w:eastAsia="宋体" w:cs="Times New Roman"/>
      <w:sz w:val="22"/>
      <w:lang w:val="en-US" w:eastAsia="zh-CN" w:bidi="ar-SA"/>
    </w:rPr>
  </w:style>
  <w:style w:type="character" w:customStyle="1" w:styleId="155">
    <w:name w:val="style91"/>
    <w:qFormat/>
    <w:uiPriority w:val="0"/>
    <w:rPr>
      <w:rFonts w:ascii="Calibri" w:hAnsi="Calibri" w:eastAsia="宋体" w:cs="Times New Roman"/>
      <w:color w:val="000000"/>
      <w:lang w:bidi="ar-SA"/>
    </w:rPr>
  </w:style>
  <w:style w:type="character" w:customStyle="1" w:styleId="156">
    <w:name w:val="文档正文 Char"/>
    <w:link w:val="157"/>
    <w:qFormat/>
    <w:uiPriority w:val="0"/>
    <w:rPr>
      <w:rFonts w:ascii="Calibri" w:hAnsi="Calibri" w:eastAsia="仿宋_GB2312" w:cs="Times New Roman"/>
      <w:kern w:val="2"/>
      <w:sz w:val="28"/>
    </w:rPr>
  </w:style>
  <w:style w:type="paragraph" w:customStyle="1" w:styleId="157">
    <w:name w:val="文档正文"/>
    <w:basedOn w:val="1"/>
    <w:link w:val="156"/>
    <w:qFormat/>
    <w:uiPriority w:val="0"/>
    <w:pPr>
      <w:adjustRightInd w:val="0"/>
      <w:spacing w:line="560" w:lineRule="exact"/>
      <w:ind w:firstLine="567"/>
      <w:textAlignment w:val="baseline"/>
    </w:pPr>
    <w:rPr>
      <w:rFonts w:eastAsia="仿宋_GB2312"/>
      <w:sz w:val="28"/>
      <w:szCs w:val="20"/>
    </w:rPr>
  </w:style>
  <w:style w:type="character" w:customStyle="1" w:styleId="158">
    <w:name w:val="GW-标题3 Char Char"/>
    <w:link w:val="159"/>
    <w:qFormat/>
    <w:uiPriority w:val="0"/>
    <w:rPr>
      <w:rFonts w:ascii="仿宋_GB2312" w:hAnsi="Calibri" w:eastAsia="仿宋_GB2312" w:cs="Times New Roman"/>
      <w:bCs/>
      <w:kern w:val="44"/>
      <w:sz w:val="32"/>
    </w:rPr>
  </w:style>
  <w:style w:type="paragraph" w:customStyle="1" w:styleId="159">
    <w:name w:val="GW-标题3"/>
    <w:basedOn w:val="1"/>
    <w:link w:val="158"/>
    <w:qFormat/>
    <w:uiPriority w:val="0"/>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160">
    <w:name w:val="正文文本 字符"/>
    <w:qFormat/>
    <w:uiPriority w:val="0"/>
    <w:rPr>
      <w:rFonts w:ascii="Times New Roman" w:hAnsi="Times New Roman" w:eastAsia="仿宋" w:cs="Times New Roman"/>
      <w:sz w:val="32"/>
    </w:rPr>
  </w:style>
  <w:style w:type="character" w:customStyle="1" w:styleId="161">
    <w:name w:val="标题 1 Char1"/>
    <w:qFormat/>
    <w:uiPriority w:val="0"/>
    <w:rPr>
      <w:rFonts w:ascii="Calibri" w:hAnsi="Calibri" w:eastAsia="宋体" w:cs="Times New Roman"/>
      <w:b/>
      <w:bCs/>
      <w:kern w:val="44"/>
      <w:sz w:val="44"/>
      <w:szCs w:val="44"/>
    </w:rPr>
  </w:style>
  <w:style w:type="character" w:customStyle="1" w:styleId="162">
    <w:name w:val="chanpinname"/>
    <w:qFormat/>
    <w:uiPriority w:val="0"/>
    <w:rPr>
      <w:rFonts w:ascii="Calibri" w:hAnsi="Calibri" w:eastAsia="宋体" w:cs="Times New Roman"/>
    </w:rPr>
  </w:style>
  <w:style w:type="character" w:customStyle="1" w:styleId="163">
    <w:name w:val="prod_content_font_011"/>
    <w:qFormat/>
    <w:uiPriority w:val="0"/>
    <w:rPr>
      <w:rFonts w:hint="default" w:ascii="Verdana" w:hAnsi="Verdana" w:eastAsia="宋体" w:cs="Times New Roman"/>
      <w:color w:val="5E5E5E"/>
      <w:sz w:val="17"/>
      <w:szCs w:val="17"/>
    </w:rPr>
  </w:style>
  <w:style w:type="character" w:customStyle="1" w:styleId="164">
    <w:name w:val="font91"/>
    <w:qFormat/>
    <w:uiPriority w:val="0"/>
    <w:rPr>
      <w:rFonts w:hint="eastAsia" w:ascii="宋体" w:hAnsi="宋体" w:eastAsia="宋体" w:cs="宋体"/>
      <w:color w:val="000000"/>
      <w:sz w:val="21"/>
      <w:szCs w:val="21"/>
      <w:u w:val="none"/>
    </w:rPr>
  </w:style>
  <w:style w:type="character" w:customStyle="1" w:styleId="165">
    <w:name w:val="HTML 地址 Char"/>
    <w:qFormat/>
    <w:uiPriority w:val="0"/>
    <w:rPr>
      <w:rFonts w:ascii="Calibri" w:hAnsi="Calibri" w:eastAsia="宋体" w:cs="Times New Roman"/>
      <w:i/>
      <w:iCs/>
      <w:kern w:val="2"/>
      <w:sz w:val="21"/>
      <w:szCs w:val="24"/>
    </w:rPr>
  </w:style>
  <w:style w:type="character" w:customStyle="1" w:styleId="166">
    <w:name w:val="ca-0"/>
    <w:qFormat/>
    <w:uiPriority w:val="0"/>
    <w:rPr>
      <w:rFonts w:ascii="Calibri" w:hAnsi="Calibri" w:eastAsia="宋体" w:cs="Times New Roman"/>
      <w:lang w:bidi="ar-SA"/>
    </w:rPr>
  </w:style>
  <w:style w:type="character" w:customStyle="1" w:styleId="167">
    <w:name w:val="5a"/>
    <w:qFormat/>
    <w:uiPriority w:val="0"/>
    <w:rPr>
      <w:rFonts w:ascii="Calibri" w:hAnsi="Calibri" w:eastAsia="宋体" w:cs="Times New Roman"/>
    </w:rPr>
  </w:style>
  <w:style w:type="character" w:customStyle="1" w:styleId="168">
    <w:name w:val="正文文本缩进 字符"/>
    <w:qFormat/>
    <w:uiPriority w:val="0"/>
    <w:rPr>
      <w:rFonts w:ascii="楷体_GB2312" w:hAnsi="Times New Roman" w:eastAsia="仿宋" w:cs="Times New Roman"/>
      <w:spacing w:val="12"/>
      <w:sz w:val="24"/>
    </w:rPr>
  </w:style>
  <w:style w:type="character" w:customStyle="1" w:styleId="169">
    <w:name w:val="批注文字 字符"/>
    <w:qFormat/>
    <w:uiPriority w:val="0"/>
    <w:rPr>
      <w:rFonts w:ascii="Times New Roman" w:hAnsi="Times New Roman" w:eastAsia="仿宋" w:cs="Times New Roman"/>
      <w:sz w:val="32"/>
    </w:rPr>
  </w:style>
  <w:style w:type="character" w:customStyle="1" w:styleId="170">
    <w:name w:val="列出段落 Char1"/>
    <w:link w:val="171"/>
    <w:qFormat/>
    <w:uiPriority w:val="0"/>
    <w:rPr>
      <w:rFonts w:ascii="Calibri" w:hAnsi="Calibri" w:eastAsia="宋体" w:cs="Times New Roman"/>
      <w:kern w:val="2"/>
      <w:sz w:val="21"/>
      <w:szCs w:val="22"/>
    </w:rPr>
  </w:style>
  <w:style w:type="paragraph" w:styleId="171">
    <w:name w:val="List Paragraph"/>
    <w:basedOn w:val="1"/>
    <w:link w:val="170"/>
    <w:qFormat/>
    <w:uiPriority w:val="0"/>
    <w:pPr>
      <w:ind w:firstLine="420" w:firstLineChars="200"/>
    </w:pPr>
    <w:rPr>
      <w:szCs w:val="22"/>
    </w:rPr>
  </w:style>
  <w:style w:type="character" w:customStyle="1" w:styleId="172">
    <w:name w:val="标题 8 字符"/>
    <w:qFormat/>
    <w:uiPriority w:val="0"/>
    <w:rPr>
      <w:rFonts w:ascii="Arial" w:hAnsi="Arial" w:eastAsia="黑体" w:cs="Times New Roman"/>
      <w:sz w:val="24"/>
      <w:szCs w:val="24"/>
    </w:rPr>
  </w:style>
  <w:style w:type="character" w:customStyle="1" w:styleId="173">
    <w:name w:val="标题 8 Char1"/>
    <w:qFormat/>
    <w:uiPriority w:val="0"/>
    <w:rPr>
      <w:rFonts w:ascii="Cambria" w:hAnsi="Cambria" w:eastAsia="宋体" w:cs="Times New Roman"/>
      <w:kern w:val="2"/>
      <w:sz w:val="24"/>
      <w:szCs w:val="24"/>
    </w:rPr>
  </w:style>
  <w:style w:type="character" w:customStyle="1" w:styleId="174">
    <w:name w:val="页眉 Char1"/>
    <w:qFormat/>
    <w:uiPriority w:val="0"/>
    <w:rPr>
      <w:rFonts w:ascii="Times New Roman" w:hAnsi="Times New Roman" w:eastAsia="宋体" w:cs="Times New Roman"/>
      <w:kern w:val="2"/>
      <w:sz w:val="18"/>
      <w:szCs w:val="18"/>
    </w:rPr>
  </w:style>
  <w:style w:type="character" w:customStyle="1" w:styleId="175">
    <w:name w:val="txt"/>
    <w:qFormat/>
    <w:uiPriority w:val="0"/>
    <w:rPr>
      <w:rFonts w:ascii="Calibri" w:hAnsi="Calibri" w:eastAsia="宋体" w:cs="Times New Roman"/>
    </w:rPr>
  </w:style>
  <w:style w:type="character" w:customStyle="1" w:styleId="176">
    <w:name w:val="style81"/>
    <w:qFormat/>
    <w:uiPriority w:val="0"/>
    <w:rPr>
      <w:rFonts w:ascii="Calibri" w:hAnsi="Calibri" w:eastAsia="宋体" w:cs="Times New Roman"/>
      <w:sz w:val="21"/>
      <w:szCs w:val="21"/>
      <w:lang w:bidi="ar-SA"/>
    </w:rPr>
  </w:style>
  <w:style w:type="character" w:customStyle="1" w:styleId="177">
    <w:name w:val="标题 5 Char2"/>
    <w:qFormat/>
    <w:uiPriority w:val="0"/>
    <w:rPr>
      <w:rFonts w:ascii="Calibri" w:hAnsi="Calibri" w:eastAsia="宋体" w:cs="Times New Roman"/>
      <w:b/>
      <w:bCs/>
      <w:kern w:val="2"/>
      <w:sz w:val="28"/>
      <w:szCs w:val="28"/>
    </w:rPr>
  </w:style>
  <w:style w:type="character" w:customStyle="1" w:styleId="178">
    <w:name w:val="表格标题(居中) Char"/>
    <w:link w:val="179"/>
    <w:qFormat/>
    <w:uiPriority w:val="0"/>
    <w:rPr>
      <w:rFonts w:ascii="Calibri" w:hAnsi="Calibri" w:eastAsia="黑体" w:cs="Times New Roman"/>
      <w:kern w:val="2"/>
      <w:sz w:val="24"/>
    </w:rPr>
  </w:style>
  <w:style w:type="paragraph" w:customStyle="1" w:styleId="179">
    <w:name w:val="表格标题(居中)"/>
    <w:basedOn w:val="1"/>
    <w:link w:val="178"/>
    <w:qFormat/>
    <w:uiPriority w:val="0"/>
    <w:pPr>
      <w:snapToGrid w:val="0"/>
      <w:spacing w:line="300" w:lineRule="auto"/>
      <w:jc w:val="center"/>
    </w:pPr>
    <w:rPr>
      <w:rFonts w:eastAsia="黑体"/>
      <w:sz w:val="24"/>
      <w:szCs w:val="20"/>
    </w:rPr>
  </w:style>
  <w:style w:type="character" w:customStyle="1" w:styleId="180">
    <w:name w:val="标题 3 Char1"/>
    <w:qFormat/>
    <w:uiPriority w:val="0"/>
    <w:rPr>
      <w:rFonts w:ascii="Calibri" w:hAnsi="Calibri" w:eastAsia="宋体" w:cs="Times New Roman"/>
      <w:b/>
      <w:bCs/>
      <w:kern w:val="2"/>
      <w:sz w:val="32"/>
      <w:szCs w:val="32"/>
    </w:rPr>
  </w:style>
  <w:style w:type="character" w:customStyle="1" w:styleId="181">
    <w:name w:val="正文文本 3 Char"/>
    <w:qFormat/>
    <w:uiPriority w:val="0"/>
    <w:rPr>
      <w:rFonts w:ascii="Calibri" w:hAnsi="Calibri" w:eastAsia="宋体" w:cs="Times New Roman"/>
      <w:kern w:val="2"/>
      <w:sz w:val="16"/>
      <w:szCs w:val="16"/>
    </w:rPr>
  </w:style>
  <w:style w:type="character" w:customStyle="1" w:styleId="182">
    <w:name w:val="标题3 Char"/>
    <w:link w:val="183"/>
    <w:qFormat/>
    <w:uiPriority w:val="0"/>
    <w:rPr>
      <w:rFonts w:ascii="Calibri" w:hAnsi="Calibri" w:eastAsia="宋体" w:cs="Times New Roman"/>
      <w:kern w:val="2"/>
      <w:sz w:val="21"/>
      <w:szCs w:val="24"/>
    </w:rPr>
  </w:style>
  <w:style w:type="paragraph" w:customStyle="1" w:styleId="183">
    <w:name w:val="标题3"/>
    <w:basedOn w:val="1"/>
    <w:link w:val="182"/>
    <w:qFormat/>
    <w:uiPriority w:val="0"/>
  </w:style>
  <w:style w:type="character" w:customStyle="1" w:styleId="184">
    <w:name w:val="btn"/>
    <w:qFormat/>
    <w:uiPriority w:val="0"/>
    <w:rPr>
      <w:rFonts w:ascii="Calibri" w:hAnsi="Calibri" w:eastAsia="宋体" w:cs="Times New Roman"/>
    </w:rPr>
  </w:style>
  <w:style w:type="character" w:customStyle="1" w:styleId="185">
    <w:name w:val="标题 4 字符"/>
    <w:qFormat/>
    <w:uiPriority w:val="0"/>
    <w:rPr>
      <w:rFonts w:ascii="宋体" w:hAnsi="Arial" w:eastAsia="宋体" w:cs="Times New Roman"/>
      <w:b/>
      <w:bCs/>
      <w:sz w:val="24"/>
      <w:szCs w:val="28"/>
    </w:rPr>
  </w:style>
  <w:style w:type="character" w:customStyle="1" w:styleId="186">
    <w:name w:val="Body Text Char"/>
    <w:qFormat/>
    <w:uiPriority w:val="0"/>
    <w:rPr>
      <w:rFonts w:ascii="宋体" w:hAnsi="Calibri" w:eastAsia="宋体" w:cs="Times New Roman"/>
      <w:kern w:val="2"/>
      <w:sz w:val="24"/>
      <w:lang w:val="en-US" w:eastAsia="zh-CN"/>
    </w:rPr>
  </w:style>
  <w:style w:type="character" w:customStyle="1" w:styleId="187">
    <w:name w:val="电子邮件签名 Char"/>
    <w:qFormat/>
    <w:uiPriority w:val="0"/>
    <w:rPr>
      <w:rFonts w:ascii="Calibri" w:hAnsi="Calibri" w:eastAsia="宋体" w:cs="Times New Roman"/>
      <w:kern w:val="2"/>
      <w:sz w:val="21"/>
      <w:szCs w:val="24"/>
    </w:rPr>
  </w:style>
  <w:style w:type="character" w:customStyle="1" w:styleId="188">
    <w:name w:val="ca-21"/>
    <w:qFormat/>
    <w:uiPriority w:val="0"/>
    <w:rPr>
      <w:rFonts w:ascii="宋体-18030" w:hAnsi="Calibri" w:eastAsia="宋体-18030" w:cs="宋体-18030"/>
      <w:sz w:val="24"/>
      <w:szCs w:val="24"/>
      <w:lang w:bidi="ar-SA"/>
    </w:rPr>
  </w:style>
  <w:style w:type="character" w:customStyle="1" w:styleId="189">
    <w:name w:val="ca-4"/>
    <w:qFormat/>
    <w:uiPriority w:val="0"/>
    <w:rPr>
      <w:rFonts w:ascii="Calibri" w:hAnsi="Calibri" w:eastAsia="宋体" w:cs="Times New Roman"/>
      <w:lang w:bidi="ar-SA"/>
    </w:rPr>
  </w:style>
  <w:style w:type="character" w:customStyle="1" w:styleId="190">
    <w:name w:val="标题 9 字符"/>
    <w:qFormat/>
    <w:uiPriority w:val="0"/>
    <w:rPr>
      <w:rFonts w:ascii="Arial" w:hAnsi="Arial" w:eastAsia="黑体" w:cs="Times New Roman"/>
      <w:sz w:val="32"/>
      <w:szCs w:val="21"/>
    </w:rPr>
  </w:style>
  <w:style w:type="character" w:customStyle="1" w:styleId="191">
    <w:name w:val="结束语 Char"/>
    <w:qFormat/>
    <w:uiPriority w:val="0"/>
    <w:rPr>
      <w:rFonts w:ascii="Calibri" w:hAnsi="Calibri" w:eastAsia="宋体" w:cs="Times New Roman"/>
      <w:kern w:val="2"/>
      <w:sz w:val="21"/>
      <w:szCs w:val="24"/>
    </w:rPr>
  </w:style>
  <w:style w:type="character" w:customStyle="1" w:styleId="192">
    <w:name w:val="注释标题 Char1"/>
    <w:qFormat/>
    <w:uiPriority w:val="0"/>
    <w:rPr>
      <w:rFonts w:ascii="Times New Roman" w:hAnsi="Times New Roman" w:eastAsia="仿宋" w:cs="Times New Roman"/>
      <w:sz w:val="32"/>
    </w:rPr>
  </w:style>
  <w:style w:type="character" w:customStyle="1" w:styleId="193">
    <w:name w:val="正文2级 Char"/>
    <w:link w:val="194"/>
    <w:qFormat/>
    <w:uiPriority w:val="0"/>
    <w:rPr>
      <w:rFonts w:ascii="Calibri" w:hAnsi="Calibri"/>
      <w:bCs/>
      <w:kern w:val="44"/>
      <w:sz w:val="24"/>
      <w:szCs w:val="44"/>
      <w:lang w:val="en-US" w:eastAsia="zh-CN" w:bidi="ar-SA"/>
    </w:rPr>
  </w:style>
  <w:style w:type="paragraph" w:customStyle="1" w:styleId="194">
    <w:name w:val="正文2级"/>
    <w:link w:val="193"/>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5">
    <w:name w:val="Table Description Char Char"/>
    <w:link w:val="196"/>
    <w:qFormat/>
    <w:uiPriority w:val="0"/>
    <w:rPr>
      <w:rFonts w:ascii="Arial" w:hAnsi="Arial" w:eastAsia="宋体" w:cs="Arial"/>
      <w:spacing w:val="-4"/>
      <w:kern w:val="2"/>
      <w:sz w:val="21"/>
      <w:szCs w:val="21"/>
    </w:rPr>
  </w:style>
  <w:style w:type="paragraph" w:customStyle="1" w:styleId="196">
    <w:name w:val="Table Description"/>
    <w:basedOn w:val="1"/>
    <w:next w:val="1"/>
    <w:link w:val="195"/>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97">
    <w:name w:val="正文3号仿宋 Char"/>
    <w:link w:val="198"/>
    <w:qFormat/>
    <w:uiPriority w:val="0"/>
    <w:rPr>
      <w:rFonts w:ascii="宋体" w:hAnsi="宋体" w:eastAsia="宋体" w:cs="Times New Roman"/>
      <w:sz w:val="24"/>
      <w:szCs w:val="24"/>
    </w:rPr>
  </w:style>
  <w:style w:type="paragraph" w:customStyle="1" w:styleId="198">
    <w:name w:val="正文3号仿宋"/>
    <w:basedOn w:val="1"/>
    <w:link w:val="197"/>
    <w:qFormat/>
    <w:uiPriority w:val="0"/>
    <w:pPr>
      <w:adjustRightInd w:val="0"/>
      <w:spacing w:line="360" w:lineRule="auto"/>
      <w:ind w:firstLine="480" w:firstLineChars="200"/>
      <w:textAlignment w:val="baseline"/>
    </w:pPr>
    <w:rPr>
      <w:rFonts w:ascii="宋体" w:hAnsi="宋体"/>
      <w:kern w:val="0"/>
      <w:sz w:val="24"/>
    </w:rPr>
  </w:style>
  <w:style w:type="character" w:customStyle="1" w:styleId="199">
    <w:name w:val="textfont1"/>
    <w:qFormat/>
    <w:uiPriority w:val="0"/>
    <w:rPr>
      <w:rFonts w:ascii="Calibri" w:hAnsi="Calibri" w:eastAsia="宋体" w:cs="Times New Roman"/>
      <w:sz w:val="22"/>
      <w:szCs w:val="22"/>
    </w:rPr>
  </w:style>
  <w:style w:type="character" w:customStyle="1" w:styleId="200">
    <w:name w:val="正文首行缩进 字符"/>
    <w:qFormat/>
    <w:uiPriority w:val="0"/>
    <w:rPr>
      <w:rFonts w:ascii="Times New Roman" w:hAnsi="Times New Roman" w:eastAsia="仿宋" w:cs="Times New Roman"/>
      <w:sz w:val="32"/>
    </w:rPr>
  </w:style>
  <w:style w:type="character" w:customStyle="1" w:styleId="201">
    <w:name w:val="称呼 Char1"/>
    <w:qFormat/>
    <w:uiPriority w:val="0"/>
    <w:rPr>
      <w:rFonts w:ascii="Times New Roman" w:hAnsi="Times New Roman" w:eastAsia="仿宋" w:cs="Times New Roman"/>
      <w:sz w:val="32"/>
    </w:rPr>
  </w:style>
  <w:style w:type="character" w:customStyle="1" w:styleId="202">
    <w:name w:val="标题 2 字符"/>
    <w:qFormat/>
    <w:uiPriority w:val="0"/>
    <w:rPr>
      <w:rFonts w:ascii="宋体" w:hAnsi="宋体" w:eastAsia="宋体" w:cs="Times New Roman"/>
      <w:b/>
      <w:spacing w:val="14"/>
      <w:sz w:val="30"/>
      <w:szCs w:val="24"/>
    </w:rPr>
  </w:style>
  <w:style w:type="character" w:customStyle="1" w:styleId="203">
    <w:name w:val="ca-11"/>
    <w:qFormat/>
    <w:uiPriority w:val="0"/>
    <w:rPr>
      <w:rFonts w:ascii="宋体" w:hAnsi="Calibri" w:eastAsia="宋体" w:cs="Times New Roman"/>
      <w:sz w:val="24"/>
      <w:szCs w:val="24"/>
      <w:lang w:bidi="ar-SA"/>
    </w:rPr>
  </w:style>
  <w:style w:type="character" w:customStyle="1" w:styleId="204">
    <w:name w:val="Figure Text Char"/>
    <w:link w:val="205"/>
    <w:qFormat/>
    <w:uiPriority w:val="0"/>
    <w:rPr>
      <w:rFonts w:ascii="Arial" w:hAnsi="Arial" w:cs="Arial"/>
      <w:sz w:val="18"/>
      <w:szCs w:val="18"/>
      <w:lang w:val="en-US" w:eastAsia="en-US" w:bidi="ar-SA"/>
    </w:rPr>
  </w:style>
  <w:style w:type="paragraph" w:customStyle="1" w:styleId="205">
    <w:name w:val="Figure Text"/>
    <w:link w:val="204"/>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06">
    <w:name w:val="宏文本 Char1"/>
    <w:qFormat/>
    <w:uiPriority w:val="0"/>
    <w:rPr>
      <w:rFonts w:ascii="Courier New" w:hAnsi="Courier New" w:eastAsia="宋体" w:cs="Times New Roman"/>
      <w:sz w:val="24"/>
      <w:szCs w:val="24"/>
    </w:rPr>
  </w:style>
  <w:style w:type="character" w:customStyle="1" w:styleId="207">
    <w:name w:val="普通文字1 Char"/>
    <w:qFormat/>
    <w:uiPriority w:val="0"/>
    <w:rPr>
      <w:rFonts w:ascii="宋体" w:hAnsi="Calibri" w:eastAsia="宋体" w:cs="Times New Roman"/>
      <w:kern w:val="2"/>
      <w:sz w:val="21"/>
      <w:lang w:val="en-US" w:eastAsia="zh-CN" w:bidi="ar-SA"/>
    </w:rPr>
  </w:style>
  <w:style w:type="character" w:customStyle="1" w:styleId="208">
    <w:name w:val="正文文本 3 Char1"/>
    <w:qFormat/>
    <w:uiPriority w:val="0"/>
    <w:rPr>
      <w:rFonts w:ascii="Times New Roman" w:hAnsi="Times New Roman" w:eastAsia="仿宋" w:cs="Times New Roman"/>
      <w:sz w:val="16"/>
      <w:szCs w:val="16"/>
    </w:rPr>
  </w:style>
  <w:style w:type="character" w:customStyle="1" w:styleId="209">
    <w:name w:val="info4"/>
    <w:qFormat/>
    <w:uiPriority w:val="0"/>
    <w:rPr>
      <w:rFonts w:ascii="Calibri" w:hAnsi="Calibri" w:eastAsia="宋体" w:cs="Times New Roman"/>
    </w:rPr>
  </w:style>
  <w:style w:type="character" w:customStyle="1" w:styleId="210">
    <w:name w:val="尾注文本 字符"/>
    <w:qFormat/>
    <w:uiPriority w:val="0"/>
    <w:rPr>
      <w:rFonts w:ascii="Times New Roman" w:hAnsi="Times New Roman" w:eastAsia="仿宋" w:cs="Times New Roman"/>
      <w:sz w:val="32"/>
    </w:rPr>
  </w:style>
  <w:style w:type="character" w:customStyle="1" w:styleId="211">
    <w:name w:val="ca-3"/>
    <w:qFormat/>
    <w:uiPriority w:val="0"/>
    <w:rPr>
      <w:rFonts w:ascii="Calibri" w:hAnsi="Calibri" w:eastAsia="宋体" w:cs="Times New Roman"/>
      <w:lang w:bidi="ar-SA"/>
    </w:rPr>
  </w:style>
  <w:style w:type="character" w:customStyle="1" w:styleId="212">
    <w:name w:val="正文文本 2 字符"/>
    <w:qFormat/>
    <w:uiPriority w:val="0"/>
    <w:rPr>
      <w:rFonts w:ascii="Times New Roman" w:hAnsi="Times New Roman" w:eastAsia="仿宋" w:cs="Times New Roman"/>
      <w:sz w:val="32"/>
    </w:rPr>
  </w:style>
  <w:style w:type="character" w:customStyle="1" w:styleId="213">
    <w:name w:val="明显参考1"/>
    <w:qFormat/>
    <w:uiPriority w:val="0"/>
    <w:rPr>
      <w:rFonts w:ascii="Calibri" w:hAnsi="Calibri" w:eastAsia="宋体" w:cs="Times New Roman"/>
      <w:b/>
      <w:bCs/>
      <w:smallCaps/>
      <w:color w:val="DA1F28"/>
      <w:spacing w:val="5"/>
      <w:u w:val="single"/>
    </w:rPr>
  </w:style>
  <w:style w:type="character" w:customStyle="1" w:styleId="214">
    <w:name w:val="标题 5 字符"/>
    <w:qFormat/>
    <w:uiPriority w:val="0"/>
    <w:rPr>
      <w:rFonts w:ascii="Times New Roman" w:hAnsi="Times New Roman" w:eastAsia="仿宋" w:cs="Times New Roman"/>
      <w:b/>
      <w:bCs/>
      <w:sz w:val="28"/>
      <w:szCs w:val="28"/>
    </w:rPr>
  </w:style>
  <w:style w:type="character" w:customStyle="1" w:styleId="215">
    <w:name w:val="HD2 Char"/>
    <w:qFormat/>
    <w:uiPriority w:val="0"/>
    <w:rPr>
      <w:rFonts w:ascii="Arial" w:hAnsi="Arial" w:eastAsia="黑体" w:cs="Times New Roman"/>
      <w:b/>
      <w:bCs/>
      <w:kern w:val="2"/>
      <w:sz w:val="32"/>
      <w:szCs w:val="32"/>
      <w:lang w:val="en-US" w:eastAsia="zh-CN" w:bidi="ar-SA"/>
    </w:rPr>
  </w:style>
  <w:style w:type="character" w:customStyle="1" w:styleId="216">
    <w:name w:val="Table Text Char1"/>
    <w:qFormat/>
    <w:uiPriority w:val="0"/>
    <w:rPr>
      <w:rFonts w:ascii="Arial" w:hAnsi="Arial" w:eastAsia="宋体" w:cs="Arial"/>
      <w:snapToGrid w:val="0"/>
      <w:sz w:val="21"/>
      <w:szCs w:val="21"/>
      <w:lang w:val="en-US" w:eastAsia="zh-CN" w:bidi="ar-SA"/>
    </w:rPr>
  </w:style>
  <w:style w:type="character" w:customStyle="1" w:styleId="217">
    <w:name w:val="标题 6 Char1"/>
    <w:qFormat/>
    <w:uiPriority w:val="0"/>
    <w:rPr>
      <w:rFonts w:ascii="Cambria" w:hAnsi="Cambria" w:eastAsia="宋体" w:cs="Times New Roman"/>
      <w:b/>
      <w:bCs/>
      <w:kern w:val="2"/>
      <w:sz w:val="24"/>
      <w:szCs w:val="24"/>
    </w:rPr>
  </w:style>
  <w:style w:type="character" w:customStyle="1" w:styleId="218">
    <w:name w:val="样式 宋体"/>
    <w:qFormat/>
    <w:uiPriority w:val="0"/>
    <w:rPr>
      <w:rFonts w:ascii="宋体" w:hAnsi="宋体" w:eastAsia="宋体" w:cs="Times New Roman"/>
      <w:sz w:val="24"/>
      <w:szCs w:val="24"/>
    </w:rPr>
  </w:style>
  <w:style w:type="character" w:customStyle="1" w:styleId="219">
    <w:name w:val="注释标题 Char"/>
    <w:qFormat/>
    <w:uiPriority w:val="0"/>
    <w:rPr>
      <w:rFonts w:ascii="Calibri" w:hAnsi="Calibri" w:eastAsia="宋体" w:cs="Times New Roman"/>
      <w:kern w:val="2"/>
      <w:sz w:val="21"/>
      <w:szCs w:val="24"/>
    </w:rPr>
  </w:style>
  <w:style w:type="character" w:customStyle="1" w:styleId="220">
    <w:name w:val="标题 1 字符"/>
    <w:qFormat/>
    <w:uiPriority w:val="0"/>
    <w:rPr>
      <w:rFonts w:ascii="宋体" w:hAnsi="宋体" w:eastAsia="宋体" w:cs="Times New Roman"/>
      <w:b/>
      <w:spacing w:val="14"/>
      <w:kern w:val="44"/>
      <w:sz w:val="44"/>
      <w:szCs w:val="52"/>
    </w:rPr>
  </w:style>
  <w:style w:type="character" w:customStyle="1" w:styleId="221">
    <w:name w:val="页脚 Char1"/>
    <w:qFormat/>
    <w:uiPriority w:val="0"/>
    <w:rPr>
      <w:rFonts w:ascii="Times New Roman" w:hAnsi="Times New Roman" w:eastAsia="宋体" w:cs="Times New Roman"/>
      <w:kern w:val="2"/>
      <w:sz w:val="18"/>
      <w:szCs w:val="18"/>
    </w:rPr>
  </w:style>
  <w:style w:type="character" w:customStyle="1" w:styleId="222">
    <w:name w:val="脚注文本 Char1"/>
    <w:qFormat/>
    <w:uiPriority w:val="0"/>
    <w:rPr>
      <w:rFonts w:ascii="Times New Roman" w:hAnsi="Times New Roman" w:eastAsia="仿宋" w:cs="Times New Roman"/>
      <w:sz w:val="18"/>
      <w:szCs w:val="18"/>
    </w:rPr>
  </w:style>
  <w:style w:type="character" w:customStyle="1" w:styleId="223">
    <w:name w:val="标题 3 字符"/>
    <w:qFormat/>
    <w:uiPriority w:val="0"/>
    <w:rPr>
      <w:rFonts w:ascii="宋体" w:hAnsi="宋体" w:eastAsia="宋体" w:cs="Times New Roman"/>
      <w:b/>
      <w:spacing w:val="14"/>
      <w:sz w:val="28"/>
      <w:szCs w:val="24"/>
    </w:rPr>
  </w:style>
  <w:style w:type="character" w:customStyle="1" w:styleId="224">
    <w:name w:val="HTML 预设格式 字符"/>
    <w:qFormat/>
    <w:uiPriority w:val="0"/>
    <w:rPr>
      <w:rFonts w:ascii="Courier New" w:hAnsi="Courier New" w:eastAsia="仿宋" w:cs="Courier New"/>
    </w:rPr>
  </w:style>
  <w:style w:type="character" w:customStyle="1" w:styleId="225">
    <w:name w:val="shouchang1"/>
    <w:qFormat/>
    <w:uiPriority w:val="0"/>
    <w:rPr>
      <w:rFonts w:ascii="Calibri" w:hAnsi="Calibri" w:eastAsia="宋体" w:cs="Times New Roman"/>
      <w:color w:val="000000"/>
      <w:sz w:val="22"/>
      <w:szCs w:val="22"/>
      <w:u w:val="none"/>
    </w:rPr>
  </w:style>
  <w:style w:type="character" w:customStyle="1" w:styleId="226">
    <w:name w:val="sub_title1"/>
    <w:qFormat/>
    <w:uiPriority w:val="0"/>
    <w:rPr>
      <w:rFonts w:ascii="Calibri" w:hAnsi="Calibri" w:eastAsia="宋体" w:cs="Times New Roman"/>
      <w:lang w:bidi="ar-SA"/>
    </w:rPr>
  </w:style>
  <w:style w:type="character" w:customStyle="1" w:styleId="227">
    <w:name w:val="标题 7 Char1"/>
    <w:qFormat/>
    <w:uiPriority w:val="0"/>
    <w:rPr>
      <w:rFonts w:ascii="Calibri" w:hAnsi="Calibri" w:eastAsia="宋体" w:cs="Times New Roman"/>
      <w:b/>
      <w:bCs/>
      <w:kern w:val="2"/>
      <w:sz w:val="24"/>
      <w:szCs w:val="24"/>
    </w:rPr>
  </w:style>
  <w:style w:type="character" w:customStyle="1" w:styleId="228">
    <w:name w:val="宏文本 Char"/>
    <w:qFormat/>
    <w:uiPriority w:val="0"/>
    <w:rPr>
      <w:rFonts w:ascii="Courier New" w:hAnsi="Courier New" w:eastAsia="宋体" w:cs="Courier New"/>
      <w:kern w:val="2"/>
      <w:sz w:val="24"/>
      <w:szCs w:val="24"/>
    </w:rPr>
  </w:style>
  <w:style w:type="character" w:customStyle="1" w:styleId="229">
    <w:name w:val="Char Char3"/>
    <w:qFormat/>
    <w:uiPriority w:val="0"/>
    <w:rPr>
      <w:rFonts w:ascii="Calibri" w:hAnsi="Calibri" w:eastAsia="宋体" w:cs="Times New Roman"/>
      <w:sz w:val="18"/>
      <w:szCs w:val="18"/>
    </w:rPr>
  </w:style>
  <w:style w:type="character" w:customStyle="1" w:styleId="230">
    <w:name w:val="apple-style-span"/>
    <w:qFormat/>
    <w:uiPriority w:val="0"/>
    <w:rPr>
      <w:rFonts w:ascii="Calibri" w:hAnsi="Calibri" w:eastAsia="宋体" w:cs="Times New Roman"/>
      <w:lang w:bidi="ar-SA"/>
    </w:rPr>
  </w:style>
  <w:style w:type="character" w:customStyle="1" w:styleId="231">
    <w:name w:val="*正文 Char"/>
    <w:link w:val="232"/>
    <w:qFormat/>
    <w:uiPriority w:val="0"/>
    <w:rPr>
      <w:rFonts w:ascii="宋体" w:hAnsi="宋体" w:eastAsia="宋体" w:cs="Times New Roman"/>
      <w:kern w:val="2"/>
      <w:sz w:val="21"/>
      <w:szCs w:val="22"/>
    </w:rPr>
  </w:style>
  <w:style w:type="paragraph" w:customStyle="1" w:styleId="232">
    <w:name w:val="*正文"/>
    <w:basedOn w:val="1"/>
    <w:link w:val="231"/>
    <w:qFormat/>
    <w:uiPriority w:val="0"/>
    <w:pPr>
      <w:ind w:firstLine="480"/>
    </w:pPr>
    <w:rPr>
      <w:rFonts w:ascii="宋体" w:hAnsi="宋体"/>
      <w:szCs w:val="22"/>
    </w:rPr>
  </w:style>
  <w:style w:type="character" w:customStyle="1" w:styleId="233">
    <w:name w:val="正文（缩进） Char"/>
    <w:link w:val="234"/>
    <w:qFormat/>
    <w:uiPriority w:val="0"/>
    <w:rPr>
      <w:rFonts w:ascii="宋体" w:hAnsi="宋体" w:eastAsia="宋体" w:cs="宋体"/>
      <w:sz w:val="24"/>
      <w:szCs w:val="24"/>
    </w:rPr>
  </w:style>
  <w:style w:type="paragraph" w:customStyle="1" w:styleId="234">
    <w:name w:val="正文（缩进）"/>
    <w:basedOn w:val="1"/>
    <w:link w:val="233"/>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35">
    <w:name w:val="日期 字符"/>
    <w:qFormat/>
    <w:uiPriority w:val="0"/>
    <w:rPr>
      <w:rFonts w:ascii="Times New Roman" w:hAnsi="Times New Roman" w:eastAsia="仿宋" w:cs="Times New Roman"/>
      <w:sz w:val="32"/>
    </w:rPr>
  </w:style>
  <w:style w:type="character" w:customStyle="1" w:styleId="236">
    <w:name w:val="标题 字符"/>
    <w:qFormat/>
    <w:uiPriority w:val="0"/>
    <w:rPr>
      <w:rFonts w:ascii="宋体" w:hAnsi="Arial" w:eastAsia="宋体" w:cs="Arial"/>
      <w:b/>
      <w:bCs/>
      <w:sz w:val="44"/>
      <w:szCs w:val="32"/>
    </w:rPr>
  </w:style>
  <w:style w:type="character" w:customStyle="1" w:styleId="237">
    <w:name w:val="标题4 Char"/>
    <w:link w:val="238"/>
    <w:qFormat/>
    <w:uiPriority w:val="0"/>
    <w:rPr>
      <w:rFonts w:ascii="Calibri" w:hAnsi="Calibri" w:eastAsia="仿宋" w:cs="Times New Roman"/>
      <w:b/>
      <w:kern w:val="2"/>
      <w:sz w:val="24"/>
    </w:rPr>
  </w:style>
  <w:style w:type="paragraph" w:customStyle="1" w:styleId="238">
    <w:name w:val="标题4"/>
    <w:basedOn w:val="1"/>
    <w:next w:val="7"/>
    <w:link w:val="237"/>
    <w:qFormat/>
    <w:uiPriority w:val="0"/>
    <w:pPr>
      <w:snapToGrid w:val="0"/>
      <w:spacing w:before="60" w:line="360" w:lineRule="auto"/>
      <w:ind w:firstLine="454"/>
    </w:pPr>
    <w:rPr>
      <w:rFonts w:eastAsia="仿宋"/>
      <w:b/>
      <w:sz w:val="24"/>
      <w:szCs w:val="20"/>
    </w:rPr>
  </w:style>
  <w:style w:type="character" w:customStyle="1" w:styleId="239">
    <w:name w:val="列出段落 Char"/>
    <w:qFormat/>
    <w:uiPriority w:val="0"/>
    <w:rPr>
      <w:rFonts w:ascii="Calibri" w:hAnsi="Calibri" w:eastAsia="宋体" w:cs="Times New Roman"/>
    </w:rPr>
  </w:style>
  <w:style w:type="character" w:customStyle="1" w:styleId="240">
    <w:name w:val="unnamed2"/>
    <w:qFormat/>
    <w:uiPriority w:val="0"/>
    <w:rPr>
      <w:rFonts w:ascii="Calibri" w:hAnsi="Calibri" w:eastAsia="宋体" w:cs="Times New Roman"/>
    </w:rPr>
  </w:style>
  <w:style w:type="character" w:customStyle="1" w:styleId="241">
    <w:name w:val="标题 6 字符"/>
    <w:qFormat/>
    <w:uiPriority w:val="0"/>
    <w:rPr>
      <w:rFonts w:ascii="Arial" w:hAnsi="Arial" w:eastAsia="黑体" w:cs="Times New Roman"/>
      <w:b/>
      <w:bCs/>
      <w:sz w:val="24"/>
      <w:szCs w:val="24"/>
    </w:rPr>
  </w:style>
  <w:style w:type="character" w:customStyle="1" w:styleId="242">
    <w:name w:val="Table Text Char"/>
    <w:link w:val="243"/>
    <w:qFormat/>
    <w:uiPriority w:val="0"/>
    <w:rPr>
      <w:rFonts w:ascii="Arial" w:hAnsi="Arial"/>
      <w:sz w:val="18"/>
      <w:lang w:val="en-US" w:eastAsia="zh-CN" w:bidi="ar-SA"/>
    </w:rPr>
  </w:style>
  <w:style w:type="paragraph" w:customStyle="1" w:styleId="243">
    <w:name w:val="Table Text"/>
    <w:link w:val="242"/>
    <w:qFormat/>
    <w:uiPriority w:val="0"/>
    <w:pPr>
      <w:snapToGrid w:val="0"/>
      <w:spacing w:before="80" w:after="80"/>
    </w:pPr>
    <w:rPr>
      <w:rFonts w:ascii="Arial" w:hAnsi="Arial" w:eastAsia="宋体" w:cs="Times New Roman"/>
      <w:sz w:val="18"/>
      <w:lang w:val="en-US" w:eastAsia="zh-CN" w:bidi="ar-SA"/>
    </w:rPr>
  </w:style>
  <w:style w:type="character" w:customStyle="1" w:styleId="244">
    <w:name w:val="正文文本缩进 2 字符"/>
    <w:qFormat/>
    <w:uiPriority w:val="0"/>
    <w:rPr>
      <w:rFonts w:ascii="Times New Roman" w:hAnsi="Times New Roman" w:eastAsia="仿宋" w:cs="Times New Roman"/>
      <w:sz w:val="32"/>
    </w:rPr>
  </w:style>
  <w:style w:type="character" w:customStyle="1" w:styleId="245">
    <w:name w:val="信息标题 Char"/>
    <w:qFormat/>
    <w:uiPriority w:val="0"/>
    <w:rPr>
      <w:rFonts w:ascii="Cambria" w:hAnsi="Cambria" w:eastAsia="宋体" w:cs="Times New Roman"/>
      <w:kern w:val="2"/>
      <w:sz w:val="24"/>
      <w:szCs w:val="24"/>
      <w:shd w:val="pct20" w:color="auto" w:fill="auto"/>
    </w:rPr>
  </w:style>
  <w:style w:type="character" w:customStyle="1" w:styleId="246">
    <w:name w:val="ca-2"/>
    <w:qFormat/>
    <w:uiPriority w:val="0"/>
    <w:rPr>
      <w:rFonts w:ascii="Calibri" w:hAnsi="Calibri" w:eastAsia="宋体" w:cs="Times New Roman"/>
      <w:lang w:bidi="ar-SA"/>
    </w:rPr>
  </w:style>
  <w:style w:type="character" w:customStyle="1" w:styleId="247">
    <w:name w:val="标题 9 Char1"/>
    <w:qFormat/>
    <w:uiPriority w:val="0"/>
    <w:rPr>
      <w:rFonts w:ascii="Cambria" w:hAnsi="Cambria" w:eastAsia="宋体" w:cs="Times New Roman"/>
      <w:kern w:val="2"/>
      <w:sz w:val="21"/>
      <w:szCs w:val="21"/>
    </w:rPr>
  </w:style>
  <w:style w:type="character" w:customStyle="1" w:styleId="248">
    <w:name w:val="电子邮件签名 Char1"/>
    <w:qFormat/>
    <w:uiPriority w:val="0"/>
    <w:rPr>
      <w:rFonts w:ascii="Times New Roman" w:hAnsi="Times New Roman" w:eastAsia="仿宋" w:cs="Times New Roman"/>
      <w:sz w:val="32"/>
    </w:rPr>
  </w:style>
  <w:style w:type="character" w:customStyle="1" w:styleId="249">
    <w:name w:val="脚注文本 Char"/>
    <w:qFormat/>
    <w:uiPriority w:val="0"/>
    <w:rPr>
      <w:rFonts w:ascii="Calibri" w:hAnsi="Calibri" w:eastAsia="宋体" w:cs="Times New Roman"/>
      <w:kern w:val="2"/>
      <w:sz w:val="18"/>
      <w:szCs w:val="18"/>
    </w:rPr>
  </w:style>
  <w:style w:type="character" w:customStyle="1" w:styleId="250">
    <w:name w:val="font61"/>
    <w:qFormat/>
    <w:uiPriority w:val="0"/>
    <w:rPr>
      <w:rFonts w:hint="eastAsia" w:ascii="宋体" w:hAnsi="宋体" w:eastAsia="宋体" w:cs="宋体"/>
      <w:color w:val="000000"/>
      <w:sz w:val="24"/>
      <w:szCs w:val="24"/>
      <w:u w:val="none"/>
    </w:rPr>
  </w:style>
  <w:style w:type="character" w:customStyle="1" w:styleId="251">
    <w:name w:val="页脚 字符"/>
    <w:qFormat/>
    <w:uiPriority w:val="0"/>
    <w:rPr>
      <w:rFonts w:ascii="Times New Roman" w:hAnsi="Times New Roman" w:eastAsia="仿宋" w:cs="Times New Roman"/>
      <w:sz w:val="18"/>
      <w:szCs w:val="18"/>
    </w:rPr>
  </w:style>
  <w:style w:type="character" w:customStyle="1" w:styleId="252">
    <w:name w:val="签名 Char"/>
    <w:qFormat/>
    <w:uiPriority w:val="0"/>
    <w:rPr>
      <w:rFonts w:ascii="Calibri" w:hAnsi="Calibri" w:eastAsia="宋体" w:cs="Times New Roman"/>
      <w:kern w:val="2"/>
      <w:sz w:val="21"/>
      <w:szCs w:val="24"/>
    </w:rPr>
  </w:style>
  <w:style w:type="character" w:customStyle="1" w:styleId="253">
    <w:name w:val="Table Heading Char"/>
    <w:link w:val="254"/>
    <w:qFormat/>
    <w:uiPriority w:val="0"/>
    <w:rPr>
      <w:rFonts w:ascii="Arial" w:hAnsi="Arial" w:eastAsia="黑体" w:cs="Book Antiqua"/>
      <w:bCs/>
      <w:snapToGrid w:val="0"/>
      <w:sz w:val="21"/>
      <w:szCs w:val="21"/>
    </w:rPr>
  </w:style>
  <w:style w:type="paragraph" w:customStyle="1" w:styleId="254">
    <w:name w:val="Table Heading"/>
    <w:basedOn w:val="1"/>
    <w:link w:val="25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55">
    <w:name w:val="副标题 字符"/>
    <w:qFormat/>
    <w:uiPriority w:val="0"/>
    <w:rPr>
      <w:rFonts w:ascii="Arial" w:hAnsi="Arial" w:eastAsia="仿宋" w:cs="Arial"/>
      <w:b/>
      <w:bCs/>
      <w:kern w:val="28"/>
      <w:sz w:val="32"/>
      <w:szCs w:val="32"/>
    </w:rPr>
  </w:style>
  <w:style w:type="character" w:customStyle="1" w:styleId="256">
    <w:name w:val="font"/>
    <w:qFormat/>
    <w:uiPriority w:val="0"/>
    <w:rPr>
      <w:rFonts w:ascii="Calibri" w:hAnsi="Calibri" w:eastAsia="宋体" w:cs="Times New Roman"/>
    </w:rPr>
  </w:style>
  <w:style w:type="character" w:customStyle="1" w:styleId="257">
    <w:name w:val="dandyren_title1"/>
    <w:qFormat/>
    <w:uiPriority w:val="0"/>
    <w:rPr>
      <w:rFonts w:ascii="Calibri" w:hAnsi="Calibri" w:eastAsia="宋体" w:cs="Times New Roman"/>
      <w:b/>
      <w:bCs/>
      <w:color w:val="FF6633"/>
      <w:sz w:val="18"/>
      <w:szCs w:val="18"/>
    </w:rPr>
  </w:style>
  <w:style w:type="character" w:customStyle="1" w:styleId="258">
    <w:name w:val="段落小标题 Char"/>
    <w:link w:val="259"/>
    <w:qFormat/>
    <w:uiPriority w:val="0"/>
    <w:rPr>
      <w:rFonts w:ascii="仿宋" w:hAnsi="仿宋" w:eastAsia="仿宋" w:cs="Times New Roman"/>
      <w:b/>
      <w:sz w:val="32"/>
      <w:szCs w:val="32"/>
    </w:rPr>
  </w:style>
  <w:style w:type="paragraph" w:customStyle="1" w:styleId="259">
    <w:name w:val="段落小标题"/>
    <w:basedOn w:val="1"/>
    <w:link w:val="258"/>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260">
    <w:name w:val="批注框文本 字符"/>
    <w:qFormat/>
    <w:uiPriority w:val="0"/>
    <w:rPr>
      <w:rFonts w:ascii="Times New Roman" w:hAnsi="Times New Roman" w:eastAsia="仿宋" w:cs="Times New Roman"/>
      <w:sz w:val="18"/>
      <w:szCs w:val="18"/>
    </w:rPr>
  </w:style>
  <w:style w:type="character" w:customStyle="1" w:styleId="261">
    <w:name w:val="结束语 Char1"/>
    <w:qFormat/>
    <w:uiPriority w:val="0"/>
    <w:rPr>
      <w:rFonts w:ascii="Times New Roman" w:hAnsi="Times New Roman" w:eastAsia="仿宋" w:cs="Times New Roman"/>
      <w:sz w:val="32"/>
    </w:rPr>
  </w:style>
  <w:style w:type="character" w:customStyle="1" w:styleId="262">
    <w:name w:val="font71"/>
    <w:qFormat/>
    <w:uiPriority w:val="0"/>
    <w:rPr>
      <w:rFonts w:hint="eastAsia" w:ascii="宋体" w:hAnsi="宋体" w:eastAsia="宋体" w:cs="宋体"/>
      <w:color w:val="000000"/>
      <w:sz w:val="21"/>
      <w:szCs w:val="21"/>
      <w:u w:val="none"/>
    </w:rPr>
  </w:style>
  <w:style w:type="character" w:customStyle="1" w:styleId="263">
    <w:name w:val="普通 (Web) Char"/>
    <w:link w:val="264"/>
    <w:qFormat/>
    <w:uiPriority w:val="0"/>
    <w:rPr>
      <w:rFonts w:ascii="宋体" w:hAnsi="宋体" w:eastAsia="宋体" w:cs="Times New Roman"/>
      <w:sz w:val="24"/>
      <w:szCs w:val="24"/>
    </w:rPr>
  </w:style>
  <w:style w:type="paragraph" w:customStyle="1" w:styleId="264">
    <w:name w:val="普通 (Web)"/>
    <w:basedOn w:val="1"/>
    <w:link w:val="263"/>
    <w:qFormat/>
    <w:uiPriority w:val="0"/>
    <w:pPr>
      <w:widowControl/>
      <w:spacing w:before="100" w:beforeAutospacing="1" w:after="100" w:afterAutospacing="1"/>
      <w:jc w:val="left"/>
    </w:pPr>
    <w:rPr>
      <w:rFonts w:ascii="宋体" w:hAnsi="宋体"/>
      <w:kern w:val="0"/>
      <w:sz w:val="24"/>
    </w:rPr>
  </w:style>
  <w:style w:type="character" w:customStyle="1" w:styleId="265">
    <w:name w:val="正文文本缩进 3 Char1"/>
    <w:qFormat/>
    <w:uiPriority w:val="0"/>
    <w:rPr>
      <w:rFonts w:ascii="Times New Roman" w:hAnsi="Times New Roman" w:eastAsia="宋体" w:cs="Times New Roman"/>
      <w:sz w:val="16"/>
      <w:szCs w:val="16"/>
    </w:rPr>
  </w:style>
  <w:style w:type="character" w:customStyle="1" w:styleId="266">
    <w:name w:val="Date Char"/>
    <w:qFormat/>
    <w:uiPriority w:val="0"/>
    <w:rPr>
      <w:rFonts w:ascii="宋体" w:hAnsi="Calibri" w:eastAsia="宋体" w:cs="Times New Roman"/>
      <w:kern w:val="2"/>
      <w:sz w:val="24"/>
      <w:lang w:val="en-US" w:eastAsia="zh-CN"/>
    </w:rPr>
  </w:style>
  <w:style w:type="character" w:customStyle="1" w:styleId="267">
    <w:name w:val=" Char Char"/>
    <w:qFormat/>
    <w:uiPriority w:val="0"/>
    <w:rPr>
      <w:rFonts w:ascii="Calibri" w:hAnsi="Calibri" w:eastAsia="宋体" w:cs="Times New Roman"/>
      <w:kern w:val="2"/>
      <w:sz w:val="21"/>
      <w:szCs w:val="24"/>
    </w:rPr>
  </w:style>
  <w:style w:type="character" w:customStyle="1" w:styleId="268">
    <w:name w:val="正文文本缩进 3 字符"/>
    <w:qFormat/>
    <w:uiPriority w:val="0"/>
    <w:rPr>
      <w:rFonts w:ascii="Times New Roman" w:hAnsi="Times New Roman" w:eastAsia="仿宋" w:cs="Times New Roman"/>
      <w:sz w:val="16"/>
      <w:szCs w:val="16"/>
    </w:rPr>
  </w:style>
  <w:style w:type="character" w:customStyle="1" w:styleId="269">
    <w:name w:val="标题 4 Char1"/>
    <w:qFormat/>
    <w:uiPriority w:val="0"/>
    <w:rPr>
      <w:rFonts w:ascii="Cambria" w:hAnsi="Cambria" w:eastAsia="宋体" w:cs="Times New Roman"/>
      <w:b/>
      <w:bCs/>
      <w:kern w:val="2"/>
      <w:sz w:val="28"/>
      <w:szCs w:val="28"/>
    </w:rPr>
  </w:style>
  <w:style w:type="character" w:customStyle="1" w:styleId="270">
    <w:name w:val="10f000000"/>
    <w:qFormat/>
    <w:uiPriority w:val="0"/>
    <w:rPr>
      <w:rFonts w:ascii="Calibri" w:hAnsi="Calibri" w:eastAsia="宋体" w:cs="Times New Roman"/>
    </w:rPr>
  </w:style>
  <w:style w:type="character" w:customStyle="1" w:styleId="271">
    <w:name w:val="Char Char1"/>
    <w:qFormat/>
    <w:uiPriority w:val="0"/>
    <w:rPr>
      <w:rFonts w:ascii="Calibri" w:hAnsi="Calibri" w:eastAsia="宋体" w:cs="Times New Roman"/>
      <w:kern w:val="2"/>
      <w:sz w:val="21"/>
      <w:szCs w:val="24"/>
    </w:rPr>
  </w:style>
  <w:style w:type="character" w:customStyle="1" w:styleId="272">
    <w:name w:val="haikang1"/>
    <w:qFormat/>
    <w:uiPriority w:val="0"/>
    <w:rPr>
      <w:rFonts w:hint="default" w:ascii="Calibri" w:hAnsi="Calibri" w:eastAsia="宋体" w:cs="Times New Roman"/>
      <w:color w:val="000000"/>
      <w:sz w:val="18"/>
      <w:szCs w:val="18"/>
      <w:u w:val="none"/>
    </w:rPr>
  </w:style>
  <w:style w:type="character" w:customStyle="1" w:styleId="273">
    <w:name w:val=" Char Char3"/>
    <w:qFormat/>
    <w:uiPriority w:val="0"/>
    <w:rPr>
      <w:rFonts w:ascii="Calibri" w:hAnsi="Calibri" w:eastAsia="宋体" w:cs="Times New Roman"/>
      <w:sz w:val="18"/>
      <w:szCs w:val="18"/>
    </w:rPr>
  </w:style>
  <w:style w:type="character" w:customStyle="1" w:styleId="274">
    <w:name w:val="本级3 Char"/>
    <w:link w:val="275"/>
    <w:qFormat/>
    <w:uiPriority w:val="0"/>
    <w:rPr>
      <w:rFonts w:ascii="Calibri" w:hAnsi="Calibri" w:eastAsia="宋体" w:cs="Times New Roman"/>
      <w:b/>
      <w:bCs/>
      <w:kern w:val="2"/>
      <w:sz w:val="32"/>
      <w:szCs w:val="24"/>
    </w:rPr>
  </w:style>
  <w:style w:type="paragraph" w:customStyle="1" w:styleId="275">
    <w:name w:val="本级3"/>
    <w:basedOn w:val="141"/>
    <w:next w:val="141"/>
    <w:link w:val="274"/>
    <w:qFormat/>
    <w:uiPriority w:val="0"/>
    <w:pPr>
      <w:outlineLvl w:val="2"/>
    </w:pPr>
    <w:rPr>
      <w:rFonts w:ascii="Calibri" w:hAnsi="Calibri" w:eastAsia="宋体"/>
    </w:rPr>
  </w:style>
  <w:style w:type="character" w:customStyle="1" w:styleId="276">
    <w:name w:val="签名 Char1"/>
    <w:qFormat/>
    <w:uiPriority w:val="0"/>
    <w:rPr>
      <w:rFonts w:ascii="Times New Roman" w:hAnsi="Times New Roman" w:eastAsia="仿宋" w:cs="Times New Roman"/>
      <w:sz w:val="32"/>
    </w:rPr>
  </w:style>
  <w:style w:type="character" w:customStyle="1" w:styleId="277">
    <w:name w:val="标题 7 字符"/>
    <w:qFormat/>
    <w:uiPriority w:val="0"/>
    <w:rPr>
      <w:rFonts w:ascii="Times New Roman" w:hAnsi="Times New Roman" w:eastAsia="仿宋" w:cs="Times New Roman"/>
      <w:b/>
      <w:bCs/>
      <w:sz w:val="24"/>
      <w:szCs w:val="24"/>
    </w:rPr>
  </w:style>
  <w:style w:type="character" w:customStyle="1" w:styleId="278">
    <w:name w:val="正文首行缩进 2 字符"/>
    <w:qFormat/>
    <w:uiPriority w:val="0"/>
    <w:rPr>
      <w:rFonts w:ascii="Times New Roman" w:hAnsi="Times New Roman" w:eastAsia="仿宋" w:cs="Times New Roman"/>
      <w:sz w:val="21"/>
    </w:rPr>
  </w:style>
  <w:style w:type="character" w:customStyle="1" w:styleId="279">
    <w:name w:val="HTML 地址 Char1"/>
    <w:qFormat/>
    <w:uiPriority w:val="0"/>
    <w:rPr>
      <w:rFonts w:ascii="Times New Roman" w:hAnsi="Times New Roman" w:eastAsia="仿宋" w:cs="Times New Roman"/>
      <w:i/>
      <w:iCs/>
      <w:sz w:val="32"/>
    </w:rPr>
  </w:style>
  <w:style w:type="character" w:customStyle="1" w:styleId="280">
    <w:name w:val="正文首行缩进2字 Char"/>
    <w:link w:val="281"/>
    <w:qFormat/>
    <w:uiPriority w:val="0"/>
    <w:rPr>
      <w:rFonts w:ascii="Calibri" w:hAnsi="Calibri" w:eastAsia="楷体_GB2312" w:cs="Times New Roman"/>
      <w:sz w:val="28"/>
      <w:szCs w:val="24"/>
    </w:rPr>
  </w:style>
  <w:style w:type="paragraph" w:customStyle="1" w:styleId="281">
    <w:name w:val="正文首行缩进2字"/>
    <w:basedOn w:val="1"/>
    <w:link w:val="280"/>
    <w:qFormat/>
    <w:uiPriority w:val="0"/>
    <w:pPr>
      <w:ind w:firstLine="560" w:firstLineChars="200"/>
    </w:pPr>
    <w:rPr>
      <w:rFonts w:eastAsia="楷体_GB2312"/>
      <w:kern w:val="0"/>
      <w:sz w:val="28"/>
    </w:rPr>
  </w:style>
  <w:style w:type="paragraph" w:customStyle="1" w:styleId="282">
    <w:name w:val="表格内容五号(V1)"/>
    <w:basedOn w:val="1"/>
    <w:qFormat/>
    <w:uiPriority w:val="0"/>
    <w:pPr>
      <w:jc w:val="center"/>
    </w:pPr>
    <w:rPr>
      <w:rFonts w:ascii="Calibri" w:hAnsi="Calibri" w:eastAsia="宋体" w:cs="Arial Unicode MS"/>
      <w:kern w:val="0"/>
      <w:szCs w:val="21"/>
    </w:rPr>
  </w:style>
  <w:style w:type="paragraph" w:customStyle="1" w:styleId="283">
    <w:name w:val="Normal0"/>
    <w:qFormat/>
    <w:uiPriority w:val="0"/>
    <w:rPr>
      <w:rFonts w:ascii="Calibri" w:hAnsi="Calibri" w:eastAsia="宋体" w:cs="Times New Roman"/>
      <w:lang w:val="en-US" w:eastAsia="en-US" w:bidi="ar-SA"/>
    </w:rPr>
  </w:style>
  <w:style w:type="paragraph" w:customStyle="1" w:styleId="284">
    <w:name w:val="xl73"/>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28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86">
    <w:name w:val="说明正文"/>
    <w:basedOn w:val="1"/>
    <w:qFormat/>
    <w:uiPriority w:val="0"/>
    <w:pPr>
      <w:spacing w:line="360" w:lineRule="auto"/>
      <w:ind w:firstLine="480" w:firstLineChars="200"/>
    </w:pPr>
    <w:rPr>
      <w:rFonts w:ascii="宋体" w:hAnsi="宋体" w:eastAsia="宋体" w:cs="Times New Roman"/>
      <w:sz w:val="24"/>
    </w:rPr>
  </w:style>
  <w:style w:type="paragraph" w:customStyle="1" w:styleId="287">
    <w:name w:val="pa-1"/>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288">
    <w:name w:val="Char Char Char"/>
    <w:basedOn w:val="1"/>
    <w:qFormat/>
    <w:uiPriority w:val="0"/>
    <w:pPr>
      <w:jc w:val="center"/>
    </w:pPr>
    <w:rPr>
      <w:rFonts w:ascii="Calibri" w:hAnsi="Calibri" w:eastAsia="宋体" w:cs="Times New Roman"/>
      <w:szCs w:val="20"/>
    </w:rPr>
  </w:style>
  <w:style w:type="paragraph" w:customStyle="1" w:styleId="289">
    <w:name w:val="xl74"/>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290">
    <w:name w:val="默认段落字体 Para Char"/>
    <w:basedOn w:val="1"/>
    <w:qFormat/>
    <w:uiPriority w:val="0"/>
    <w:rPr>
      <w:rFonts w:ascii="Calibri" w:hAnsi="Calibri" w:eastAsia="宋体" w:cs="Arial"/>
    </w:rPr>
  </w:style>
  <w:style w:type="paragraph" w:customStyle="1" w:styleId="291">
    <w:name w:val="xl7869"/>
    <w:basedOn w:val="1"/>
    <w:qFormat/>
    <w:uiPriority w:val="0"/>
    <w:pPr>
      <w:widowControl/>
      <w:spacing w:before="100" w:beforeAutospacing="1" w:after="100" w:afterAutospacing="1"/>
      <w:jc w:val="left"/>
      <w:textAlignment w:val="bottom"/>
    </w:pPr>
    <w:rPr>
      <w:rFonts w:ascii="宋体" w:hAnsi="宋体" w:eastAsia="宋体" w:cs="宋体"/>
      <w:color w:val="000000"/>
      <w:kern w:val="0"/>
      <w:sz w:val="20"/>
      <w:szCs w:val="20"/>
    </w:rPr>
  </w:style>
  <w:style w:type="paragraph" w:customStyle="1" w:styleId="292">
    <w:name w:val="xl70"/>
    <w:basedOn w:val="1"/>
    <w:qFormat/>
    <w:uiPriority w:val="0"/>
    <w:pPr>
      <w:widowControl/>
      <w:spacing w:before="100" w:beforeLines="0" w:beforeAutospacing="1" w:after="100" w:afterLines="0" w:afterAutospacing="1"/>
    </w:pPr>
    <w:rPr>
      <w:rFonts w:ascii="宋体" w:hAnsi="Calibri" w:eastAsia="宋体" w:cs="宋体"/>
      <w:kern w:val="0"/>
      <w:sz w:val="20"/>
      <w:szCs w:val="20"/>
      <w:lang w:bidi="ar-SA"/>
    </w:rPr>
  </w:style>
  <w:style w:type="paragraph" w:customStyle="1" w:styleId="293">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294">
    <w:name w:val="font21"/>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295">
    <w:name w:val="节"/>
    <w:basedOn w:val="4"/>
    <w:qFormat/>
    <w:uiPriority w:val="0"/>
    <w:pPr>
      <w:tabs>
        <w:tab w:val="left" w:pos="780"/>
      </w:tabs>
      <w:spacing w:line="240" w:lineRule="auto"/>
      <w:ind w:left="780" w:hanging="360"/>
    </w:pPr>
    <w:rPr>
      <w:rFonts w:ascii="黑体" w:hAnsi="Calibri" w:eastAsia="宋体" w:cs="Times New Roman"/>
      <w:b w:val="0"/>
      <w:sz w:val="28"/>
      <w:szCs w:val="28"/>
    </w:rPr>
  </w:style>
  <w:style w:type="paragraph" w:customStyle="1" w:styleId="2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97">
    <w:name w:val="题头内容"/>
    <w:basedOn w:val="1"/>
    <w:qFormat/>
    <w:uiPriority w:val="0"/>
    <w:pPr>
      <w:adjustRightInd w:val="0"/>
      <w:spacing w:before="120" w:after="120" w:line="312" w:lineRule="atLeast"/>
      <w:ind w:right="879" w:firstLine="839"/>
      <w:jc w:val="center"/>
      <w:textAlignment w:val="baseline"/>
    </w:pPr>
    <w:rPr>
      <w:rFonts w:ascii="黑体" w:hAnsi="Calibri" w:eastAsia="黑体" w:cs="Times New Roman"/>
      <w:kern w:val="0"/>
      <w:sz w:val="32"/>
      <w:szCs w:val="21"/>
    </w:rPr>
  </w:style>
  <w:style w:type="paragraph" w:customStyle="1" w:styleId="298">
    <w:name w:val="编号3级"/>
    <w:qFormat/>
    <w:uiPriority w:val="0"/>
    <w:pPr>
      <w:numPr>
        <w:ilvl w:val="4"/>
        <w:numId w:val="12"/>
      </w:numPr>
      <w:spacing w:line="400" w:lineRule="exact"/>
    </w:pPr>
    <w:rPr>
      <w:rFonts w:ascii="Calibri" w:hAnsi="Calibri" w:eastAsia="宋体" w:cs="Times New Roman"/>
      <w:kern w:val="2"/>
      <w:sz w:val="24"/>
      <w:szCs w:val="24"/>
      <w:lang w:val="en-US" w:eastAsia="zh-CN" w:bidi="ar-SA"/>
    </w:rPr>
  </w:style>
  <w:style w:type="paragraph" w:customStyle="1" w:styleId="299">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300">
    <w:name w:val="表2"/>
    <w:basedOn w:val="301"/>
    <w:qFormat/>
    <w:uiPriority w:val="0"/>
    <w:pPr>
      <w:numPr>
        <w:ilvl w:val="0"/>
        <w:numId w:val="13"/>
      </w:numPr>
    </w:pPr>
    <w:rPr>
      <w:rFonts w:ascii="Calibri" w:hAnsi="Calibri" w:eastAsia="宋体" w:cs="Times New Roman"/>
    </w:rPr>
  </w:style>
  <w:style w:type="paragraph" w:customStyle="1" w:styleId="301">
    <w:name w:val="表1"/>
    <w:basedOn w:val="302"/>
    <w:qFormat/>
    <w:uiPriority w:val="0"/>
    <w:rPr>
      <w:rFonts w:ascii="Calibri" w:hAnsi="Calibri" w:eastAsia="宋体" w:cs="Times New Roman"/>
    </w:rPr>
  </w:style>
  <w:style w:type="paragraph" w:customStyle="1" w:styleId="302">
    <w:name w:val="表格样式"/>
    <w:basedOn w:val="1"/>
    <w:qFormat/>
    <w:uiPriority w:val="0"/>
    <w:pPr>
      <w:spacing w:before="156" w:after="156"/>
      <w:jc w:val="center"/>
    </w:pPr>
    <w:rPr>
      <w:rFonts w:ascii="宋体" w:hAnsi="宋体" w:eastAsia="宋体" w:cs="宋体"/>
      <w:b/>
      <w:bCs/>
      <w:kern w:val="0"/>
      <w:szCs w:val="20"/>
    </w:rPr>
  </w:style>
  <w:style w:type="paragraph" w:customStyle="1" w:styleId="303">
    <w:name w:val="标题2"/>
    <w:basedOn w:val="304"/>
    <w:qFormat/>
    <w:uiPriority w:val="0"/>
    <w:rPr>
      <w:rFonts w:ascii="Calibri" w:hAnsi="Calibri" w:eastAsia="宋体" w:cs="Times New Roman"/>
    </w:rPr>
  </w:style>
  <w:style w:type="paragraph" w:customStyle="1" w:styleId="304">
    <w:name w:val="样式 标题 2HD2Heading 2 HiddenHeading 2 CCBSheading 2Titre3H2..."/>
    <w:basedOn w:val="4"/>
    <w:qFormat/>
    <w:uiPriority w:val="0"/>
    <w:pPr>
      <w:spacing w:line="360" w:lineRule="auto"/>
    </w:pPr>
    <w:rPr>
      <w:rFonts w:ascii="宋体" w:hAnsi="Calibri" w:eastAsia="宋体" w:cs="宋体"/>
      <w:sz w:val="24"/>
      <w:lang w:bidi="ar-SA"/>
    </w:rPr>
  </w:style>
  <w:style w:type="paragraph" w:customStyle="1" w:styleId="305">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06">
    <w:name w:val="图表文字"/>
    <w:qFormat/>
    <w:uiPriority w:val="0"/>
    <w:rPr>
      <w:rFonts w:ascii="Calibri" w:hAnsi="Calibri" w:eastAsia="宋体" w:cs="Times New Roman"/>
      <w:sz w:val="21"/>
      <w:szCs w:val="21"/>
      <w:lang w:val="en-US" w:eastAsia="zh-CN" w:bidi="ar-SA"/>
    </w:rPr>
  </w:style>
  <w:style w:type="paragraph" w:customStyle="1" w:styleId="307">
    <w:name w:val="Char1 Char Char Char"/>
    <w:basedOn w:val="1"/>
    <w:qFormat/>
    <w:uiPriority w:val="0"/>
    <w:pPr>
      <w:spacing w:line="360" w:lineRule="auto"/>
      <w:ind w:firstLine="200" w:firstLineChars="200"/>
    </w:pPr>
    <w:rPr>
      <w:rFonts w:ascii="宋体" w:hAnsi="宋体" w:eastAsia="宋体" w:cs="宋体"/>
      <w:sz w:val="24"/>
    </w:rPr>
  </w:style>
  <w:style w:type="paragraph" w:customStyle="1" w:styleId="308">
    <w:name w:val="表格"/>
    <w:basedOn w:val="1"/>
    <w:qFormat/>
    <w:uiPriority w:val="0"/>
    <w:pPr>
      <w:adjustRightInd w:val="0"/>
      <w:spacing w:line="400" w:lineRule="atLeast"/>
      <w:textAlignment w:val="baseline"/>
    </w:pPr>
    <w:rPr>
      <w:rFonts w:ascii="仿宋_GB2312" w:hAnsi="Calibri" w:eastAsia="仿宋_GB2312" w:cs="Times New Roman"/>
      <w:kern w:val="0"/>
      <w:sz w:val="28"/>
      <w:szCs w:val="20"/>
    </w:rPr>
  </w:style>
  <w:style w:type="paragraph" w:customStyle="1" w:styleId="309">
    <w:name w:val="Item Step"/>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10">
    <w:name w:val="手动目录"/>
    <w:basedOn w:val="1"/>
    <w:qFormat/>
    <w:uiPriority w:val="0"/>
    <w:pPr>
      <w:numPr>
        <w:ilvl w:val="0"/>
        <w:numId w:val="14"/>
      </w:numPr>
      <w:tabs>
        <w:tab w:val="clear" w:pos="680"/>
      </w:tabs>
      <w:spacing w:line="360" w:lineRule="auto"/>
    </w:pPr>
    <w:rPr>
      <w:rFonts w:ascii="Calibri" w:hAnsi="Calibri" w:eastAsia="宋体" w:cs="Times New Roman"/>
      <w:sz w:val="24"/>
    </w:rPr>
  </w:style>
  <w:style w:type="paragraph" w:customStyle="1" w:styleId="311">
    <w:name w:val="font1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12">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6"/>
      <w:szCs w:val="16"/>
    </w:rPr>
  </w:style>
  <w:style w:type="paragraph" w:customStyle="1" w:styleId="313">
    <w:name w:val="表号"/>
    <w:basedOn w:val="1"/>
    <w:next w:val="1"/>
    <w:qFormat/>
    <w:uiPriority w:val="0"/>
    <w:pPr>
      <w:spacing w:beforeLines="100" w:afterLines="50"/>
      <w:jc w:val="center"/>
    </w:pPr>
    <w:rPr>
      <w:rFonts w:ascii="Calibri" w:hAnsi="Calibri" w:eastAsia="黑体" w:cs="Times New Roman"/>
    </w:rPr>
  </w:style>
  <w:style w:type="paragraph" w:customStyle="1" w:styleId="314">
    <w:name w:val="List Paragraph11"/>
    <w:basedOn w:val="1"/>
    <w:qFormat/>
    <w:uiPriority w:val="0"/>
    <w:pPr>
      <w:ind w:firstLine="420" w:firstLineChars="200"/>
    </w:pPr>
    <w:rPr>
      <w:rFonts w:ascii="Calibri" w:hAnsi="Calibri" w:eastAsia="宋体" w:cs="Times New Roman"/>
      <w:szCs w:val="22"/>
    </w:rPr>
  </w:style>
  <w:style w:type="paragraph" w:customStyle="1" w:styleId="315">
    <w:name w:val="ac"/>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6">
    <w:name w:val="正文1"/>
    <w:basedOn w:val="1"/>
    <w:qFormat/>
    <w:uiPriority w:val="0"/>
    <w:pPr>
      <w:spacing w:line="360" w:lineRule="auto"/>
      <w:ind w:left="428" w:leftChars="428" w:firstLine="199" w:firstLineChars="199"/>
    </w:pPr>
    <w:rPr>
      <w:rFonts w:ascii="宋体" w:hAnsi="Calibri" w:eastAsia="宋体" w:cs="Times New Roman"/>
      <w:color w:val="000000"/>
      <w:sz w:val="24"/>
    </w:rPr>
  </w:style>
  <w:style w:type="paragraph" w:customStyle="1" w:styleId="317">
    <w:name w:val="样式6"/>
    <w:basedOn w:val="1"/>
    <w:qFormat/>
    <w:uiPriority w:val="0"/>
    <w:pPr>
      <w:widowControl/>
      <w:numPr>
        <w:ilvl w:val="1"/>
        <w:numId w:val="15"/>
      </w:numPr>
      <w:tabs>
        <w:tab w:val="left" w:pos="1800"/>
      </w:tabs>
      <w:spacing w:before="156" w:beforeLines="50" w:after="156" w:afterLines="50"/>
      <w:ind w:left="1800" w:firstLine="899" w:firstLineChars="428"/>
    </w:pPr>
    <w:rPr>
      <w:rFonts w:ascii="Calibri" w:hAnsi="Calibri" w:eastAsia="宋体" w:cs="Times New Roman"/>
      <w:kern w:val="0"/>
    </w:rPr>
  </w:style>
  <w:style w:type="paragraph" w:customStyle="1" w:styleId="3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319">
    <w:name w:val="表格内容"/>
    <w:basedOn w:val="1"/>
    <w:qFormat/>
    <w:uiPriority w:val="0"/>
    <w:pPr>
      <w:spacing w:line="360" w:lineRule="auto"/>
      <w:jc w:val="center"/>
    </w:pPr>
    <w:rPr>
      <w:rFonts w:ascii="Calibri" w:hAnsi="Calibri" w:eastAsia="宋体" w:cs="宋体"/>
      <w:sz w:val="18"/>
      <w:szCs w:val="20"/>
    </w:rPr>
  </w:style>
  <w:style w:type="paragraph" w:customStyle="1" w:styleId="320">
    <w:name w:val="xl23"/>
    <w:basedOn w:val="1"/>
    <w:qFormat/>
    <w:uiPriority w:val="0"/>
    <w:pPr>
      <w:widowControl/>
      <w:spacing w:before="100" w:beforeAutospacing="1" w:after="100" w:afterAutospacing="1"/>
    </w:pPr>
    <w:rPr>
      <w:rFonts w:ascii="Arial Unicode MS" w:hAnsi="Arial Unicode MS" w:eastAsia="宋体" w:cs="Times New Roman"/>
      <w:kern w:val="0"/>
      <w:szCs w:val="21"/>
    </w:rPr>
  </w:style>
  <w:style w:type="paragraph" w:customStyle="1" w:styleId="321">
    <w:name w:val="xl75"/>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22">
    <w:name w:val="Item List in Table"/>
    <w:basedOn w:val="1"/>
    <w:qFormat/>
    <w:uiPriority w:val="0"/>
    <w:pPr>
      <w:numPr>
        <w:ilvl w:val="0"/>
        <w:numId w:val="16"/>
      </w:numPr>
      <w:topLinePunct/>
      <w:adjustRightInd w:val="0"/>
      <w:snapToGrid w:val="0"/>
      <w:spacing w:before="80" w:after="80" w:line="240" w:lineRule="atLeast"/>
      <w:jc w:val="left"/>
    </w:pPr>
    <w:rPr>
      <w:rFonts w:ascii="Arial" w:hAnsi="Arial" w:eastAsia="宋体" w:cs="Arial"/>
      <w:kern w:val="0"/>
      <w:szCs w:val="21"/>
    </w:rPr>
  </w:style>
  <w:style w:type="paragraph" w:customStyle="1" w:styleId="323">
    <w:name w:val="Sub Item List"/>
    <w:basedOn w:val="1"/>
    <w:qFormat/>
    <w:uiPriority w:val="0"/>
    <w:pPr>
      <w:widowControl/>
      <w:numPr>
        <w:ilvl w:val="0"/>
        <w:numId w:val="17"/>
      </w:numPr>
      <w:topLinePunct/>
      <w:adjustRightInd w:val="0"/>
      <w:snapToGrid w:val="0"/>
      <w:spacing w:before="80" w:after="80" w:line="240" w:lineRule="atLeast"/>
      <w:jc w:val="left"/>
    </w:pPr>
    <w:rPr>
      <w:rFonts w:ascii="Arial" w:hAnsi="Arial" w:eastAsia="宋体" w:cs="Arial"/>
      <w:szCs w:val="21"/>
    </w:rPr>
  </w:style>
  <w:style w:type="paragraph" w:customStyle="1" w:styleId="324">
    <w:name w:val=" Char Char Char Char Char Char Char Char"/>
    <w:basedOn w:val="1"/>
    <w:qFormat/>
    <w:uiPriority w:val="0"/>
    <w:pPr>
      <w:tabs>
        <w:tab w:val="left" w:pos="360"/>
      </w:tabs>
    </w:pPr>
    <w:rPr>
      <w:rFonts w:ascii="Calibri" w:hAnsi="Calibri" w:eastAsia="宋体" w:cs="Times New Roman"/>
      <w:sz w:val="24"/>
    </w:rPr>
  </w:style>
  <w:style w:type="paragraph" w:customStyle="1" w:styleId="325">
    <w:name w:val="样式1"/>
    <w:basedOn w:val="6"/>
    <w:qFormat/>
    <w:uiPriority w:val="0"/>
    <w:rPr>
      <w:rFonts w:ascii="宋体" w:hAnsi="宋体" w:eastAsia="宋体" w:cs="Times New Roman"/>
      <w:sz w:val="24"/>
      <w:szCs w:val="24"/>
    </w:rPr>
  </w:style>
  <w:style w:type="paragraph" w:customStyle="1" w:styleId="326">
    <w:name w:val="Char Char Char Char"/>
    <w:basedOn w:val="1"/>
    <w:qFormat/>
    <w:uiPriority w:val="0"/>
    <w:pPr>
      <w:tabs>
        <w:tab w:val="left" w:pos="360"/>
      </w:tabs>
      <w:ind w:firstLine="150" w:firstLineChars="150"/>
    </w:pPr>
    <w:rPr>
      <w:rFonts w:ascii="Arial" w:hAnsi="Arial" w:eastAsia="宋体" w:cs="Arial"/>
      <w:sz w:val="20"/>
      <w:szCs w:val="20"/>
      <w:lang w:bidi="ar-SA"/>
    </w:rPr>
  </w:style>
  <w:style w:type="paragraph" w:customStyle="1" w:styleId="327">
    <w:name w:val=" Char Char Char Char"/>
    <w:basedOn w:val="1"/>
    <w:qFormat/>
    <w:uiPriority w:val="0"/>
    <w:pPr>
      <w:widowControl/>
      <w:spacing w:after="160" w:line="240" w:lineRule="exact"/>
      <w:jc w:val="left"/>
    </w:pPr>
    <w:rPr>
      <w:rFonts w:ascii="Verdana" w:hAnsi="Verdana" w:eastAsia="宋体" w:cs="Times New Roman"/>
      <w:kern w:val="0"/>
      <w:szCs w:val="20"/>
    </w:rPr>
  </w:style>
  <w:style w:type="paragraph" w:customStyle="1" w:styleId="328">
    <w:name w:val="font24"/>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329">
    <w:name w:val="font17"/>
    <w:basedOn w:val="1"/>
    <w:qFormat/>
    <w:uiPriority w:val="0"/>
    <w:pPr>
      <w:widowControl/>
      <w:spacing w:before="100" w:beforeLines="0" w:beforeAutospacing="1" w:after="100" w:afterLines="0" w:afterAutospacing="1"/>
      <w:jc w:val="left"/>
    </w:pPr>
    <w:rPr>
      <w:rFonts w:ascii="宋体" w:hAnsi="Calibri" w:eastAsia="宋体" w:cs="宋体"/>
      <w:b/>
      <w:bCs/>
      <w:color w:val="000000"/>
      <w:kern w:val="0"/>
      <w:sz w:val="20"/>
      <w:szCs w:val="20"/>
      <w:lang w:bidi="ar-SA"/>
    </w:rPr>
  </w:style>
  <w:style w:type="paragraph" w:customStyle="1" w:styleId="330">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331">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kern w:val="0"/>
      <w:szCs w:val="28"/>
    </w:rPr>
  </w:style>
  <w:style w:type="paragraph" w:customStyle="1" w:styleId="332">
    <w:name w:val="Figure Description"/>
    <w:next w:val="10"/>
    <w:qFormat/>
    <w:uiPriority w:val="0"/>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33">
    <w:name w:val="报告正文"/>
    <w:basedOn w:val="1"/>
    <w:qFormat/>
    <w:uiPriority w:val="0"/>
    <w:pPr>
      <w:widowControl/>
      <w:overflowPunct w:val="0"/>
      <w:autoSpaceDE w:val="0"/>
      <w:autoSpaceDN w:val="0"/>
      <w:adjustRightInd w:val="0"/>
      <w:spacing w:after="80" w:line="360" w:lineRule="auto"/>
      <w:ind w:left="570"/>
      <w:textAlignment w:val="baseline"/>
    </w:pPr>
    <w:rPr>
      <w:rFonts w:ascii="Calibri" w:hAnsi="Calibri" w:eastAsia="宋体" w:cs="Times New Roman"/>
      <w:kern w:val="0"/>
      <w:sz w:val="24"/>
      <w:szCs w:val="20"/>
    </w:rPr>
  </w:style>
  <w:style w:type="paragraph" w:customStyle="1" w:styleId="334">
    <w:name w:val="编号1级"/>
    <w:qFormat/>
    <w:uiPriority w:val="0"/>
    <w:pPr>
      <w:spacing w:after="93" w:afterLines="30" w:line="400" w:lineRule="exact"/>
      <w:outlineLvl w:val="8"/>
    </w:pPr>
    <w:rPr>
      <w:rFonts w:ascii="Calibri" w:hAnsi="Calibri" w:eastAsia="宋体" w:cs="Times New Roman"/>
      <w:b/>
      <w:kern w:val="2"/>
      <w:sz w:val="24"/>
      <w:szCs w:val="28"/>
      <w:lang w:val="en-US" w:eastAsia="zh-CN" w:bidi="ar-SA"/>
    </w:rPr>
  </w:style>
  <w:style w:type="paragraph" w:customStyle="1" w:styleId="335">
    <w:name w:val="Heading 2"/>
    <w:basedOn w:val="1"/>
    <w:qFormat/>
    <w:uiPriority w:val="0"/>
    <w:pPr>
      <w:autoSpaceDE w:val="0"/>
      <w:autoSpaceDN w:val="0"/>
      <w:adjustRightInd w:val="0"/>
      <w:spacing w:before="3"/>
      <w:ind w:left="120"/>
      <w:jc w:val="left"/>
      <w:outlineLvl w:val="1"/>
    </w:pPr>
    <w:rPr>
      <w:rFonts w:ascii="宋体" w:hAnsi="Calibri" w:eastAsia="宋体" w:cs="宋体"/>
      <w:b/>
      <w:bCs/>
      <w:kern w:val="0"/>
      <w:sz w:val="24"/>
    </w:rPr>
  </w:style>
  <w:style w:type="paragraph" w:customStyle="1" w:styleId="336">
    <w:name w:val="sanxiang2"/>
    <w:basedOn w:val="1"/>
    <w:qFormat/>
    <w:uiPriority w:val="0"/>
    <w:pPr>
      <w:keepNext/>
      <w:snapToGrid w:val="0"/>
      <w:spacing w:beforeLines="200" w:afterLines="100"/>
      <w:jc w:val="center"/>
      <w:outlineLvl w:val="1"/>
    </w:pPr>
    <w:rPr>
      <w:rFonts w:ascii="宋体" w:hAnsi="宋体" w:eastAsia="宋体" w:cs="Times New Roman"/>
      <w:b/>
      <w:w w:val="120"/>
      <w:szCs w:val="21"/>
    </w:rPr>
  </w:style>
  <w:style w:type="paragraph" w:customStyle="1" w:styleId="33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38">
    <w:name w:val="样式 小四 行距: 1.5 倍行距"/>
    <w:basedOn w:val="1"/>
    <w:qFormat/>
    <w:uiPriority w:val="0"/>
    <w:pPr>
      <w:numPr>
        <w:ilvl w:val="0"/>
        <w:numId w:val="18"/>
      </w:numPr>
    </w:pPr>
    <w:rPr>
      <w:rFonts w:ascii="Calibri" w:hAnsi="Calibri" w:eastAsia="宋体" w:cs="Times New Roman"/>
    </w:rPr>
  </w:style>
  <w:style w:type="paragraph" w:customStyle="1" w:styleId="339">
    <w:name w:val="样式 标题 4Alt+4项h4H41.1.1.1 Heading 4Heading FourHead44bul...1"/>
    <w:basedOn w:val="6"/>
    <w:qFormat/>
    <w:uiPriority w:val="0"/>
    <w:pPr>
      <w:numPr>
        <w:ilvl w:val="3"/>
        <w:numId w:val="19"/>
      </w:numPr>
      <w:tabs>
        <w:tab w:val="left" w:pos="1931"/>
        <w:tab w:val="clear" w:pos="851"/>
      </w:tabs>
      <w:spacing w:before="120" w:after="0" w:line="360" w:lineRule="auto"/>
      <w:ind w:left="1931"/>
      <w:jc w:val="left"/>
    </w:pPr>
    <w:rPr>
      <w:rFonts w:ascii="Times New Roman" w:hAnsi="Times New Roman" w:eastAsia="宋体" w:cs="宋体"/>
      <w:b w:val="0"/>
      <w:bCs w:val="0"/>
      <w:sz w:val="24"/>
      <w:szCs w:val="20"/>
    </w:rPr>
  </w:style>
  <w:style w:type="paragraph" w:customStyle="1" w:styleId="340">
    <w:name w:val="Char Char Char Char Char Char Char Char"/>
    <w:basedOn w:val="1"/>
    <w:qFormat/>
    <w:uiPriority w:val="0"/>
    <w:pPr>
      <w:tabs>
        <w:tab w:val="left" w:pos="360"/>
      </w:tabs>
    </w:pPr>
    <w:rPr>
      <w:rFonts w:ascii="Calibri" w:hAnsi="Calibri" w:eastAsia="宋体" w:cs="Times New Roman"/>
      <w:sz w:val="24"/>
    </w:rPr>
  </w:style>
  <w:style w:type="paragraph" w:customStyle="1" w:styleId="341">
    <w:name w:val="msonormalcxspmiddle"/>
    <w:basedOn w:val="1"/>
    <w:qFormat/>
    <w:uiPriority w:val="0"/>
    <w:pPr>
      <w:widowControl/>
      <w:spacing w:before="100" w:beforeLines="0" w:beforeAutospacing="1" w:after="100" w:afterLines="0" w:afterAutospacing="1"/>
      <w:jc w:val="left"/>
    </w:pPr>
    <w:rPr>
      <w:rFonts w:ascii="宋体" w:hAnsi="Calibri" w:eastAsia="宋体" w:cs="宋体"/>
      <w:kern w:val="0"/>
      <w:sz w:val="24"/>
      <w:lang w:bidi="ar-SA"/>
    </w:rPr>
  </w:style>
  <w:style w:type="paragraph" w:customStyle="1" w:styleId="342">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6"/>
      <w:szCs w:val="16"/>
    </w:rPr>
  </w:style>
  <w:style w:type="paragraph" w:customStyle="1" w:styleId="343">
    <w:name w:val="yd正文"/>
    <w:basedOn w:val="1"/>
    <w:qFormat/>
    <w:uiPriority w:val="0"/>
    <w:pPr>
      <w:widowControl/>
      <w:spacing w:line="360" w:lineRule="auto"/>
      <w:ind w:firstLine="482"/>
    </w:pPr>
    <w:rPr>
      <w:rFonts w:ascii="宋体" w:hAnsi="Arial Unicode MS" w:eastAsia="宋体" w:cs="Times New Roman"/>
      <w:bCs/>
      <w:kern w:val="0"/>
      <w:sz w:val="24"/>
    </w:rPr>
  </w:style>
  <w:style w:type="paragraph" w:customStyle="1" w:styleId="344">
    <w:name w:val="xl72"/>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45">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346">
    <w:name w:val="font10"/>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347">
    <w:name w:val="正文缩进1"/>
    <w:basedOn w:val="1"/>
    <w:qFormat/>
    <w:uiPriority w:val="0"/>
    <w:pPr>
      <w:spacing w:line="360" w:lineRule="auto"/>
      <w:ind w:firstLine="200" w:firstLineChars="200"/>
      <w:jc w:val="left"/>
    </w:pPr>
    <w:rPr>
      <w:rFonts w:ascii="宋体" w:hAnsi="宋体" w:eastAsia="宋体" w:cs="Times New Roman"/>
      <w:sz w:val="24"/>
      <w:szCs w:val="22"/>
    </w:rPr>
  </w:style>
  <w:style w:type="paragraph" w:customStyle="1" w:styleId="348">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eastAsia="宋体" w:cs="Times New Roman"/>
      <w:sz w:val="24"/>
      <w:szCs w:val="20"/>
    </w:rPr>
  </w:style>
  <w:style w:type="paragraph" w:customStyle="1" w:styleId="349">
    <w:name w:val="p15"/>
    <w:basedOn w:val="1"/>
    <w:qFormat/>
    <w:uiPriority w:val="0"/>
    <w:pPr>
      <w:widowControl/>
    </w:pPr>
    <w:rPr>
      <w:rFonts w:ascii="宋体" w:hAnsi="Calibri" w:eastAsia="宋体" w:cs="宋体"/>
      <w:kern w:val="0"/>
      <w:szCs w:val="21"/>
      <w:lang w:bidi="ar-SA"/>
    </w:rPr>
  </w:style>
  <w:style w:type="paragraph" w:customStyle="1" w:styleId="350">
    <w:name w:val="样式3"/>
    <w:basedOn w:val="286"/>
    <w:qFormat/>
    <w:uiPriority w:val="0"/>
    <w:pPr>
      <w:spacing w:line="240" w:lineRule="auto"/>
      <w:ind w:firstLine="0" w:firstLineChars="0"/>
    </w:pPr>
    <w:rPr>
      <w:rFonts w:ascii="Times New Roman" w:hAnsi="Times New Roman" w:eastAsia="宋体" w:cs="Times New Roman"/>
      <w:sz w:val="21"/>
    </w:rPr>
  </w:style>
  <w:style w:type="paragraph" w:customStyle="1" w:styleId="35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52">
    <w:name w:val="表格文字"/>
    <w:basedOn w:val="1"/>
    <w:qFormat/>
    <w:uiPriority w:val="0"/>
    <w:pPr>
      <w:adjustRightInd w:val="0"/>
      <w:spacing w:line="240" w:lineRule="atLeast"/>
      <w:jc w:val="center"/>
      <w:textAlignment w:val="baseline"/>
    </w:pPr>
    <w:rPr>
      <w:rFonts w:ascii="宋体" w:hAnsi="Calibri" w:eastAsia="宋体" w:cs="Times New Roman"/>
      <w:kern w:val="0"/>
      <w:szCs w:val="20"/>
    </w:rPr>
  </w:style>
  <w:style w:type="paragraph" w:customStyle="1" w:styleId="353">
    <w:name w:val="样式5"/>
    <w:basedOn w:val="1"/>
    <w:qFormat/>
    <w:uiPriority w:val="0"/>
    <w:pPr>
      <w:widowControl/>
      <w:numPr>
        <w:ilvl w:val="1"/>
        <w:numId w:val="20"/>
      </w:numPr>
      <w:spacing w:before="156" w:beforeLines="50" w:after="156" w:afterLines="50"/>
    </w:pPr>
    <w:rPr>
      <w:rFonts w:ascii="Calibri" w:hAnsi="Calibri" w:eastAsia="宋体" w:cs="Times New Roman"/>
      <w:kern w:val="0"/>
    </w:rPr>
  </w:style>
  <w:style w:type="paragraph" w:customStyle="1" w:styleId="354">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5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6"/>
      <w:szCs w:val="16"/>
    </w:rPr>
  </w:style>
  <w:style w:type="paragraph" w:customStyle="1" w:styleId="356">
    <w:name w:val="样式 标题 1l1I1heading 1h11st levell1+toc 1Chapter title1He..."/>
    <w:basedOn w:val="3"/>
    <w:qFormat/>
    <w:uiPriority w:val="0"/>
    <w:pPr>
      <w:tabs>
        <w:tab w:val="left" w:pos="525"/>
      </w:tabs>
      <w:spacing w:line="360" w:lineRule="auto"/>
    </w:pPr>
    <w:rPr>
      <w:rFonts w:ascii="Calibri" w:hAnsi="Calibri" w:eastAsia="黑体" w:cs="Times New Roman"/>
      <w:bCs/>
      <w:sz w:val="28"/>
      <w:szCs w:val="32"/>
    </w:rPr>
  </w:style>
  <w:style w:type="paragraph" w:customStyle="1" w:styleId="357">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58">
    <w:name w:val="Char1"/>
    <w:basedOn w:val="1"/>
    <w:qFormat/>
    <w:uiPriority w:val="0"/>
    <w:rPr>
      <w:rFonts w:ascii="Calibri" w:hAnsi="Calibri" w:eastAsia="宋体" w:cs="Times New Roman"/>
    </w:rPr>
  </w:style>
  <w:style w:type="paragraph" w:customStyle="1" w:styleId="359">
    <w:name w:val="Char Char Char Char Char Char 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360">
    <w:name w:val="MyPoints"/>
    <w:basedOn w:val="1"/>
    <w:qFormat/>
    <w:uiPriority w:val="0"/>
    <w:pPr>
      <w:widowControl/>
      <w:numPr>
        <w:ilvl w:val="0"/>
        <w:numId w:val="0"/>
      </w:numPr>
      <w:ind w:left="936" w:hanging="360"/>
      <w:jc w:val="left"/>
    </w:pPr>
    <w:rPr>
      <w:rFonts w:ascii="Century Gothic" w:hAnsi="Century Gothic" w:eastAsia="宋体" w:cs="Times New Roman"/>
      <w:kern w:val="0"/>
      <w:sz w:val="20"/>
      <w:szCs w:val="20"/>
      <w:lang w:val="en-GB" w:eastAsia="en-US"/>
    </w:rPr>
  </w:style>
  <w:style w:type="paragraph" w:customStyle="1" w:styleId="361">
    <w:name w:val="默认段落字体 Para Char Char Char Char Char Char Char Char Char1 Char Char Char Char Char Char Char"/>
    <w:basedOn w:val="26"/>
    <w:qFormat/>
    <w:uiPriority w:val="0"/>
    <w:rPr>
      <w:rFonts w:ascii="Tahoma" w:hAnsi="Tahoma" w:eastAsia="宋体" w:cs="Times New Roman"/>
      <w:sz w:val="24"/>
      <w:lang w:val="en-US" w:eastAsia="zh-CN"/>
    </w:rPr>
  </w:style>
  <w:style w:type="paragraph" w:customStyle="1" w:styleId="362">
    <w:name w:val="默认段落字体 Para Char Char Char Char Char Char Char"/>
    <w:basedOn w:val="1"/>
    <w:qFormat/>
    <w:uiPriority w:val="0"/>
    <w:pPr>
      <w:jc w:val="left"/>
    </w:pPr>
    <w:rPr>
      <w:rFonts w:ascii="Tahoma" w:hAnsi="Tahoma" w:eastAsia="宋体" w:cs="Times New Roman"/>
      <w:sz w:val="24"/>
      <w:szCs w:val="20"/>
    </w:rPr>
  </w:style>
  <w:style w:type="paragraph" w:customStyle="1" w:styleId="363">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64">
    <w:name w:val="样式 宋体 小四 行距: 1.5 倍行距"/>
    <w:basedOn w:val="1"/>
    <w:qFormat/>
    <w:uiPriority w:val="0"/>
    <w:pPr>
      <w:spacing w:line="360" w:lineRule="auto"/>
      <w:ind w:firstLine="200" w:firstLineChars="200"/>
    </w:pPr>
    <w:rPr>
      <w:rFonts w:ascii="宋体" w:hAnsi="宋体" w:eastAsia="宋体" w:cs="宋体"/>
      <w:sz w:val="24"/>
      <w:szCs w:val="20"/>
    </w:rPr>
  </w:style>
  <w:style w:type="paragraph" w:customStyle="1" w:styleId="365">
    <w:name w:val="font16"/>
    <w:basedOn w:val="1"/>
    <w:qFormat/>
    <w:uiPriority w:val="0"/>
    <w:pPr>
      <w:widowControl/>
      <w:spacing w:before="100" w:beforeLines="0" w:beforeAutospacing="1" w:after="100" w:afterLines="0" w:afterAutospacing="1"/>
      <w:jc w:val="left"/>
    </w:pPr>
    <w:rPr>
      <w:rFonts w:ascii="宋体" w:hAnsi="Calibri" w:eastAsia="宋体" w:cs="宋体"/>
      <w:color w:val="000000"/>
      <w:kern w:val="0"/>
      <w:sz w:val="20"/>
      <w:szCs w:val="20"/>
      <w:lang w:bidi="ar-SA"/>
    </w:rPr>
  </w:style>
  <w:style w:type="paragraph" w:customStyle="1" w:styleId="366">
    <w:name w:val="Char Char"/>
    <w:basedOn w:val="1"/>
    <w:qFormat/>
    <w:uiPriority w:val="0"/>
    <w:rPr>
      <w:rFonts w:ascii="Tahoma" w:hAnsi="Tahoma" w:eastAsia="宋体" w:cs="Times New Roman"/>
      <w:sz w:val="24"/>
      <w:szCs w:val="20"/>
    </w:rPr>
  </w:style>
  <w:style w:type="paragraph" w:customStyle="1" w:styleId="3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68">
    <w:name w:val=" Char"/>
    <w:basedOn w:val="1"/>
    <w:qFormat/>
    <w:uiPriority w:val="0"/>
    <w:rPr>
      <w:rFonts w:ascii="Calibri" w:hAnsi="Calibri" w:eastAsia="宋体" w:cs="Times New Roman"/>
    </w:rPr>
  </w:style>
  <w:style w:type="paragraph" w:customStyle="1" w:styleId="369">
    <w:name w:val="font20"/>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370">
    <w:name w:val="正文1级"/>
    <w:qFormat/>
    <w:uiPriority w:val="0"/>
    <w:pPr>
      <w:widowControl w:val="0"/>
      <w:numPr>
        <w:ilvl w:val="1"/>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71">
    <w:name w:val="def正文"/>
    <w:basedOn w:val="34"/>
    <w:qFormat/>
    <w:uiPriority w:val="0"/>
    <w:pPr>
      <w:widowControl/>
      <w:spacing w:line="360" w:lineRule="auto"/>
      <w:ind w:firstLine="482"/>
      <w:jc w:val="both"/>
    </w:pPr>
    <w:rPr>
      <w:rFonts w:ascii="Times New Roman" w:hAnsi="Calibri" w:eastAsia="宋体" w:cs="Times New Roman"/>
      <w:b/>
      <w:color w:val="000000"/>
      <w:kern w:val="0"/>
    </w:rPr>
  </w:style>
  <w:style w:type="paragraph" w:customStyle="1" w:styleId="372">
    <w:name w:val="font0"/>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customStyle="1" w:styleId="373">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374">
    <w:name w:val="正文-带编号1)"/>
    <w:basedOn w:val="1"/>
    <w:qFormat/>
    <w:uiPriority w:val="0"/>
    <w:pPr>
      <w:tabs>
        <w:tab w:val="left" w:pos="2409"/>
      </w:tabs>
      <w:spacing w:line="400" w:lineRule="exact"/>
      <w:ind w:left="2410"/>
    </w:pPr>
    <w:rPr>
      <w:rFonts w:ascii="Arial" w:hAnsi="Arial" w:eastAsia="宋体" w:cs="Times New Roman"/>
    </w:rPr>
  </w:style>
  <w:style w:type="paragraph" w:customStyle="1" w:styleId="375">
    <w:name w:val="xl71"/>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376">
    <w:name w:val="font11"/>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377">
    <w:name w:val="xl80"/>
    <w:basedOn w:val="1"/>
    <w:qFormat/>
    <w:uiPriority w:val="0"/>
    <w:pPr>
      <w:widowControl/>
      <w:spacing w:before="100" w:beforeLines="0" w:beforeAutospacing="1" w:after="100" w:afterLines="0" w:afterAutospacing="1"/>
      <w:jc w:val="right"/>
    </w:pPr>
    <w:rPr>
      <w:rFonts w:ascii="宋体" w:hAnsi="Calibri" w:eastAsia="宋体" w:cs="宋体"/>
      <w:b/>
      <w:bCs/>
      <w:kern w:val="0"/>
      <w:sz w:val="20"/>
      <w:szCs w:val="20"/>
      <w:lang w:bidi="ar-SA"/>
    </w:rPr>
  </w:style>
  <w:style w:type="paragraph" w:customStyle="1" w:styleId="378">
    <w:name w:val=" Char1 Char Char Char"/>
    <w:basedOn w:val="1"/>
    <w:qFormat/>
    <w:uiPriority w:val="0"/>
    <w:pPr>
      <w:spacing w:line="360" w:lineRule="auto"/>
      <w:ind w:firstLine="200" w:firstLineChars="200"/>
    </w:pPr>
    <w:rPr>
      <w:rFonts w:ascii="宋体" w:hAnsi="宋体" w:eastAsia="宋体" w:cs="宋体"/>
      <w:sz w:val="24"/>
    </w:rPr>
  </w:style>
  <w:style w:type="paragraph" w:customStyle="1" w:styleId="379">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80">
    <w:name w:val="样式 日期 + 行距: 1.5 倍行距"/>
    <w:basedOn w:val="50"/>
    <w:qFormat/>
    <w:uiPriority w:val="0"/>
    <w:pPr>
      <w:widowControl/>
      <w:spacing w:line="360" w:lineRule="auto"/>
      <w:ind w:left="0" w:leftChars="0" w:firstLine="540"/>
    </w:pPr>
    <w:rPr>
      <w:rFonts w:ascii="Calibri" w:hAnsi="Calibri" w:eastAsia="宋体" w:cs="宋体"/>
      <w:kern w:val="0"/>
      <w:szCs w:val="20"/>
    </w:rPr>
  </w:style>
  <w:style w:type="paragraph" w:customStyle="1" w:styleId="381">
    <w:name w:val="xl77"/>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382">
    <w:name w:val="正文(首行缩进）"/>
    <w:basedOn w:val="1"/>
    <w:qFormat/>
    <w:uiPriority w:val="0"/>
    <w:pPr>
      <w:adjustRightInd w:val="0"/>
      <w:snapToGrid w:val="0"/>
      <w:spacing w:line="288" w:lineRule="auto"/>
      <w:ind w:firstLine="200"/>
      <w:jc w:val="left"/>
      <w:textAlignment w:val="baseline"/>
    </w:pPr>
    <w:rPr>
      <w:rFonts w:ascii="宋体" w:hAnsi="宋体" w:eastAsia="宋体" w:cs="Times New Roman"/>
      <w:kern w:val="0"/>
      <w:sz w:val="24"/>
    </w:rPr>
  </w:style>
  <w:style w:type="paragraph" w:customStyle="1" w:styleId="383">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hAnsi="Calibri" w:eastAsia="宋体" w:cs="宋体"/>
      <w:sz w:val="28"/>
      <w:szCs w:val="20"/>
    </w:rPr>
  </w:style>
  <w:style w:type="paragraph" w:customStyle="1" w:styleId="384">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5">
    <w:name w:val="Char"/>
    <w:basedOn w:val="1"/>
    <w:qFormat/>
    <w:uiPriority w:val="0"/>
    <w:rPr>
      <w:rFonts w:ascii="Calibri" w:hAnsi="Calibri" w:eastAsia="宋体" w:cs="Times New Roman"/>
    </w:rPr>
  </w:style>
  <w:style w:type="paragraph" w:customStyle="1" w:styleId="386">
    <w:name w:val="正文3级"/>
    <w:qFormat/>
    <w:uiPriority w:val="0"/>
    <w:pPr>
      <w:widowControl w:val="0"/>
      <w:numPr>
        <w:ilvl w:val="5"/>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87">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388">
    <w:name w:val="Normal Paragraph"/>
    <w:basedOn w:val="1"/>
    <w:qFormat/>
    <w:uiPriority w:val="0"/>
    <w:pPr>
      <w:spacing w:before="100" w:beforeAutospacing="1" w:after="100" w:afterAutospacing="1" w:line="360" w:lineRule="auto"/>
      <w:ind w:firstLine="425"/>
    </w:pPr>
    <w:rPr>
      <w:rFonts w:ascii="Calibri" w:hAnsi="Calibri" w:eastAsia="宋体" w:cs="Times New Roman"/>
      <w:sz w:val="24"/>
    </w:rPr>
  </w:style>
  <w:style w:type="paragraph" w:customStyle="1" w:styleId="3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390">
    <w:name w:val="表格标题小四"/>
    <w:basedOn w:val="1"/>
    <w:next w:val="1"/>
    <w:qFormat/>
    <w:uiPriority w:val="0"/>
    <w:pPr>
      <w:adjustRightInd w:val="0"/>
      <w:snapToGrid w:val="0"/>
      <w:spacing w:line="288" w:lineRule="auto"/>
      <w:jc w:val="center"/>
    </w:pPr>
    <w:rPr>
      <w:rFonts w:ascii="Calibri" w:hAnsi="Calibri" w:eastAsia="黑体" w:cs="Times New Roman"/>
      <w:bCs/>
      <w:snapToGrid w:val="0"/>
      <w:sz w:val="24"/>
    </w:rPr>
  </w:style>
  <w:style w:type="paragraph" w:customStyle="1" w:styleId="391">
    <w:name w:val="(符号)五标题1.1.1"/>
    <w:basedOn w:val="1"/>
    <w:qFormat/>
    <w:uiPriority w:val="0"/>
    <w:pPr>
      <w:numPr>
        <w:ilvl w:val="2"/>
        <w:numId w:val="0"/>
      </w:numPr>
      <w:tabs>
        <w:tab w:val="left" w:pos="862"/>
      </w:tabs>
      <w:spacing w:line="500" w:lineRule="exact"/>
      <w:ind w:left="862" w:hanging="720"/>
    </w:pPr>
    <w:rPr>
      <w:rFonts w:ascii="宋体" w:hAnsi="宋体" w:eastAsia="宋体" w:cs="宋体"/>
      <w:color w:val="000000"/>
      <w:sz w:val="24"/>
      <w:szCs w:val="20"/>
    </w:rPr>
  </w:style>
  <w:style w:type="paragraph" w:customStyle="1" w:styleId="392">
    <w:name w:val="表格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93">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eastAsia="宋体" w:cs="Times New Roman"/>
      <w:b/>
      <w:bCs/>
      <w:color w:val="800000"/>
      <w:kern w:val="0"/>
      <w:sz w:val="24"/>
    </w:rPr>
  </w:style>
  <w:style w:type="paragraph" w:customStyle="1" w:styleId="39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6"/>
      <w:szCs w:val="16"/>
    </w:rPr>
  </w:style>
  <w:style w:type="paragraph" w:customStyle="1" w:styleId="395">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96">
    <w:name w:val="font22"/>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97">
    <w:name w:val="二级条标题"/>
    <w:basedOn w:val="1"/>
    <w:next w:val="1"/>
    <w:qFormat/>
    <w:uiPriority w:val="0"/>
    <w:pPr>
      <w:widowControl/>
      <w:numPr>
        <w:ilvl w:val="3"/>
        <w:numId w:val="21"/>
      </w:numPr>
      <w:jc w:val="left"/>
      <w:outlineLvl w:val="3"/>
    </w:pPr>
    <w:rPr>
      <w:rFonts w:ascii="Calibri" w:hAnsi="Calibri" w:eastAsia="黑体" w:cs="Times New Roman"/>
      <w:kern w:val="0"/>
      <w:szCs w:val="20"/>
    </w:rPr>
  </w:style>
  <w:style w:type="paragraph" w:customStyle="1" w:styleId="398">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9">
    <w:name w:val="题注5"/>
    <w:basedOn w:val="1"/>
    <w:next w:val="22"/>
    <w:qFormat/>
    <w:uiPriority w:val="0"/>
    <w:pPr>
      <w:numPr>
        <w:ilvl w:val="1"/>
        <w:numId w:val="22"/>
      </w:numPr>
      <w:tabs>
        <w:tab w:val="left" w:pos="0"/>
        <w:tab w:val="left" w:pos="720"/>
      </w:tabs>
      <w:spacing w:line="360" w:lineRule="auto"/>
      <w:ind w:left="720" w:hanging="720"/>
    </w:pPr>
    <w:rPr>
      <w:rFonts w:ascii="Calibri" w:hAnsi="Calibri" w:eastAsia="宋体" w:cs="Times New Roman"/>
      <w:b/>
      <w:color w:val="000000"/>
      <w:sz w:val="28"/>
      <w:szCs w:val="28"/>
    </w:rPr>
  </w:style>
  <w:style w:type="paragraph" w:customStyle="1" w:styleId="400">
    <w:name w:val=" Char Char2 Char"/>
    <w:basedOn w:val="1"/>
    <w:qFormat/>
    <w:uiPriority w:val="0"/>
    <w:pPr>
      <w:widowControl/>
      <w:spacing w:after="160" w:line="240" w:lineRule="exact"/>
      <w:jc w:val="left"/>
    </w:pPr>
    <w:rPr>
      <w:rFonts w:ascii="Arial" w:hAnsi="Arial" w:eastAsia="宋体" w:cs="Times New Roman"/>
      <w:kern w:val="0"/>
      <w:sz w:val="22"/>
      <w:szCs w:val="22"/>
      <w:lang w:eastAsia="en-US"/>
    </w:rPr>
  </w:style>
  <w:style w:type="paragraph" w:customStyle="1" w:styleId="401">
    <w:name w:val=" Char Char Char Char Char Char1 Char"/>
    <w:basedOn w:val="1"/>
    <w:qFormat/>
    <w:uiPriority w:val="0"/>
    <w:pPr>
      <w:widowControl/>
      <w:spacing w:after="160" w:afterLines="0" w:line="240" w:lineRule="exact"/>
      <w:jc w:val="left"/>
    </w:pPr>
    <w:rPr>
      <w:rFonts w:ascii="Verdana" w:hAnsi="Verdana" w:eastAsia="宋体" w:cs="Times New Roman"/>
      <w:kern w:val="0"/>
      <w:szCs w:val="20"/>
      <w:lang w:eastAsia="en-US"/>
    </w:rPr>
  </w:style>
  <w:style w:type="paragraph" w:customStyle="1" w:styleId="402">
    <w:name w:val="font8"/>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403">
    <w:name w:val="编号4级"/>
    <w:qFormat/>
    <w:uiPriority w:val="0"/>
    <w:pPr>
      <w:numPr>
        <w:ilvl w:val="3"/>
        <w:numId w:val="0"/>
      </w:numPr>
      <w:tabs>
        <w:tab w:val="left" w:pos="1843"/>
      </w:tabs>
      <w:spacing w:line="360" w:lineRule="auto"/>
      <w:ind w:left="1843" w:hanging="284"/>
    </w:pPr>
    <w:rPr>
      <w:rFonts w:ascii="Calibri" w:hAnsi="Calibri" w:eastAsia="宋体" w:cs="Times New Roman"/>
      <w:kern w:val="24"/>
      <w:sz w:val="24"/>
      <w:szCs w:val="18"/>
      <w:lang w:val="en-US" w:eastAsia="zh-CN" w:bidi="ar-SA"/>
    </w:rPr>
  </w:style>
  <w:style w:type="paragraph" w:customStyle="1" w:styleId="404">
    <w:name w:val="(符号)三标题1."/>
    <w:basedOn w:val="1"/>
    <w:qFormat/>
    <w:uiPriority w:val="0"/>
    <w:pPr>
      <w:numPr>
        <w:ilvl w:val="0"/>
        <w:numId w:val="23"/>
      </w:numPr>
      <w:spacing w:before="140" w:after="140" w:line="500" w:lineRule="exact"/>
      <w:outlineLvl w:val="2"/>
    </w:pPr>
    <w:rPr>
      <w:rFonts w:ascii="楷体_GB2312" w:hAnsi="宋体" w:eastAsia="楷体_GB2312" w:cs="宋体"/>
      <w:b/>
      <w:bCs/>
      <w:sz w:val="28"/>
      <w:szCs w:val="20"/>
    </w:rPr>
  </w:style>
  <w:style w:type="paragraph" w:customStyle="1" w:styleId="405">
    <w:name w:val="表格(五号)"/>
    <w:basedOn w:val="1"/>
    <w:qFormat/>
    <w:uiPriority w:val="0"/>
    <w:pPr>
      <w:adjustRightInd w:val="0"/>
      <w:snapToGrid w:val="0"/>
      <w:spacing w:before="60" w:after="60"/>
      <w:ind w:left="11"/>
      <w:jc w:val="center"/>
    </w:pPr>
    <w:rPr>
      <w:rFonts w:ascii="Calibri" w:hAnsi="Calibri" w:eastAsia="宋体" w:cs="Times New Roman"/>
      <w:kern w:val="0"/>
      <w:szCs w:val="20"/>
    </w:rPr>
  </w:style>
  <w:style w:type="paragraph" w:customStyle="1" w:styleId="406">
    <w:name w:val="Char2"/>
    <w:basedOn w:val="1"/>
    <w:qFormat/>
    <w:uiPriority w:val="0"/>
    <w:rPr>
      <w:rFonts w:ascii="Calibri" w:hAnsi="Calibri" w:eastAsia="宋体" w:cs="Times New Roman"/>
    </w:rPr>
  </w:style>
  <w:style w:type="paragraph" w:customStyle="1" w:styleId="407">
    <w:name w:val="Char Char Char1 Char"/>
    <w:basedOn w:val="1"/>
    <w:qFormat/>
    <w:uiPriority w:val="0"/>
    <w:pPr>
      <w:adjustRightInd w:val="0"/>
      <w:textAlignment w:val="baseline"/>
    </w:pPr>
    <w:rPr>
      <w:rFonts w:ascii="Calibri" w:hAnsi="Calibri" w:eastAsia="宋体" w:cs="Times New Roman"/>
      <w:bCs/>
      <w:kern w:val="0"/>
    </w:rPr>
  </w:style>
  <w:style w:type="paragraph" w:customStyle="1" w:styleId="408">
    <w:name w:val="just"/>
    <w:basedOn w:val="1"/>
    <w:qFormat/>
    <w:uiPriority w:val="0"/>
    <w:pPr>
      <w:widowControl/>
      <w:spacing w:before="100" w:beforeAutospacing="1" w:after="100" w:afterAutospacing="1" w:line="360" w:lineRule="auto"/>
      <w:ind w:firstLine="510"/>
    </w:pPr>
    <w:rPr>
      <w:rFonts w:ascii="Geneva" w:hAnsi="Geneva" w:eastAsia="宋体" w:cs="Times New Roman"/>
      <w:kern w:val="0"/>
      <w:sz w:val="24"/>
    </w:rPr>
  </w:style>
  <w:style w:type="paragraph" w:customStyle="1" w:styleId="409">
    <w:name w:val="样式 标题 1 + 段前: 1 行 段后: 1 行1"/>
    <w:basedOn w:val="3"/>
    <w:qFormat/>
    <w:uiPriority w:val="0"/>
    <w:pPr>
      <w:numPr>
        <w:ilvl w:val="0"/>
        <w:numId w:val="24"/>
      </w:numPr>
      <w:snapToGrid w:val="0"/>
      <w:spacing w:before="100" w:beforeLines="100" w:after="100" w:afterLines="100" w:line="360" w:lineRule="auto"/>
    </w:pPr>
    <w:rPr>
      <w:rFonts w:ascii="Calibri" w:hAnsi="Calibri" w:eastAsia="宋体" w:cs="宋体"/>
      <w:bCs/>
      <w:sz w:val="32"/>
    </w:rPr>
  </w:style>
  <w:style w:type="paragraph" w:customStyle="1" w:styleId="410">
    <w:name w:val="Char Char1 Char Char Char Char Char Char Char"/>
    <w:basedOn w:val="1"/>
    <w:qFormat/>
    <w:uiPriority w:val="0"/>
    <w:rPr>
      <w:rFonts w:ascii="Tahoma" w:hAnsi="Tahoma" w:eastAsia="宋体" w:cs="Times New Roman"/>
      <w:sz w:val="24"/>
      <w:szCs w:val="20"/>
    </w:rPr>
  </w:style>
  <w:style w:type="paragraph" w:customStyle="1" w:styleId="411">
    <w:name w:val="pa-0"/>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412">
    <w:name w:val="样式 标题 3h:33H3Kop 3Vl3Level 3 Headh3sect1.2.3Alt+31.1.1..."/>
    <w:basedOn w:val="5"/>
    <w:qFormat/>
    <w:uiPriority w:val="0"/>
    <w:pPr>
      <w:numPr>
        <w:ilvl w:val="2"/>
        <w:numId w:val="12"/>
      </w:numPr>
      <w:spacing w:before="312" w:after="312"/>
    </w:pPr>
    <w:rPr>
      <w:rFonts w:ascii="Calibri" w:hAnsi="Calibri" w:eastAsia="宋体" w:cs="宋体"/>
      <w:sz w:val="30"/>
      <w:szCs w:val="20"/>
      <w:lang w:bidi="ar-SA"/>
    </w:rPr>
  </w:style>
  <w:style w:type="paragraph" w:customStyle="1" w:styleId="413">
    <w:name w:val="bt1bt1"/>
    <w:basedOn w:val="3"/>
    <w:qFormat/>
    <w:uiPriority w:val="0"/>
    <w:pPr>
      <w:spacing w:line="240" w:lineRule="auto"/>
      <w:jc w:val="center"/>
    </w:pPr>
    <w:rPr>
      <w:rFonts w:ascii="黑体" w:hAnsi="Calibri" w:eastAsia="黑体" w:cs="Times New Roman"/>
      <w:b w:val="0"/>
      <w:bCs/>
      <w:sz w:val="36"/>
      <w:szCs w:val="36"/>
    </w:rPr>
  </w:style>
  <w:style w:type="paragraph" w:customStyle="1" w:styleId="414">
    <w:name w:val="样式 标题 1章H11. heading 1标准章Alt+1h1Huvudrubrikh11h12h13h..."/>
    <w:basedOn w:val="1"/>
    <w:qFormat/>
    <w:uiPriority w:val="0"/>
    <w:rPr>
      <w:rFonts w:ascii="Calibri" w:hAnsi="Calibri" w:eastAsia="宋体" w:cs="Times New Roman"/>
    </w:rPr>
  </w:style>
  <w:style w:type="paragraph" w:customStyle="1" w:styleId="415">
    <w:name w:val="font15"/>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16">
    <w:name w:val="xl786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17">
    <w:name w:val="xl82"/>
    <w:basedOn w:val="1"/>
    <w:qFormat/>
    <w:uiPriority w:val="0"/>
    <w:pPr>
      <w:widowControl/>
      <w:spacing w:before="100" w:beforeLines="0" w:beforeAutospacing="1" w:after="100" w:afterLines="0" w:afterAutospacing="1"/>
    </w:pPr>
    <w:rPr>
      <w:rFonts w:ascii="宋体" w:hAnsi="Calibri" w:eastAsia="宋体" w:cs="宋体"/>
      <w:b/>
      <w:bCs/>
      <w:kern w:val="0"/>
      <w:sz w:val="20"/>
      <w:szCs w:val="20"/>
      <w:lang w:bidi="ar-SA"/>
    </w:rPr>
  </w:style>
  <w:style w:type="paragraph" w:customStyle="1" w:styleId="418">
    <w:name w:val="表3"/>
    <w:basedOn w:val="300"/>
    <w:qFormat/>
    <w:uiPriority w:val="0"/>
    <w:pPr>
      <w:numPr>
        <w:ilvl w:val="0"/>
        <w:numId w:val="22"/>
      </w:numPr>
    </w:pPr>
    <w:rPr>
      <w:rFonts w:ascii="Calibri" w:hAnsi="Calibri" w:eastAsia="宋体" w:cs="Times New Roman"/>
    </w:rPr>
  </w:style>
  <w:style w:type="paragraph" w:customStyle="1" w:styleId="419">
    <w:name w:val="CM19"/>
    <w:basedOn w:val="138"/>
    <w:next w:val="138"/>
    <w:qFormat/>
    <w:uiPriority w:val="0"/>
    <w:pPr>
      <w:spacing w:line="440" w:lineRule="atLeast"/>
    </w:pPr>
    <w:rPr>
      <w:rFonts w:ascii="方正小标宋简体" w:hAnsi="Calibri" w:eastAsia="方正小标宋简体" w:cs="Times New Roman"/>
      <w:color w:val="auto"/>
    </w:rPr>
  </w:style>
  <w:style w:type="paragraph" w:customStyle="1" w:styleId="420">
    <w:name w:val="font5"/>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421">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22">
    <w:name w:val="xl81"/>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23">
    <w:name w:val="List Paragraph1"/>
    <w:basedOn w:val="1"/>
    <w:qFormat/>
    <w:uiPriority w:val="34"/>
    <w:pPr>
      <w:ind w:firstLine="420" w:firstLineChars="200"/>
    </w:pPr>
  </w:style>
  <w:style w:type="paragraph" w:customStyle="1" w:styleId="424">
    <w:name w:val="10"/>
    <w:basedOn w:val="1"/>
    <w:qFormat/>
    <w:uiPriority w:val="0"/>
    <w:pPr>
      <w:spacing w:line="360" w:lineRule="auto"/>
      <w:ind w:firstLine="454"/>
    </w:pPr>
    <w:rPr>
      <w:rFonts w:ascii="Tahoma" w:hAnsi="Tahoma" w:eastAsia="宋体" w:cs="Times New Roman"/>
      <w:sz w:val="24"/>
      <w:szCs w:val="20"/>
    </w:rPr>
  </w:style>
  <w:style w:type="paragraph" w:customStyle="1" w:styleId="425">
    <w:name w:val="(符号)四标题1.1"/>
    <w:basedOn w:val="1"/>
    <w:qFormat/>
    <w:uiPriority w:val="0"/>
    <w:pPr>
      <w:numPr>
        <w:ilvl w:val="1"/>
        <w:numId w:val="0"/>
      </w:numPr>
      <w:tabs>
        <w:tab w:val="left" w:pos="576"/>
      </w:tabs>
      <w:spacing w:line="500" w:lineRule="exact"/>
      <w:ind w:left="576" w:hanging="576"/>
    </w:pPr>
    <w:rPr>
      <w:rFonts w:ascii="宋体" w:hAnsi="宋体" w:eastAsia="宋体" w:cs="宋体"/>
      <w:color w:val="000000"/>
      <w:kern w:val="0"/>
      <w:sz w:val="24"/>
      <w:szCs w:val="20"/>
    </w:rPr>
  </w:style>
  <w:style w:type="paragraph" w:customStyle="1" w:styleId="426">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eastAsia="宋体" w:cs="Times New Roman"/>
      <w:b/>
      <w:bCs/>
      <w:color w:val="800000"/>
      <w:kern w:val="0"/>
      <w:sz w:val="24"/>
    </w:rPr>
  </w:style>
  <w:style w:type="paragraph" w:customStyle="1" w:styleId="4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28">
    <w:name w:val="xl6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29">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430">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eastAsia="宋体" w:cs="Arial"/>
      <w:snapToGrid w:val="0"/>
      <w:kern w:val="0"/>
      <w:szCs w:val="21"/>
    </w:rPr>
  </w:style>
  <w:style w:type="paragraph" w:customStyle="1" w:styleId="431">
    <w:name w:val="font13"/>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32">
    <w:name w:val="默认段落字体 Para Char Char Char Char Char Char Char Char Char Char Char Char Char Char"/>
    <w:basedOn w:val="26"/>
    <w:qFormat/>
    <w:uiPriority w:val="0"/>
    <w:rPr>
      <w:rFonts w:ascii="Calibri" w:hAnsi="Calibri" w:eastAsia="宋体" w:cs="Times New Roman"/>
    </w:rPr>
  </w:style>
  <w:style w:type="paragraph" w:customStyle="1" w:styleId="433">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4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435">
    <w:name w:val="xl68"/>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36">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43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38">
    <w:name w:val="xl78"/>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4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styleId="44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441">
    <w:name w:val="xl66"/>
    <w:basedOn w:val="1"/>
    <w:qFormat/>
    <w:uiPriority w:val="0"/>
    <w:pPr>
      <w:widowControl/>
      <w:spacing w:before="100" w:beforeLines="0" w:beforeAutospacing="1" w:after="100" w:afterLines="0" w:afterAutospacing="1"/>
      <w:jc w:val="center"/>
    </w:pPr>
    <w:rPr>
      <w:rFonts w:ascii="宋体" w:hAnsi="Calibri" w:eastAsia="宋体" w:cs="宋体"/>
      <w:b/>
      <w:bCs/>
      <w:kern w:val="0"/>
      <w:sz w:val="20"/>
      <w:szCs w:val="20"/>
      <w:lang w:bidi="ar-SA"/>
    </w:rPr>
  </w:style>
  <w:style w:type="paragraph" w:customStyle="1" w:styleId="442">
    <w:name w:val="xl76"/>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43">
    <w:name w:val="font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16"/>
      <w:szCs w:val="16"/>
    </w:rPr>
  </w:style>
  <w:style w:type="paragraph" w:customStyle="1" w:styleId="445">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6">
    <w:name w:val="列出段落1"/>
    <w:basedOn w:val="1"/>
    <w:qFormat/>
    <w:uiPriority w:val="0"/>
    <w:pPr>
      <w:ind w:firstLine="420" w:firstLineChars="200"/>
    </w:pPr>
    <w:rPr>
      <w:rFonts w:ascii="Calibri" w:hAnsi="Calibri" w:eastAsia="宋体" w:cs="Times New Roman"/>
      <w:szCs w:val="22"/>
    </w:rPr>
  </w:style>
  <w:style w:type="paragraph" w:customStyle="1" w:styleId="447">
    <w:name w:val="6"/>
    <w:next w:val="1"/>
    <w:qFormat/>
    <w:uiPriority w:val="0"/>
    <w:pPr>
      <w:widowControl w:val="0"/>
      <w:adjustRightInd w:val="0"/>
      <w:spacing w:line="312" w:lineRule="atLeast"/>
      <w:jc w:val="both"/>
      <w:textAlignment w:val="baseline"/>
    </w:pPr>
    <w:rPr>
      <w:rFonts w:ascii="Calibri" w:hAnsi="Calibri" w:eastAsia="仿宋" w:cs="Times New Roman"/>
      <w:sz w:val="32"/>
      <w:lang w:val="en-US" w:eastAsia="zh-CN" w:bidi="ar-SA"/>
    </w:rPr>
  </w:style>
  <w:style w:type="paragraph" w:customStyle="1" w:styleId="448">
    <w:name w:val="表格正文（5号）"/>
    <w:basedOn w:val="1"/>
    <w:qFormat/>
    <w:uiPriority w:val="0"/>
    <w:pPr>
      <w:adjustRightInd w:val="0"/>
      <w:snapToGrid w:val="0"/>
      <w:spacing w:line="264" w:lineRule="auto"/>
      <w:jc w:val="center"/>
      <w:textAlignment w:val="baseline"/>
    </w:pPr>
    <w:rPr>
      <w:rFonts w:ascii="Calibri" w:hAnsi="Calibri" w:eastAsia="宋体" w:cs="Times New Roman"/>
      <w:snapToGrid w:val="0"/>
      <w:kern w:val="0"/>
      <w:sz w:val="24"/>
      <w:szCs w:val="20"/>
    </w:rPr>
  </w:style>
  <w:style w:type="paragraph" w:customStyle="1" w:styleId="449">
    <w:name w:val="图1"/>
    <w:basedOn w:val="1"/>
    <w:next w:val="1"/>
    <w:qFormat/>
    <w:uiPriority w:val="0"/>
    <w:pPr>
      <w:numPr>
        <w:ilvl w:val="0"/>
        <w:numId w:val="21"/>
      </w:numPr>
      <w:spacing w:beforeLines="50" w:afterLines="100" w:line="360" w:lineRule="auto"/>
      <w:ind w:left="2210" w:hanging="748"/>
      <w:jc w:val="center"/>
    </w:pPr>
    <w:rPr>
      <w:rFonts w:ascii="Calibri" w:hAnsi="Calibri" w:eastAsia="宋体" w:cs="Times New Roman"/>
      <w:kern w:val="0"/>
      <w:sz w:val="24"/>
    </w:rPr>
  </w:style>
  <w:style w:type="paragraph" w:customStyle="1" w:styleId="450">
    <w:name w:val="pa-2"/>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451">
    <w:name w:val="xl7876"/>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452">
    <w:name w:val="样式 首行缩进:  0.85 厘米 段前: 2.5 磅 段后: 6 磅 行距: 1.5 倍行距"/>
    <w:basedOn w:val="1"/>
    <w:qFormat/>
    <w:uiPriority w:val="0"/>
    <w:pPr>
      <w:spacing w:before="50" w:after="120" w:line="360" w:lineRule="auto"/>
      <w:ind w:firstLine="480"/>
    </w:pPr>
    <w:rPr>
      <w:rFonts w:ascii="Calibri" w:hAnsi="Calibri" w:eastAsia="宋体" w:cs="宋体"/>
      <w:sz w:val="24"/>
      <w:szCs w:val="20"/>
    </w:rPr>
  </w:style>
  <w:style w:type="paragraph" w:customStyle="1" w:styleId="453">
    <w:name w:val="font12"/>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54">
    <w:name w:val="自由格式"/>
    <w:qFormat/>
    <w:uiPriority w:val="0"/>
    <w:rPr>
      <w:rFonts w:ascii="Helvetica" w:hAnsi="Helvetica" w:eastAsia="ヒラギノ角ゴ Pro W3" w:cs="Times New Roman"/>
      <w:color w:val="000000"/>
      <w:sz w:val="24"/>
      <w:lang w:val="en-US" w:eastAsia="zh-CN" w:bidi="ar-SA"/>
    </w:rPr>
  </w:style>
  <w:style w:type="paragraph" w:customStyle="1" w:styleId="455">
    <w:name w:val="È±Ê¡ÎÄ±¾"/>
    <w:basedOn w:val="1"/>
    <w:qFormat/>
    <w:uiPriority w:val="0"/>
    <w:pPr>
      <w:widowControl/>
      <w:overflowPunct w:val="0"/>
      <w:autoSpaceDE w:val="0"/>
      <w:autoSpaceDN w:val="0"/>
      <w:adjustRightInd w:val="0"/>
      <w:jc w:val="left"/>
      <w:textAlignment w:val="baseline"/>
    </w:pPr>
    <w:rPr>
      <w:rFonts w:ascii="Calibri" w:hAnsi="Calibri" w:eastAsia="宋体" w:cs="Times New Roman"/>
      <w:kern w:val="0"/>
      <w:sz w:val="24"/>
      <w:szCs w:val="20"/>
    </w:rPr>
  </w:style>
  <w:style w:type="paragraph" w:customStyle="1" w:styleId="456">
    <w:name w:val="样式 小四 首行缩进:  2 字符"/>
    <w:basedOn w:val="1"/>
    <w:qFormat/>
    <w:uiPriority w:val="0"/>
    <w:pPr>
      <w:spacing w:line="300" w:lineRule="auto"/>
      <w:ind w:firstLine="480" w:firstLineChars="200"/>
    </w:pPr>
    <w:rPr>
      <w:rFonts w:ascii="Calibri" w:hAnsi="Calibri" w:eastAsia="宋体" w:cs="Times New Roman"/>
      <w:sz w:val="24"/>
      <w:szCs w:val="20"/>
    </w:rPr>
  </w:style>
  <w:style w:type="paragraph" w:customStyle="1" w:styleId="457">
    <w:name w:val="p0"/>
    <w:basedOn w:val="1"/>
    <w:qFormat/>
    <w:uiPriority w:val="0"/>
    <w:pPr>
      <w:widowControl/>
    </w:pPr>
    <w:rPr>
      <w:rFonts w:ascii="Courier New" w:hAnsi="Courier New" w:eastAsia="宋体" w:cs="Courier New"/>
      <w:kern w:val="0"/>
      <w:szCs w:val="21"/>
      <w:lang w:bidi="ar-SA"/>
    </w:rPr>
  </w:style>
  <w:style w:type="paragraph" w:customStyle="1" w:styleId="458">
    <w:name w:val="xl67"/>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459">
    <w:name w:val="三级条标题"/>
    <w:basedOn w:val="397"/>
    <w:next w:val="1"/>
    <w:qFormat/>
    <w:uiPriority w:val="0"/>
    <w:pPr>
      <w:numPr>
        <w:ilvl w:val="4"/>
        <w:numId w:val="21"/>
      </w:numPr>
      <w:tabs>
        <w:tab w:val="left" w:pos="360"/>
      </w:tabs>
      <w:outlineLvl w:val="4"/>
    </w:pPr>
    <w:rPr>
      <w:rFonts w:ascii="Calibri" w:hAnsi="Calibri" w:eastAsia="宋体" w:cs="Times New Roman"/>
    </w:rPr>
  </w:style>
  <w:style w:type="paragraph" w:customStyle="1" w:styleId="460">
    <w:name w:val="样式 样式 样式 左侧:  2 字符1 + 首行缩进:  2 字符1 + 首行缩进:  2 字符"/>
    <w:basedOn w:val="1"/>
    <w:qFormat/>
    <w:uiPriority w:val="0"/>
    <w:pPr>
      <w:widowControl/>
      <w:numPr>
        <w:ilvl w:val="0"/>
        <w:numId w:val="25"/>
      </w:numPr>
      <w:adjustRightInd w:val="0"/>
      <w:spacing w:before="60" w:after="120" w:line="440" w:lineRule="atLeast"/>
      <w:ind w:left="0" w:firstLine="480"/>
      <w:textAlignment w:val="baseline"/>
    </w:pPr>
    <w:rPr>
      <w:rFonts w:ascii="Calibri" w:hAnsi="Calibri" w:eastAsia="宋体" w:cs="Times New Roman"/>
      <w:sz w:val="24"/>
      <w:szCs w:val="20"/>
    </w:rPr>
  </w:style>
  <w:style w:type="paragraph" w:customStyle="1" w:styleId="461">
    <w:name w:val="Notes Text List in Table"/>
    <w:qFormat/>
    <w:uiPriority w:val="0"/>
    <w:pPr>
      <w:numPr>
        <w:ilvl w:val="0"/>
        <w:numId w:val="26"/>
      </w:numPr>
      <w:spacing w:before="40" w:after="80" w:line="200" w:lineRule="atLeast"/>
      <w:jc w:val="both"/>
    </w:pPr>
    <w:rPr>
      <w:rFonts w:ascii="Arial" w:hAnsi="Arial" w:eastAsia="楷体_GB2312" w:cs="楷体_GB2312"/>
      <w:sz w:val="18"/>
      <w:szCs w:val="18"/>
      <w:lang w:val="en-US" w:eastAsia="zh-CN" w:bidi="ar-SA"/>
    </w:rPr>
  </w:style>
  <w:style w:type="paragraph" w:customStyle="1" w:styleId="462">
    <w:name w:val="pa-3"/>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463">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eastAsia="宋体" w:cs="宋体"/>
      <w:b/>
      <w:bCs/>
      <w:color w:val="000000"/>
      <w:kern w:val="0"/>
      <w:sz w:val="20"/>
      <w:szCs w:val="20"/>
    </w:rPr>
  </w:style>
  <w:style w:type="paragraph" w:customStyle="1" w:styleId="464">
    <w:name w:val=" Char Char Char Char Char Char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465">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eastAsia="宋体" w:cs="Times New Roman"/>
      <w:color w:val="000000"/>
      <w:kern w:val="0"/>
      <w:sz w:val="24"/>
    </w:rPr>
  </w:style>
  <w:style w:type="paragraph" w:customStyle="1" w:styleId="466">
    <w:name w:val="haikang"/>
    <w:basedOn w:val="1"/>
    <w:qFormat/>
    <w:uiPriority w:val="0"/>
    <w:pPr>
      <w:widowControl/>
      <w:spacing w:before="100" w:beforeAutospacing="1" w:after="100" w:afterAutospacing="1"/>
      <w:jc w:val="left"/>
    </w:pPr>
    <w:rPr>
      <w:rFonts w:ascii="Calibri" w:hAnsi="Calibri" w:eastAsia="仿宋" w:cs="Times New Roman"/>
      <w:color w:val="000000"/>
      <w:kern w:val="0"/>
      <w:sz w:val="18"/>
      <w:szCs w:val="18"/>
    </w:rPr>
  </w:style>
  <w:style w:type="paragraph" w:customStyle="1" w:styleId="467">
    <w:name w:val="封面中部"/>
    <w:basedOn w:val="1"/>
    <w:qFormat/>
    <w:uiPriority w:val="0"/>
    <w:pPr>
      <w:tabs>
        <w:tab w:val="left" w:pos="5040"/>
      </w:tabs>
      <w:adjustRightInd w:val="0"/>
      <w:spacing w:line="300" w:lineRule="auto"/>
      <w:ind w:firstLine="899" w:firstLineChars="281"/>
      <w:textAlignment w:val="baseline"/>
    </w:pPr>
    <w:rPr>
      <w:rFonts w:ascii="黑体" w:hAnsi="Calibri" w:eastAsia="黑体" w:cs="Times New Roman"/>
      <w:kern w:val="0"/>
      <w:sz w:val="32"/>
      <w:szCs w:val="32"/>
    </w:rPr>
  </w:style>
  <w:style w:type="paragraph" w:customStyle="1" w:styleId="468">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469">
    <w:name w:val="xl7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70">
    <w:name w:val="font18"/>
    <w:basedOn w:val="1"/>
    <w:qFormat/>
    <w:uiPriority w:val="0"/>
    <w:pPr>
      <w:widowControl/>
      <w:spacing w:before="100" w:beforeLines="0" w:beforeAutospacing="1" w:after="100" w:afterLines="0" w:afterAutospacing="1"/>
      <w:jc w:val="left"/>
    </w:pPr>
    <w:rPr>
      <w:rFonts w:ascii="宋体" w:hAnsi="Calibri" w:eastAsia="宋体" w:cs="宋体"/>
      <w:b/>
      <w:bCs/>
      <w:color w:val="000000"/>
      <w:kern w:val="0"/>
      <w:sz w:val="20"/>
      <w:szCs w:val="20"/>
      <w:lang w:bidi="ar-SA"/>
    </w:rPr>
  </w:style>
  <w:style w:type="paragraph" w:customStyle="1" w:styleId="471">
    <w:name w:val="_Style 470"/>
    <w:basedOn w:val="3"/>
    <w:next w:val="1"/>
    <w:qFormat/>
    <w:uiPriority w:val="0"/>
    <w:pPr>
      <w:spacing w:line="578" w:lineRule="auto"/>
      <w:outlineLvl w:val="9"/>
    </w:pPr>
    <w:rPr>
      <w:rFonts w:ascii="Calibri" w:hAnsi="Calibri" w:eastAsia="宋体" w:cs="Times New Roman"/>
      <w:bCs/>
      <w:szCs w:val="44"/>
      <w:lang w:val="en-US" w:eastAsia="zh-CN"/>
    </w:rPr>
  </w:style>
  <w:style w:type="paragraph" w:customStyle="1" w:styleId="472">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473">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6"/>
      <w:szCs w:val="16"/>
    </w:rPr>
  </w:style>
  <w:style w:type="paragraph" w:customStyle="1" w:styleId="474">
    <w:name w:val="font7"/>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75">
    <w:name w:val="Char Char2 Char"/>
    <w:basedOn w:val="1"/>
    <w:qFormat/>
    <w:uiPriority w:val="0"/>
    <w:pPr>
      <w:widowControl/>
      <w:spacing w:after="160" w:line="240" w:lineRule="exact"/>
      <w:jc w:val="left"/>
    </w:pPr>
    <w:rPr>
      <w:rFonts w:ascii="Arial" w:hAnsi="Arial" w:eastAsia="宋体" w:cs="Times New Roman"/>
      <w:kern w:val="0"/>
      <w:sz w:val="22"/>
      <w:szCs w:val="22"/>
      <w:lang w:eastAsia="en-US"/>
    </w:rPr>
  </w:style>
  <w:style w:type="paragraph" w:customStyle="1" w:styleId="476">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7">
    <w:name w:val="xl787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78">
    <w:name w:val="Char Char Char Char1"/>
    <w:basedOn w:val="1"/>
    <w:qFormat/>
    <w:uiPriority w:val="0"/>
    <w:pPr>
      <w:tabs>
        <w:tab w:val="left" w:pos="360"/>
      </w:tabs>
      <w:ind w:firstLine="150" w:firstLineChars="150"/>
    </w:pPr>
    <w:rPr>
      <w:rFonts w:ascii="Arial" w:hAnsi="Arial" w:eastAsia="宋体" w:cs="Arial"/>
      <w:sz w:val="20"/>
      <w:szCs w:val="20"/>
      <w:lang w:bidi="ar-SA"/>
    </w:rPr>
  </w:style>
  <w:style w:type="paragraph" w:customStyle="1" w:styleId="479">
    <w:name w:val="编号2级"/>
    <w:qFormat/>
    <w:uiPriority w:val="0"/>
    <w:pPr>
      <w:spacing w:after="20" w:afterLines="20" w:line="400" w:lineRule="exact"/>
    </w:pPr>
    <w:rPr>
      <w:rFonts w:ascii="Calibri" w:hAnsi="Calibri" w:eastAsia="Times New Roman" w:cs="Times New Roman"/>
      <w:kern w:val="2"/>
      <w:sz w:val="24"/>
      <w:szCs w:val="24"/>
      <w:lang w:val="en-US" w:eastAsia="zh-CN" w:bidi="ar-SA"/>
    </w:rPr>
  </w:style>
  <w:style w:type="paragraph" w:customStyle="1" w:styleId="4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48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482">
    <w:name w:val="CM64"/>
    <w:basedOn w:val="138"/>
    <w:next w:val="138"/>
    <w:qFormat/>
    <w:uiPriority w:val="0"/>
    <w:pPr>
      <w:spacing w:after="415"/>
    </w:pPr>
    <w:rPr>
      <w:rFonts w:ascii="黑体" w:hAnsi="Calibri" w:eastAsia="黑体" w:cs="Times New Roman"/>
      <w:color w:val="auto"/>
    </w:rPr>
  </w:style>
  <w:style w:type="paragraph" w:customStyle="1" w:styleId="483">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cs="Times New Roman"/>
      <w:b/>
      <w:bCs/>
      <w:kern w:val="0"/>
      <w:sz w:val="24"/>
    </w:rPr>
  </w:style>
  <w:style w:type="paragraph" w:customStyle="1" w:styleId="484">
    <w:name w:val="font14"/>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85">
    <w:name w:val="样式 标题 2 + 宋体 小三 段前: 0 磅 段后: 12 磅 行距: 1.5 倍行距"/>
    <w:basedOn w:val="4"/>
    <w:qFormat/>
    <w:uiPriority w:val="0"/>
    <w:pPr>
      <w:numPr>
        <w:ilvl w:val="1"/>
        <w:numId w:val="26"/>
      </w:numPr>
      <w:spacing w:before="0" w:after="240" w:afterLines="100" w:line="360" w:lineRule="auto"/>
    </w:pPr>
    <w:rPr>
      <w:rFonts w:ascii="宋体" w:hAnsi="宋体" w:eastAsia="宋体" w:cs="宋体"/>
      <w:sz w:val="30"/>
      <w:szCs w:val="20"/>
    </w:rPr>
  </w:style>
  <w:style w:type="paragraph" w:customStyle="1" w:styleId="486">
    <w:name w:val="样式 标题 3标题 3 Char Char Char Char(A-3)sect1.2.3h3H3 + 加粗 段前:..."/>
    <w:basedOn w:val="5"/>
    <w:qFormat/>
    <w:uiPriority w:val="0"/>
    <w:pPr>
      <w:keepNext w:val="0"/>
      <w:tabs>
        <w:tab w:val="left" w:pos="1080"/>
      </w:tabs>
      <w:spacing w:before="120" w:after="0"/>
    </w:pPr>
    <w:rPr>
      <w:rFonts w:ascii="Calibri" w:hAnsi="Calibri" w:eastAsia="黑体" w:cs="宋体"/>
      <w:b w:val="0"/>
      <w:sz w:val="24"/>
      <w:szCs w:val="20"/>
      <w:lang w:bidi="ar-SA"/>
    </w:rPr>
  </w:style>
  <w:style w:type="paragraph" w:customStyle="1" w:styleId="487">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6"/>
      <w:szCs w:val="16"/>
    </w:rPr>
  </w:style>
  <w:style w:type="paragraph" w:customStyle="1" w:styleId="488">
    <w:name w:val="font23"/>
    <w:basedOn w:val="1"/>
    <w:qFormat/>
    <w:uiPriority w:val="0"/>
    <w:pPr>
      <w:widowControl/>
      <w:spacing w:before="100" w:beforeLines="0" w:beforeAutospacing="1" w:after="100" w:afterLines="0" w:afterAutospacing="1"/>
      <w:jc w:val="left"/>
    </w:pPr>
    <w:rPr>
      <w:rFonts w:ascii="宋体" w:hAnsi="Calibri" w:eastAsia="宋体" w:cs="宋体"/>
      <w:color w:val="000000"/>
      <w:kern w:val="0"/>
      <w:sz w:val="20"/>
      <w:szCs w:val="20"/>
      <w:lang w:bidi="ar-SA"/>
    </w:rPr>
  </w:style>
  <w:style w:type="paragraph" w:customStyle="1" w:styleId="489">
    <w:name w:val="正文文本 21"/>
    <w:basedOn w:val="1"/>
    <w:qFormat/>
    <w:uiPriority w:val="0"/>
    <w:pPr>
      <w:autoSpaceDE w:val="0"/>
      <w:autoSpaceDN w:val="0"/>
      <w:adjustRightInd w:val="0"/>
      <w:spacing w:line="360" w:lineRule="atLeast"/>
      <w:textAlignment w:val="baseline"/>
    </w:pPr>
    <w:rPr>
      <w:rFonts w:ascii="Calibri" w:hAnsi="Calibri" w:eastAsia="宋体" w:cs="Times New Roman"/>
      <w:kern w:val="0"/>
      <w:sz w:val="24"/>
      <w:szCs w:val="20"/>
    </w:rPr>
  </w:style>
  <w:style w:type="paragraph" w:customStyle="1" w:styleId="490">
    <w:name w:val="font6"/>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91">
    <w:name w:val="样式2"/>
    <w:basedOn w:val="1"/>
    <w:qFormat/>
    <w:uiPriority w:val="0"/>
    <w:pPr>
      <w:spacing w:line="360" w:lineRule="auto"/>
      <w:ind w:firstLine="200" w:firstLineChars="200"/>
    </w:pPr>
    <w:rPr>
      <w:rFonts w:ascii="宋体" w:hAnsi="宋体" w:eastAsia="宋体" w:cs="Times New Roman"/>
      <w:sz w:val="24"/>
    </w:rPr>
  </w:style>
  <w:style w:type="table" w:customStyle="1" w:styleId="492">
    <w:name w:val="网格型1"/>
    <w:basedOn w:val="8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答复表头"/>
    <w:basedOn w:val="494"/>
    <w:next w:val="1"/>
    <w:qFormat/>
    <w:uiPriority w:val="0"/>
    <w:pPr>
      <w:tabs>
        <w:tab w:val="left" w:pos="480"/>
      </w:tabs>
    </w:pPr>
    <w:rPr>
      <w:b/>
    </w:rPr>
  </w:style>
  <w:style w:type="paragraph" w:customStyle="1" w:styleId="49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95">
    <w:name w:val="NormalCharacter"/>
    <w:qFormat/>
    <w:uiPriority w:val="0"/>
  </w:style>
  <w:style w:type="paragraph" w:customStyle="1" w:styleId="496">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character" w:customStyle="1" w:styleId="497">
    <w:name w:val="font31"/>
    <w:qFormat/>
    <w:uiPriority w:val="0"/>
    <w:rPr>
      <w:rFonts w:hint="eastAsia" w:ascii="仿宋" w:hAnsi="仿宋" w:eastAsia="仿宋" w:cs="仿宋"/>
      <w:b/>
      <w:bCs/>
      <w:color w:val="000000"/>
      <w:sz w:val="22"/>
      <w:szCs w:val="22"/>
      <w:u w:val="none"/>
    </w:rPr>
  </w:style>
  <w:style w:type="character" w:customStyle="1" w:styleId="498">
    <w:name w:val="font41"/>
    <w:qFormat/>
    <w:uiPriority w:val="0"/>
    <w:rPr>
      <w:rFonts w:hint="eastAsia" w:ascii="仿宋" w:hAnsi="仿宋" w:eastAsia="仿宋" w:cs="仿宋"/>
      <w:color w:val="000000"/>
      <w:sz w:val="22"/>
      <w:szCs w:val="22"/>
      <w:u w:val="none"/>
    </w:rPr>
  </w:style>
  <w:style w:type="character" w:customStyle="1" w:styleId="499">
    <w:name w:val="font51"/>
    <w:qFormat/>
    <w:uiPriority w:val="0"/>
    <w:rPr>
      <w:rFonts w:hint="eastAsia" w:ascii="仿宋" w:hAnsi="仿宋" w:eastAsia="仿宋" w:cs="仿宋"/>
      <w:color w:val="000000"/>
      <w:sz w:val="24"/>
      <w:szCs w:val="24"/>
      <w:u w:val="none"/>
    </w:rPr>
  </w:style>
  <w:style w:type="character" w:customStyle="1" w:styleId="500">
    <w:name w:val="font81"/>
    <w:qFormat/>
    <w:uiPriority w:val="0"/>
    <w:rPr>
      <w:rFonts w:hint="eastAsia" w:ascii="仿宋" w:hAnsi="仿宋" w:eastAsia="仿宋" w:cs="仿宋"/>
      <w:color w:val="000000"/>
      <w:sz w:val="24"/>
      <w:szCs w:val="24"/>
      <w:u w:val="none"/>
    </w:rPr>
  </w:style>
  <w:style w:type="paragraph" w:customStyle="1" w:styleId="501">
    <w:name w:val="WPSOffice手动目录 1"/>
    <w:qFormat/>
    <w:uiPriority w:val="0"/>
    <w:rPr>
      <w:rFonts w:ascii="Times New Roman" w:hAnsi="Times New Roman" w:eastAsia="宋体" w:cs="Times New Roman"/>
      <w:lang w:val="en-US" w:eastAsia="zh-CN" w:bidi="ar-SA"/>
    </w:rPr>
  </w:style>
  <w:style w:type="paragraph" w:customStyle="1" w:styleId="502">
    <w:name w:val="列出段落2"/>
    <w:basedOn w:val="1"/>
    <w:unhideWhenUsed/>
    <w:qFormat/>
    <w:uiPriority w:val="0"/>
    <w:pPr>
      <w:ind w:firstLine="420" w:firstLineChars="200"/>
    </w:pPr>
  </w:style>
  <w:style w:type="paragraph" w:customStyle="1" w:styleId="503">
    <w:name w:val="标书正文"/>
    <w:basedOn w:val="1"/>
    <w:qFormat/>
    <w:uiPriority w:val="0"/>
    <w:pPr>
      <w:spacing w:line="560" w:lineRule="exact"/>
      <w:ind w:firstLine="723" w:firstLineChars="200"/>
      <w:jc w:val="center"/>
    </w:pPr>
    <w:rPr>
      <w:rFonts w:ascii="仿宋_GB2312" w:hAnsi="Calibri" w:eastAsia="仿宋_GB2312"/>
      <w:b/>
      <w:sz w:val="36"/>
      <w:szCs w:val="20"/>
    </w:rPr>
  </w:style>
  <w:style w:type="paragraph" w:customStyle="1" w:styleId="504">
    <w:name w:val="样式 首行缩进:  2 字符"/>
    <w:basedOn w:val="1"/>
    <w:qFormat/>
    <w:uiPriority w:val="0"/>
    <w:pPr>
      <w:spacing w:line="400" w:lineRule="exact"/>
      <w:ind w:firstLine="200" w:firstLineChars="200"/>
    </w:pPr>
    <w:rPr>
      <w:rFonts w:cs="宋体"/>
      <w:sz w:val="24"/>
    </w:rPr>
  </w:style>
  <w:style w:type="paragraph" w:customStyle="1" w:styleId="505">
    <w:name w:val="msolistparagraph"/>
    <w:basedOn w:val="1"/>
    <w:qFormat/>
    <w:uiPriority w:val="0"/>
    <w:pPr>
      <w:keepNext w:val="0"/>
      <w:keepLines w:val="0"/>
      <w:widowControl w:val="0"/>
      <w:suppressLineNumbers w:val="0"/>
      <w:spacing w:before="0" w:beforeAutospacing="0" w:after="0" w:afterAutospacing="0"/>
      <w:ind w:left="990" w:right="0" w:hanging="402"/>
      <w:jc w:val="both"/>
    </w:pPr>
    <w:rPr>
      <w:rFonts w:hint="eastAsia" w:ascii="PMingLiU" w:hAnsi="PMingLiU" w:eastAsia="PMingLiU" w:cs="PMingLiU"/>
      <w:kern w:val="2"/>
      <w:sz w:val="21"/>
      <w:szCs w:val="24"/>
      <w:lang w:val="en-US" w:eastAsia="zh-CN" w:bidi="ar"/>
    </w:rPr>
  </w:style>
  <w:style w:type="paragraph" w:customStyle="1" w:styleId="506">
    <w:name w:val="列表段落1"/>
    <w:basedOn w:val="1"/>
    <w:unhideWhenUsed/>
    <w:qFormat/>
    <w:uiPriority w:val="99"/>
    <w:pPr>
      <w:ind w:firstLine="420" w:firstLineChars="200"/>
    </w:pPr>
    <w:rPr>
      <w:rFonts w:ascii="Times New Roman" w:hAnsi="Times New Roman" w:eastAsia="宋体" w:cs="Times New Roman"/>
      <w:szCs w:val="20"/>
    </w:rPr>
  </w:style>
  <w:style w:type="paragraph" w:customStyle="1" w:styleId="507">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customStyle="1" w:styleId="50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14193</Words>
  <Characters>15410</Characters>
  <Lines>259</Lines>
  <Paragraphs>72</Paragraphs>
  <TotalTime>1</TotalTime>
  <ScaleCrop>false</ScaleCrop>
  <LinksUpToDate>false</LinksUpToDate>
  <CharactersWithSpaces>15620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2022-03-28T17:58:00Z</dcterms:created>
  <dc:creator>hp</dc:creator>
  <cp:lastModifiedBy>星耀天都2</cp:lastModifiedBy>
  <cp:lastPrinted>2024-05-31T15:48:00Z</cp:lastPrinted>
  <dcterms:modified xsi:type="dcterms:W3CDTF">2025-01-10T09:20:53Z</dcterms:modified>
  <dc:title>乌鲁木齐市公安局重点路段卡口系统采购项目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A32B5484F24843D886C4E145BC3A47B5_13</vt:lpwstr>
  </property>
  <property fmtid="{D5CDD505-2E9C-101B-9397-08002B2CF9AE}" pid="4" name="commondata">
    <vt:lpwstr>eyJoZGlkIjoiMTJiNzZhMjQ5MWY2NWYxZjNjN2I1YzE3Nzc4YTNhZDgifQ==</vt:lpwstr>
  </property>
  <property fmtid="{D5CDD505-2E9C-101B-9397-08002B2CF9AE}" pid="5" name="KSOTemplateDocerSaveRecord">
    <vt:lpwstr>eyJoZGlkIjoiNjI1MmI4Zjk4YmYwMzQxZDBjZjY5OWIzYzVmMmEwZTYiLCJ1c2VySWQiOiI1MDU5MTQzNzMifQ==</vt:lpwstr>
  </property>
</Properties>
</file>