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96735">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highlight w:val="none"/>
        </w:rPr>
      </w:pPr>
    </w:p>
    <w:p w14:paraId="0B8EC97B">
      <w:pPr>
        <w:pStyle w:val="24"/>
        <w:rPr>
          <w:rFonts w:hint="eastAsia" w:ascii="宋体" w:hAnsi="宋体" w:eastAsia="宋体" w:cs="宋体"/>
          <w:color w:val="auto"/>
          <w:highlight w:val="none"/>
        </w:rPr>
      </w:pPr>
    </w:p>
    <w:p w14:paraId="7826D2D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0"/>
          <w:szCs w:val="40"/>
          <w:highlight w:val="none"/>
        </w:rPr>
      </w:pPr>
      <w:bookmarkStart w:id="0" w:name="_Hlk516656331"/>
      <w:bookmarkStart w:id="1" w:name="_Hlk532806952"/>
    </w:p>
    <w:bookmarkEnd w:id="0"/>
    <w:bookmarkEnd w:id="1"/>
    <w:p w14:paraId="6977D2BC">
      <w:pPr>
        <w:pageBreakBefore w:val="0"/>
        <w:kinsoku/>
        <w:overflowPunct/>
        <w:topLinePunct w:val="0"/>
        <w:bidi w:val="0"/>
        <w:spacing w:beforeAutospacing="0" w:after="0" w:afterAutospacing="0" w:line="240" w:lineRule="auto"/>
        <w:ind w:left="0" w:leftChars="0" w:right="0"/>
        <w:jc w:val="center"/>
        <w:textAlignment w:val="auto"/>
        <w:outlineLvl w:val="0"/>
        <w:rPr>
          <w:rFonts w:hint="eastAsia" w:ascii="宋体" w:hAnsi="宋体" w:eastAsia="宋体" w:cs="宋体"/>
          <w:b/>
          <w:color w:val="auto"/>
          <w:sz w:val="48"/>
          <w:szCs w:val="48"/>
          <w:highlight w:val="none"/>
        </w:rPr>
      </w:pPr>
      <w:bookmarkStart w:id="2" w:name="_Toc19142"/>
      <w:r>
        <w:rPr>
          <w:rFonts w:hint="eastAsia" w:ascii="宋体" w:hAnsi="宋体" w:eastAsia="宋体" w:cs="宋体"/>
          <w:b/>
          <w:bCs/>
          <w:color w:val="auto"/>
          <w:sz w:val="48"/>
          <w:szCs w:val="48"/>
          <w:highlight w:val="none"/>
          <w:lang w:eastAsia="zh-CN"/>
        </w:rPr>
        <w:t>喀什光电保护盖板产业链项目土地平整</w:t>
      </w:r>
      <w:r>
        <w:rPr>
          <w:rFonts w:hint="eastAsia" w:ascii="宋体" w:hAnsi="宋体" w:eastAsia="宋体" w:cs="宋体"/>
          <w:b/>
          <w:bCs/>
          <w:color w:val="auto"/>
          <w:sz w:val="48"/>
          <w:szCs w:val="48"/>
          <w:highlight w:val="none"/>
        </w:rPr>
        <w:t>竞争性磋商文件</w:t>
      </w:r>
      <w:bookmarkEnd w:id="2"/>
    </w:p>
    <w:p w14:paraId="42FB811E">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b/>
          <w:bCs/>
          <w:color w:val="auto"/>
          <w:sz w:val="32"/>
          <w:szCs w:val="32"/>
          <w:highlight w:val="none"/>
        </w:rPr>
      </w:pPr>
    </w:p>
    <w:p w14:paraId="506E1BD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720" w:firstLineChars="200"/>
        <w:jc w:val="center"/>
        <w:textAlignment w:val="auto"/>
        <w:rPr>
          <w:rFonts w:hint="eastAsia" w:ascii="宋体" w:hAnsi="宋体" w:eastAsia="宋体" w:cs="宋体"/>
          <w:bCs/>
          <w:color w:val="auto"/>
          <w:sz w:val="36"/>
          <w:szCs w:val="36"/>
          <w:highlight w:val="none"/>
        </w:rPr>
      </w:pPr>
    </w:p>
    <w:p w14:paraId="3778474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720" w:firstLineChars="200"/>
        <w:jc w:val="center"/>
        <w:textAlignment w:val="auto"/>
        <w:rPr>
          <w:rFonts w:hint="eastAsia" w:ascii="宋体" w:hAnsi="宋体" w:eastAsia="宋体" w:cs="宋体"/>
          <w:bCs/>
          <w:color w:val="auto"/>
          <w:sz w:val="36"/>
          <w:szCs w:val="36"/>
          <w:highlight w:val="none"/>
          <w:lang w:val="en-US" w:eastAsia="zh-CN"/>
        </w:rPr>
      </w:pPr>
      <w:r>
        <w:rPr>
          <w:rFonts w:hint="eastAsia" w:ascii="宋体" w:hAnsi="宋体" w:eastAsia="宋体" w:cs="宋体"/>
          <w:bCs/>
          <w:color w:val="auto"/>
          <w:sz w:val="36"/>
          <w:szCs w:val="36"/>
          <w:highlight w:val="none"/>
          <w:lang w:val="en-US" w:eastAsia="zh-CN"/>
        </w:rPr>
        <w:t>(</w:t>
      </w:r>
      <w:r>
        <w:rPr>
          <w:rFonts w:hint="eastAsia" w:ascii="宋体" w:hAnsi="宋体" w:eastAsia="宋体" w:cs="宋体"/>
          <w:bCs/>
          <w:color w:val="auto"/>
          <w:sz w:val="36"/>
          <w:szCs w:val="36"/>
          <w:highlight w:val="none"/>
        </w:rPr>
        <w:t>项目编号：</w:t>
      </w:r>
      <w:r>
        <w:rPr>
          <w:rFonts w:hint="eastAsia" w:ascii="宋体" w:hAnsi="宋体" w:eastAsia="宋体" w:cs="宋体"/>
          <w:bCs/>
          <w:color w:val="auto"/>
          <w:sz w:val="36"/>
          <w:szCs w:val="36"/>
          <w:highlight w:val="none"/>
          <w:lang w:eastAsia="zh-CN"/>
        </w:rPr>
        <w:t>KSDQKS-(CS)2024-00</w:t>
      </w:r>
      <w:r>
        <w:rPr>
          <w:rFonts w:hint="eastAsia" w:ascii="宋体" w:hAnsi="宋体" w:eastAsia="宋体" w:cs="宋体"/>
          <w:bCs/>
          <w:color w:val="auto"/>
          <w:sz w:val="36"/>
          <w:szCs w:val="36"/>
          <w:highlight w:val="none"/>
          <w:lang w:val="en-US" w:eastAsia="zh-CN"/>
        </w:rPr>
        <w:t>9</w:t>
      </w:r>
      <w:r>
        <w:rPr>
          <w:rFonts w:hint="eastAsia" w:ascii="宋体" w:hAnsi="宋体" w:eastAsia="宋体" w:cs="宋体"/>
          <w:bCs/>
          <w:color w:val="auto"/>
          <w:sz w:val="36"/>
          <w:szCs w:val="36"/>
          <w:highlight w:val="none"/>
          <w:lang w:eastAsia="zh-CN"/>
        </w:rPr>
        <w:t xml:space="preserve">号 </w:t>
      </w:r>
      <w:r>
        <w:rPr>
          <w:rFonts w:hint="eastAsia" w:ascii="宋体" w:hAnsi="宋体" w:eastAsia="宋体" w:cs="宋体"/>
          <w:bCs/>
          <w:color w:val="auto"/>
          <w:sz w:val="36"/>
          <w:szCs w:val="36"/>
          <w:highlight w:val="none"/>
          <w:lang w:val="en-US" w:eastAsia="zh-CN"/>
        </w:rPr>
        <w:t>）</w:t>
      </w:r>
    </w:p>
    <w:p w14:paraId="01E8564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720" w:firstLineChars="200"/>
        <w:textAlignment w:val="auto"/>
        <w:rPr>
          <w:rFonts w:hint="eastAsia" w:ascii="宋体" w:hAnsi="宋体" w:eastAsia="宋体" w:cs="宋体"/>
          <w:bCs/>
          <w:color w:val="auto"/>
          <w:sz w:val="36"/>
          <w:szCs w:val="36"/>
          <w:highlight w:val="none"/>
        </w:rPr>
      </w:pPr>
    </w:p>
    <w:p w14:paraId="3EBE8B3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720" w:firstLineChars="200"/>
        <w:textAlignment w:val="auto"/>
        <w:rPr>
          <w:rFonts w:hint="eastAsia" w:ascii="宋体" w:hAnsi="宋体" w:eastAsia="宋体" w:cs="宋体"/>
          <w:bCs/>
          <w:color w:val="auto"/>
          <w:sz w:val="36"/>
          <w:szCs w:val="36"/>
          <w:highlight w:val="none"/>
        </w:rPr>
      </w:pPr>
    </w:p>
    <w:p w14:paraId="795CF30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720" w:firstLineChars="200"/>
        <w:textAlignment w:val="auto"/>
        <w:rPr>
          <w:rFonts w:hint="eastAsia" w:ascii="宋体" w:hAnsi="宋体" w:eastAsia="宋体" w:cs="宋体"/>
          <w:bCs/>
          <w:color w:val="auto"/>
          <w:sz w:val="36"/>
          <w:szCs w:val="36"/>
          <w:highlight w:val="none"/>
        </w:rPr>
      </w:pPr>
    </w:p>
    <w:p w14:paraId="5A37560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720" w:firstLineChars="200"/>
        <w:textAlignment w:val="auto"/>
        <w:rPr>
          <w:rFonts w:hint="eastAsia" w:ascii="宋体" w:hAnsi="宋体" w:eastAsia="宋体" w:cs="宋体"/>
          <w:bCs/>
          <w:color w:val="auto"/>
          <w:sz w:val="36"/>
          <w:szCs w:val="36"/>
          <w:highlight w:val="none"/>
        </w:rPr>
      </w:pPr>
    </w:p>
    <w:p w14:paraId="2C48C72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720" w:firstLineChars="200"/>
        <w:textAlignment w:val="auto"/>
        <w:rPr>
          <w:rFonts w:hint="eastAsia" w:ascii="宋体" w:hAnsi="宋体" w:eastAsia="宋体" w:cs="宋体"/>
          <w:bCs/>
          <w:color w:val="auto"/>
          <w:sz w:val="36"/>
          <w:szCs w:val="36"/>
          <w:highlight w:val="none"/>
        </w:rPr>
      </w:pPr>
    </w:p>
    <w:p w14:paraId="757BA28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720" w:firstLineChars="200"/>
        <w:textAlignment w:val="auto"/>
        <w:rPr>
          <w:rFonts w:hint="eastAsia" w:ascii="宋体" w:hAnsi="宋体" w:eastAsia="宋体" w:cs="宋体"/>
          <w:bCs/>
          <w:color w:val="auto"/>
          <w:sz w:val="36"/>
          <w:szCs w:val="36"/>
          <w:highlight w:val="none"/>
        </w:rPr>
      </w:pPr>
    </w:p>
    <w:p w14:paraId="4610995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720" w:firstLineChars="200"/>
        <w:textAlignment w:val="auto"/>
        <w:rPr>
          <w:rFonts w:hint="eastAsia" w:ascii="宋体" w:hAnsi="宋体" w:eastAsia="宋体" w:cs="宋体"/>
          <w:bCs/>
          <w:color w:val="auto"/>
          <w:sz w:val="36"/>
          <w:szCs w:val="36"/>
          <w:highlight w:val="none"/>
        </w:rPr>
      </w:pPr>
    </w:p>
    <w:p w14:paraId="623A3F57">
      <w:pPr>
        <w:keepNext w:val="0"/>
        <w:keepLines w:val="0"/>
        <w:widowControl/>
        <w:suppressLineNumbers w:val="0"/>
        <w:ind w:firstLine="720" w:firstLineChars="200"/>
        <w:jc w:val="left"/>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采购人</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lang w:val="en-US" w:eastAsia="zh-CN"/>
        </w:rPr>
        <w:t>喀什中亚南亚工业园区管理委员会</w:t>
      </w:r>
    </w:p>
    <w:p w14:paraId="2E2EBD61">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720" w:firstLineChars="200"/>
        <w:textAlignment w:val="auto"/>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联系人：</w:t>
      </w:r>
      <w:r>
        <w:rPr>
          <w:rFonts w:hint="eastAsia" w:ascii="宋体" w:hAnsi="宋体" w:eastAsia="宋体" w:cs="宋体"/>
          <w:color w:val="auto"/>
          <w:sz w:val="36"/>
          <w:szCs w:val="36"/>
          <w:highlight w:val="none"/>
          <w:lang w:val="en-US" w:eastAsia="zh-CN"/>
        </w:rPr>
        <w:t>刘先生</w:t>
      </w:r>
    </w:p>
    <w:p w14:paraId="2C7D536B">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720" w:firstLineChars="200"/>
        <w:textAlignment w:val="auto"/>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联系电话：</w:t>
      </w:r>
      <w:r>
        <w:rPr>
          <w:rFonts w:hint="eastAsia" w:ascii="宋体" w:hAnsi="宋体" w:eastAsia="宋体" w:cs="宋体"/>
          <w:color w:val="auto"/>
          <w:sz w:val="36"/>
          <w:szCs w:val="36"/>
          <w:highlight w:val="none"/>
          <w:lang w:eastAsia="zh-CN"/>
        </w:rPr>
        <w:t>188 9935 1272</w:t>
      </w:r>
    </w:p>
    <w:p w14:paraId="53556C9F">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720" w:firstLineChars="200"/>
        <w:textAlignment w:val="auto"/>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lang w:val="en-US" w:eastAsia="zh-CN"/>
        </w:rPr>
        <w:t>招标代理机构：</w:t>
      </w:r>
      <w:r>
        <w:rPr>
          <w:rFonts w:hint="eastAsia" w:ascii="宋体" w:hAnsi="宋体" w:eastAsia="宋体" w:cs="宋体"/>
          <w:color w:val="auto"/>
          <w:sz w:val="36"/>
          <w:szCs w:val="36"/>
          <w:highlight w:val="none"/>
          <w:lang w:eastAsia="zh-CN"/>
        </w:rPr>
        <w:t>新疆德鸿项目管理咨询有限公司</w:t>
      </w:r>
    </w:p>
    <w:p w14:paraId="6C2BB539">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720" w:firstLineChars="200"/>
        <w:textAlignment w:val="auto"/>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lang w:val="en-US" w:eastAsia="zh-CN"/>
        </w:rPr>
        <w:t>联系人：</w:t>
      </w:r>
      <w:r>
        <w:rPr>
          <w:rFonts w:hint="eastAsia" w:ascii="宋体" w:hAnsi="宋体" w:eastAsia="宋体" w:cs="宋体"/>
          <w:color w:val="auto"/>
          <w:sz w:val="36"/>
          <w:szCs w:val="36"/>
          <w:highlight w:val="none"/>
          <w:lang w:eastAsia="zh-CN"/>
        </w:rPr>
        <w:t>吴莉</w:t>
      </w:r>
    </w:p>
    <w:p w14:paraId="3E5EE27A">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720" w:firstLineChars="200"/>
        <w:textAlignment w:val="auto"/>
        <w:rPr>
          <w:rFonts w:hint="eastAsia" w:ascii="宋体" w:hAnsi="宋体" w:eastAsia="宋体" w:cs="宋体"/>
          <w:bCs/>
          <w:color w:val="auto"/>
          <w:sz w:val="36"/>
          <w:szCs w:val="36"/>
          <w:highlight w:val="none"/>
        </w:rPr>
      </w:pPr>
      <w:r>
        <w:rPr>
          <w:rFonts w:hint="eastAsia" w:ascii="宋体" w:hAnsi="宋体" w:eastAsia="宋体" w:cs="宋体"/>
          <w:color w:val="auto"/>
          <w:sz w:val="36"/>
          <w:szCs w:val="36"/>
          <w:highlight w:val="none"/>
          <w:lang w:val="en-US" w:eastAsia="zh-CN"/>
        </w:rPr>
        <w:t>联系电话：</w:t>
      </w:r>
      <w:r>
        <w:rPr>
          <w:rFonts w:hint="eastAsia" w:ascii="宋体" w:hAnsi="宋体" w:eastAsia="宋体" w:cs="宋体"/>
          <w:color w:val="auto"/>
          <w:sz w:val="36"/>
          <w:szCs w:val="36"/>
          <w:highlight w:val="none"/>
          <w:lang w:eastAsia="zh-CN"/>
        </w:rPr>
        <w:t>18699865732</w:t>
      </w:r>
    </w:p>
    <w:p w14:paraId="520A204C">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firstLine="720" w:firstLineChars="200"/>
        <w:textAlignment w:val="auto"/>
        <w:rPr>
          <w:rFonts w:hint="eastAsia" w:ascii="宋体" w:hAnsi="宋体" w:eastAsia="宋体" w:cs="宋体"/>
          <w:bCs/>
          <w:color w:val="auto"/>
          <w:sz w:val="36"/>
          <w:szCs w:val="36"/>
          <w:highlight w:val="none"/>
        </w:rPr>
      </w:pPr>
    </w:p>
    <w:p w14:paraId="4A8687F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宋体" w:hAnsi="宋体" w:eastAsia="宋体" w:cs="宋体"/>
          <w:b/>
          <w:bCs/>
          <w:color w:val="auto"/>
          <w:sz w:val="36"/>
          <w:szCs w:val="36"/>
          <w:highlight w:val="none"/>
        </w:rPr>
      </w:pPr>
      <w:bookmarkStart w:id="606" w:name="_GoBack"/>
      <w:r>
        <w:rPr>
          <w:rFonts w:hint="eastAsia" w:ascii="宋体" w:hAnsi="宋体" w:eastAsia="宋体" w:cs="宋体"/>
          <w:b/>
          <w:bCs/>
          <w:color w:val="auto"/>
          <w:sz w:val="36"/>
          <w:szCs w:val="36"/>
          <w:highlight w:val="none"/>
        </w:rPr>
        <w:t>20</w:t>
      </w:r>
      <w:r>
        <w:rPr>
          <w:rFonts w:hint="eastAsia" w:ascii="宋体" w:hAnsi="宋体" w:eastAsia="宋体" w:cs="宋体"/>
          <w:b/>
          <w:bCs/>
          <w:color w:val="auto"/>
          <w:sz w:val="36"/>
          <w:szCs w:val="36"/>
          <w:highlight w:val="none"/>
          <w:lang w:val="en-US" w:eastAsia="zh-CN"/>
        </w:rPr>
        <w:t>24</w:t>
      </w:r>
      <w:bookmarkEnd w:id="606"/>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12</w:t>
      </w:r>
      <w:r>
        <w:rPr>
          <w:rFonts w:hint="eastAsia" w:ascii="宋体" w:hAnsi="宋体" w:eastAsia="宋体" w:cs="宋体"/>
          <w:b/>
          <w:bCs/>
          <w:color w:val="auto"/>
          <w:sz w:val="36"/>
          <w:szCs w:val="36"/>
          <w:highlight w:val="none"/>
        </w:rPr>
        <w:t>月</w:t>
      </w:r>
    </w:p>
    <w:p w14:paraId="4732622C">
      <w:pPr>
        <w:pStyle w:val="7"/>
        <w:pageBreakBefore w:val="0"/>
        <w:kinsoku/>
        <w:overflowPunct/>
        <w:topLinePunct w:val="0"/>
        <w:bidi w:val="0"/>
        <w:spacing w:beforeAutospacing="0" w:after="0" w:afterAutospacing="0" w:line="240" w:lineRule="auto"/>
        <w:ind w:left="0" w:leftChars="0" w:right="0" w:firstLine="0" w:firstLineChars="0"/>
        <w:textAlignment w:val="auto"/>
        <w:rPr>
          <w:rFonts w:hint="eastAsia" w:ascii="宋体" w:hAnsi="宋体" w:eastAsia="宋体" w:cs="宋体"/>
          <w:b/>
          <w:color w:val="auto"/>
          <w:kern w:val="0"/>
          <w:sz w:val="32"/>
          <w:szCs w:val="32"/>
          <w:highlight w:val="none"/>
        </w:rPr>
      </w:pPr>
    </w:p>
    <w:p w14:paraId="1EF64420">
      <w:pPr>
        <w:pStyle w:val="7"/>
        <w:pageBreakBefore w:val="0"/>
        <w:kinsoku/>
        <w:overflowPunct/>
        <w:topLinePunct w:val="0"/>
        <w:bidi w:val="0"/>
        <w:spacing w:beforeAutospacing="0" w:after="0" w:afterAutospacing="0" w:line="240" w:lineRule="auto"/>
        <w:ind w:left="0" w:leftChars="0" w:right="0" w:firstLine="0" w:firstLineChars="0"/>
        <w:textAlignment w:val="auto"/>
        <w:rPr>
          <w:rFonts w:hint="eastAsia" w:ascii="宋体" w:hAnsi="宋体" w:eastAsia="宋体" w:cs="宋体"/>
          <w:b/>
          <w:color w:val="auto"/>
          <w:kern w:val="0"/>
          <w:sz w:val="32"/>
          <w:szCs w:val="32"/>
          <w:highlight w:val="none"/>
        </w:rPr>
      </w:pPr>
    </w:p>
    <w:p w14:paraId="17AEB7EA">
      <w:pPr>
        <w:spacing w:before="0" w:beforeLines="0" w:after="0" w:afterLines="0" w:line="240" w:lineRule="auto"/>
        <w:ind w:left="0" w:leftChars="0" w:right="0" w:rightChars="0" w:firstLine="0" w:firstLineChars="0"/>
        <w:jc w:val="center"/>
        <w:rPr>
          <w:rFonts w:hint="eastAsia" w:ascii="宋体" w:hAnsi="宋体" w:eastAsia="宋体" w:cs="宋体"/>
          <w:b/>
          <w:color w:val="auto"/>
          <w:kern w:val="0"/>
          <w:sz w:val="32"/>
          <w:szCs w:val="32"/>
          <w:highlight w:val="none"/>
        </w:rPr>
      </w:pPr>
    </w:p>
    <w:p w14:paraId="56E444AA">
      <w:pPr>
        <w:keepNext w:val="0"/>
        <w:keepLines w:val="0"/>
        <w:pageBreakBefore w:val="0"/>
        <w:kinsoku/>
        <w:wordWrap/>
        <w:overflowPunct/>
        <w:topLinePunct w:val="0"/>
        <w:autoSpaceDE/>
        <w:autoSpaceDN/>
        <w:bidi w:val="0"/>
        <w:adjustRightInd/>
        <w:snapToGrid/>
        <w:spacing w:beforeAutospacing="0" w:after="0" w:afterAutospacing="0" w:line="360" w:lineRule="auto"/>
        <w:ind w:left="0" w:leftChars="0" w:right="0"/>
        <w:jc w:val="center"/>
        <w:textAlignment w:val="auto"/>
        <w:outlineLvl w:val="0"/>
        <w:rPr>
          <w:rFonts w:hint="eastAsia" w:ascii="宋体" w:hAnsi="宋体" w:eastAsia="宋体" w:cs="宋体"/>
          <w:b/>
          <w:color w:val="auto"/>
          <w:sz w:val="24"/>
          <w:szCs w:val="24"/>
          <w:highlight w:val="none"/>
        </w:rPr>
      </w:pPr>
      <w:bookmarkStart w:id="3" w:name="_Toc4421"/>
      <w:r>
        <w:rPr>
          <w:rFonts w:hint="eastAsia" w:ascii="宋体" w:hAnsi="宋体" w:eastAsia="宋体" w:cs="宋体"/>
          <w:b/>
          <w:color w:val="auto"/>
          <w:kern w:val="0"/>
          <w:sz w:val="32"/>
          <w:szCs w:val="32"/>
          <w:highlight w:val="none"/>
        </w:rPr>
        <w:t>目  录</w:t>
      </w:r>
      <w:bookmarkEnd w:id="3"/>
    </w:p>
    <w:p w14:paraId="62B42819">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jc w:val="center"/>
        <w:textAlignment w:val="auto"/>
        <w:outlineLvl w:val="0"/>
        <w:rPr>
          <w:rFonts w:hint="eastAsia" w:ascii="宋体" w:hAnsi="宋体" w:eastAsia="宋体" w:cs="宋体"/>
          <w:b/>
          <w:color w:val="auto"/>
          <w:sz w:val="24"/>
          <w:szCs w:val="24"/>
          <w:highlight w:val="none"/>
        </w:rPr>
      </w:pPr>
      <w:bookmarkStart w:id="4" w:name="_Toc31554"/>
      <w:r>
        <w:rPr>
          <w:rFonts w:hint="eastAsia" w:ascii="宋体" w:hAnsi="宋体" w:eastAsia="宋体" w:cs="宋体"/>
          <w:b/>
          <w:color w:val="auto"/>
          <w:sz w:val="24"/>
          <w:szCs w:val="24"/>
          <w:highlight w:val="none"/>
        </w:rPr>
        <w:t>第一卷</w:t>
      </w:r>
      <w:bookmarkEnd w:id="4"/>
    </w:p>
    <w:p w14:paraId="398076EE">
      <w:pPr>
        <w:keepNext w:val="0"/>
        <w:keepLines w:val="0"/>
        <w:pageBreakBefore w:val="0"/>
        <w:widowControl w:val="0"/>
        <w:numPr>
          <w:ilvl w:val="0"/>
          <w:numId w:val="3"/>
        </w:numPr>
        <w:tabs>
          <w:tab w:val="right" w:leader="middleDot" w:pos="9000"/>
        </w:tabs>
        <w:kinsoku/>
        <w:wordWrap/>
        <w:overflowPunct/>
        <w:topLinePunct w:val="0"/>
        <w:autoSpaceDE/>
        <w:autoSpaceDN/>
        <w:bidi w:val="0"/>
        <w:adjustRightInd/>
        <w:snapToGrid/>
        <w:spacing w:beforeAutospacing="0" w:after="0" w:afterAutospacing="0" w:line="360" w:lineRule="auto"/>
        <w:ind w:left="0" w:leftChars="0" w:right="0"/>
        <w:jc w:val="center"/>
        <w:textAlignment w:val="auto"/>
        <w:outlineLvl w:val="0"/>
        <w:rPr>
          <w:rFonts w:hint="eastAsia" w:ascii="宋体" w:hAnsi="宋体" w:eastAsia="宋体" w:cs="宋体"/>
          <w:b/>
          <w:color w:val="auto"/>
          <w:sz w:val="21"/>
          <w:szCs w:val="21"/>
          <w:highlight w:val="none"/>
          <w:lang w:val="en-US" w:eastAsia="zh-CN"/>
        </w:rPr>
      </w:pPr>
      <w:bookmarkStart w:id="5" w:name="_Toc7120"/>
      <w:r>
        <w:rPr>
          <w:rFonts w:hint="eastAsia" w:ascii="宋体" w:hAnsi="宋体" w:eastAsia="宋体" w:cs="宋体"/>
          <w:b/>
          <w:color w:val="auto"/>
          <w:sz w:val="21"/>
          <w:szCs w:val="21"/>
          <w:highlight w:val="none"/>
          <w:lang w:val="en-US" w:eastAsia="zh-CN"/>
        </w:rPr>
        <w:t>招标公告</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lang w:val="en-US" w:eastAsia="zh-CN"/>
        </w:rPr>
        <w:t>1</w:t>
      </w:r>
      <w:bookmarkEnd w:id="5"/>
    </w:p>
    <w:p w14:paraId="45B9BAB4">
      <w:pPr>
        <w:keepNext w:val="0"/>
        <w:keepLines w:val="0"/>
        <w:pageBreakBefore w:val="0"/>
        <w:widowControl w:val="0"/>
        <w:numPr>
          <w:ilvl w:val="0"/>
          <w:numId w:val="3"/>
        </w:numPr>
        <w:tabs>
          <w:tab w:val="right" w:leader="middleDot" w:pos="9000"/>
        </w:tabs>
        <w:kinsoku/>
        <w:wordWrap/>
        <w:overflowPunct/>
        <w:topLinePunct w:val="0"/>
        <w:autoSpaceDE/>
        <w:autoSpaceDN/>
        <w:bidi w:val="0"/>
        <w:adjustRightInd/>
        <w:snapToGrid/>
        <w:spacing w:beforeAutospacing="0" w:after="0" w:afterAutospacing="0" w:line="360" w:lineRule="auto"/>
        <w:ind w:left="0" w:leftChars="0" w:right="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须知</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lang w:val="en-US" w:eastAsia="zh-CN"/>
        </w:rPr>
        <w:t>5</w:t>
      </w:r>
    </w:p>
    <w:p w14:paraId="535DFA40">
      <w:pPr>
        <w:keepNext w:val="0"/>
        <w:keepLines w:val="0"/>
        <w:pageBreakBefore w:val="0"/>
        <w:widowControl w:val="0"/>
        <w:numPr>
          <w:ilvl w:val="0"/>
          <w:numId w:val="3"/>
        </w:numPr>
        <w:tabs>
          <w:tab w:val="right" w:leader="middleDot" w:pos="9000"/>
        </w:tabs>
        <w:kinsoku/>
        <w:wordWrap/>
        <w:overflowPunct/>
        <w:topLinePunct w:val="0"/>
        <w:autoSpaceDE/>
        <w:autoSpaceDN/>
        <w:bidi w:val="0"/>
        <w:adjustRightInd/>
        <w:snapToGrid/>
        <w:spacing w:beforeAutospacing="0" w:after="0" w:afterAutospacing="0" w:line="360" w:lineRule="auto"/>
        <w:ind w:left="0" w:leftChars="0" w:right="0" w:firstLine="0" w:firstLineChars="0"/>
        <w:jc w:val="center"/>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评标办法</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lang w:val="en-US" w:eastAsia="zh-CN"/>
        </w:rPr>
        <w:t>23</w:t>
      </w:r>
    </w:p>
    <w:p w14:paraId="69A45574">
      <w:pPr>
        <w:keepNext w:val="0"/>
        <w:keepLines w:val="0"/>
        <w:pageBreakBefore w:val="0"/>
        <w:widowControl w:val="0"/>
        <w:numPr>
          <w:ilvl w:val="0"/>
          <w:numId w:val="0"/>
        </w:numPr>
        <w:tabs>
          <w:tab w:val="right" w:leader="middleDot" w:pos="9000"/>
        </w:tabs>
        <w:kinsoku/>
        <w:wordWrap/>
        <w:overflowPunct/>
        <w:topLinePunct w:val="0"/>
        <w:autoSpaceDE/>
        <w:autoSpaceDN/>
        <w:bidi w:val="0"/>
        <w:adjustRightInd/>
        <w:snapToGrid/>
        <w:spacing w:beforeAutospacing="0" w:after="0" w:afterAutospacing="0" w:line="360" w:lineRule="auto"/>
        <w:ind w:leftChars="0" w:right="0" w:rightChars="0" w:firstLine="422" w:firstLineChars="200"/>
        <w:jc w:val="both"/>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第四章 合同条款及格式</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lang w:val="en-US" w:eastAsia="zh-CN"/>
        </w:rPr>
        <w:t xml:space="preserve">         28</w:t>
      </w:r>
    </w:p>
    <w:p w14:paraId="18AE89BB">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360" w:lineRule="auto"/>
        <w:ind w:left="0" w:leftChars="0" w:right="0" w:firstLine="57"/>
        <w:jc w:val="center"/>
        <w:textAlignment w:val="auto"/>
        <w:rPr>
          <w:rFonts w:hint="eastAsia" w:ascii="宋体" w:hAnsi="宋体" w:eastAsia="宋体" w:cs="宋体"/>
          <w:b/>
          <w:color w:val="auto"/>
          <w:sz w:val="21"/>
          <w:szCs w:val="21"/>
          <w:highlight w:val="none"/>
        </w:rPr>
      </w:pPr>
    </w:p>
    <w:p w14:paraId="1D60AB29">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360" w:lineRule="auto"/>
        <w:ind w:left="0" w:leftChars="0" w:right="0" w:firstLine="57"/>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第二卷</w:t>
      </w:r>
    </w:p>
    <w:p w14:paraId="3B32E7A6">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360" w:lineRule="auto"/>
        <w:ind w:left="0" w:leftChars="0" w:right="0"/>
        <w:jc w:val="center"/>
        <w:textAlignment w:val="auto"/>
        <w:outlineLvl w:val="0"/>
        <w:rPr>
          <w:rFonts w:hint="default" w:ascii="宋体" w:hAnsi="宋体" w:eastAsia="宋体" w:cs="宋体"/>
          <w:b/>
          <w:color w:val="auto"/>
          <w:szCs w:val="21"/>
          <w:highlight w:val="none"/>
          <w:lang w:val="en-US" w:eastAsia="zh-CN"/>
        </w:rPr>
      </w:pPr>
      <w:bookmarkStart w:id="6" w:name="_Toc6598"/>
      <w:r>
        <w:rPr>
          <w:rFonts w:hint="eastAsia" w:ascii="宋体" w:hAnsi="宋体" w:eastAsia="宋体" w:cs="宋体"/>
          <w:b/>
          <w:color w:val="auto"/>
          <w:szCs w:val="21"/>
          <w:highlight w:val="none"/>
        </w:rPr>
        <w:t>第五章 项目采购需求</w:t>
      </w:r>
      <w:r>
        <w:rPr>
          <w:rFonts w:hint="eastAsia" w:ascii="宋体" w:hAnsi="宋体" w:eastAsia="宋体" w:cs="宋体"/>
          <w:b/>
          <w:color w:val="auto"/>
          <w:sz w:val="21"/>
          <w:szCs w:val="21"/>
          <w:highlight w:val="none"/>
        </w:rPr>
        <w:tab/>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Cs w:val="21"/>
          <w:highlight w:val="none"/>
        </w:rPr>
        <w:t xml:space="preserve"> </w:t>
      </w:r>
      <w:bookmarkEnd w:id="6"/>
      <w:r>
        <w:rPr>
          <w:rFonts w:hint="eastAsia" w:ascii="宋体" w:hAnsi="宋体" w:eastAsia="宋体" w:cs="宋体"/>
          <w:b/>
          <w:color w:val="auto"/>
          <w:szCs w:val="21"/>
          <w:highlight w:val="none"/>
          <w:lang w:val="en-US" w:eastAsia="zh-CN"/>
        </w:rPr>
        <w:t>170</w:t>
      </w:r>
    </w:p>
    <w:p w14:paraId="31C1FFDA">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360" w:lineRule="auto"/>
        <w:ind w:left="0" w:leftChars="0" w:right="0" w:firstLine="57"/>
        <w:jc w:val="center"/>
        <w:textAlignment w:val="auto"/>
        <w:rPr>
          <w:rFonts w:hint="eastAsia" w:ascii="宋体" w:hAnsi="宋体" w:eastAsia="宋体" w:cs="宋体"/>
          <w:b/>
          <w:color w:val="auto"/>
          <w:sz w:val="21"/>
          <w:szCs w:val="21"/>
          <w:highlight w:val="none"/>
        </w:rPr>
      </w:pPr>
    </w:p>
    <w:p w14:paraId="07CB0D9C">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360" w:lineRule="auto"/>
        <w:ind w:left="0" w:leftChars="0" w:right="0" w:firstLine="57"/>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 w:val="21"/>
          <w:szCs w:val="21"/>
          <w:highlight w:val="none"/>
        </w:rPr>
        <w:t>第三卷</w:t>
      </w:r>
    </w:p>
    <w:p w14:paraId="0FBE0DD2">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360" w:lineRule="auto"/>
        <w:ind w:left="0" w:leftChars="0" w:right="0"/>
        <w:jc w:val="center"/>
        <w:textAlignment w:val="auto"/>
        <w:outlineLvl w:val="0"/>
        <w:rPr>
          <w:rFonts w:hint="default" w:ascii="宋体" w:hAnsi="宋体" w:eastAsia="宋体" w:cs="宋体"/>
          <w:b/>
          <w:color w:val="auto"/>
          <w:sz w:val="21"/>
          <w:szCs w:val="21"/>
          <w:highlight w:val="none"/>
          <w:lang w:val="en-US" w:eastAsia="zh-CN"/>
        </w:rPr>
      </w:pPr>
      <w:bookmarkStart w:id="7" w:name="_Toc20338"/>
      <w:r>
        <w:rPr>
          <w:rFonts w:hint="eastAsia" w:ascii="宋体" w:hAnsi="宋体" w:eastAsia="宋体" w:cs="宋体"/>
          <w:b/>
          <w:color w:val="auto"/>
          <w:sz w:val="21"/>
          <w:szCs w:val="21"/>
          <w:highlight w:val="none"/>
        </w:rPr>
        <w:t xml:space="preserve">第六章  </w:t>
      </w:r>
      <w:r>
        <w:rPr>
          <w:rFonts w:hint="eastAsia" w:ascii="宋体" w:hAnsi="宋体" w:eastAsia="宋体" w:cs="宋体"/>
          <w:b/>
          <w:color w:val="auto"/>
          <w:sz w:val="21"/>
          <w:szCs w:val="21"/>
          <w:highlight w:val="none"/>
          <w:lang w:eastAsia="zh-CN"/>
        </w:rPr>
        <w:t>磋商文件</w:t>
      </w:r>
      <w:r>
        <w:rPr>
          <w:rFonts w:hint="eastAsia" w:ascii="宋体" w:hAnsi="宋体" w:eastAsia="宋体" w:cs="宋体"/>
          <w:b/>
          <w:color w:val="auto"/>
          <w:sz w:val="21"/>
          <w:szCs w:val="21"/>
          <w:highlight w:val="none"/>
        </w:rPr>
        <w:t>格式</w:t>
      </w:r>
      <w:r>
        <w:rPr>
          <w:rFonts w:hint="eastAsia" w:ascii="宋体" w:hAnsi="宋体" w:eastAsia="宋体" w:cs="宋体"/>
          <w:b/>
          <w:color w:val="auto"/>
          <w:sz w:val="21"/>
          <w:szCs w:val="21"/>
          <w:highlight w:val="none"/>
        </w:rPr>
        <w:tab/>
      </w:r>
      <w:bookmarkEnd w:id="7"/>
      <w:r>
        <w:rPr>
          <w:rFonts w:hint="eastAsia" w:ascii="宋体" w:hAnsi="宋体" w:eastAsia="宋体" w:cs="宋体"/>
          <w:b/>
          <w:color w:val="auto"/>
          <w:sz w:val="21"/>
          <w:szCs w:val="21"/>
          <w:highlight w:val="none"/>
          <w:lang w:val="en-US" w:eastAsia="zh-CN"/>
        </w:rPr>
        <w:t>175</w:t>
      </w:r>
    </w:p>
    <w:p w14:paraId="72FDACC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44"/>
          <w:highlight w:val="none"/>
        </w:rPr>
      </w:pPr>
    </w:p>
    <w:p w14:paraId="0C74F29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44"/>
          <w:highlight w:val="none"/>
        </w:rPr>
      </w:pPr>
    </w:p>
    <w:p w14:paraId="78D729A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44"/>
          <w:highlight w:val="none"/>
        </w:rPr>
      </w:pPr>
    </w:p>
    <w:p w14:paraId="6535D8A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44"/>
          <w:highlight w:val="none"/>
        </w:rPr>
      </w:pPr>
      <w:r>
        <w:rPr>
          <w:rFonts w:hint="eastAsia" w:ascii="宋体" w:hAnsi="宋体" w:eastAsia="宋体" w:cs="宋体"/>
          <w:color w:val="auto"/>
          <w:sz w:val="44"/>
          <w:highlight w:val="none"/>
        </w:rPr>
        <w:t xml:space="preserve"> </w:t>
      </w:r>
    </w:p>
    <w:p w14:paraId="71D81B0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44"/>
          <w:highlight w:val="none"/>
          <w:lang w:val="en-US" w:eastAsia="zh-CN"/>
        </w:rPr>
      </w:pPr>
    </w:p>
    <w:p w14:paraId="0291389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44"/>
          <w:highlight w:val="none"/>
        </w:rPr>
      </w:pPr>
    </w:p>
    <w:p w14:paraId="1D0B2EC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44"/>
          <w:highlight w:val="none"/>
        </w:rPr>
      </w:pPr>
    </w:p>
    <w:p w14:paraId="79BFD7D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44"/>
          <w:highlight w:val="none"/>
        </w:rPr>
      </w:pPr>
    </w:p>
    <w:p w14:paraId="590C442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44"/>
          <w:highlight w:val="none"/>
        </w:rPr>
      </w:pPr>
    </w:p>
    <w:p w14:paraId="121C9B3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44"/>
          <w:highlight w:val="none"/>
        </w:rPr>
      </w:pPr>
    </w:p>
    <w:p w14:paraId="2E88919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44"/>
          <w:highlight w:val="none"/>
        </w:rPr>
      </w:pPr>
    </w:p>
    <w:p w14:paraId="216C3C4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44"/>
          <w:highlight w:val="none"/>
        </w:rPr>
      </w:pPr>
    </w:p>
    <w:p w14:paraId="20A17B9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44"/>
          <w:highlight w:val="none"/>
        </w:rPr>
        <w:sectPr>
          <w:headerReference r:id="rId5" w:type="default"/>
          <w:footerReference r:id="rId6" w:type="default"/>
          <w:pgSz w:w="11906" w:h="16839"/>
          <w:pgMar w:top="1440" w:right="1080" w:bottom="1440" w:left="1080" w:header="907" w:footer="996" w:gutter="0"/>
          <w:pgNumType w:fmt="decimal" w:start="1"/>
          <w:cols w:space="720" w:num="1"/>
        </w:sectPr>
      </w:pPr>
    </w:p>
    <w:p w14:paraId="2677A32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44"/>
          <w:highlight w:val="none"/>
        </w:rPr>
      </w:pPr>
    </w:p>
    <w:p w14:paraId="2423072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44"/>
          <w:highlight w:val="none"/>
        </w:rPr>
      </w:pPr>
    </w:p>
    <w:p w14:paraId="35AB127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44"/>
          <w:highlight w:val="none"/>
        </w:rPr>
      </w:pPr>
    </w:p>
    <w:p w14:paraId="5A9ADA7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44"/>
          <w:highlight w:val="none"/>
        </w:rPr>
      </w:pPr>
    </w:p>
    <w:p w14:paraId="4AF400D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44"/>
          <w:highlight w:val="none"/>
        </w:rPr>
      </w:pPr>
    </w:p>
    <w:p w14:paraId="62DF66A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44"/>
          <w:highlight w:val="none"/>
        </w:rPr>
      </w:pPr>
    </w:p>
    <w:p w14:paraId="0667E2A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44"/>
          <w:highlight w:val="none"/>
        </w:rPr>
      </w:pPr>
    </w:p>
    <w:p w14:paraId="313C2C6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44"/>
          <w:highlight w:val="none"/>
        </w:rPr>
      </w:pPr>
    </w:p>
    <w:p w14:paraId="77C732F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第一卷</w:t>
      </w:r>
    </w:p>
    <w:p w14:paraId="75CC518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szCs w:val="44"/>
          <w:highlight w:val="none"/>
        </w:rPr>
      </w:pPr>
    </w:p>
    <w:p w14:paraId="6B155680">
      <w:pPr>
        <w:pStyle w:val="23"/>
        <w:keepNext w:val="0"/>
        <w:keepLines w:val="0"/>
        <w:widowControl/>
        <w:suppressLineNumbers w:val="0"/>
        <w:spacing w:line="300" w:lineRule="atLeast"/>
        <w:jc w:val="center"/>
        <w:rPr>
          <w:rFonts w:hint="eastAsia" w:ascii="宋体" w:hAnsi="宋体" w:eastAsia="宋体" w:cs="宋体"/>
          <w:b/>
          <w:bCs/>
          <w:color w:val="auto"/>
          <w:sz w:val="36"/>
          <w:szCs w:val="36"/>
          <w:highlight w:val="none"/>
          <w:lang w:val="en-US" w:eastAsia="zh-CN"/>
        </w:rPr>
        <w:sectPr>
          <w:footerReference r:id="rId7" w:type="default"/>
          <w:pgSz w:w="11906" w:h="16839"/>
          <w:pgMar w:top="1440" w:right="1080" w:bottom="1440" w:left="1080" w:header="907" w:footer="996" w:gutter="0"/>
          <w:pgNumType w:fmt="decimal" w:start="1"/>
          <w:cols w:space="720" w:num="1"/>
        </w:sectPr>
      </w:pPr>
    </w:p>
    <w:p w14:paraId="0D308290">
      <w:pPr>
        <w:pStyle w:val="23"/>
        <w:keepNext w:val="0"/>
        <w:keepLines w:val="0"/>
        <w:widowControl/>
        <w:suppressLineNumbers w:val="0"/>
        <w:spacing w:line="300" w:lineRule="atLeast"/>
        <w:jc w:val="center"/>
        <w:rPr>
          <w:rFonts w:hint="eastAsia" w:ascii="宋体" w:hAnsi="宋体" w:eastAsia="宋体" w:cs="宋体"/>
          <w:color w:val="auto"/>
          <w:sz w:val="24"/>
          <w:szCs w:val="24"/>
          <w:highlight w:val="none"/>
        </w:rPr>
      </w:pPr>
      <w:r>
        <w:rPr>
          <w:rFonts w:hint="eastAsia" w:cs="宋体"/>
          <w:b/>
          <w:bCs/>
          <w:color w:val="auto"/>
          <w:sz w:val="36"/>
          <w:szCs w:val="36"/>
          <w:highlight w:val="none"/>
          <w:lang w:val="en-US" w:eastAsia="zh-CN"/>
        </w:rPr>
        <w:t>喀什光电保护盖板产业链项目土地平整</w:t>
      </w:r>
      <w:r>
        <w:rPr>
          <w:rFonts w:hint="eastAsia" w:ascii="宋体" w:hAnsi="宋体" w:eastAsia="宋体" w:cs="宋体"/>
          <w:b/>
          <w:bCs/>
          <w:color w:val="auto"/>
          <w:sz w:val="36"/>
          <w:szCs w:val="36"/>
          <w:highlight w:val="none"/>
          <w:lang w:val="en-US" w:eastAsia="zh-CN"/>
        </w:rPr>
        <w:t>竞争性磋商公告</w:t>
      </w:r>
    </w:p>
    <w:tbl>
      <w:tblPr>
        <w:tblStyle w:val="26"/>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2"/>
      </w:tblGrid>
      <w:tr w14:paraId="4AB7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9062" w:type="dxa"/>
            <w:noWrap w:val="0"/>
            <w:vAlign w:val="top"/>
          </w:tcPr>
          <w:p w14:paraId="7F1DA83E">
            <w:pPr>
              <w:pStyle w:val="23"/>
              <w:keepNext w:val="0"/>
              <w:keepLines w:val="0"/>
              <w:pageBreakBefore w:val="0"/>
              <w:widowControl/>
              <w:suppressLineNumbers w:val="0"/>
              <w:kinsoku/>
              <w:wordWrap/>
              <w:overflowPunct/>
              <w:topLinePunct w:val="0"/>
              <w:autoSpaceDE/>
              <w:autoSpaceDN/>
              <w:bidi w:val="0"/>
              <w:adjustRightInd/>
              <w:snapToGrid/>
              <w:spacing w:before="0" w:after="0" w:line="420" w:lineRule="exact"/>
              <w:jc w:val="left"/>
              <w:textAlignment w:val="auto"/>
              <w:rPr>
                <w:rFonts w:hint="eastAsia" w:ascii="宋体" w:hAnsi="宋体" w:eastAsia="宋体" w:cs="宋体"/>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 xml:space="preserve">  </w:t>
            </w:r>
            <w:r>
              <w:rPr>
                <w:rFonts w:hint="eastAsia" w:ascii="宋体" w:hAnsi="宋体" w:eastAsia="宋体" w:cs="宋体"/>
                <w:color w:val="auto"/>
                <w:kern w:val="2"/>
                <w:sz w:val="24"/>
                <w:szCs w:val="24"/>
                <w:highlight w:val="none"/>
                <w:lang w:val="en-US" w:eastAsia="zh-CN" w:bidi="ar-SA"/>
              </w:rPr>
              <w:t>项目概况</w:t>
            </w:r>
            <w:r>
              <w:rPr>
                <w:rFonts w:hint="eastAsia" w:ascii="宋体" w:hAnsi="宋体" w:eastAsia="宋体" w:cs="宋体"/>
                <w:color w:val="auto"/>
                <w:sz w:val="27"/>
                <w:szCs w:val="27"/>
                <w:highlight w:val="none"/>
                <w:shd w:val="clear" w:color="auto" w:fill="FFFFFF"/>
              </w:rPr>
              <w:t xml:space="preserve">                                   </w:t>
            </w:r>
          </w:p>
          <w:p w14:paraId="6C7557D9">
            <w:pPr>
              <w:pStyle w:val="23"/>
              <w:keepNext w:val="0"/>
              <w:keepLines w:val="0"/>
              <w:pageBreakBefore w:val="0"/>
              <w:widowControl/>
              <w:suppressLineNumbers w:val="0"/>
              <w:kinsoku/>
              <w:wordWrap/>
              <w:overflowPunct/>
              <w:topLinePunct w:val="0"/>
              <w:autoSpaceDE/>
              <w:autoSpaceDN/>
              <w:bidi w:val="0"/>
              <w:adjustRightInd/>
              <w:snapToGrid/>
              <w:spacing w:before="0" w:after="0" w:line="480" w:lineRule="auto"/>
              <w:ind w:firstLine="480" w:firstLineChars="200"/>
              <w:jc w:val="left"/>
              <w:textAlignment w:val="auto"/>
              <w:rPr>
                <w:rFonts w:hint="eastAsia" w:ascii="宋体" w:hAnsi="宋体" w:eastAsia="宋体" w:cs="宋体"/>
                <w:color w:val="auto"/>
                <w:sz w:val="27"/>
                <w:szCs w:val="27"/>
                <w:highlight w:val="none"/>
                <w:shd w:val="clear" w:color="auto" w:fill="FFFFFF"/>
                <w:vertAlign w:val="baseline"/>
                <w:lang w:eastAsia="zh-CN"/>
              </w:rPr>
            </w:pPr>
            <w:r>
              <w:rPr>
                <w:rFonts w:hint="eastAsia" w:ascii="宋体" w:hAnsi="宋体" w:eastAsia="宋体" w:cs="宋体"/>
                <w:color w:val="auto"/>
                <w:kern w:val="2"/>
                <w:sz w:val="24"/>
                <w:szCs w:val="24"/>
                <w:highlight w:val="none"/>
                <w:lang w:val="en-US" w:eastAsia="zh-CN" w:bidi="ar-SA"/>
              </w:rPr>
              <w:t>喀什光电保护盖板产业链项目土地平整的潜在供应商应在政采云平台线上获取采购文件，并于</w:t>
            </w:r>
            <w:r>
              <w:rPr>
                <w:rFonts w:hint="eastAsia" w:cs="宋体"/>
                <w:i w:val="0"/>
                <w:iCs w:val="0"/>
                <w:caps w:val="0"/>
                <w:color w:val="auto"/>
                <w:spacing w:val="0"/>
                <w:kern w:val="0"/>
                <w:sz w:val="24"/>
                <w:szCs w:val="24"/>
                <w:highlight w:val="none"/>
                <w:lang w:val="en-US" w:eastAsia="zh-CN" w:bidi="ar"/>
              </w:rPr>
              <w:t>2025年01月06日</w:t>
            </w:r>
            <w:r>
              <w:rPr>
                <w:rFonts w:hint="eastAsia" w:ascii="宋体" w:hAnsi="宋体" w:eastAsia="宋体" w:cs="宋体"/>
                <w:i w:val="0"/>
                <w:iCs w:val="0"/>
                <w:caps w:val="0"/>
                <w:color w:val="auto"/>
                <w:spacing w:val="0"/>
                <w:kern w:val="0"/>
                <w:sz w:val="24"/>
                <w:szCs w:val="24"/>
                <w:highlight w:val="none"/>
                <w:lang w:val="en-US" w:eastAsia="zh-CN" w:bidi="ar"/>
              </w:rPr>
              <w:t>16:00</w:t>
            </w:r>
            <w:r>
              <w:rPr>
                <w:rFonts w:hint="eastAsia" w:ascii="宋体" w:hAnsi="宋体" w:eastAsia="宋体" w:cs="宋体"/>
                <w:color w:val="auto"/>
                <w:kern w:val="2"/>
                <w:sz w:val="24"/>
                <w:szCs w:val="24"/>
                <w:highlight w:val="none"/>
                <w:lang w:val="en-US" w:eastAsia="zh-CN" w:bidi="ar-SA"/>
              </w:rPr>
              <w:t>（北京时间）前提交响应文件。</w:t>
            </w:r>
          </w:p>
        </w:tc>
      </w:tr>
    </w:tbl>
    <w:p w14:paraId="34787430">
      <w:pPr>
        <w:pStyle w:val="2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both"/>
        <w:textAlignment w:val="auto"/>
        <w:rPr>
          <w:rFonts w:hint="eastAsia" w:ascii="宋体" w:hAnsi="宋体" w:eastAsia="宋体" w:cs="宋体"/>
          <w:color w:val="auto"/>
          <w:sz w:val="24"/>
          <w:szCs w:val="24"/>
          <w:highlight w:val="none"/>
        </w:rPr>
      </w:pPr>
      <w:r>
        <w:rPr>
          <w:rStyle w:val="28"/>
          <w:rFonts w:hint="eastAsia" w:ascii="宋体" w:hAnsi="宋体" w:eastAsia="宋体" w:cs="宋体"/>
          <w:color w:val="auto"/>
          <w:sz w:val="24"/>
          <w:szCs w:val="24"/>
          <w:highlight w:val="none"/>
          <w:lang w:val="en-US" w:eastAsia="zh-CN"/>
        </w:rPr>
        <w:t>一、</w:t>
      </w:r>
      <w:r>
        <w:rPr>
          <w:rStyle w:val="28"/>
          <w:rFonts w:hint="eastAsia" w:ascii="宋体" w:hAnsi="宋体" w:eastAsia="宋体" w:cs="宋体"/>
          <w:color w:val="auto"/>
          <w:sz w:val="24"/>
          <w:szCs w:val="24"/>
          <w:highlight w:val="none"/>
        </w:rPr>
        <w:t>项目基本情况</w:t>
      </w:r>
    </w:p>
    <w:p w14:paraId="5450916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项目编号：KSDQKS-(CS)2024-00</w:t>
      </w:r>
      <w:r>
        <w:rPr>
          <w:rFonts w:hint="eastAsia"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 xml:space="preserve">号 </w:t>
      </w:r>
    </w:p>
    <w:p w14:paraId="25422DA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项目名称：</w:t>
      </w:r>
      <w:r>
        <w:rPr>
          <w:rFonts w:hint="eastAsia" w:cs="宋体"/>
          <w:color w:val="auto"/>
          <w:kern w:val="2"/>
          <w:sz w:val="24"/>
          <w:szCs w:val="24"/>
          <w:highlight w:val="none"/>
          <w:lang w:val="en-US" w:eastAsia="zh-CN" w:bidi="ar-SA"/>
        </w:rPr>
        <w:t>喀什光电保护盖板产业链项目土地平整</w:t>
      </w:r>
    </w:p>
    <w:p w14:paraId="1C0F71D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采购方式：竞争性磋商</w:t>
      </w:r>
    </w:p>
    <w:p w14:paraId="6934C0D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预算金额（元）：</w:t>
      </w:r>
      <w:r>
        <w:rPr>
          <w:rFonts w:hint="eastAsia" w:cs="宋体"/>
          <w:color w:val="auto"/>
          <w:kern w:val="2"/>
          <w:sz w:val="24"/>
          <w:szCs w:val="24"/>
          <w:highlight w:val="none"/>
          <w:lang w:val="en-US" w:eastAsia="zh-CN" w:bidi="ar-SA"/>
        </w:rPr>
        <w:t>2797620.89</w:t>
      </w:r>
      <w:r>
        <w:rPr>
          <w:rFonts w:hint="eastAsia" w:ascii="宋体" w:hAnsi="宋体" w:eastAsia="宋体" w:cs="宋体"/>
          <w:color w:val="auto"/>
          <w:kern w:val="2"/>
          <w:sz w:val="24"/>
          <w:szCs w:val="24"/>
          <w:highlight w:val="none"/>
          <w:lang w:val="en-US" w:eastAsia="zh-CN" w:bidi="ar-SA"/>
        </w:rPr>
        <w:t>  </w:t>
      </w:r>
    </w:p>
    <w:p w14:paraId="19A3AC4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最高限价（元）：</w:t>
      </w:r>
      <w:r>
        <w:rPr>
          <w:rFonts w:hint="eastAsia" w:cs="宋体"/>
          <w:color w:val="auto"/>
          <w:kern w:val="2"/>
          <w:sz w:val="24"/>
          <w:szCs w:val="24"/>
          <w:highlight w:val="none"/>
          <w:lang w:val="en-US" w:eastAsia="zh-CN" w:bidi="ar-SA"/>
        </w:rPr>
        <w:t>2797620.89</w:t>
      </w:r>
      <w:r>
        <w:rPr>
          <w:rFonts w:hint="eastAsia" w:ascii="宋体" w:hAnsi="宋体" w:eastAsia="宋体" w:cs="宋体"/>
          <w:color w:val="auto"/>
          <w:kern w:val="2"/>
          <w:sz w:val="24"/>
          <w:szCs w:val="24"/>
          <w:highlight w:val="none"/>
          <w:lang w:val="en-US" w:eastAsia="zh-CN" w:bidi="ar-SA"/>
        </w:rPr>
        <w:t> </w:t>
      </w:r>
    </w:p>
    <w:p w14:paraId="24207C6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采购需求：场地平整68590.90m2及土方开挖、回填等等相关内容。</w:t>
      </w:r>
    </w:p>
    <w:p w14:paraId="643F3B4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标项名称：</w:t>
      </w:r>
      <w:r>
        <w:rPr>
          <w:rFonts w:hint="eastAsia" w:cs="宋体"/>
          <w:color w:val="auto"/>
          <w:kern w:val="2"/>
          <w:sz w:val="24"/>
          <w:szCs w:val="24"/>
          <w:highlight w:val="none"/>
          <w:lang w:val="en-US" w:eastAsia="zh-CN" w:bidi="ar-SA"/>
        </w:rPr>
        <w:t>喀什光电保护盖板产业链项目土地平整</w:t>
      </w:r>
    </w:p>
    <w:p w14:paraId="7734CF8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数量：不限     </w:t>
      </w:r>
    </w:p>
    <w:p w14:paraId="24303A4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预算金额（元）：</w:t>
      </w:r>
      <w:r>
        <w:rPr>
          <w:rFonts w:hint="eastAsia" w:cs="宋体"/>
          <w:color w:val="auto"/>
          <w:kern w:val="2"/>
          <w:sz w:val="24"/>
          <w:szCs w:val="24"/>
          <w:highlight w:val="none"/>
          <w:lang w:val="en-US" w:eastAsia="zh-CN" w:bidi="ar-SA"/>
        </w:rPr>
        <w:t>2797620.89</w:t>
      </w:r>
      <w:r>
        <w:rPr>
          <w:rFonts w:hint="eastAsia" w:ascii="宋体" w:hAnsi="宋体" w:eastAsia="宋体" w:cs="宋体"/>
          <w:color w:val="auto"/>
          <w:kern w:val="2"/>
          <w:sz w:val="24"/>
          <w:szCs w:val="24"/>
          <w:highlight w:val="none"/>
          <w:lang w:val="en-US" w:eastAsia="zh-CN" w:bidi="ar-SA"/>
        </w:rPr>
        <w:t>   </w:t>
      </w:r>
    </w:p>
    <w:p w14:paraId="2F80088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单位：批 </w:t>
      </w:r>
    </w:p>
    <w:p w14:paraId="5B0FD550">
      <w:pPr>
        <w:pStyle w:val="23"/>
        <w:spacing w:before="75" w:beforeAutospacing="0" w:after="75" w:afterAutospacing="0"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简要规格描述：场地平整68590.90m2及土方开挖、回填等等相关内容。（详细工程量清单及要求见磋商文件）。</w:t>
      </w:r>
    </w:p>
    <w:p w14:paraId="1B5A673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工期：15日历天。</w:t>
      </w:r>
    </w:p>
    <w:p w14:paraId="13BCE0D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本项目不接受联合体投标。</w:t>
      </w:r>
    </w:p>
    <w:p w14:paraId="1FB44F1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二、申请人的资格要求：</w:t>
      </w:r>
    </w:p>
    <w:p w14:paraId="5B96716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1.满足《中华人民共和国政府采购法》第二十二条规定；</w:t>
      </w:r>
    </w:p>
    <w:p w14:paraId="3B39A4B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2.落实政府采购政策需满足的资格要求：本项目面向中小微企业  </w:t>
      </w:r>
    </w:p>
    <w:p w14:paraId="22B1B7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3.本项目的特</w:t>
      </w:r>
      <w:r>
        <w:rPr>
          <w:rFonts w:hint="eastAsia" w:ascii="宋体" w:hAnsi="宋体" w:eastAsia="宋体" w:cs="宋体"/>
          <w:color w:val="auto"/>
          <w:sz w:val="24"/>
          <w:szCs w:val="24"/>
          <w:highlight w:val="none"/>
          <w:lang w:val="en-US" w:eastAsia="zh-CN"/>
        </w:rPr>
        <w:t>定资格要求：标项1：</w:t>
      </w:r>
    </w:p>
    <w:p w14:paraId="6BECE853">
      <w:pPr>
        <w:spacing w:line="240" w:lineRule="atLeast"/>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highlight w:val="none"/>
          <w:lang w:val="en-US" w:eastAsia="zh-CN"/>
        </w:rPr>
        <w:t>资质要求：具备</w:t>
      </w:r>
      <w:r>
        <w:rPr>
          <w:rFonts w:hint="eastAsia" w:ascii="宋体" w:hAnsi="宋体" w:eastAsia="宋体" w:cs="宋体"/>
          <w:b/>
          <w:bCs/>
          <w:color w:val="auto"/>
          <w:sz w:val="24"/>
          <w:highlight w:val="none"/>
          <w:lang w:val="zh-CN" w:eastAsia="zh-CN"/>
        </w:rPr>
        <w:t>市政公用工程施工总承包三级</w:t>
      </w:r>
      <w:r>
        <w:rPr>
          <w:rFonts w:hint="eastAsia" w:ascii="宋体" w:hAnsi="宋体" w:eastAsia="宋体" w:cs="宋体"/>
          <w:b/>
          <w:bCs/>
          <w:color w:val="auto"/>
          <w:sz w:val="24"/>
          <w:highlight w:val="none"/>
          <w:lang w:val="en-US" w:eastAsia="zh-CN"/>
        </w:rPr>
        <w:t>及以上资质等级、有效的安全生产许可证；项目负责人具备市政公用工程二级及以上注册建造师执业资格且具有有效的安全生产考核证B证。</w:t>
      </w:r>
    </w:p>
    <w:p w14:paraId="5D99782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rPr>
      </w:pPr>
      <w:r>
        <w:rPr>
          <w:rStyle w:val="28"/>
          <w:rFonts w:hint="eastAsia" w:ascii="宋体" w:hAnsi="宋体" w:eastAsia="宋体" w:cs="宋体"/>
          <w:color w:val="auto"/>
          <w:sz w:val="24"/>
          <w:szCs w:val="24"/>
          <w:highlight w:val="none"/>
        </w:rPr>
        <w:t>三、获取采购文件</w:t>
      </w:r>
      <w:r>
        <w:rPr>
          <w:rFonts w:hint="eastAsia" w:ascii="宋体" w:hAnsi="宋体" w:eastAsia="宋体" w:cs="宋体"/>
          <w:color w:val="auto"/>
          <w:sz w:val="24"/>
          <w:szCs w:val="24"/>
          <w:highlight w:val="none"/>
        </w:rPr>
        <w:t> </w:t>
      </w:r>
    </w:p>
    <w:p w14:paraId="645CCC9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时间：2024年</w:t>
      </w:r>
      <w:r>
        <w:rPr>
          <w:rFonts w:hint="eastAsia"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zh-CN" w:bidi="ar-SA"/>
        </w:rPr>
        <w:t>月</w:t>
      </w:r>
      <w:r>
        <w:rPr>
          <w:rFonts w:hint="eastAsia" w:cs="宋体"/>
          <w:color w:val="auto"/>
          <w:kern w:val="2"/>
          <w:sz w:val="24"/>
          <w:szCs w:val="24"/>
          <w:highlight w:val="none"/>
          <w:lang w:val="en-US" w:eastAsia="zh-CN" w:bidi="ar-SA"/>
        </w:rPr>
        <w:t>24</w:t>
      </w:r>
      <w:r>
        <w:rPr>
          <w:rFonts w:hint="eastAsia" w:ascii="宋体" w:hAnsi="宋体" w:eastAsia="宋体" w:cs="宋体"/>
          <w:color w:val="auto"/>
          <w:kern w:val="2"/>
          <w:sz w:val="24"/>
          <w:szCs w:val="24"/>
          <w:highlight w:val="none"/>
          <w:lang w:val="en-US" w:eastAsia="zh-CN" w:bidi="ar-SA"/>
        </w:rPr>
        <w:t>日至202</w:t>
      </w:r>
      <w:r>
        <w:rPr>
          <w:rFonts w:hint="eastAsia"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年</w:t>
      </w:r>
      <w:r>
        <w:rPr>
          <w:rFonts w:hint="eastAsia"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zh-CN" w:bidi="ar-SA"/>
        </w:rPr>
        <w:t>月</w:t>
      </w:r>
      <w:r>
        <w:rPr>
          <w:rFonts w:hint="eastAsia" w:cs="宋体"/>
          <w:color w:val="auto"/>
          <w:kern w:val="2"/>
          <w:sz w:val="24"/>
          <w:szCs w:val="24"/>
          <w:highlight w:val="none"/>
          <w:lang w:val="en-US" w:eastAsia="zh-CN" w:bidi="ar-SA"/>
        </w:rPr>
        <w:t>31</w:t>
      </w:r>
      <w:r>
        <w:rPr>
          <w:rFonts w:hint="eastAsia" w:ascii="宋体" w:hAnsi="宋体" w:eastAsia="宋体" w:cs="宋体"/>
          <w:color w:val="auto"/>
          <w:kern w:val="2"/>
          <w:sz w:val="24"/>
          <w:szCs w:val="24"/>
          <w:highlight w:val="none"/>
          <w:lang w:val="en-US" w:eastAsia="zh-CN" w:bidi="ar-SA"/>
        </w:rPr>
        <w:t>日，每天上午10:00至14:00，下午16:00至23:59（北京时间，法定节假日除外）</w:t>
      </w:r>
    </w:p>
    <w:p w14:paraId="5A942F3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地点：政采云平台线上获取 </w:t>
      </w:r>
    </w:p>
    <w:p w14:paraId="387BFAB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方式：供应商登录政采云平台https://www.zcygov.cn/在线申请获取采购文件（进入“项目采购”应用，在获取采购文件菜单中选择项目，申请获取采购文件）。 </w:t>
      </w:r>
    </w:p>
    <w:p w14:paraId="273F762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 售价（元）： 0</w:t>
      </w:r>
    </w:p>
    <w:p w14:paraId="0D49496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b/>
          <w:bCs w:val="0"/>
          <w:color w:val="auto"/>
          <w:sz w:val="24"/>
          <w:szCs w:val="24"/>
          <w:highlight w:val="none"/>
        </w:rPr>
      </w:pPr>
      <w:r>
        <w:rPr>
          <w:rStyle w:val="28"/>
          <w:rFonts w:hint="eastAsia" w:ascii="宋体" w:hAnsi="宋体" w:eastAsia="宋体" w:cs="宋体"/>
          <w:b/>
          <w:bCs w:val="0"/>
          <w:color w:val="auto"/>
          <w:sz w:val="24"/>
          <w:szCs w:val="24"/>
          <w:highlight w:val="none"/>
        </w:rPr>
        <w:t>四、响应文件提交</w:t>
      </w:r>
      <w:r>
        <w:rPr>
          <w:rFonts w:hint="eastAsia" w:ascii="宋体" w:hAnsi="宋体" w:eastAsia="宋体" w:cs="宋体"/>
          <w:b/>
          <w:bCs w:val="0"/>
          <w:color w:val="auto"/>
          <w:sz w:val="24"/>
          <w:szCs w:val="24"/>
          <w:highlight w:val="none"/>
        </w:rPr>
        <w:t> </w:t>
      </w:r>
    </w:p>
    <w:p w14:paraId="2AA7F1B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截止时间：</w:t>
      </w:r>
      <w:r>
        <w:rPr>
          <w:rFonts w:hint="eastAsia" w:cs="宋体"/>
          <w:i w:val="0"/>
          <w:iCs w:val="0"/>
          <w:caps w:val="0"/>
          <w:color w:val="auto"/>
          <w:spacing w:val="0"/>
          <w:kern w:val="0"/>
          <w:sz w:val="24"/>
          <w:szCs w:val="24"/>
          <w:highlight w:val="none"/>
          <w:lang w:val="en-US" w:eastAsia="zh-CN" w:bidi="ar"/>
        </w:rPr>
        <w:t xml:space="preserve">2025年01月06日 </w:t>
      </w:r>
      <w:r>
        <w:rPr>
          <w:rFonts w:hint="eastAsia" w:ascii="宋体" w:hAnsi="宋体" w:eastAsia="宋体" w:cs="宋体"/>
          <w:i w:val="0"/>
          <w:iCs w:val="0"/>
          <w:caps w:val="0"/>
          <w:color w:val="auto"/>
          <w:spacing w:val="0"/>
          <w:kern w:val="0"/>
          <w:sz w:val="24"/>
          <w:szCs w:val="24"/>
          <w:highlight w:val="none"/>
          <w:lang w:val="en-US" w:eastAsia="zh-CN" w:bidi="ar"/>
        </w:rPr>
        <w:t xml:space="preserve"> 16:00（北京时间）</w:t>
      </w:r>
    </w:p>
    <w:p w14:paraId="2C0969D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地点：政采云平台（https://www.zcygov.cn/）</w:t>
      </w:r>
    </w:p>
    <w:p w14:paraId="23D5F252">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6510"/>
        </w:tabs>
        <w:kinsoku/>
        <w:wordWrap/>
        <w:overflowPunct/>
        <w:topLinePunct w:val="0"/>
        <w:autoSpaceDE/>
        <w:autoSpaceDN/>
        <w:bidi w:val="0"/>
        <w:adjustRightInd/>
        <w:snapToGrid/>
        <w:spacing w:before="0" w:beforeAutospacing="0" w:after="0" w:afterAutospacing="0" w:line="312" w:lineRule="auto"/>
        <w:ind w:right="0" w:rightChars="0"/>
        <w:jc w:val="left"/>
        <w:textAlignment w:val="auto"/>
        <w:rPr>
          <w:rFonts w:hint="eastAsia" w:ascii="宋体" w:hAnsi="宋体" w:eastAsia="宋体" w:cs="宋体"/>
          <w:color w:val="auto"/>
          <w:sz w:val="24"/>
          <w:szCs w:val="24"/>
          <w:highlight w:val="none"/>
        </w:rPr>
      </w:pPr>
      <w:r>
        <w:rPr>
          <w:rStyle w:val="28"/>
          <w:rFonts w:hint="eastAsia" w:ascii="宋体" w:hAnsi="宋体" w:eastAsia="宋体" w:cs="宋体"/>
          <w:b/>
          <w:bCs w:val="0"/>
          <w:color w:val="auto"/>
          <w:sz w:val="24"/>
          <w:szCs w:val="24"/>
          <w:highlight w:val="none"/>
          <w:lang w:val="en-US" w:eastAsia="zh-CN"/>
        </w:rPr>
        <w:t>五、</w:t>
      </w:r>
      <w:r>
        <w:rPr>
          <w:rStyle w:val="28"/>
          <w:rFonts w:hint="eastAsia" w:ascii="宋体" w:hAnsi="宋体" w:eastAsia="宋体" w:cs="宋体"/>
          <w:b/>
          <w:bCs w:val="0"/>
          <w:color w:val="auto"/>
          <w:sz w:val="24"/>
          <w:szCs w:val="24"/>
          <w:highlight w:val="none"/>
        </w:rPr>
        <w:t>响应文件开启</w:t>
      </w:r>
      <w:r>
        <w:rPr>
          <w:rFonts w:hint="eastAsia" w:ascii="宋体" w:hAnsi="宋体" w:eastAsia="宋体" w:cs="宋体"/>
          <w:color w:val="auto"/>
          <w:sz w:val="24"/>
          <w:szCs w:val="24"/>
          <w:highlight w:val="none"/>
        </w:rPr>
        <w:t xml:space="preserve">  </w:t>
      </w:r>
    </w:p>
    <w:p w14:paraId="6C299C4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color w:val="auto"/>
          <w:sz w:val="24"/>
          <w:szCs w:val="24"/>
          <w:highlight w:val="none"/>
        </w:rPr>
        <w:t>开启时间：</w:t>
      </w:r>
      <w:r>
        <w:rPr>
          <w:rFonts w:hint="eastAsia" w:cs="宋体"/>
          <w:i w:val="0"/>
          <w:iCs w:val="0"/>
          <w:caps w:val="0"/>
          <w:color w:val="auto"/>
          <w:spacing w:val="0"/>
          <w:kern w:val="0"/>
          <w:sz w:val="24"/>
          <w:szCs w:val="24"/>
          <w:highlight w:val="none"/>
          <w:lang w:val="en-US" w:eastAsia="zh-CN" w:bidi="ar"/>
        </w:rPr>
        <w:t xml:space="preserve">2025年01月06日  </w:t>
      </w:r>
      <w:r>
        <w:rPr>
          <w:rFonts w:hint="eastAsia" w:ascii="宋体" w:hAnsi="宋体" w:eastAsia="宋体" w:cs="宋体"/>
          <w:i w:val="0"/>
          <w:iCs w:val="0"/>
          <w:caps w:val="0"/>
          <w:color w:val="auto"/>
          <w:spacing w:val="0"/>
          <w:kern w:val="0"/>
          <w:sz w:val="24"/>
          <w:szCs w:val="24"/>
          <w:highlight w:val="none"/>
          <w:lang w:val="en-US" w:eastAsia="zh-CN" w:bidi="ar"/>
        </w:rPr>
        <w:t xml:space="preserve"> 16:00（北京时间）</w:t>
      </w:r>
    </w:p>
    <w:p w14:paraId="1E568F5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地点：政采云平台（https://www.zcygov.cn/）</w:t>
      </w:r>
    </w:p>
    <w:p w14:paraId="0555DA6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b/>
          <w:bCs w:val="0"/>
          <w:color w:val="auto"/>
          <w:sz w:val="24"/>
          <w:szCs w:val="24"/>
          <w:highlight w:val="none"/>
        </w:rPr>
      </w:pPr>
      <w:r>
        <w:rPr>
          <w:rStyle w:val="28"/>
          <w:rFonts w:hint="eastAsia" w:ascii="宋体" w:hAnsi="宋体" w:eastAsia="宋体" w:cs="宋体"/>
          <w:b/>
          <w:bCs w:val="0"/>
          <w:color w:val="auto"/>
          <w:sz w:val="24"/>
          <w:szCs w:val="24"/>
          <w:highlight w:val="none"/>
        </w:rPr>
        <w:t>六、公告期限</w:t>
      </w:r>
    </w:p>
    <w:p w14:paraId="0287B92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w:t>
      </w:r>
    </w:p>
    <w:p w14:paraId="23DCE30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rPr>
      </w:pPr>
      <w:r>
        <w:rPr>
          <w:rStyle w:val="28"/>
          <w:rFonts w:hint="eastAsia" w:ascii="宋体" w:hAnsi="宋体" w:eastAsia="宋体" w:cs="宋体"/>
          <w:color w:val="auto"/>
          <w:sz w:val="24"/>
          <w:szCs w:val="24"/>
          <w:highlight w:val="none"/>
        </w:rPr>
        <w:t>七、其他补充事宜</w:t>
      </w:r>
    </w:p>
    <w:p w14:paraId="3B5FC3C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Style w:val="28"/>
          <w:rFonts w:hint="eastAsia" w:ascii="宋体" w:hAnsi="宋体" w:eastAsia="宋体" w:cs="宋体"/>
          <w:b w:val="0"/>
          <w:bCs/>
          <w:color w:val="auto"/>
          <w:sz w:val="24"/>
          <w:szCs w:val="24"/>
          <w:highlight w:val="none"/>
        </w:rPr>
      </w:pPr>
      <w:r>
        <w:rPr>
          <w:rStyle w:val="28"/>
          <w:rFonts w:hint="eastAsia" w:ascii="宋体" w:hAnsi="宋体" w:eastAsia="宋体" w:cs="宋体"/>
          <w:color w:val="auto"/>
          <w:sz w:val="24"/>
          <w:szCs w:val="24"/>
          <w:highlight w:val="none"/>
        </w:rPr>
        <w:t xml:space="preserve">  </w:t>
      </w:r>
      <w:r>
        <w:rPr>
          <w:rStyle w:val="28"/>
          <w:rFonts w:hint="eastAsia" w:ascii="宋体" w:hAnsi="宋体" w:eastAsia="宋体" w:cs="宋体"/>
          <w:b w:val="0"/>
          <w:bCs/>
          <w:color w:val="auto"/>
          <w:sz w:val="24"/>
          <w:szCs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40B48AE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Style w:val="28"/>
          <w:rFonts w:hint="eastAsia" w:ascii="宋体" w:hAnsi="宋体" w:eastAsia="宋体" w:cs="宋体"/>
          <w:b w:val="0"/>
          <w:bCs/>
          <w:color w:val="auto"/>
          <w:sz w:val="24"/>
          <w:szCs w:val="24"/>
          <w:highlight w:val="none"/>
        </w:rPr>
      </w:pPr>
      <w:r>
        <w:rPr>
          <w:rStyle w:val="28"/>
          <w:rFonts w:hint="eastAsia" w:ascii="宋体" w:hAnsi="宋体" w:eastAsia="宋体" w:cs="宋体"/>
          <w:b w:val="0"/>
          <w:bCs/>
          <w:color w:val="auto"/>
          <w:sz w:val="24"/>
          <w:szCs w:val="24"/>
          <w:highlight w:val="none"/>
        </w:rPr>
        <w:t>2.本项目实行网上投标，采用电子投标文件(供应商须使用CA加密设备通过政采云电子投标客户端制作投标文件)。若供应商参与投标，自行承担投标一切费用。</w:t>
      </w:r>
    </w:p>
    <w:p w14:paraId="2F434B7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Style w:val="28"/>
          <w:rFonts w:hint="eastAsia" w:ascii="宋体" w:hAnsi="宋体" w:eastAsia="宋体" w:cs="宋体"/>
          <w:b w:val="0"/>
          <w:bCs/>
          <w:color w:val="auto"/>
          <w:sz w:val="24"/>
          <w:szCs w:val="24"/>
          <w:highlight w:val="none"/>
        </w:rPr>
      </w:pPr>
      <w:r>
        <w:rPr>
          <w:rStyle w:val="28"/>
          <w:rFonts w:hint="eastAsia" w:ascii="宋体" w:hAnsi="宋体" w:eastAsia="宋体" w:cs="宋体"/>
          <w:b w:val="0"/>
          <w:bCs/>
          <w:color w:val="auto"/>
          <w:sz w:val="24"/>
          <w:szCs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6E1DFD6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Style w:val="28"/>
          <w:rFonts w:hint="eastAsia" w:ascii="宋体" w:hAnsi="宋体" w:eastAsia="宋体" w:cs="宋体"/>
          <w:b w:val="0"/>
          <w:bCs/>
          <w:color w:val="auto"/>
          <w:sz w:val="24"/>
          <w:szCs w:val="24"/>
          <w:highlight w:val="none"/>
        </w:rPr>
      </w:pPr>
      <w:r>
        <w:rPr>
          <w:rStyle w:val="28"/>
          <w:rFonts w:hint="eastAsia" w:ascii="宋体" w:hAnsi="宋体" w:eastAsia="宋体" w:cs="宋体"/>
          <w:b w:val="0"/>
          <w:bCs/>
          <w:color w:val="auto"/>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3C50B01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Style w:val="28"/>
          <w:rFonts w:hint="eastAsia" w:ascii="宋体" w:hAnsi="宋体" w:eastAsia="宋体" w:cs="宋体"/>
          <w:b w:val="0"/>
          <w:bCs/>
          <w:color w:val="auto"/>
          <w:sz w:val="24"/>
          <w:szCs w:val="24"/>
          <w:highlight w:val="none"/>
        </w:rPr>
      </w:pPr>
      <w:r>
        <w:rPr>
          <w:rStyle w:val="28"/>
          <w:rFonts w:hint="eastAsia" w:ascii="宋体" w:hAnsi="宋体" w:eastAsia="宋体" w:cs="宋体"/>
          <w:b w:val="0"/>
          <w:bCs/>
          <w:color w:val="auto"/>
          <w:sz w:val="24"/>
          <w:szCs w:val="24"/>
          <w:highlight w:val="none"/>
        </w:rPr>
        <w:t>5.供应商在开标时须使用制作加密电子投标文件所使用的CA锁及电脑，电脑须提前配置好浏览器（建议使用谷歌浏览器），以便开标时解锁。</w:t>
      </w:r>
    </w:p>
    <w:p w14:paraId="7260CA9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Style w:val="28"/>
          <w:rFonts w:hint="eastAsia" w:ascii="宋体" w:hAnsi="宋体" w:eastAsia="宋体" w:cs="宋体"/>
          <w:b w:val="0"/>
          <w:bCs/>
          <w:color w:val="auto"/>
          <w:sz w:val="24"/>
          <w:szCs w:val="24"/>
          <w:highlight w:val="none"/>
        </w:rPr>
      </w:pPr>
      <w:r>
        <w:rPr>
          <w:rStyle w:val="28"/>
          <w:rFonts w:hint="eastAsia" w:ascii="宋体" w:hAnsi="宋体" w:eastAsia="宋体" w:cs="宋体"/>
          <w:b w:val="0"/>
          <w:bCs/>
          <w:color w:val="auto"/>
          <w:sz w:val="24"/>
          <w:szCs w:val="24"/>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20C6AAF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Style w:val="28"/>
          <w:rFonts w:hint="eastAsia" w:ascii="宋体" w:hAnsi="宋体" w:eastAsia="宋体" w:cs="宋体"/>
          <w:color w:val="auto"/>
          <w:sz w:val="24"/>
          <w:szCs w:val="24"/>
          <w:highlight w:val="none"/>
        </w:rPr>
      </w:pPr>
      <w:r>
        <w:rPr>
          <w:rStyle w:val="28"/>
          <w:rFonts w:hint="eastAsia" w:ascii="宋体" w:hAnsi="宋体" w:eastAsia="宋体" w:cs="宋体"/>
          <w:b w:val="0"/>
          <w:bCs/>
          <w:color w:val="auto"/>
          <w:sz w:val="24"/>
          <w:szCs w:val="24"/>
          <w:highlight w:val="none"/>
        </w:rPr>
        <w:t>7.各投标人应随时关注新疆政府采购网项目信息，如有必要对招标文件澄清、修改及变更的将在本网站及时发布，文件一旦发布即视为以书面形式通知所有潜在投标人，请各投标人自行关注本次招标项目相关信息的变更情况，否则所造成的一切后果由投标人自负。</w:t>
      </w:r>
      <w:r>
        <w:rPr>
          <w:rStyle w:val="28"/>
          <w:rFonts w:hint="eastAsia" w:ascii="宋体" w:hAnsi="宋体" w:eastAsia="宋体" w:cs="宋体"/>
          <w:color w:val="auto"/>
          <w:sz w:val="24"/>
          <w:szCs w:val="24"/>
          <w:highlight w:val="none"/>
        </w:rPr>
        <w:t xml:space="preserve">  </w:t>
      </w:r>
    </w:p>
    <w:p w14:paraId="2A36B43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Style w:val="28"/>
          <w:rFonts w:hint="eastAsia" w:ascii="宋体" w:hAnsi="宋体" w:eastAsia="宋体" w:cs="宋体"/>
          <w:color w:val="auto"/>
          <w:sz w:val="24"/>
          <w:szCs w:val="24"/>
          <w:highlight w:val="none"/>
        </w:rPr>
      </w:pPr>
      <w:r>
        <w:rPr>
          <w:rStyle w:val="28"/>
          <w:rFonts w:hint="eastAsia" w:ascii="宋体" w:hAnsi="宋体" w:eastAsia="宋体" w:cs="宋体"/>
          <w:color w:val="auto"/>
          <w:sz w:val="24"/>
          <w:szCs w:val="24"/>
          <w:highlight w:val="none"/>
        </w:rPr>
        <w:t>特别提示：</w:t>
      </w:r>
    </w:p>
    <w:p w14:paraId="496DFE7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Style w:val="28"/>
          <w:rFonts w:hint="eastAsia" w:ascii="宋体" w:hAnsi="宋体" w:eastAsia="宋体" w:cs="宋体"/>
          <w:color w:val="auto"/>
          <w:sz w:val="24"/>
          <w:szCs w:val="24"/>
          <w:highlight w:val="none"/>
        </w:rPr>
      </w:pPr>
      <w:r>
        <w:rPr>
          <w:rStyle w:val="28"/>
          <w:rFonts w:hint="eastAsia" w:ascii="宋体" w:hAnsi="宋体" w:eastAsia="宋体" w:cs="宋体"/>
          <w:color w:val="auto"/>
          <w:sz w:val="24"/>
          <w:szCs w:val="24"/>
          <w:highlight w:val="none"/>
        </w:rPr>
        <w:t>1、采购限额标准以上，200万元以下的货物和服务采购项目、400万元以下的工程采购项目，适宜由中小企业提供的，采购人应当专门面向中小企业采购。</w:t>
      </w:r>
    </w:p>
    <w:p w14:paraId="3B511FA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Style w:val="28"/>
          <w:rFonts w:hint="eastAsia" w:ascii="宋体" w:hAnsi="宋体" w:eastAsia="宋体" w:cs="宋体"/>
          <w:color w:val="auto"/>
          <w:sz w:val="24"/>
          <w:szCs w:val="24"/>
          <w:highlight w:val="none"/>
        </w:rPr>
      </w:pPr>
      <w:r>
        <w:rPr>
          <w:rStyle w:val="28"/>
          <w:rFonts w:hint="eastAsia" w:ascii="宋体" w:hAnsi="宋体" w:eastAsia="宋体" w:cs="宋体"/>
          <w:color w:val="auto"/>
          <w:sz w:val="24"/>
          <w:szCs w:val="24"/>
          <w:highlight w:val="none"/>
        </w:rPr>
        <w:t>2、超过200万元的货物和服务采购项目、超过400万元的工程采购项目中适宜由中小企业提供的，预留该部分采购项目预算总额的30%以上专门面向中小企业采购，其中预留给小微企业的比例不低于60%。</w:t>
      </w:r>
    </w:p>
    <w:p w14:paraId="181FE9B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Style w:val="28"/>
          <w:rFonts w:hint="eastAsia" w:ascii="宋体" w:hAnsi="宋体" w:eastAsia="宋体" w:cs="宋体"/>
          <w:color w:val="auto"/>
          <w:sz w:val="24"/>
          <w:szCs w:val="24"/>
          <w:highlight w:val="none"/>
        </w:rPr>
      </w:pPr>
      <w:r>
        <w:rPr>
          <w:rStyle w:val="28"/>
          <w:rFonts w:hint="eastAsia" w:ascii="宋体" w:hAnsi="宋体" w:eastAsia="宋体" w:cs="宋体"/>
          <w:color w:val="auto"/>
          <w:sz w:val="24"/>
          <w:szCs w:val="24"/>
          <w:highlight w:val="none"/>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C22760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Style w:val="28"/>
          <w:rFonts w:hint="eastAsia" w:ascii="宋体" w:hAnsi="宋体" w:eastAsia="宋体" w:cs="宋体"/>
          <w:color w:val="auto"/>
          <w:sz w:val="24"/>
          <w:szCs w:val="24"/>
          <w:highlight w:val="none"/>
        </w:rPr>
      </w:pPr>
      <w:r>
        <w:rPr>
          <w:rStyle w:val="28"/>
          <w:rFonts w:hint="eastAsia" w:ascii="宋体" w:hAnsi="宋体" w:eastAsia="宋体" w:cs="宋体"/>
          <w:color w:val="auto"/>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E17AA3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color w:val="auto"/>
          <w:sz w:val="24"/>
          <w:szCs w:val="24"/>
          <w:highlight w:val="none"/>
        </w:rPr>
      </w:pPr>
      <w:r>
        <w:rPr>
          <w:rStyle w:val="28"/>
          <w:rFonts w:hint="eastAsia" w:ascii="宋体" w:hAnsi="宋体" w:eastAsia="宋体" w:cs="宋体"/>
          <w:color w:val="auto"/>
          <w:sz w:val="24"/>
          <w:szCs w:val="24"/>
          <w:highlight w:val="none"/>
        </w:rPr>
        <w:t>八、对本次采购提出询问，请按以下方式联系</w:t>
      </w:r>
    </w:p>
    <w:p w14:paraId="1ACE695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1.采购人信息</w:t>
      </w:r>
    </w:p>
    <w:p w14:paraId="7352BD1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名 称：喀什中亚南亚工业园区管理委员会</w:t>
      </w:r>
    </w:p>
    <w:p w14:paraId="3B66C4F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址：喀什市</w:t>
      </w:r>
      <w:r>
        <w:rPr>
          <w:rFonts w:hint="eastAsia" w:cs="宋体"/>
          <w:color w:val="auto"/>
          <w:kern w:val="2"/>
          <w:sz w:val="24"/>
          <w:szCs w:val="24"/>
          <w:highlight w:val="none"/>
          <w:lang w:val="en-US" w:eastAsia="zh-CN" w:bidi="ar-SA"/>
        </w:rPr>
        <w:t>机场路473号</w:t>
      </w:r>
    </w:p>
    <w:p w14:paraId="0ED5949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联系人：刘先生</w:t>
      </w:r>
    </w:p>
    <w:p w14:paraId="47834A9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联系方式：188 9935 1272</w:t>
      </w:r>
    </w:p>
    <w:p w14:paraId="6E65CC5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采购代理机构信息</w:t>
      </w:r>
    </w:p>
    <w:p w14:paraId="0719687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名 称：新疆德鸿项目管理咨询有限公司</w:t>
      </w:r>
    </w:p>
    <w:p w14:paraId="738C4F7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址：喀什市深喀大道浙商大厦1207室</w:t>
      </w:r>
    </w:p>
    <w:p w14:paraId="144DF25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联系方式：18699865732</w:t>
      </w:r>
    </w:p>
    <w:p w14:paraId="2A18AF1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项目联系方式</w:t>
      </w:r>
    </w:p>
    <w:p w14:paraId="6E07ABAA">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项目联系人：吴莉</w:t>
      </w:r>
    </w:p>
    <w:p w14:paraId="1C2CD7C9">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color w:val="auto"/>
          <w:kern w:val="2"/>
          <w:sz w:val="24"/>
          <w:szCs w:val="24"/>
          <w:highlight w:val="none"/>
          <w:lang w:val="en-US" w:eastAsia="zh-CN" w:bidi="ar-SA"/>
        </w:rPr>
        <w:t>电 话：18699865732</w:t>
      </w:r>
    </w:p>
    <w:p w14:paraId="7F704A6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szCs w:val="44"/>
          <w:highlight w:val="none"/>
        </w:rPr>
        <w:sectPr>
          <w:footerReference r:id="rId8" w:type="default"/>
          <w:pgSz w:w="11906" w:h="16838"/>
          <w:pgMar w:top="1431" w:right="1785" w:bottom="1171" w:left="1785" w:header="1134" w:footer="996" w:gutter="0"/>
          <w:pgNumType w:fmt="decimal" w:start="1"/>
          <w:cols w:space="720" w:num="1"/>
        </w:sectPr>
      </w:pPr>
    </w:p>
    <w:p w14:paraId="6ADE844F">
      <w:pPr>
        <w:pageBreakBefore w:val="0"/>
        <w:kinsoku/>
        <w:overflowPunct/>
        <w:topLinePunct w:val="0"/>
        <w:bidi w:val="0"/>
        <w:spacing w:beforeAutospacing="0" w:after="0" w:afterAutospacing="0" w:line="240" w:lineRule="auto"/>
        <w:ind w:left="0" w:leftChars="0" w:right="0"/>
        <w:jc w:val="center"/>
        <w:textAlignment w:val="auto"/>
        <w:outlineLvl w:val="0"/>
        <w:rPr>
          <w:rFonts w:hint="eastAsia" w:ascii="宋体" w:hAnsi="宋体" w:eastAsia="宋体" w:cs="宋体"/>
          <w:b/>
          <w:color w:val="auto"/>
          <w:sz w:val="44"/>
          <w:szCs w:val="44"/>
          <w:highlight w:val="none"/>
        </w:rPr>
      </w:pPr>
      <w:bookmarkStart w:id="8" w:name="_Toc29814"/>
      <w:r>
        <w:rPr>
          <w:rFonts w:hint="eastAsia" w:ascii="宋体" w:hAnsi="宋体" w:eastAsia="宋体" w:cs="宋体"/>
          <w:b/>
          <w:color w:val="auto"/>
          <w:sz w:val="44"/>
          <w:szCs w:val="44"/>
          <w:highlight w:val="none"/>
        </w:rPr>
        <w:t xml:space="preserve">第二章 </w:t>
      </w:r>
      <w:r>
        <w:rPr>
          <w:rFonts w:hint="eastAsia" w:ascii="宋体" w:hAnsi="宋体" w:eastAsia="宋体" w:cs="宋体"/>
          <w:b/>
          <w:color w:val="auto"/>
          <w:sz w:val="44"/>
          <w:szCs w:val="44"/>
          <w:highlight w:val="none"/>
          <w:lang w:eastAsia="zh-CN"/>
        </w:rPr>
        <w:t>供应商</w:t>
      </w:r>
      <w:r>
        <w:rPr>
          <w:rFonts w:hint="eastAsia" w:ascii="宋体" w:hAnsi="宋体" w:eastAsia="宋体" w:cs="宋体"/>
          <w:b/>
          <w:color w:val="auto"/>
          <w:sz w:val="44"/>
          <w:szCs w:val="44"/>
          <w:highlight w:val="none"/>
        </w:rPr>
        <w:t>须知</w:t>
      </w:r>
      <w:bookmarkEnd w:id="8"/>
    </w:p>
    <w:p w14:paraId="2F78982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8"/>
          <w:szCs w:val="28"/>
          <w:highlight w:val="none"/>
        </w:rPr>
      </w:pPr>
      <w:bookmarkStart w:id="9" w:name="_Hlk503267434"/>
      <w:bookmarkStart w:id="10" w:name="_Hlk503263462"/>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须知前附表（一）</w:t>
      </w:r>
    </w:p>
    <w:tbl>
      <w:tblPr>
        <w:tblStyle w:val="25"/>
        <w:tblW w:w="8597" w:type="dxa"/>
        <w:tblInd w:w="-52" w:type="dxa"/>
        <w:tblLayout w:type="fixed"/>
        <w:tblCellMar>
          <w:top w:w="0" w:type="dxa"/>
          <w:left w:w="108" w:type="dxa"/>
          <w:bottom w:w="49" w:type="dxa"/>
          <w:right w:w="115" w:type="dxa"/>
        </w:tblCellMar>
      </w:tblPr>
      <w:tblGrid>
        <w:gridCol w:w="899"/>
        <w:gridCol w:w="2980"/>
        <w:gridCol w:w="4718"/>
      </w:tblGrid>
      <w:tr w14:paraId="1C1863B7">
        <w:tblPrEx>
          <w:tblCellMar>
            <w:top w:w="0" w:type="dxa"/>
            <w:left w:w="108" w:type="dxa"/>
            <w:bottom w:w="49" w:type="dxa"/>
            <w:right w:w="115" w:type="dxa"/>
          </w:tblCellMar>
        </w:tblPrEx>
        <w:trPr>
          <w:trHeight w:val="42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AB8BFF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bookmarkStart w:id="11" w:name="_Hlk503262599"/>
            <w:r>
              <w:rPr>
                <w:rFonts w:hint="eastAsia" w:ascii="宋体" w:hAnsi="宋体" w:eastAsia="宋体" w:cs="宋体"/>
                <w:b/>
                <w:color w:val="auto"/>
                <w:sz w:val="24"/>
                <w:szCs w:val="24"/>
                <w:highlight w:val="none"/>
              </w:rPr>
              <w:t>条款号</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8E8989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4718" w:type="dxa"/>
            <w:tcBorders>
              <w:top w:val="single" w:color="000000" w:sz="4" w:space="0"/>
              <w:left w:val="single" w:color="000000" w:sz="4" w:space="0"/>
              <w:bottom w:val="single" w:color="000000" w:sz="4" w:space="0"/>
              <w:right w:val="single" w:color="000000" w:sz="4" w:space="0"/>
            </w:tcBorders>
            <w:noWrap w:val="0"/>
            <w:vAlign w:val="center"/>
          </w:tcPr>
          <w:p w14:paraId="1C4D4EF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bookmarkEnd w:id="11"/>
      <w:tr w14:paraId="76A94859">
        <w:tblPrEx>
          <w:tblCellMar>
            <w:top w:w="0" w:type="dxa"/>
            <w:left w:w="108" w:type="dxa"/>
            <w:bottom w:w="49" w:type="dxa"/>
            <w:right w:w="115" w:type="dxa"/>
          </w:tblCellMar>
        </w:tblPrEx>
        <w:trPr>
          <w:trHeight w:val="54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0B4216A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07DA78D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w:t>
            </w:r>
          </w:p>
        </w:tc>
        <w:tc>
          <w:tcPr>
            <w:tcW w:w="4718" w:type="dxa"/>
            <w:tcBorders>
              <w:top w:val="single" w:color="000000" w:sz="4" w:space="0"/>
              <w:left w:val="single" w:color="000000" w:sz="4" w:space="0"/>
              <w:bottom w:val="single" w:color="000000" w:sz="4" w:space="0"/>
              <w:right w:val="single" w:color="000000" w:sz="4" w:space="0"/>
            </w:tcBorders>
            <w:noWrap w:val="0"/>
            <w:vAlign w:val="center"/>
          </w:tcPr>
          <w:p w14:paraId="6C3FB6AC">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喀什中亚南亚工业园区管理委员会</w:t>
            </w:r>
          </w:p>
          <w:p w14:paraId="17A25182">
            <w:pPr>
              <w:pStyle w:val="2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联系人</w:t>
            </w:r>
            <w:r>
              <w:rPr>
                <w:rFonts w:hint="eastAsia" w:ascii="宋体" w:hAnsi="宋体" w:eastAsia="宋体" w:cs="宋体"/>
                <w:color w:val="auto"/>
                <w:kern w:val="2"/>
                <w:sz w:val="24"/>
                <w:szCs w:val="24"/>
                <w:highlight w:val="none"/>
                <w:lang w:val="en-US" w:eastAsia="zh-CN" w:bidi="ar-SA"/>
              </w:rPr>
              <w:t>：刘先生   电  话：188 9935 1272</w:t>
            </w:r>
          </w:p>
        </w:tc>
      </w:tr>
      <w:tr w14:paraId="0BEA915D">
        <w:tblPrEx>
          <w:tblCellMar>
            <w:top w:w="0" w:type="dxa"/>
            <w:left w:w="108" w:type="dxa"/>
            <w:bottom w:w="49" w:type="dxa"/>
            <w:right w:w="115" w:type="dxa"/>
          </w:tblCellMar>
        </w:tblPrEx>
        <w:trPr>
          <w:trHeight w:val="694"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27133B8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1ADB57F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4718" w:type="dxa"/>
            <w:tcBorders>
              <w:top w:val="single" w:color="000000" w:sz="4" w:space="0"/>
              <w:left w:val="single" w:color="000000" w:sz="4" w:space="0"/>
              <w:bottom w:val="single" w:color="000000" w:sz="4" w:space="0"/>
              <w:right w:val="single" w:color="000000" w:sz="4" w:space="0"/>
            </w:tcBorders>
            <w:noWrap w:val="0"/>
            <w:vAlign w:val="center"/>
          </w:tcPr>
          <w:p w14:paraId="6C3F027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名称：</w:t>
            </w:r>
            <w:r>
              <w:rPr>
                <w:rFonts w:hint="eastAsia" w:ascii="宋体" w:hAnsi="宋体" w:eastAsia="宋体" w:cs="宋体"/>
                <w:b w:val="0"/>
                <w:bCs w:val="0"/>
                <w:color w:val="auto"/>
                <w:sz w:val="24"/>
                <w:szCs w:val="24"/>
                <w:highlight w:val="none"/>
                <w:lang w:eastAsia="zh-CN"/>
              </w:rPr>
              <w:t>新疆德鸿项目管理咨询有限公司</w:t>
            </w:r>
          </w:p>
          <w:p w14:paraId="13F01E08">
            <w:pPr>
              <w:pStyle w:val="3"/>
              <w:pageBreakBefore w:val="0"/>
              <w:numPr>
                <w:ilvl w:val="0"/>
                <w:numId w:val="0"/>
              </w:numPr>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val="0"/>
                <w:color w:val="auto"/>
                <w:sz w:val="24"/>
                <w:szCs w:val="24"/>
                <w:highlight w:val="none"/>
                <w:lang w:eastAsia="zh-CN"/>
              </w:rPr>
            </w:pPr>
            <w:bookmarkStart w:id="12" w:name="_Toc30019"/>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lang w:eastAsia="zh-CN"/>
              </w:rPr>
              <w:t>喀什市深喀大道浙商大厦1207室</w:t>
            </w:r>
            <w:bookmarkEnd w:id="12"/>
          </w:p>
          <w:p w14:paraId="6C3B6EF2">
            <w:pPr>
              <w:pStyle w:val="3"/>
              <w:pageBreakBefore w:val="0"/>
              <w:numPr>
                <w:ilvl w:val="0"/>
                <w:numId w:val="0"/>
              </w:numPr>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val="0"/>
                <w:color w:val="auto"/>
                <w:kern w:val="2"/>
                <w:sz w:val="24"/>
                <w:szCs w:val="24"/>
                <w:highlight w:val="none"/>
                <w:lang w:val="en-US" w:eastAsia="zh-CN" w:bidi="ar-SA"/>
              </w:rPr>
            </w:pPr>
            <w:bookmarkStart w:id="13" w:name="_Toc7552"/>
            <w:r>
              <w:rPr>
                <w:rFonts w:hint="eastAsia" w:ascii="宋体" w:hAnsi="宋体" w:eastAsia="宋体" w:cs="宋体"/>
                <w:b w:val="0"/>
                <w:bCs w:val="0"/>
                <w:color w:val="auto"/>
                <w:sz w:val="24"/>
                <w:szCs w:val="24"/>
                <w:highlight w:val="none"/>
                <w:lang w:eastAsia="zh-CN"/>
              </w:rPr>
              <w:t>联系人</w:t>
            </w:r>
            <w:r>
              <w:rPr>
                <w:rFonts w:hint="eastAsia" w:ascii="宋体" w:hAnsi="宋体" w:eastAsia="宋体" w:cs="宋体"/>
                <w:b w:val="0"/>
                <w:bCs w:val="0"/>
                <w:color w:val="auto"/>
                <w:kern w:val="2"/>
                <w:sz w:val="24"/>
                <w:szCs w:val="24"/>
                <w:highlight w:val="none"/>
                <w:lang w:val="en-US" w:eastAsia="zh-CN" w:bidi="ar-SA"/>
              </w:rPr>
              <w:t xml:space="preserve">：吴莉  </w:t>
            </w:r>
          </w:p>
          <w:p w14:paraId="6A9894C1">
            <w:pPr>
              <w:pStyle w:val="3"/>
              <w:pageBreakBefore w:val="0"/>
              <w:numPr>
                <w:ilvl w:val="0"/>
                <w:numId w:val="0"/>
              </w:numPr>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highlight w:val="none"/>
                <w:lang w:eastAsia="zh-CN"/>
              </w:rPr>
            </w:pPr>
            <w:r>
              <w:rPr>
                <w:rFonts w:hint="eastAsia" w:ascii="宋体" w:hAnsi="宋体" w:eastAsia="宋体" w:cs="宋体"/>
                <w:b w:val="0"/>
                <w:bCs w:val="0"/>
                <w:color w:val="auto"/>
                <w:kern w:val="2"/>
                <w:sz w:val="24"/>
                <w:szCs w:val="24"/>
                <w:highlight w:val="none"/>
                <w:lang w:val="en-US" w:eastAsia="zh-CN" w:bidi="ar-SA"/>
              </w:rPr>
              <w:t>电  话</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18699865732</w:t>
            </w:r>
            <w:bookmarkEnd w:id="13"/>
          </w:p>
        </w:tc>
      </w:tr>
      <w:tr w14:paraId="502976DF">
        <w:tblPrEx>
          <w:tblCellMar>
            <w:top w:w="0" w:type="dxa"/>
            <w:left w:w="108" w:type="dxa"/>
            <w:bottom w:w="49" w:type="dxa"/>
            <w:right w:w="115" w:type="dxa"/>
          </w:tblCellMar>
        </w:tblPrEx>
        <w:trPr>
          <w:trHeight w:val="464"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75EC11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3</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0009C1B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4718" w:type="dxa"/>
            <w:tcBorders>
              <w:top w:val="single" w:color="000000" w:sz="4" w:space="0"/>
              <w:left w:val="single" w:color="000000" w:sz="4" w:space="0"/>
              <w:bottom w:val="single" w:color="000000" w:sz="4" w:space="0"/>
              <w:right w:val="single" w:color="000000" w:sz="4" w:space="0"/>
            </w:tcBorders>
            <w:noWrap w:val="0"/>
            <w:vAlign w:val="center"/>
          </w:tcPr>
          <w:p w14:paraId="3EAF868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kern w:val="44"/>
                <w:sz w:val="24"/>
                <w:szCs w:val="24"/>
                <w:highlight w:val="none"/>
                <w:lang w:val="en-US" w:eastAsia="zh-CN" w:bidi="ar-SA"/>
              </w:rPr>
            </w:pPr>
            <w:r>
              <w:rPr>
                <w:rFonts w:hint="eastAsia" w:cs="宋体"/>
                <w:color w:val="auto"/>
                <w:kern w:val="2"/>
                <w:sz w:val="24"/>
                <w:szCs w:val="24"/>
                <w:highlight w:val="none"/>
                <w:lang w:val="en-US" w:eastAsia="zh-CN" w:bidi="ar-SA"/>
              </w:rPr>
              <w:t>喀什光电保护盖板产业链项目土地平整</w:t>
            </w:r>
          </w:p>
        </w:tc>
      </w:tr>
      <w:tr w14:paraId="34455A67">
        <w:tblPrEx>
          <w:tblCellMar>
            <w:top w:w="0" w:type="dxa"/>
            <w:left w:w="108" w:type="dxa"/>
            <w:bottom w:w="49" w:type="dxa"/>
            <w:right w:w="115" w:type="dxa"/>
          </w:tblCellMar>
        </w:tblPrEx>
        <w:trPr>
          <w:trHeight w:val="409"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B2967A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4</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39BEC63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项目建设地点</w:t>
            </w:r>
          </w:p>
        </w:tc>
        <w:tc>
          <w:tcPr>
            <w:tcW w:w="4718" w:type="dxa"/>
            <w:tcBorders>
              <w:top w:val="single" w:color="000000" w:sz="4" w:space="0"/>
              <w:left w:val="single" w:color="000000" w:sz="4" w:space="0"/>
              <w:bottom w:val="single" w:color="000000" w:sz="4" w:space="0"/>
              <w:right w:val="single" w:color="000000" w:sz="4" w:space="0"/>
            </w:tcBorders>
            <w:noWrap w:val="0"/>
            <w:vAlign w:val="center"/>
          </w:tcPr>
          <w:p w14:paraId="3AC36CA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b w:val="0"/>
                <w:bCs w:val="0"/>
                <w:color w:val="auto"/>
                <w:kern w:val="44"/>
                <w:sz w:val="24"/>
                <w:szCs w:val="24"/>
                <w:highlight w:val="none"/>
                <w:lang w:val="en-US" w:eastAsia="zh-CN" w:bidi="ar-SA"/>
              </w:rPr>
            </w:pPr>
            <w:r>
              <w:rPr>
                <w:rFonts w:hint="eastAsia" w:ascii="宋体" w:hAnsi="宋体" w:eastAsia="宋体" w:cs="宋体"/>
                <w:b w:val="0"/>
                <w:bCs w:val="0"/>
                <w:color w:val="auto"/>
                <w:kern w:val="44"/>
                <w:sz w:val="24"/>
                <w:szCs w:val="24"/>
                <w:highlight w:val="none"/>
                <w:lang w:val="en-US" w:eastAsia="zh-CN" w:bidi="ar-SA"/>
              </w:rPr>
              <w:t>喀什市</w:t>
            </w:r>
          </w:p>
        </w:tc>
      </w:tr>
      <w:tr w14:paraId="0868ED91">
        <w:tblPrEx>
          <w:tblCellMar>
            <w:top w:w="0" w:type="dxa"/>
            <w:left w:w="108" w:type="dxa"/>
            <w:bottom w:w="49" w:type="dxa"/>
            <w:right w:w="115" w:type="dxa"/>
          </w:tblCellMar>
        </w:tblPrEx>
        <w:trPr>
          <w:trHeight w:val="968"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1E493EC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5</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E6CFE0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项目建设规模</w:t>
            </w:r>
          </w:p>
        </w:tc>
        <w:tc>
          <w:tcPr>
            <w:tcW w:w="4718" w:type="dxa"/>
            <w:tcBorders>
              <w:top w:val="single" w:color="000000" w:sz="4" w:space="0"/>
              <w:left w:val="single" w:color="000000" w:sz="4" w:space="0"/>
              <w:bottom w:val="single" w:color="000000" w:sz="4" w:space="0"/>
              <w:right w:val="single" w:color="000000" w:sz="4" w:space="0"/>
            </w:tcBorders>
            <w:noWrap w:val="0"/>
            <w:vAlign w:val="center"/>
          </w:tcPr>
          <w:p w14:paraId="7FC9F0AB">
            <w:pPr>
              <w:pStyle w:val="23"/>
              <w:spacing w:before="75" w:beforeAutospacing="0" w:after="75" w:afterAutospacing="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场地平整68590.90m2及土方开挖、回填等等相关内容。</w:t>
            </w:r>
          </w:p>
        </w:tc>
      </w:tr>
      <w:tr w14:paraId="5BC87441">
        <w:tblPrEx>
          <w:tblCellMar>
            <w:top w:w="0" w:type="dxa"/>
            <w:left w:w="108" w:type="dxa"/>
            <w:bottom w:w="49" w:type="dxa"/>
            <w:right w:w="115" w:type="dxa"/>
          </w:tblCellMar>
        </w:tblPrEx>
        <w:trPr>
          <w:trHeight w:val="409"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E74621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6</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0F428A9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项目投资估算</w:t>
            </w:r>
          </w:p>
        </w:tc>
        <w:tc>
          <w:tcPr>
            <w:tcW w:w="4718" w:type="dxa"/>
            <w:tcBorders>
              <w:top w:val="single" w:color="000000" w:sz="4" w:space="0"/>
              <w:left w:val="single" w:color="000000" w:sz="4" w:space="0"/>
              <w:bottom w:val="single" w:color="000000" w:sz="4" w:space="0"/>
              <w:right w:val="single" w:color="000000" w:sz="4" w:space="0"/>
            </w:tcBorders>
            <w:noWrap w:val="0"/>
            <w:vAlign w:val="center"/>
          </w:tcPr>
          <w:p w14:paraId="070C6E3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2797620.89</w:t>
            </w:r>
            <w:r>
              <w:rPr>
                <w:rFonts w:hint="eastAsia" w:ascii="宋体" w:hAnsi="宋体" w:eastAsia="宋体" w:cs="宋体"/>
                <w:color w:val="auto"/>
                <w:sz w:val="24"/>
                <w:szCs w:val="24"/>
                <w:highlight w:val="none"/>
                <w:lang w:val="en-US" w:eastAsia="zh-CN"/>
              </w:rPr>
              <w:t>元</w:t>
            </w:r>
          </w:p>
        </w:tc>
      </w:tr>
      <w:tr w14:paraId="091A614A">
        <w:tblPrEx>
          <w:tblCellMar>
            <w:top w:w="0" w:type="dxa"/>
            <w:left w:w="108" w:type="dxa"/>
            <w:bottom w:w="49" w:type="dxa"/>
            <w:right w:w="115" w:type="dxa"/>
          </w:tblCellMar>
        </w:tblPrEx>
        <w:trPr>
          <w:trHeight w:val="409"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077FA9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2B2BBB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资金来源及比例</w:t>
            </w:r>
          </w:p>
        </w:tc>
        <w:tc>
          <w:tcPr>
            <w:tcW w:w="4718" w:type="dxa"/>
            <w:tcBorders>
              <w:top w:val="single" w:color="000000" w:sz="4" w:space="0"/>
              <w:left w:val="single" w:color="000000" w:sz="4" w:space="0"/>
              <w:bottom w:val="single" w:color="000000" w:sz="4" w:space="0"/>
              <w:right w:val="single" w:color="000000" w:sz="4" w:space="0"/>
            </w:tcBorders>
            <w:noWrap w:val="0"/>
            <w:vAlign w:val="center"/>
          </w:tcPr>
          <w:p w14:paraId="6B6022F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本级财政资金</w:t>
            </w:r>
          </w:p>
        </w:tc>
      </w:tr>
      <w:tr w14:paraId="39E6F35E">
        <w:tblPrEx>
          <w:tblCellMar>
            <w:top w:w="0" w:type="dxa"/>
            <w:left w:w="108" w:type="dxa"/>
            <w:bottom w:w="49" w:type="dxa"/>
            <w:right w:w="115" w:type="dxa"/>
          </w:tblCellMar>
        </w:tblPrEx>
        <w:trPr>
          <w:trHeight w:val="454"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6954F02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B903AC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4718" w:type="dxa"/>
            <w:tcBorders>
              <w:top w:val="single" w:color="000000" w:sz="4" w:space="0"/>
              <w:left w:val="single" w:color="000000" w:sz="4" w:space="0"/>
              <w:bottom w:val="single" w:color="000000" w:sz="4" w:space="0"/>
              <w:right w:val="single" w:color="000000" w:sz="4" w:space="0"/>
            </w:tcBorders>
            <w:noWrap w:val="0"/>
            <w:vAlign w:val="center"/>
          </w:tcPr>
          <w:p w14:paraId="1215016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777957D3">
        <w:tblPrEx>
          <w:tblCellMar>
            <w:top w:w="0" w:type="dxa"/>
            <w:left w:w="108" w:type="dxa"/>
            <w:bottom w:w="49" w:type="dxa"/>
            <w:right w:w="115" w:type="dxa"/>
          </w:tblCellMar>
        </w:tblPrEx>
        <w:trPr>
          <w:trHeight w:val="74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D576BC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0A3068F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招标范围</w:t>
            </w:r>
          </w:p>
        </w:tc>
        <w:tc>
          <w:tcPr>
            <w:tcW w:w="4718" w:type="dxa"/>
            <w:tcBorders>
              <w:top w:val="single" w:color="000000" w:sz="4" w:space="0"/>
              <w:left w:val="single" w:color="000000" w:sz="4" w:space="0"/>
              <w:bottom w:val="single" w:color="000000" w:sz="4" w:space="0"/>
              <w:right w:val="single" w:color="000000" w:sz="4" w:space="0"/>
            </w:tcBorders>
            <w:noWrap w:val="0"/>
            <w:vAlign w:val="center"/>
          </w:tcPr>
          <w:p w14:paraId="2A305AA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场地平整68590.90m2及土方开挖、回填等等相关内容。（详细工程量清单及要求见磋商文件）。</w:t>
            </w:r>
          </w:p>
        </w:tc>
      </w:tr>
      <w:tr w14:paraId="07CD8A6A">
        <w:tblPrEx>
          <w:tblCellMar>
            <w:top w:w="0" w:type="dxa"/>
            <w:left w:w="108" w:type="dxa"/>
            <w:bottom w:w="49" w:type="dxa"/>
            <w:right w:w="115" w:type="dxa"/>
          </w:tblCellMar>
        </w:tblPrEx>
        <w:trPr>
          <w:trHeight w:val="1342"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CDFB8E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263B2BB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工期</w:t>
            </w:r>
          </w:p>
        </w:tc>
        <w:tc>
          <w:tcPr>
            <w:tcW w:w="4718" w:type="dxa"/>
            <w:tcBorders>
              <w:top w:val="single" w:color="000000" w:sz="4" w:space="0"/>
              <w:left w:val="single" w:color="000000" w:sz="4" w:space="0"/>
              <w:bottom w:val="single" w:color="000000" w:sz="4" w:space="0"/>
              <w:right w:val="single" w:color="000000" w:sz="4" w:space="0"/>
            </w:tcBorders>
            <w:noWrap w:val="0"/>
            <w:vAlign w:val="center"/>
          </w:tcPr>
          <w:p w14:paraId="127531E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开工日期：2025年01月09日，</w:t>
            </w:r>
          </w:p>
          <w:p w14:paraId="4217474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竣工日期：2025年01月23日。</w:t>
            </w:r>
          </w:p>
          <w:p w14:paraId="72CAF8B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工期：15天（日历天）</w:t>
            </w:r>
          </w:p>
          <w:p w14:paraId="0B5DBEB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（具体工期以甲乙双方签订合同为准）</w:t>
            </w:r>
          </w:p>
          <w:p w14:paraId="4F5259F2">
            <w:pPr>
              <w:bidi w:val="0"/>
              <w:jc w:val="right"/>
              <w:rPr>
                <w:rFonts w:hint="eastAsia" w:ascii="Calibri" w:hAnsi="Calibri" w:eastAsia="Calibri" w:cs="Calibri"/>
                <w:color w:val="000000"/>
                <w:kern w:val="2"/>
                <w:sz w:val="22"/>
                <w:szCs w:val="22"/>
                <w:lang w:val="en-US" w:eastAsia="zh-CN" w:bidi="ar-SA"/>
              </w:rPr>
            </w:pPr>
          </w:p>
        </w:tc>
      </w:tr>
      <w:tr w14:paraId="1B974738">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6B7565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2B1BE17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4718" w:type="dxa"/>
            <w:tcBorders>
              <w:top w:val="single" w:color="000000" w:sz="4" w:space="0"/>
              <w:left w:val="single" w:color="000000" w:sz="4" w:space="0"/>
              <w:bottom w:val="single" w:color="000000" w:sz="4" w:space="0"/>
              <w:right w:val="single" w:color="000000" w:sz="4" w:space="0"/>
            </w:tcBorders>
            <w:noWrap w:val="0"/>
            <w:vAlign w:val="center"/>
          </w:tcPr>
          <w:p w14:paraId="43DBD3E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合格</w:t>
            </w:r>
          </w:p>
        </w:tc>
      </w:tr>
      <w:tr w14:paraId="29EFC422">
        <w:tblPrEx>
          <w:tblCellMar>
            <w:top w:w="0" w:type="dxa"/>
            <w:left w:w="108" w:type="dxa"/>
            <w:bottom w:w="49" w:type="dxa"/>
            <w:right w:w="115" w:type="dxa"/>
          </w:tblCellMar>
        </w:tblPrEx>
        <w:trPr>
          <w:trHeight w:val="578"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A56FA6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190905A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供应商资质条件、能力、信誉</w:t>
            </w:r>
          </w:p>
        </w:tc>
        <w:tc>
          <w:tcPr>
            <w:tcW w:w="4718" w:type="dxa"/>
            <w:tcBorders>
              <w:top w:val="single" w:color="000000" w:sz="4" w:space="0"/>
              <w:left w:val="single" w:color="000000" w:sz="4" w:space="0"/>
              <w:bottom w:val="single" w:color="000000" w:sz="4" w:space="0"/>
              <w:right w:val="single" w:color="000000" w:sz="4" w:space="0"/>
            </w:tcBorders>
            <w:noWrap w:val="0"/>
            <w:vAlign w:val="center"/>
          </w:tcPr>
          <w:p w14:paraId="79CD6FC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5FD677E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2.落实政府采购政策需满足的资格要求：供应商为中小企业 </w:t>
            </w:r>
          </w:p>
          <w:p w14:paraId="449A552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29B4CEB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标项1：(1)合格有效的法人或者非法人组织营业执照;</w:t>
            </w:r>
          </w:p>
          <w:p w14:paraId="6B09644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(2)法定代表人授权书及被委托人身份证（法定代表人投标提供法定代表人身份证明及身份证）</w:t>
            </w:r>
          </w:p>
          <w:p w14:paraId="73DDB91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(3)参与政府采购活动前3年内未被列入失信、重大税收违法案件、财政部门禁止参加政府采购活动的承诺书；</w:t>
            </w:r>
          </w:p>
          <w:p w14:paraId="03F49DC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有依法缴纳税收和社会保障资金的良好记录；（投标单位需提供2024年1月至今任一月的税收和社保缴纳记录；税收可提供由投标单位所在地税务部门出具的“0”申报证明或无欠税证明。（原件、复印件、影印件均可，留存复印件或影印件）</w:t>
            </w:r>
          </w:p>
          <w:p w14:paraId="558BF55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(5)提供2022或2023年度的财务审计报告(成立不满一年的提供开标前一个月内有效银行资信证明）；</w:t>
            </w:r>
          </w:p>
          <w:p w14:paraId="326A8F5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(6)投标单位（供应商）其法人参加本次采购活动前三年内，在经营活动中没有重大违法记录的声明及对本次项目《反商业贿赂承诺书》；</w:t>
            </w:r>
          </w:p>
          <w:p w14:paraId="0277197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在信用中国”（https://www.creditchina.gov.cn/）网站列入失信被执行人和重大税收违法失信主体的、被“中国政府采购网”（http://www.ccgp.gov.cn/）网站列入政府采购严重违法失信行为记录名单（处罚期限尚未届满的）的投标人，及“国家企业信用信息公示系统”（http://www.gsxt.gov.cn/index.html）被列入经营异常名录、严重违法失信企业名单（黑名单），不得参与本项目的政府采购活动</w:t>
            </w:r>
          </w:p>
          <w:p w14:paraId="51A97D1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(8)资质要求：具备市政公用工程施工总承包三级及以上资质等级、有效的安全生产许可证；项目负责人具备市政公用工程二级及以上注册建造师执业资格且具有有效的安全生产考核证B证。</w:t>
            </w:r>
          </w:p>
          <w:p w14:paraId="2D0066E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供应商应对其提交的资格审查资料的真实性、有效性、清晰度负责，因上述原因导致资格审查不通过的，由供应商自行承担责任。</w:t>
            </w:r>
          </w:p>
        </w:tc>
      </w:tr>
      <w:bookmarkEnd w:id="9"/>
      <w:bookmarkEnd w:id="10"/>
    </w:tbl>
    <w:tbl>
      <w:tblPr>
        <w:tblStyle w:val="25"/>
        <w:tblpPr w:leftFromText="180" w:rightFromText="180" w:vertAnchor="text" w:horzAnchor="margin" w:tblpX="-40" w:tblpY="14"/>
        <w:tblW w:w="8570" w:type="dxa"/>
        <w:tblInd w:w="0" w:type="dxa"/>
        <w:tblLayout w:type="fixed"/>
        <w:tblCellMar>
          <w:top w:w="0" w:type="dxa"/>
          <w:left w:w="108" w:type="dxa"/>
          <w:bottom w:w="49" w:type="dxa"/>
          <w:right w:w="115" w:type="dxa"/>
        </w:tblCellMar>
      </w:tblPr>
      <w:tblGrid>
        <w:gridCol w:w="887"/>
        <w:gridCol w:w="2976"/>
        <w:gridCol w:w="4707"/>
      </w:tblGrid>
      <w:tr w14:paraId="28AB9FE7">
        <w:trPr>
          <w:trHeight w:val="395"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5D45A0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74CCCCE9">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是否接受联合体投标</w:t>
            </w:r>
          </w:p>
        </w:tc>
        <w:tc>
          <w:tcPr>
            <w:tcW w:w="4707" w:type="dxa"/>
            <w:tcBorders>
              <w:top w:val="single" w:color="000000" w:sz="4" w:space="0"/>
              <w:left w:val="single" w:color="000000" w:sz="4" w:space="0"/>
              <w:bottom w:val="single" w:color="000000" w:sz="4" w:space="0"/>
              <w:right w:val="single" w:color="000000" w:sz="4" w:space="0"/>
            </w:tcBorders>
            <w:noWrap w:val="0"/>
            <w:vAlign w:val="center"/>
          </w:tcPr>
          <w:p w14:paraId="11F15067">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tc>
      </w:tr>
      <w:tr w14:paraId="2B1EB926">
        <w:tblPrEx>
          <w:tblCellMar>
            <w:top w:w="0" w:type="dxa"/>
            <w:left w:w="108" w:type="dxa"/>
            <w:bottom w:w="49" w:type="dxa"/>
            <w:right w:w="115" w:type="dxa"/>
          </w:tblCellMar>
        </w:tblPrEx>
        <w:trPr>
          <w:trHeight w:val="395"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51F6CB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60CE576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不得存在的其他情形</w:t>
            </w:r>
          </w:p>
        </w:tc>
        <w:tc>
          <w:tcPr>
            <w:tcW w:w="4707" w:type="dxa"/>
            <w:tcBorders>
              <w:top w:val="single" w:color="000000" w:sz="4" w:space="0"/>
              <w:left w:val="single" w:color="000000" w:sz="4" w:space="0"/>
              <w:bottom w:val="single" w:color="000000" w:sz="4" w:space="0"/>
              <w:right w:val="single" w:color="000000" w:sz="4" w:space="0"/>
            </w:tcBorders>
            <w:noWrap w:val="0"/>
            <w:vAlign w:val="center"/>
          </w:tcPr>
          <w:p w14:paraId="0160C8F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须知总则第1.4.3条”的规定</w:t>
            </w:r>
          </w:p>
        </w:tc>
      </w:tr>
      <w:tr w14:paraId="2E727F3A">
        <w:tblPrEx>
          <w:tblCellMar>
            <w:top w:w="0" w:type="dxa"/>
            <w:left w:w="108" w:type="dxa"/>
            <w:bottom w:w="49" w:type="dxa"/>
            <w:right w:w="115" w:type="dxa"/>
          </w:tblCellMar>
        </w:tblPrEx>
        <w:trPr>
          <w:trHeight w:val="395"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E4423A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222F8432">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4707" w:type="dxa"/>
            <w:tcBorders>
              <w:top w:val="single" w:color="000000" w:sz="4" w:space="0"/>
              <w:left w:val="single" w:color="000000" w:sz="4" w:space="0"/>
              <w:bottom w:val="single" w:color="000000" w:sz="4" w:space="0"/>
              <w:right w:val="single" w:color="000000" w:sz="4" w:space="0"/>
            </w:tcBorders>
            <w:noWrap w:val="0"/>
            <w:vAlign w:val="center"/>
          </w:tcPr>
          <w:p w14:paraId="402F1254">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14:paraId="5E3945DD">
        <w:tblPrEx>
          <w:tblCellMar>
            <w:top w:w="0" w:type="dxa"/>
            <w:left w:w="108" w:type="dxa"/>
            <w:bottom w:w="49" w:type="dxa"/>
            <w:right w:w="115" w:type="dxa"/>
          </w:tblCellMar>
        </w:tblPrEx>
        <w:trPr>
          <w:trHeight w:val="395"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8AEA62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70C9E3E1">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投标预备会</w:t>
            </w:r>
          </w:p>
        </w:tc>
        <w:tc>
          <w:tcPr>
            <w:tcW w:w="4707" w:type="dxa"/>
            <w:tcBorders>
              <w:top w:val="single" w:color="000000" w:sz="4" w:space="0"/>
              <w:left w:val="single" w:color="000000" w:sz="4" w:space="0"/>
              <w:bottom w:val="single" w:color="000000" w:sz="4" w:space="0"/>
              <w:right w:val="single" w:color="000000" w:sz="4" w:space="0"/>
            </w:tcBorders>
            <w:noWrap w:val="0"/>
            <w:vAlign w:val="center"/>
          </w:tcPr>
          <w:p w14:paraId="655027E0">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w:t>
            </w:r>
          </w:p>
        </w:tc>
      </w:tr>
      <w:tr w14:paraId="67A923F9">
        <w:tblPrEx>
          <w:tblCellMar>
            <w:top w:w="0" w:type="dxa"/>
            <w:left w:w="108" w:type="dxa"/>
            <w:bottom w:w="49" w:type="dxa"/>
            <w:right w:w="115" w:type="dxa"/>
          </w:tblCellMar>
        </w:tblPrEx>
        <w:trPr>
          <w:trHeight w:val="452"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E7CF9B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381B3D9E">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4707" w:type="dxa"/>
            <w:tcBorders>
              <w:top w:val="single" w:color="000000" w:sz="4" w:space="0"/>
              <w:left w:val="single" w:color="000000" w:sz="4" w:space="0"/>
              <w:bottom w:val="single" w:color="000000" w:sz="4" w:space="0"/>
              <w:right w:val="single" w:color="000000" w:sz="4" w:space="0"/>
            </w:tcBorders>
            <w:noWrap w:val="0"/>
            <w:vAlign w:val="center"/>
          </w:tcPr>
          <w:p w14:paraId="10080A06">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42C2E517">
        <w:tblPrEx>
          <w:tblCellMar>
            <w:top w:w="0" w:type="dxa"/>
            <w:left w:w="108" w:type="dxa"/>
            <w:bottom w:w="49" w:type="dxa"/>
            <w:right w:w="115" w:type="dxa"/>
          </w:tblCellMar>
        </w:tblPrEx>
        <w:trPr>
          <w:trHeight w:val="395"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7C70A3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63F88935">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实质性要求和条件</w:t>
            </w:r>
          </w:p>
        </w:tc>
        <w:tc>
          <w:tcPr>
            <w:tcW w:w="4707" w:type="dxa"/>
            <w:tcBorders>
              <w:top w:val="single" w:color="000000" w:sz="4" w:space="0"/>
              <w:left w:val="single" w:color="000000" w:sz="4" w:space="0"/>
              <w:bottom w:val="single" w:color="000000" w:sz="4" w:space="0"/>
              <w:right w:val="single" w:color="000000" w:sz="4" w:space="0"/>
            </w:tcBorders>
            <w:noWrap w:val="0"/>
            <w:vAlign w:val="center"/>
          </w:tcPr>
          <w:p w14:paraId="65615DD8">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不得偏差离竞争性磋商的实质性要求</w:t>
            </w:r>
          </w:p>
        </w:tc>
      </w:tr>
      <w:tr w14:paraId="07B42EB7">
        <w:tblPrEx>
          <w:tblCellMar>
            <w:top w:w="0" w:type="dxa"/>
            <w:left w:w="108" w:type="dxa"/>
            <w:bottom w:w="49" w:type="dxa"/>
            <w:right w:w="115" w:type="dxa"/>
          </w:tblCellMar>
        </w:tblPrEx>
        <w:trPr>
          <w:trHeight w:val="395"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398F3AE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.3</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6C7D663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偏差</w:t>
            </w:r>
          </w:p>
        </w:tc>
        <w:tc>
          <w:tcPr>
            <w:tcW w:w="4707" w:type="dxa"/>
            <w:tcBorders>
              <w:top w:val="single" w:color="000000" w:sz="4" w:space="0"/>
              <w:left w:val="single" w:color="000000" w:sz="4" w:space="0"/>
              <w:bottom w:val="single" w:color="000000" w:sz="4" w:space="0"/>
              <w:right w:val="single" w:color="000000" w:sz="4" w:space="0"/>
            </w:tcBorders>
            <w:noWrap w:val="0"/>
            <w:vAlign w:val="center"/>
          </w:tcPr>
          <w:p w14:paraId="76168680">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1FAD61F6">
        <w:tblPrEx>
          <w:tblCellMar>
            <w:top w:w="0" w:type="dxa"/>
            <w:left w:w="108" w:type="dxa"/>
            <w:bottom w:w="49" w:type="dxa"/>
            <w:right w:w="115" w:type="dxa"/>
          </w:tblCellMar>
        </w:tblPrEx>
        <w:trPr>
          <w:trHeight w:val="529" w:hRule="atLeast"/>
        </w:trPr>
        <w:tc>
          <w:tcPr>
            <w:tcW w:w="887" w:type="dxa"/>
            <w:vMerge w:val="restart"/>
            <w:tcBorders>
              <w:top w:val="single" w:color="000000" w:sz="4" w:space="0"/>
              <w:left w:val="single" w:color="000000" w:sz="4" w:space="0"/>
              <w:right w:val="single" w:color="000000" w:sz="4" w:space="0"/>
            </w:tcBorders>
            <w:noWrap w:val="0"/>
            <w:vAlign w:val="center"/>
          </w:tcPr>
          <w:p w14:paraId="61D5CF3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p>
        </w:tc>
        <w:tc>
          <w:tcPr>
            <w:tcW w:w="2976" w:type="dxa"/>
            <w:vMerge w:val="restart"/>
            <w:tcBorders>
              <w:top w:val="single" w:color="000000" w:sz="4" w:space="0"/>
              <w:left w:val="single" w:color="000000" w:sz="4" w:space="0"/>
              <w:right w:val="single" w:color="000000" w:sz="4" w:space="0"/>
            </w:tcBorders>
            <w:noWrap w:val="0"/>
            <w:vAlign w:val="center"/>
          </w:tcPr>
          <w:p w14:paraId="0C400682">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要求澄清竞争性磋商</w:t>
            </w:r>
          </w:p>
        </w:tc>
        <w:tc>
          <w:tcPr>
            <w:tcW w:w="4707" w:type="dxa"/>
            <w:tcBorders>
              <w:top w:val="single" w:color="000000" w:sz="4" w:space="0"/>
              <w:left w:val="single" w:color="000000" w:sz="4" w:space="0"/>
              <w:bottom w:val="single" w:color="000000" w:sz="4" w:space="0"/>
              <w:right w:val="single" w:color="000000" w:sz="4" w:space="0"/>
            </w:tcBorders>
            <w:noWrap w:val="0"/>
            <w:vAlign w:val="center"/>
          </w:tcPr>
          <w:p w14:paraId="6EFF8D8C">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对已发出的竞争性磋商进行澄清的，应在投标截止时间的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天前。</w:t>
            </w:r>
          </w:p>
        </w:tc>
      </w:tr>
      <w:tr w14:paraId="1C35F3B8">
        <w:tblPrEx>
          <w:tblCellMar>
            <w:top w:w="0" w:type="dxa"/>
            <w:left w:w="108" w:type="dxa"/>
            <w:bottom w:w="49" w:type="dxa"/>
            <w:right w:w="115" w:type="dxa"/>
          </w:tblCellMar>
        </w:tblPrEx>
        <w:trPr>
          <w:trHeight w:val="570" w:hRule="atLeast"/>
        </w:trPr>
        <w:tc>
          <w:tcPr>
            <w:tcW w:w="887" w:type="dxa"/>
            <w:vMerge w:val="continue"/>
            <w:tcBorders>
              <w:left w:val="single" w:color="000000" w:sz="4" w:space="0"/>
              <w:bottom w:val="single" w:color="000000" w:sz="4" w:space="0"/>
              <w:right w:val="single" w:color="000000" w:sz="4" w:space="0"/>
            </w:tcBorders>
            <w:noWrap w:val="0"/>
            <w:vAlign w:val="center"/>
          </w:tcPr>
          <w:p w14:paraId="7AD70E8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2976" w:type="dxa"/>
            <w:vMerge w:val="continue"/>
            <w:tcBorders>
              <w:left w:val="single" w:color="000000" w:sz="4" w:space="0"/>
              <w:bottom w:val="single" w:color="000000" w:sz="4" w:space="0"/>
              <w:right w:val="single" w:color="000000" w:sz="4" w:space="0"/>
            </w:tcBorders>
            <w:noWrap w:val="0"/>
            <w:vAlign w:val="center"/>
          </w:tcPr>
          <w:p w14:paraId="47775641">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tc>
        <w:tc>
          <w:tcPr>
            <w:tcW w:w="4707" w:type="dxa"/>
            <w:tcBorders>
              <w:top w:val="single" w:color="000000" w:sz="4" w:space="0"/>
              <w:left w:val="single" w:color="000000" w:sz="4" w:space="0"/>
              <w:bottom w:val="single" w:color="000000" w:sz="4" w:space="0"/>
              <w:right w:val="single" w:color="000000" w:sz="4" w:space="0"/>
            </w:tcBorders>
            <w:noWrap w:val="0"/>
            <w:vAlign w:val="center"/>
          </w:tcPr>
          <w:p w14:paraId="02C95B85">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将要求澄清的内容以书面形式送达</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（或招标代理机构）。</w:t>
            </w:r>
          </w:p>
        </w:tc>
      </w:tr>
      <w:tr w14:paraId="34158037">
        <w:tblPrEx>
          <w:tblCellMar>
            <w:top w:w="0" w:type="dxa"/>
            <w:left w:w="108" w:type="dxa"/>
            <w:bottom w:w="49" w:type="dxa"/>
            <w:right w:w="115" w:type="dxa"/>
          </w:tblCellMar>
        </w:tblPrEx>
        <w:trPr>
          <w:trHeight w:val="566"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28FB4C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67D83A83">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竞争性磋商澄清发出的形式</w:t>
            </w:r>
          </w:p>
        </w:tc>
        <w:tc>
          <w:tcPr>
            <w:tcW w:w="4707" w:type="dxa"/>
            <w:tcBorders>
              <w:top w:val="single" w:color="000000" w:sz="4" w:space="0"/>
              <w:left w:val="single" w:color="000000" w:sz="4" w:space="0"/>
              <w:bottom w:val="single" w:color="000000" w:sz="4" w:space="0"/>
              <w:right w:val="single" w:color="000000" w:sz="4" w:space="0"/>
            </w:tcBorders>
            <w:noWrap w:val="0"/>
            <w:vAlign w:val="center"/>
          </w:tcPr>
          <w:p w14:paraId="09309074">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以书面形式发出</w:t>
            </w:r>
          </w:p>
        </w:tc>
      </w:tr>
      <w:tr w14:paraId="15076FAC">
        <w:tblPrEx>
          <w:tblCellMar>
            <w:top w:w="0" w:type="dxa"/>
            <w:left w:w="108" w:type="dxa"/>
            <w:bottom w:w="49" w:type="dxa"/>
            <w:right w:w="115" w:type="dxa"/>
          </w:tblCellMar>
        </w:tblPrEx>
        <w:trPr>
          <w:trHeight w:val="717"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5BC391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5D218FD0">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确认收到竞争性磋商澄清</w:t>
            </w:r>
          </w:p>
        </w:tc>
        <w:tc>
          <w:tcPr>
            <w:tcW w:w="4707" w:type="dxa"/>
            <w:tcBorders>
              <w:top w:val="single" w:color="000000" w:sz="4" w:space="0"/>
              <w:left w:val="single" w:color="000000" w:sz="4" w:space="0"/>
              <w:bottom w:val="single" w:color="000000" w:sz="4" w:space="0"/>
              <w:right w:val="single" w:color="000000" w:sz="4" w:space="0"/>
            </w:tcBorders>
            <w:noWrap w:val="0"/>
            <w:vAlign w:val="center"/>
          </w:tcPr>
          <w:p w14:paraId="212C79B5">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以书面形式回复确认函</w:t>
            </w:r>
          </w:p>
        </w:tc>
      </w:tr>
      <w:tr w14:paraId="3CDB012A">
        <w:tblPrEx>
          <w:tblCellMar>
            <w:top w:w="0" w:type="dxa"/>
            <w:left w:w="108" w:type="dxa"/>
            <w:bottom w:w="49" w:type="dxa"/>
            <w:right w:w="115" w:type="dxa"/>
          </w:tblCellMar>
        </w:tblPrEx>
        <w:trPr>
          <w:trHeight w:val="717"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69EEA0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559D218C">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竞争性磋商修改发出的形式</w:t>
            </w:r>
          </w:p>
        </w:tc>
        <w:tc>
          <w:tcPr>
            <w:tcW w:w="4707" w:type="dxa"/>
            <w:tcBorders>
              <w:top w:val="single" w:color="000000" w:sz="4" w:space="0"/>
              <w:left w:val="single" w:color="000000" w:sz="4" w:space="0"/>
              <w:bottom w:val="single" w:color="000000" w:sz="4" w:space="0"/>
              <w:right w:val="single" w:color="000000" w:sz="4" w:space="0"/>
            </w:tcBorders>
            <w:noWrap w:val="0"/>
            <w:vAlign w:val="center"/>
          </w:tcPr>
          <w:p w14:paraId="4DE7369D">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政采云平台（https://www.zcygov.cn/）</w:t>
            </w:r>
          </w:p>
        </w:tc>
      </w:tr>
      <w:tr w14:paraId="0C8B19DB">
        <w:tblPrEx>
          <w:tblCellMar>
            <w:top w:w="0" w:type="dxa"/>
            <w:left w:w="108" w:type="dxa"/>
            <w:bottom w:w="49" w:type="dxa"/>
            <w:right w:w="115" w:type="dxa"/>
          </w:tblCellMar>
        </w:tblPrEx>
        <w:trPr>
          <w:trHeight w:val="669"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B0B6A5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729FA06E">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确认收到竞争性磋商修改</w:t>
            </w:r>
          </w:p>
        </w:tc>
        <w:tc>
          <w:tcPr>
            <w:tcW w:w="4707" w:type="dxa"/>
            <w:tcBorders>
              <w:top w:val="single" w:color="000000" w:sz="4" w:space="0"/>
              <w:left w:val="single" w:color="000000" w:sz="4" w:space="0"/>
              <w:bottom w:val="single" w:color="000000" w:sz="4" w:space="0"/>
              <w:right w:val="single" w:color="000000" w:sz="4" w:space="0"/>
            </w:tcBorders>
            <w:noWrap w:val="0"/>
            <w:vAlign w:val="center"/>
          </w:tcPr>
          <w:p w14:paraId="24A8002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以书面形式回复确认函</w:t>
            </w:r>
          </w:p>
        </w:tc>
      </w:tr>
      <w:tr w14:paraId="49983B85">
        <w:tblPrEx>
          <w:tblCellMar>
            <w:top w:w="0" w:type="dxa"/>
            <w:left w:w="108" w:type="dxa"/>
            <w:bottom w:w="49" w:type="dxa"/>
            <w:right w:w="115" w:type="dxa"/>
          </w:tblCellMar>
        </w:tblPrEx>
        <w:trPr>
          <w:trHeight w:val="394"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DBCDB8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4749FC53">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的其他资料</w:t>
            </w:r>
          </w:p>
        </w:tc>
        <w:tc>
          <w:tcPr>
            <w:tcW w:w="4707" w:type="dxa"/>
            <w:tcBorders>
              <w:top w:val="single" w:color="000000" w:sz="4" w:space="0"/>
              <w:left w:val="single" w:color="000000" w:sz="4" w:space="0"/>
              <w:bottom w:val="single" w:color="000000" w:sz="4" w:space="0"/>
              <w:right w:val="single" w:color="000000" w:sz="4" w:space="0"/>
            </w:tcBorders>
            <w:noWrap w:val="0"/>
            <w:vAlign w:val="center"/>
          </w:tcPr>
          <w:p w14:paraId="6B7E2A33">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详见竞争性磋商中的要求。</w:t>
            </w:r>
          </w:p>
        </w:tc>
      </w:tr>
      <w:tr w14:paraId="05BB41B3">
        <w:tblPrEx>
          <w:tblCellMar>
            <w:top w:w="0" w:type="dxa"/>
            <w:left w:w="108" w:type="dxa"/>
            <w:bottom w:w="49" w:type="dxa"/>
            <w:right w:w="115" w:type="dxa"/>
          </w:tblCellMar>
        </w:tblPrEx>
        <w:trPr>
          <w:trHeight w:val="421"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5064544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0AEF0859">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增值税税金的计算方法</w:t>
            </w:r>
          </w:p>
        </w:tc>
        <w:tc>
          <w:tcPr>
            <w:tcW w:w="4707" w:type="dxa"/>
            <w:tcBorders>
              <w:top w:val="single" w:color="000000" w:sz="4" w:space="0"/>
              <w:left w:val="single" w:color="000000" w:sz="4" w:space="0"/>
              <w:bottom w:val="single" w:color="000000" w:sz="4" w:space="0"/>
              <w:right w:val="single" w:color="000000" w:sz="4" w:space="0"/>
            </w:tcBorders>
            <w:noWrap w:val="0"/>
            <w:vAlign w:val="center"/>
          </w:tcPr>
          <w:p w14:paraId="7D1A911E">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增值税税金按国家税务部门规定的一般计税方法计算。</w:t>
            </w:r>
          </w:p>
        </w:tc>
      </w:tr>
    </w:tbl>
    <w:tbl>
      <w:tblPr>
        <w:tblStyle w:val="25"/>
        <w:tblW w:w="8519" w:type="dxa"/>
        <w:tblInd w:w="-17" w:type="dxa"/>
        <w:tblLayout w:type="fixed"/>
        <w:tblCellMar>
          <w:top w:w="0" w:type="dxa"/>
          <w:left w:w="108" w:type="dxa"/>
          <w:bottom w:w="49" w:type="dxa"/>
          <w:right w:w="115" w:type="dxa"/>
        </w:tblCellMar>
      </w:tblPr>
      <w:tblGrid>
        <w:gridCol w:w="882"/>
        <w:gridCol w:w="2932"/>
        <w:gridCol w:w="4697"/>
        <w:gridCol w:w="8"/>
      </w:tblGrid>
      <w:tr w14:paraId="4CC463DD">
        <w:tblPrEx>
          <w:tblCellMar>
            <w:top w:w="0" w:type="dxa"/>
            <w:left w:w="108" w:type="dxa"/>
            <w:bottom w:w="49" w:type="dxa"/>
            <w:right w:w="115" w:type="dxa"/>
          </w:tblCellMar>
        </w:tblPrEx>
        <w:trPr>
          <w:gridAfter w:val="1"/>
          <w:wAfter w:w="8" w:type="dxa"/>
          <w:trHeight w:val="506"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1CB385D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2</w:t>
            </w:r>
          </w:p>
        </w:tc>
        <w:tc>
          <w:tcPr>
            <w:tcW w:w="2932" w:type="dxa"/>
            <w:tcBorders>
              <w:top w:val="single" w:color="auto" w:sz="4" w:space="0"/>
              <w:left w:val="single" w:color="auto" w:sz="4" w:space="0"/>
              <w:bottom w:val="single" w:color="auto" w:sz="4" w:space="0"/>
              <w:right w:val="single" w:color="auto" w:sz="4" w:space="0"/>
            </w:tcBorders>
            <w:noWrap w:val="0"/>
            <w:vAlign w:val="center"/>
          </w:tcPr>
          <w:p w14:paraId="09EBE911">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报价方式</w:t>
            </w:r>
          </w:p>
        </w:tc>
        <w:tc>
          <w:tcPr>
            <w:tcW w:w="4697" w:type="dxa"/>
            <w:tcBorders>
              <w:top w:val="single" w:color="auto" w:sz="4" w:space="0"/>
              <w:left w:val="single" w:color="auto" w:sz="4" w:space="0"/>
              <w:bottom w:val="single" w:color="auto" w:sz="4" w:space="0"/>
              <w:right w:val="single" w:color="auto" w:sz="4" w:space="0"/>
            </w:tcBorders>
            <w:noWrap w:val="0"/>
            <w:vAlign w:val="center"/>
          </w:tcPr>
          <w:p w14:paraId="2985EE6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固定价，以人民币作为计价。</w:t>
            </w:r>
          </w:p>
        </w:tc>
      </w:tr>
      <w:tr w14:paraId="0117727B">
        <w:tblPrEx>
          <w:tblCellMar>
            <w:top w:w="0" w:type="dxa"/>
            <w:left w:w="108" w:type="dxa"/>
            <w:bottom w:w="49" w:type="dxa"/>
            <w:right w:w="115" w:type="dxa"/>
          </w:tblCellMar>
        </w:tblPrEx>
        <w:trPr>
          <w:gridAfter w:val="1"/>
          <w:wAfter w:w="8" w:type="dxa"/>
          <w:trHeight w:val="1345"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20A0D20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3</w:t>
            </w:r>
          </w:p>
        </w:tc>
        <w:tc>
          <w:tcPr>
            <w:tcW w:w="2932" w:type="dxa"/>
            <w:tcBorders>
              <w:top w:val="single" w:color="auto" w:sz="4" w:space="0"/>
              <w:left w:val="single" w:color="auto" w:sz="4" w:space="0"/>
              <w:bottom w:val="single" w:color="auto" w:sz="4" w:space="0"/>
              <w:right w:val="single" w:color="auto" w:sz="4" w:space="0"/>
            </w:tcBorders>
            <w:noWrap w:val="0"/>
            <w:vAlign w:val="center"/>
          </w:tcPr>
          <w:p w14:paraId="6BBD0F46">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w:t>
            </w:r>
          </w:p>
        </w:tc>
        <w:tc>
          <w:tcPr>
            <w:tcW w:w="4697" w:type="dxa"/>
            <w:tcBorders>
              <w:top w:val="single" w:color="auto" w:sz="4" w:space="0"/>
              <w:left w:val="single" w:color="auto" w:sz="4" w:space="0"/>
              <w:bottom w:val="single" w:color="auto" w:sz="4" w:space="0"/>
              <w:right w:val="single" w:color="auto" w:sz="4" w:space="0"/>
            </w:tcBorders>
            <w:noWrap w:val="0"/>
            <w:vAlign w:val="center"/>
          </w:tcPr>
          <w:p w14:paraId="515A7565">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1）本项目为竞争性磋商采购，预算价为 2797620.89元（大写：贰佰柒拾玖万柒仟陆佰贰拾元捌角玖分）。</w:t>
            </w:r>
          </w:p>
          <w:p w14:paraId="5C2CE22E">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2）本项目响应报价超过预算价的（即响应报价&gt;预算价），则视为无效。</w:t>
            </w:r>
          </w:p>
        </w:tc>
      </w:tr>
      <w:tr w14:paraId="1FE96522">
        <w:tblPrEx>
          <w:tblCellMar>
            <w:top w:w="0" w:type="dxa"/>
            <w:left w:w="108" w:type="dxa"/>
            <w:bottom w:w="49" w:type="dxa"/>
            <w:right w:w="115" w:type="dxa"/>
          </w:tblCellMar>
        </w:tblPrEx>
        <w:trPr>
          <w:gridAfter w:val="1"/>
          <w:wAfter w:w="8" w:type="dxa"/>
          <w:trHeight w:val="506"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4A003AD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4</w:t>
            </w:r>
          </w:p>
        </w:tc>
        <w:tc>
          <w:tcPr>
            <w:tcW w:w="2932" w:type="dxa"/>
            <w:tcBorders>
              <w:top w:val="single" w:color="auto" w:sz="4" w:space="0"/>
              <w:left w:val="single" w:color="auto" w:sz="4" w:space="0"/>
              <w:bottom w:val="single" w:color="auto" w:sz="4" w:space="0"/>
              <w:right w:val="single" w:color="auto" w:sz="4" w:space="0"/>
            </w:tcBorders>
            <w:noWrap w:val="0"/>
            <w:vAlign w:val="center"/>
          </w:tcPr>
          <w:p w14:paraId="2052E3D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投标报价的其他要求</w:t>
            </w:r>
          </w:p>
        </w:tc>
        <w:tc>
          <w:tcPr>
            <w:tcW w:w="4697" w:type="dxa"/>
            <w:tcBorders>
              <w:top w:val="single" w:color="auto" w:sz="4" w:space="0"/>
              <w:left w:val="single" w:color="auto" w:sz="4" w:space="0"/>
              <w:bottom w:val="single" w:color="auto" w:sz="4" w:space="0"/>
              <w:right w:val="single" w:color="auto" w:sz="4" w:space="0"/>
            </w:tcBorders>
            <w:noWrap w:val="0"/>
            <w:vAlign w:val="center"/>
          </w:tcPr>
          <w:p w14:paraId="3701F863">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14:paraId="3640AB38">
        <w:tblPrEx>
          <w:tblCellMar>
            <w:top w:w="0" w:type="dxa"/>
            <w:left w:w="108" w:type="dxa"/>
            <w:bottom w:w="49" w:type="dxa"/>
            <w:right w:w="115" w:type="dxa"/>
          </w:tblCellMar>
        </w:tblPrEx>
        <w:trPr>
          <w:gridAfter w:val="1"/>
          <w:wAfter w:w="8" w:type="dxa"/>
          <w:trHeight w:val="506"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5518C8D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2932" w:type="dxa"/>
            <w:tcBorders>
              <w:top w:val="single" w:color="auto" w:sz="4" w:space="0"/>
              <w:left w:val="single" w:color="auto" w:sz="4" w:space="0"/>
              <w:bottom w:val="single" w:color="auto" w:sz="4" w:space="0"/>
              <w:right w:val="single" w:color="auto" w:sz="4" w:space="0"/>
            </w:tcBorders>
            <w:noWrap w:val="0"/>
            <w:vAlign w:val="center"/>
          </w:tcPr>
          <w:p w14:paraId="5B654D99">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4697" w:type="dxa"/>
            <w:tcBorders>
              <w:top w:val="single" w:color="auto" w:sz="4" w:space="0"/>
              <w:left w:val="single" w:color="auto" w:sz="4" w:space="0"/>
              <w:bottom w:val="single" w:color="auto" w:sz="4" w:space="0"/>
              <w:right w:val="single" w:color="auto" w:sz="4" w:space="0"/>
            </w:tcBorders>
            <w:noWrap w:val="0"/>
            <w:vAlign w:val="center"/>
          </w:tcPr>
          <w:p w14:paraId="0E48E8D3">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自投标截止时间止起：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rPr>
              <w:t>日历天</w:t>
            </w:r>
          </w:p>
        </w:tc>
      </w:tr>
      <w:tr w14:paraId="17A5E06A">
        <w:tblPrEx>
          <w:tblCellMar>
            <w:top w:w="0" w:type="dxa"/>
            <w:left w:w="108" w:type="dxa"/>
            <w:bottom w:w="49" w:type="dxa"/>
            <w:right w:w="115" w:type="dxa"/>
          </w:tblCellMar>
        </w:tblPrEx>
        <w:trPr>
          <w:gridAfter w:val="1"/>
          <w:wAfter w:w="8" w:type="dxa"/>
          <w:trHeight w:val="976"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0275148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lang w:val="en-US" w:eastAsia="zh-CN"/>
              </w:rPr>
              <w:t>1</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14:paraId="2B8CA68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其他可以不予退还投标保证金的情形</w:t>
            </w:r>
          </w:p>
        </w:tc>
        <w:tc>
          <w:tcPr>
            <w:tcW w:w="4697" w:type="dxa"/>
            <w:tcBorders>
              <w:top w:val="single" w:color="000000" w:sz="4" w:space="0"/>
              <w:left w:val="single" w:color="000000" w:sz="4" w:space="0"/>
              <w:bottom w:val="single" w:color="000000" w:sz="4" w:space="0"/>
              <w:right w:val="single" w:color="000000" w:sz="4" w:space="0"/>
            </w:tcBorders>
            <w:noWrap w:val="0"/>
            <w:vAlign w:val="center"/>
          </w:tcPr>
          <w:p w14:paraId="6E3DD739">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在其</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中提供虚假资料；</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未按国家规定的招标代理服务取费标准缴纳招标代理服务费用的。</w:t>
            </w:r>
          </w:p>
        </w:tc>
      </w:tr>
      <w:tr w14:paraId="49F34C7F">
        <w:tblPrEx>
          <w:tblCellMar>
            <w:top w:w="0" w:type="dxa"/>
            <w:left w:w="108" w:type="dxa"/>
            <w:bottom w:w="49" w:type="dxa"/>
            <w:right w:w="115" w:type="dxa"/>
          </w:tblCellMar>
        </w:tblPrEx>
        <w:trPr>
          <w:gridAfter w:val="1"/>
          <w:wAfter w:w="8" w:type="dxa"/>
          <w:trHeight w:val="702" w:hRule="atLeast"/>
        </w:trPr>
        <w:tc>
          <w:tcPr>
            <w:tcW w:w="882" w:type="dxa"/>
            <w:tcBorders>
              <w:top w:val="single" w:color="000000" w:sz="4" w:space="0"/>
              <w:left w:val="single" w:color="000000" w:sz="4" w:space="0"/>
              <w:bottom w:val="single" w:color="auto" w:sz="4" w:space="0"/>
              <w:right w:val="single" w:color="000000" w:sz="4" w:space="0"/>
            </w:tcBorders>
            <w:noWrap w:val="0"/>
            <w:vAlign w:val="center"/>
          </w:tcPr>
          <w:p w14:paraId="179A9F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w:t>
            </w:r>
          </w:p>
        </w:tc>
        <w:tc>
          <w:tcPr>
            <w:tcW w:w="2932" w:type="dxa"/>
            <w:tcBorders>
              <w:top w:val="single" w:color="000000" w:sz="4" w:space="0"/>
              <w:left w:val="single" w:color="000000" w:sz="4" w:space="0"/>
              <w:bottom w:val="single" w:color="auto" w:sz="4" w:space="0"/>
              <w:right w:val="single" w:color="000000" w:sz="4" w:space="0"/>
            </w:tcBorders>
            <w:noWrap w:val="0"/>
            <w:vAlign w:val="center"/>
          </w:tcPr>
          <w:p w14:paraId="2127ACF3">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近年财务状况的年份要求</w:t>
            </w:r>
          </w:p>
        </w:tc>
        <w:tc>
          <w:tcPr>
            <w:tcW w:w="4697" w:type="dxa"/>
            <w:tcBorders>
              <w:top w:val="single" w:color="000000" w:sz="4" w:space="0"/>
              <w:left w:val="single" w:color="000000" w:sz="4" w:space="0"/>
              <w:bottom w:val="single" w:color="auto" w:sz="4" w:space="0"/>
              <w:right w:val="single" w:color="000000" w:sz="4" w:space="0"/>
            </w:tcBorders>
            <w:noWrap w:val="0"/>
            <w:vAlign w:val="center"/>
          </w:tcPr>
          <w:p w14:paraId="5F371D8D">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提供2022或2023年度的财务审计报告(成立不满一年的提供开标前一个月内有效银行资信证明）；</w:t>
            </w:r>
          </w:p>
        </w:tc>
      </w:tr>
      <w:tr w14:paraId="703E8A26">
        <w:tblPrEx>
          <w:tblCellMar>
            <w:top w:w="0" w:type="dxa"/>
            <w:left w:w="108" w:type="dxa"/>
            <w:bottom w:w="49" w:type="dxa"/>
            <w:right w:w="115" w:type="dxa"/>
          </w:tblCellMar>
        </w:tblPrEx>
        <w:trPr>
          <w:gridAfter w:val="1"/>
          <w:wAfter w:w="8" w:type="dxa"/>
          <w:trHeight w:val="702" w:hRule="atLeast"/>
        </w:trPr>
        <w:tc>
          <w:tcPr>
            <w:tcW w:w="882" w:type="dxa"/>
            <w:tcBorders>
              <w:top w:val="single" w:color="auto" w:sz="4" w:space="0"/>
              <w:left w:val="single" w:color="auto" w:sz="4" w:space="0"/>
              <w:bottom w:val="single" w:color="auto" w:sz="4" w:space="0"/>
              <w:right w:val="single" w:color="000000" w:sz="4" w:space="0"/>
            </w:tcBorders>
            <w:noWrap w:val="0"/>
            <w:vAlign w:val="center"/>
          </w:tcPr>
          <w:p w14:paraId="0D9E101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w:t>
            </w:r>
          </w:p>
        </w:tc>
        <w:tc>
          <w:tcPr>
            <w:tcW w:w="2932" w:type="dxa"/>
            <w:tcBorders>
              <w:top w:val="single" w:color="auto" w:sz="4" w:space="0"/>
              <w:left w:val="single" w:color="000000" w:sz="4" w:space="0"/>
              <w:bottom w:val="single" w:color="auto" w:sz="4" w:space="0"/>
              <w:right w:val="single" w:color="000000" w:sz="4" w:space="0"/>
            </w:tcBorders>
            <w:noWrap w:val="0"/>
            <w:vAlign w:val="center"/>
          </w:tcPr>
          <w:p w14:paraId="2E37C2C2">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近年完成的类似项目时间要求</w:t>
            </w:r>
          </w:p>
        </w:tc>
        <w:tc>
          <w:tcPr>
            <w:tcW w:w="4697" w:type="dxa"/>
            <w:tcBorders>
              <w:top w:val="single" w:color="auto" w:sz="4" w:space="0"/>
              <w:left w:val="single" w:color="000000" w:sz="4" w:space="0"/>
              <w:bottom w:val="single" w:color="auto" w:sz="4" w:space="0"/>
              <w:right w:val="single" w:color="auto" w:sz="4" w:space="0"/>
            </w:tcBorders>
            <w:noWrap w:val="0"/>
            <w:vAlign w:val="center"/>
          </w:tcPr>
          <w:p w14:paraId="658AEE7C">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近三年（投标截止日算起）中标通知书或合同</w:t>
            </w:r>
          </w:p>
        </w:tc>
      </w:tr>
      <w:tr w14:paraId="4C54290D">
        <w:tblPrEx>
          <w:tblCellMar>
            <w:top w:w="0" w:type="dxa"/>
            <w:left w:w="108" w:type="dxa"/>
            <w:bottom w:w="49" w:type="dxa"/>
            <w:right w:w="115" w:type="dxa"/>
          </w:tblCellMar>
        </w:tblPrEx>
        <w:trPr>
          <w:gridAfter w:val="1"/>
          <w:wAfter w:w="8" w:type="dxa"/>
          <w:trHeight w:val="381" w:hRule="atLeast"/>
        </w:trPr>
        <w:tc>
          <w:tcPr>
            <w:tcW w:w="882" w:type="dxa"/>
            <w:tcBorders>
              <w:top w:val="single" w:color="auto" w:sz="4" w:space="0"/>
              <w:left w:val="single" w:color="000000" w:sz="4" w:space="0"/>
              <w:right w:val="single" w:color="000000" w:sz="4" w:space="0"/>
            </w:tcBorders>
            <w:noWrap w:val="0"/>
            <w:vAlign w:val="center"/>
          </w:tcPr>
          <w:p w14:paraId="68644E9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w:t>
            </w:r>
          </w:p>
        </w:tc>
        <w:tc>
          <w:tcPr>
            <w:tcW w:w="2932" w:type="dxa"/>
            <w:tcBorders>
              <w:top w:val="single" w:color="auto" w:sz="4" w:space="0"/>
              <w:left w:val="single" w:color="000000" w:sz="4" w:space="0"/>
              <w:right w:val="single" w:color="000000" w:sz="4" w:space="0"/>
            </w:tcBorders>
            <w:noWrap w:val="0"/>
            <w:vAlign w:val="center"/>
          </w:tcPr>
          <w:p w14:paraId="2E5BD38C">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近年发生的诉讼及仲裁</w:t>
            </w:r>
          </w:p>
        </w:tc>
        <w:tc>
          <w:tcPr>
            <w:tcW w:w="4697" w:type="dxa"/>
            <w:tcBorders>
              <w:top w:val="single" w:color="auto" w:sz="4" w:space="0"/>
              <w:left w:val="single" w:color="000000" w:sz="4" w:space="0"/>
              <w:right w:val="single" w:color="000000" w:sz="4" w:space="0"/>
            </w:tcBorders>
            <w:noWrap w:val="0"/>
            <w:vAlign w:val="center"/>
          </w:tcPr>
          <w:p w14:paraId="6AFA3ACE">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近三年（投标截止日算起）</w:t>
            </w:r>
          </w:p>
        </w:tc>
      </w:tr>
      <w:tr w14:paraId="380666F9">
        <w:tblPrEx>
          <w:tblCellMar>
            <w:top w:w="0" w:type="dxa"/>
            <w:left w:w="108" w:type="dxa"/>
            <w:bottom w:w="49" w:type="dxa"/>
            <w:right w:w="115" w:type="dxa"/>
          </w:tblCellMar>
        </w:tblPrEx>
        <w:trPr>
          <w:gridAfter w:val="1"/>
          <w:wAfter w:w="8" w:type="dxa"/>
          <w:trHeight w:val="702"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668F433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14:paraId="7F7D3060">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是否允许递交备选投标方案</w:t>
            </w:r>
          </w:p>
        </w:tc>
        <w:tc>
          <w:tcPr>
            <w:tcW w:w="4697" w:type="dxa"/>
            <w:tcBorders>
              <w:top w:val="single" w:color="000000" w:sz="4" w:space="0"/>
              <w:left w:val="single" w:color="000000" w:sz="4" w:space="0"/>
              <w:bottom w:val="single" w:color="000000" w:sz="4" w:space="0"/>
              <w:right w:val="single" w:color="000000" w:sz="4" w:space="0"/>
            </w:tcBorders>
            <w:noWrap w:val="0"/>
            <w:vAlign w:val="center"/>
          </w:tcPr>
          <w:p w14:paraId="2F0BE84F">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2BD522B3">
        <w:tblPrEx>
          <w:tblCellMar>
            <w:top w:w="0" w:type="dxa"/>
            <w:left w:w="108" w:type="dxa"/>
            <w:bottom w:w="49" w:type="dxa"/>
            <w:right w:w="115" w:type="dxa"/>
          </w:tblCellMar>
        </w:tblPrEx>
        <w:trPr>
          <w:gridAfter w:val="1"/>
          <w:wAfter w:w="8" w:type="dxa"/>
          <w:trHeight w:val="702" w:hRule="atLeast"/>
        </w:trPr>
        <w:tc>
          <w:tcPr>
            <w:tcW w:w="882" w:type="dxa"/>
            <w:tcBorders>
              <w:top w:val="single" w:color="000000" w:sz="4" w:space="0"/>
              <w:left w:val="single" w:color="000000" w:sz="4" w:space="0"/>
              <w:bottom w:val="single" w:color="auto" w:sz="4" w:space="0"/>
              <w:right w:val="single" w:color="000000" w:sz="4" w:space="0"/>
            </w:tcBorders>
            <w:noWrap w:val="0"/>
            <w:vAlign w:val="center"/>
          </w:tcPr>
          <w:p w14:paraId="392D006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lang w:val="en-US" w:eastAsia="zh-CN"/>
              </w:rPr>
              <w:t>1</w:t>
            </w:r>
          </w:p>
        </w:tc>
        <w:tc>
          <w:tcPr>
            <w:tcW w:w="2932" w:type="dxa"/>
            <w:tcBorders>
              <w:top w:val="single" w:color="000000" w:sz="4" w:space="0"/>
              <w:left w:val="single" w:color="000000" w:sz="4" w:space="0"/>
              <w:bottom w:val="single" w:color="auto" w:sz="4" w:space="0"/>
              <w:right w:val="single" w:color="000000" w:sz="4" w:space="0"/>
            </w:tcBorders>
            <w:noWrap w:val="0"/>
            <w:vAlign w:val="center"/>
          </w:tcPr>
          <w:p w14:paraId="31785B32">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副本份数及其他要求</w:t>
            </w:r>
          </w:p>
        </w:tc>
        <w:tc>
          <w:tcPr>
            <w:tcW w:w="4697" w:type="dxa"/>
            <w:tcBorders>
              <w:top w:val="single" w:color="000000" w:sz="4" w:space="0"/>
              <w:left w:val="single" w:color="000000" w:sz="4" w:space="0"/>
              <w:bottom w:val="single" w:color="000000" w:sz="4" w:space="0"/>
              <w:right w:val="single" w:color="000000" w:sz="4" w:space="0"/>
            </w:tcBorders>
            <w:noWrap w:val="0"/>
            <w:vAlign w:val="center"/>
          </w:tcPr>
          <w:p w14:paraId="4727292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lang w:val="en-US" w:eastAsia="zh-CN"/>
              </w:rPr>
              <w:t>/</w:t>
            </w:r>
          </w:p>
        </w:tc>
      </w:tr>
      <w:tr w14:paraId="7524098B">
        <w:tblPrEx>
          <w:tblCellMar>
            <w:top w:w="0" w:type="dxa"/>
            <w:left w:w="108" w:type="dxa"/>
            <w:bottom w:w="49" w:type="dxa"/>
            <w:right w:w="115" w:type="dxa"/>
          </w:tblCellMar>
        </w:tblPrEx>
        <w:trPr>
          <w:gridAfter w:val="1"/>
          <w:wAfter w:w="8" w:type="dxa"/>
          <w:trHeight w:val="478" w:hRule="atLeast"/>
        </w:trPr>
        <w:tc>
          <w:tcPr>
            <w:tcW w:w="882" w:type="dxa"/>
            <w:tcBorders>
              <w:top w:val="single" w:color="auto" w:sz="4" w:space="0"/>
              <w:left w:val="single" w:color="000000" w:sz="4" w:space="0"/>
              <w:bottom w:val="single" w:color="auto" w:sz="4" w:space="0"/>
              <w:right w:val="single" w:color="000000" w:sz="4" w:space="0"/>
            </w:tcBorders>
            <w:noWrap w:val="0"/>
            <w:vAlign w:val="center"/>
          </w:tcPr>
          <w:p w14:paraId="3F95FB6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3.7.2</w:t>
            </w:r>
          </w:p>
        </w:tc>
        <w:tc>
          <w:tcPr>
            <w:tcW w:w="2932" w:type="dxa"/>
            <w:tcBorders>
              <w:top w:val="single" w:color="auto" w:sz="4" w:space="0"/>
              <w:left w:val="single" w:color="000000" w:sz="4" w:space="0"/>
              <w:bottom w:val="single" w:color="auto" w:sz="4" w:space="0"/>
              <w:right w:val="single" w:color="000000" w:sz="4" w:space="0"/>
            </w:tcBorders>
            <w:noWrap w:val="0"/>
            <w:vAlign w:val="center"/>
          </w:tcPr>
          <w:p w14:paraId="0F52E09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是否需分册装订</w:t>
            </w:r>
          </w:p>
        </w:tc>
        <w:tc>
          <w:tcPr>
            <w:tcW w:w="4697" w:type="dxa"/>
            <w:tcBorders>
              <w:top w:val="single" w:color="000000" w:sz="4" w:space="0"/>
              <w:left w:val="single" w:color="000000" w:sz="4" w:space="0"/>
              <w:bottom w:val="single" w:color="000000" w:sz="4" w:space="0"/>
              <w:right w:val="single" w:color="000000" w:sz="4" w:space="0"/>
            </w:tcBorders>
            <w:noWrap w:val="0"/>
            <w:vAlign w:val="center"/>
          </w:tcPr>
          <w:p w14:paraId="6B8FEB65">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p>
        </w:tc>
      </w:tr>
      <w:tr w14:paraId="433EC7BA">
        <w:tblPrEx>
          <w:tblCellMar>
            <w:top w:w="0" w:type="dxa"/>
            <w:left w:w="108" w:type="dxa"/>
            <w:bottom w:w="49" w:type="dxa"/>
            <w:right w:w="115" w:type="dxa"/>
          </w:tblCellMar>
        </w:tblPrEx>
        <w:trPr>
          <w:gridAfter w:val="1"/>
          <w:wAfter w:w="8" w:type="dxa"/>
          <w:trHeight w:val="506" w:hRule="atLeast"/>
        </w:trPr>
        <w:tc>
          <w:tcPr>
            <w:tcW w:w="882" w:type="dxa"/>
            <w:tcBorders>
              <w:top w:val="single" w:color="auto" w:sz="4" w:space="0"/>
              <w:left w:val="single" w:color="000000" w:sz="4" w:space="0"/>
              <w:bottom w:val="single" w:color="000000" w:sz="4" w:space="0"/>
              <w:right w:val="single" w:color="000000" w:sz="4" w:space="0"/>
            </w:tcBorders>
            <w:noWrap w:val="0"/>
            <w:vAlign w:val="center"/>
          </w:tcPr>
          <w:p w14:paraId="6A8CE9F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3.7.3</w:t>
            </w:r>
          </w:p>
        </w:tc>
        <w:tc>
          <w:tcPr>
            <w:tcW w:w="2932" w:type="dxa"/>
            <w:tcBorders>
              <w:top w:val="single" w:color="auto" w:sz="4" w:space="0"/>
              <w:left w:val="single" w:color="auto" w:sz="4" w:space="0"/>
              <w:bottom w:val="single" w:color="auto" w:sz="4" w:space="0"/>
              <w:right w:val="single" w:color="auto" w:sz="4" w:space="0"/>
            </w:tcBorders>
            <w:noWrap w:val="0"/>
            <w:vAlign w:val="center"/>
          </w:tcPr>
          <w:p w14:paraId="37AD6FE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签字或盖章要求</w:t>
            </w:r>
          </w:p>
        </w:tc>
        <w:tc>
          <w:tcPr>
            <w:tcW w:w="4697" w:type="dxa"/>
            <w:tcBorders>
              <w:top w:val="single" w:color="auto" w:sz="4" w:space="0"/>
              <w:left w:val="single" w:color="auto" w:sz="4" w:space="0"/>
              <w:bottom w:val="single" w:color="auto" w:sz="4" w:space="0"/>
              <w:right w:val="single" w:color="auto" w:sz="4" w:space="0"/>
            </w:tcBorders>
            <w:noWrap w:val="0"/>
            <w:vAlign w:val="center"/>
          </w:tcPr>
          <w:p w14:paraId="59AA452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按竞争性磋商中的“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须知正文”的规定</w:t>
            </w:r>
          </w:p>
        </w:tc>
      </w:tr>
      <w:tr w14:paraId="714FDB57">
        <w:tblPrEx>
          <w:tblCellMar>
            <w:top w:w="0" w:type="dxa"/>
            <w:left w:w="108" w:type="dxa"/>
            <w:bottom w:w="49" w:type="dxa"/>
            <w:right w:w="115" w:type="dxa"/>
          </w:tblCellMar>
        </w:tblPrEx>
        <w:trPr>
          <w:gridAfter w:val="1"/>
          <w:wAfter w:w="8" w:type="dxa"/>
          <w:trHeight w:val="381"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6DBF707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14:paraId="55859D06">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封套上应载明的信息</w:t>
            </w:r>
          </w:p>
        </w:tc>
        <w:tc>
          <w:tcPr>
            <w:tcW w:w="4697" w:type="dxa"/>
            <w:tcBorders>
              <w:top w:val="single" w:color="000000" w:sz="4" w:space="0"/>
              <w:left w:val="single" w:color="000000" w:sz="4" w:space="0"/>
              <w:bottom w:val="single" w:color="000000" w:sz="4" w:space="0"/>
              <w:right w:val="single" w:color="000000" w:sz="4" w:space="0"/>
            </w:tcBorders>
            <w:noWrap w:val="0"/>
            <w:vAlign w:val="center"/>
          </w:tcPr>
          <w:p w14:paraId="6019B270">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74CFE17A">
        <w:tblPrEx>
          <w:tblCellMar>
            <w:top w:w="0" w:type="dxa"/>
            <w:left w:w="108" w:type="dxa"/>
            <w:bottom w:w="49" w:type="dxa"/>
            <w:right w:w="115" w:type="dxa"/>
          </w:tblCellMar>
        </w:tblPrEx>
        <w:trPr>
          <w:trHeight w:val="485"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7B1BE1B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14:paraId="65BC7E6C">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截止时间</w:t>
            </w:r>
          </w:p>
        </w:tc>
        <w:tc>
          <w:tcPr>
            <w:tcW w:w="4705" w:type="dxa"/>
            <w:gridSpan w:val="2"/>
            <w:tcBorders>
              <w:top w:val="single" w:color="000000" w:sz="4" w:space="0"/>
              <w:left w:val="single" w:color="000000" w:sz="4" w:space="0"/>
              <w:bottom w:val="single" w:color="000000" w:sz="4" w:space="0"/>
              <w:right w:val="single" w:color="000000" w:sz="4" w:space="0"/>
            </w:tcBorders>
            <w:noWrap w:val="0"/>
            <w:vAlign w:val="center"/>
          </w:tcPr>
          <w:p w14:paraId="70BAA993">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于</w:t>
            </w:r>
            <w:r>
              <w:rPr>
                <w:rFonts w:hint="eastAsia" w:ascii="宋体" w:hAnsi="宋体" w:eastAsia="宋体" w:cs="宋体"/>
                <w:i w:val="0"/>
                <w:iCs w:val="0"/>
                <w:caps w:val="0"/>
                <w:color w:val="auto"/>
                <w:spacing w:val="0"/>
                <w:kern w:val="0"/>
                <w:sz w:val="24"/>
                <w:szCs w:val="24"/>
                <w:highlight w:val="none"/>
                <w:lang w:val="en-US" w:eastAsia="zh-CN" w:bidi="ar"/>
              </w:rPr>
              <w:t>2025年01月06日   16:00</w:t>
            </w:r>
            <w:r>
              <w:rPr>
                <w:rFonts w:hint="eastAsia" w:ascii="宋体" w:hAnsi="宋体" w:eastAsia="宋体" w:cs="宋体"/>
                <w:color w:val="auto"/>
                <w:sz w:val="24"/>
                <w:szCs w:val="24"/>
                <w:highlight w:val="none"/>
                <w:lang w:eastAsia="zh-CN"/>
              </w:rPr>
              <w:t>（北京时间）时止</w:t>
            </w:r>
          </w:p>
        </w:tc>
      </w:tr>
      <w:tr w14:paraId="637D643C">
        <w:tblPrEx>
          <w:tblCellMar>
            <w:top w:w="0" w:type="dxa"/>
            <w:left w:w="108" w:type="dxa"/>
            <w:bottom w:w="49" w:type="dxa"/>
            <w:right w:w="115" w:type="dxa"/>
          </w:tblCellMar>
        </w:tblPrEx>
        <w:trPr>
          <w:trHeight w:val="565"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1BADC5B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14:paraId="3C23916C">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文件地点</w:t>
            </w:r>
          </w:p>
        </w:tc>
        <w:tc>
          <w:tcPr>
            <w:tcW w:w="4705" w:type="dxa"/>
            <w:gridSpan w:val="2"/>
            <w:tcBorders>
              <w:top w:val="single" w:color="000000" w:sz="4" w:space="0"/>
              <w:left w:val="single" w:color="000000" w:sz="4" w:space="0"/>
              <w:bottom w:val="single" w:color="000000" w:sz="4" w:space="0"/>
              <w:right w:val="single" w:color="000000" w:sz="4" w:space="0"/>
            </w:tcBorders>
            <w:noWrap w:val="0"/>
            <w:vAlign w:val="center"/>
          </w:tcPr>
          <w:p w14:paraId="54AF1944">
            <w:pPr>
              <w:pageBreakBefore w:val="0"/>
              <w:kinsoku/>
              <w:overflowPunct/>
              <w:topLinePunct w:val="0"/>
              <w:bidi w:val="0"/>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政采云平台（http://www.ccgp-xinjiang.gov.cn//）</w:t>
            </w:r>
          </w:p>
        </w:tc>
      </w:tr>
      <w:tr w14:paraId="7496DAB8">
        <w:tblPrEx>
          <w:tblCellMar>
            <w:top w:w="0" w:type="dxa"/>
            <w:left w:w="108" w:type="dxa"/>
            <w:bottom w:w="49" w:type="dxa"/>
            <w:right w:w="115" w:type="dxa"/>
          </w:tblCellMar>
        </w:tblPrEx>
        <w:trPr>
          <w:trHeight w:val="485"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40B4567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14:paraId="37A72919">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文件是否退还</w:t>
            </w:r>
          </w:p>
        </w:tc>
        <w:tc>
          <w:tcPr>
            <w:tcW w:w="4705" w:type="dxa"/>
            <w:gridSpan w:val="2"/>
            <w:tcBorders>
              <w:top w:val="single" w:color="000000" w:sz="4" w:space="0"/>
              <w:left w:val="single" w:color="000000" w:sz="4" w:space="0"/>
              <w:bottom w:val="single" w:color="000000" w:sz="4" w:space="0"/>
              <w:right w:val="single" w:color="000000" w:sz="4" w:space="0"/>
            </w:tcBorders>
            <w:noWrap w:val="0"/>
            <w:vAlign w:val="center"/>
          </w:tcPr>
          <w:p w14:paraId="385436F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524B3198">
        <w:tblPrEx>
          <w:tblCellMar>
            <w:top w:w="0" w:type="dxa"/>
            <w:left w:w="108" w:type="dxa"/>
            <w:bottom w:w="49" w:type="dxa"/>
            <w:right w:w="115" w:type="dxa"/>
          </w:tblCellMar>
        </w:tblPrEx>
        <w:trPr>
          <w:trHeight w:val="702"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39687E0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.1</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14:paraId="220BC6C9">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开标时间和地点</w:t>
            </w:r>
          </w:p>
        </w:tc>
        <w:tc>
          <w:tcPr>
            <w:tcW w:w="4705" w:type="dxa"/>
            <w:gridSpan w:val="2"/>
            <w:tcBorders>
              <w:top w:val="single" w:color="000000" w:sz="4" w:space="0"/>
              <w:left w:val="single" w:color="000000" w:sz="4" w:space="0"/>
              <w:bottom w:val="single" w:color="000000" w:sz="4" w:space="0"/>
              <w:right w:val="single" w:color="000000" w:sz="4" w:space="0"/>
            </w:tcBorders>
            <w:noWrap w:val="0"/>
            <w:vAlign w:val="center"/>
          </w:tcPr>
          <w:p w14:paraId="51C45D12">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开标时间：同投标截止时间；开标地点：同递交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文件地点</w:t>
            </w:r>
          </w:p>
        </w:tc>
      </w:tr>
      <w:tr w14:paraId="38C3B486">
        <w:tblPrEx>
          <w:tblCellMar>
            <w:top w:w="0" w:type="dxa"/>
            <w:left w:w="108" w:type="dxa"/>
            <w:bottom w:w="49" w:type="dxa"/>
            <w:right w:w="115" w:type="dxa"/>
          </w:tblCellMar>
        </w:tblPrEx>
        <w:trPr>
          <w:trHeight w:val="485"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1D03F94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.1</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14:paraId="60CD2332">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开标程序</w:t>
            </w:r>
          </w:p>
        </w:tc>
        <w:tc>
          <w:tcPr>
            <w:tcW w:w="4705" w:type="dxa"/>
            <w:gridSpan w:val="2"/>
            <w:tcBorders>
              <w:top w:val="single" w:color="000000" w:sz="4" w:space="0"/>
              <w:left w:val="single" w:color="000000" w:sz="4" w:space="0"/>
              <w:bottom w:val="single" w:color="000000" w:sz="4" w:space="0"/>
              <w:right w:val="single" w:color="000000" w:sz="4" w:space="0"/>
            </w:tcBorders>
            <w:noWrap w:val="0"/>
            <w:vAlign w:val="center"/>
          </w:tcPr>
          <w:p w14:paraId="5CAB5BB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开标顺序：按</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递交的逆顺序</w:t>
            </w:r>
          </w:p>
        </w:tc>
      </w:tr>
      <w:tr w14:paraId="47D30B2D">
        <w:tblPrEx>
          <w:tblCellMar>
            <w:top w:w="0" w:type="dxa"/>
            <w:left w:w="108" w:type="dxa"/>
            <w:bottom w:w="49" w:type="dxa"/>
            <w:right w:w="115" w:type="dxa"/>
          </w:tblCellMar>
        </w:tblPrEx>
        <w:trPr>
          <w:trHeight w:val="1023"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5BEECE2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14:paraId="03BE1CA4">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的组建</w:t>
            </w:r>
          </w:p>
        </w:tc>
        <w:tc>
          <w:tcPr>
            <w:tcW w:w="4705" w:type="dxa"/>
            <w:gridSpan w:val="2"/>
            <w:tcBorders>
              <w:top w:val="single" w:color="000000" w:sz="4" w:space="0"/>
              <w:left w:val="single" w:color="000000" w:sz="4" w:space="0"/>
              <w:bottom w:val="single" w:color="000000" w:sz="4" w:space="0"/>
              <w:right w:val="single" w:color="000000" w:sz="4" w:space="0"/>
            </w:tcBorders>
            <w:noWrap w:val="0"/>
            <w:vAlign w:val="center"/>
          </w:tcPr>
          <w:p w14:paraId="1ABA2380">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依法组建</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人构成，其中：</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rPr>
              <w:t>人，经济及技术方面的专家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人；经济及技术方面的专家由</w:t>
            </w:r>
            <w:r>
              <w:rPr>
                <w:rFonts w:hint="eastAsia" w:ascii="宋体" w:hAnsi="宋体" w:eastAsia="宋体" w:cs="宋体"/>
                <w:color w:val="auto"/>
                <w:sz w:val="24"/>
                <w:szCs w:val="24"/>
                <w:highlight w:val="none"/>
                <w:lang w:val="en-US" w:eastAsia="zh-CN"/>
              </w:rPr>
              <w:t>喀什地区</w:t>
            </w:r>
            <w:r>
              <w:rPr>
                <w:rFonts w:hint="eastAsia" w:ascii="宋体" w:hAnsi="宋体" w:eastAsia="宋体" w:cs="宋体"/>
                <w:color w:val="auto"/>
                <w:sz w:val="24"/>
                <w:szCs w:val="24"/>
                <w:highlight w:val="none"/>
              </w:rPr>
              <w:t>专家库中随机抽取。</w:t>
            </w:r>
          </w:p>
        </w:tc>
      </w:tr>
      <w:tr w14:paraId="247D786F">
        <w:tblPrEx>
          <w:tblCellMar>
            <w:top w:w="0" w:type="dxa"/>
            <w:left w:w="108" w:type="dxa"/>
            <w:bottom w:w="49" w:type="dxa"/>
            <w:right w:w="115" w:type="dxa"/>
          </w:tblCellMar>
        </w:tblPrEx>
        <w:trPr>
          <w:trHeight w:val="702"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4D25D3C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14:paraId="50178D65">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评委会推荐中标候选人的人数</w:t>
            </w:r>
          </w:p>
        </w:tc>
        <w:tc>
          <w:tcPr>
            <w:tcW w:w="4705" w:type="dxa"/>
            <w:gridSpan w:val="2"/>
            <w:tcBorders>
              <w:top w:val="single" w:color="000000" w:sz="4" w:space="0"/>
              <w:left w:val="single" w:color="000000" w:sz="4" w:space="0"/>
              <w:bottom w:val="single" w:color="000000" w:sz="4" w:space="0"/>
              <w:right w:val="single" w:color="000000" w:sz="4" w:space="0"/>
            </w:tcBorders>
            <w:noWrap w:val="0"/>
            <w:vAlign w:val="center"/>
          </w:tcPr>
          <w:p w14:paraId="0E9A2887">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推荐中标候选人的数量为：</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名</w:t>
            </w:r>
          </w:p>
        </w:tc>
      </w:tr>
      <w:tr w14:paraId="5A3DBFBD">
        <w:tblPrEx>
          <w:tblCellMar>
            <w:top w:w="0" w:type="dxa"/>
            <w:left w:w="108" w:type="dxa"/>
            <w:bottom w:w="49" w:type="dxa"/>
            <w:right w:w="115" w:type="dxa"/>
          </w:tblCellMar>
        </w:tblPrEx>
        <w:trPr>
          <w:trHeight w:val="702"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1A6709A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1</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14:paraId="06870AD1">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是否授权评委会确定中标人</w:t>
            </w:r>
          </w:p>
        </w:tc>
        <w:tc>
          <w:tcPr>
            <w:tcW w:w="4705" w:type="dxa"/>
            <w:gridSpan w:val="2"/>
            <w:tcBorders>
              <w:top w:val="single" w:color="000000" w:sz="4" w:space="0"/>
              <w:left w:val="single" w:color="000000" w:sz="4" w:space="0"/>
              <w:bottom w:val="single" w:color="000000" w:sz="4" w:space="0"/>
              <w:right w:val="single" w:color="000000" w:sz="4" w:space="0"/>
            </w:tcBorders>
            <w:noWrap w:val="0"/>
            <w:vAlign w:val="center"/>
          </w:tcPr>
          <w:p w14:paraId="2F41103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4895BFBB">
        <w:tblPrEx>
          <w:tblCellMar>
            <w:top w:w="0" w:type="dxa"/>
            <w:left w:w="108" w:type="dxa"/>
            <w:bottom w:w="49" w:type="dxa"/>
            <w:right w:w="115" w:type="dxa"/>
          </w:tblCellMar>
        </w:tblPrEx>
        <w:trPr>
          <w:trHeight w:val="522"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7633BCE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2</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14:paraId="35188596">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技术成果经济补偿</w:t>
            </w:r>
          </w:p>
        </w:tc>
        <w:tc>
          <w:tcPr>
            <w:tcW w:w="4705" w:type="dxa"/>
            <w:gridSpan w:val="2"/>
            <w:tcBorders>
              <w:top w:val="single" w:color="000000" w:sz="4" w:space="0"/>
              <w:left w:val="single" w:color="000000" w:sz="4" w:space="0"/>
              <w:bottom w:val="single" w:color="000000" w:sz="4" w:space="0"/>
              <w:right w:val="single" w:color="000000" w:sz="4" w:space="0"/>
            </w:tcBorders>
            <w:noWrap w:val="0"/>
            <w:vAlign w:val="center"/>
          </w:tcPr>
          <w:p w14:paraId="4C50574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不补偿</w:t>
            </w:r>
          </w:p>
        </w:tc>
      </w:tr>
      <w:tr w14:paraId="295B49B8">
        <w:tblPrEx>
          <w:tblCellMar>
            <w:top w:w="0" w:type="dxa"/>
            <w:left w:w="108" w:type="dxa"/>
            <w:bottom w:w="49" w:type="dxa"/>
            <w:right w:w="115" w:type="dxa"/>
          </w:tblCellMar>
        </w:tblPrEx>
        <w:trPr>
          <w:trHeight w:val="514"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14:paraId="705650B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14:paraId="0BA63FA9">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是否采用电子招标投标</w:t>
            </w:r>
          </w:p>
        </w:tc>
        <w:tc>
          <w:tcPr>
            <w:tcW w:w="4705" w:type="dxa"/>
            <w:gridSpan w:val="2"/>
            <w:tcBorders>
              <w:top w:val="single" w:color="000000" w:sz="4" w:space="0"/>
              <w:left w:val="single" w:color="000000" w:sz="4" w:space="0"/>
              <w:bottom w:val="single" w:color="000000" w:sz="4" w:space="0"/>
              <w:right w:val="single" w:color="000000" w:sz="4" w:space="0"/>
            </w:tcBorders>
            <w:noWrap w:val="0"/>
            <w:vAlign w:val="center"/>
          </w:tcPr>
          <w:p w14:paraId="59B43EB5">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w:t>
            </w:r>
          </w:p>
        </w:tc>
      </w:tr>
      <w:tr w14:paraId="10A010AE">
        <w:tblPrEx>
          <w:tblCellMar>
            <w:top w:w="0" w:type="dxa"/>
            <w:left w:w="108" w:type="dxa"/>
            <w:bottom w:w="49" w:type="dxa"/>
            <w:right w:w="115" w:type="dxa"/>
          </w:tblCellMar>
        </w:tblPrEx>
        <w:trPr>
          <w:trHeight w:val="514" w:hRule="atLeast"/>
        </w:trPr>
        <w:tc>
          <w:tcPr>
            <w:tcW w:w="882" w:type="dxa"/>
            <w:tcBorders>
              <w:top w:val="single" w:color="000000" w:sz="4" w:space="0"/>
              <w:left w:val="single" w:color="000000" w:sz="4" w:space="0"/>
              <w:bottom w:val="single" w:color="auto" w:sz="4" w:space="0"/>
              <w:right w:val="single" w:color="000000" w:sz="4" w:space="0"/>
            </w:tcBorders>
            <w:noWrap w:val="0"/>
            <w:vAlign w:val="center"/>
          </w:tcPr>
          <w:p w14:paraId="19778A1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9</w:t>
            </w:r>
          </w:p>
        </w:tc>
        <w:tc>
          <w:tcPr>
            <w:tcW w:w="2932" w:type="dxa"/>
            <w:tcBorders>
              <w:top w:val="single" w:color="000000" w:sz="4" w:space="0"/>
              <w:left w:val="single" w:color="000000" w:sz="4" w:space="0"/>
              <w:bottom w:val="single" w:color="auto" w:sz="4" w:space="0"/>
              <w:right w:val="single" w:color="000000" w:sz="4" w:space="0"/>
            </w:tcBorders>
            <w:noWrap w:val="0"/>
            <w:vAlign w:val="center"/>
          </w:tcPr>
          <w:p w14:paraId="5F0301D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需要补充的其他内容</w:t>
            </w:r>
          </w:p>
        </w:tc>
        <w:tc>
          <w:tcPr>
            <w:tcW w:w="4705" w:type="dxa"/>
            <w:gridSpan w:val="2"/>
            <w:tcBorders>
              <w:top w:val="single" w:color="000000" w:sz="4" w:space="0"/>
              <w:left w:val="single" w:color="000000" w:sz="4" w:space="0"/>
              <w:bottom w:val="single" w:color="auto" w:sz="4" w:space="0"/>
              <w:right w:val="single" w:color="000000" w:sz="4" w:space="0"/>
            </w:tcBorders>
            <w:noWrap w:val="0"/>
            <w:vAlign w:val="center"/>
          </w:tcPr>
          <w:p w14:paraId="1B8C82A5">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补充的内容</w:t>
            </w:r>
          </w:p>
        </w:tc>
      </w:tr>
      <w:tr w14:paraId="17EAC4D7">
        <w:tblPrEx>
          <w:tblCellMar>
            <w:top w:w="0" w:type="dxa"/>
            <w:left w:w="108" w:type="dxa"/>
            <w:bottom w:w="49" w:type="dxa"/>
            <w:right w:w="115" w:type="dxa"/>
          </w:tblCellMar>
        </w:tblPrEx>
        <w:trPr>
          <w:trHeight w:val="524"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1697BCC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bookmarkStart w:id="14" w:name="_Hlk507195901"/>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w:t>
            </w:r>
          </w:p>
        </w:tc>
        <w:tc>
          <w:tcPr>
            <w:tcW w:w="2932" w:type="dxa"/>
            <w:tcBorders>
              <w:top w:val="single" w:color="auto" w:sz="4" w:space="0"/>
              <w:left w:val="single" w:color="auto" w:sz="4" w:space="0"/>
              <w:bottom w:val="single" w:color="auto" w:sz="4" w:space="0"/>
              <w:right w:val="single" w:color="auto" w:sz="4" w:space="0"/>
            </w:tcBorders>
            <w:noWrap w:val="0"/>
            <w:vAlign w:val="center"/>
          </w:tcPr>
          <w:p w14:paraId="4298E591">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w:t>
            </w:r>
          </w:p>
        </w:tc>
        <w:tc>
          <w:tcPr>
            <w:tcW w:w="4705" w:type="dxa"/>
            <w:gridSpan w:val="2"/>
            <w:tcBorders>
              <w:top w:val="single" w:color="auto" w:sz="4" w:space="0"/>
              <w:left w:val="single" w:color="auto" w:sz="4" w:space="0"/>
              <w:bottom w:val="single" w:color="auto" w:sz="4" w:space="0"/>
              <w:right w:val="single" w:color="auto" w:sz="4" w:space="0"/>
            </w:tcBorders>
            <w:noWrap w:val="0"/>
            <w:vAlign w:val="center"/>
          </w:tcPr>
          <w:p w14:paraId="188D2CB2">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须提供中标通知书或合同</w:t>
            </w:r>
          </w:p>
        </w:tc>
      </w:tr>
      <w:tr w14:paraId="55244DF2">
        <w:tblPrEx>
          <w:tblCellMar>
            <w:top w:w="0" w:type="dxa"/>
            <w:left w:w="108" w:type="dxa"/>
            <w:bottom w:w="49" w:type="dxa"/>
            <w:right w:w="115" w:type="dxa"/>
          </w:tblCellMar>
        </w:tblPrEx>
        <w:trPr>
          <w:trHeight w:val="8661"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7F13E893">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9.2</w:t>
            </w:r>
          </w:p>
        </w:tc>
        <w:tc>
          <w:tcPr>
            <w:tcW w:w="2932" w:type="dxa"/>
            <w:tcBorders>
              <w:top w:val="single" w:color="auto" w:sz="4" w:space="0"/>
              <w:left w:val="single" w:color="auto" w:sz="4" w:space="0"/>
              <w:bottom w:val="single" w:color="auto" w:sz="4" w:space="0"/>
              <w:right w:val="single" w:color="auto" w:sz="4" w:space="0"/>
            </w:tcBorders>
            <w:noWrap w:val="0"/>
            <w:vAlign w:val="center"/>
          </w:tcPr>
          <w:p w14:paraId="5B9EB851">
            <w:pPr>
              <w:pageBreakBefore w:val="0"/>
              <w:kinsoku/>
              <w:overflowPunct/>
              <w:topLinePunct w:val="0"/>
              <w:bidi w:val="0"/>
              <w:adjustRightInd w:val="0"/>
              <w:snapToGrid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4705" w:type="dxa"/>
            <w:gridSpan w:val="2"/>
            <w:tcBorders>
              <w:top w:val="single" w:color="auto" w:sz="4" w:space="0"/>
              <w:left w:val="single" w:color="auto" w:sz="4" w:space="0"/>
              <w:bottom w:val="single" w:color="auto" w:sz="4" w:space="0"/>
              <w:right w:val="single" w:color="auto" w:sz="4" w:space="0"/>
            </w:tcBorders>
            <w:noWrap w:val="0"/>
            <w:vAlign w:val="center"/>
          </w:tcPr>
          <w:p w14:paraId="55474883">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保证金形式：☑保函☑电汇☑对公转账 (必须从供应商基本账户转出)</w:t>
            </w:r>
            <w:r>
              <w:rPr>
                <w:rFonts w:hint="eastAsia" w:ascii="宋体" w:hAnsi="宋体" w:eastAsia="宋体" w:cs="宋体"/>
                <w:b/>
                <w:bCs w:val="0"/>
                <w:color w:val="auto"/>
                <w:sz w:val="24"/>
                <w:szCs w:val="24"/>
                <w:highlight w:val="none"/>
                <w:lang w:val="en-US" w:eastAsia="zh-CN"/>
              </w:rPr>
              <w:t>本项目无需换取保证金收据</w:t>
            </w:r>
          </w:p>
          <w:p w14:paraId="1BF05790">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金额（小写</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50000.00元 （大写：伍万元整）</w:t>
            </w:r>
          </w:p>
          <w:p w14:paraId="7B4780EA">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开户名称：新疆德鸿项目管理咨询有限公司疏附县分公</w:t>
            </w:r>
            <w:r>
              <w:rPr>
                <w:rFonts w:hint="eastAsia" w:ascii="宋体" w:hAnsi="宋体" w:eastAsia="宋体" w:cs="宋体"/>
                <w:bCs/>
                <w:color w:val="auto"/>
                <w:sz w:val="24"/>
                <w:szCs w:val="24"/>
                <w:highlight w:val="none"/>
                <w:lang w:val="en-US" w:eastAsia="zh-CN"/>
              </w:rPr>
              <w:t>司</w:t>
            </w:r>
          </w:p>
          <w:p w14:paraId="25AE5132">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开户行：疏附县农村信用合作联社</w:t>
            </w:r>
          </w:p>
          <w:p w14:paraId="63F6153F">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账号：862010012010114616888</w:t>
            </w:r>
          </w:p>
          <w:p w14:paraId="755AB43D">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注：到账截止时间：2025年01月05日 23:59（北京时间）</w:t>
            </w:r>
          </w:p>
          <w:p w14:paraId="385FAC66">
            <w:pPr>
              <w:pStyle w:val="39"/>
              <w:spacing w:before="53" w:line="255" w:lineRule="auto"/>
              <w:ind w:left="34" w:firstLine="7"/>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保证金截止时间：</w:t>
            </w:r>
            <w:r>
              <w:rPr>
                <w:rFonts w:hint="eastAsia" w:ascii="宋体" w:hAnsi="宋体" w:eastAsia="宋体" w:cs="宋体"/>
                <w:color w:val="auto"/>
                <w:spacing w:val="-4"/>
                <w:sz w:val="24"/>
                <w:szCs w:val="24"/>
                <w:highlight w:val="none"/>
                <w:lang w:eastAsia="zh-CN"/>
              </w:rPr>
              <w:t>响应</w:t>
            </w:r>
            <w:r>
              <w:rPr>
                <w:rFonts w:hint="eastAsia" w:ascii="宋体" w:hAnsi="宋体" w:eastAsia="宋体" w:cs="宋体"/>
                <w:color w:val="auto"/>
                <w:spacing w:val="-4"/>
                <w:sz w:val="24"/>
                <w:szCs w:val="24"/>
                <w:highlight w:val="none"/>
              </w:rPr>
              <w:t>截止时间前（以到账时间为准，节假日除外）</w:t>
            </w:r>
            <w:r>
              <w:rPr>
                <w:rFonts w:hint="eastAsia" w:ascii="宋体" w:hAnsi="宋体" w:eastAsia="宋体" w:cs="宋体"/>
                <w:color w:val="auto"/>
                <w:spacing w:val="-5"/>
                <w:sz w:val="24"/>
                <w:szCs w:val="24"/>
                <w:highlight w:val="none"/>
              </w:rPr>
              <w:t>；</w:t>
            </w:r>
          </w:p>
          <w:p w14:paraId="2FE0E477">
            <w:pPr>
              <w:pStyle w:val="39"/>
              <w:spacing w:before="53" w:line="255" w:lineRule="auto"/>
              <w:ind w:left="34" w:firstLine="7"/>
              <w:rPr>
                <w:rFonts w:hint="eastAsia" w:ascii="宋体" w:hAnsi="宋体" w:eastAsia="宋体" w:cs="宋体"/>
                <w:color w:val="auto"/>
                <w:spacing w:val="-2"/>
                <w:sz w:val="24"/>
                <w:szCs w:val="24"/>
                <w:highlight w:val="none"/>
              </w:rPr>
            </w:pPr>
            <w:r>
              <w:rPr>
                <w:rFonts w:hint="eastAsia" w:ascii="宋体" w:hAnsi="宋体" w:eastAsia="宋体" w:cs="宋体"/>
                <w:color w:val="auto"/>
                <w:spacing w:val="-5"/>
                <w:sz w:val="24"/>
                <w:szCs w:val="24"/>
                <w:highlight w:val="none"/>
              </w:rPr>
              <w:t>注：1、转账或电汇形式：</w:t>
            </w:r>
            <w:r>
              <w:rPr>
                <w:rFonts w:hint="eastAsia" w:ascii="宋体" w:hAnsi="宋体" w:eastAsia="宋体" w:cs="宋体"/>
                <w:color w:val="auto"/>
                <w:spacing w:val="-5"/>
                <w:sz w:val="24"/>
                <w:szCs w:val="24"/>
                <w:highlight w:val="none"/>
                <w:lang w:eastAsia="zh-CN"/>
              </w:rPr>
              <w:t>响应</w:t>
            </w:r>
            <w:r>
              <w:rPr>
                <w:rFonts w:hint="eastAsia" w:ascii="宋体" w:hAnsi="宋体" w:eastAsia="宋体" w:cs="宋体"/>
                <w:color w:val="auto"/>
                <w:spacing w:val="-5"/>
                <w:sz w:val="24"/>
                <w:szCs w:val="24"/>
                <w:highlight w:val="none"/>
              </w:rPr>
              <w:t>保证金须从</w:t>
            </w:r>
            <w:r>
              <w:rPr>
                <w:rFonts w:hint="eastAsia" w:ascii="宋体" w:hAnsi="宋体" w:eastAsia="宋体" w:cs="宋体"/>
                <w:color w:val="auto"/>
                <w:spacing w:val="-5"/>
                <w:sz w:val="24"/>
                <w:szCs w:val="24"/>
                <w:highlight w:val="none"/>
                <w:lang w:eastAsia="zh-CN"/>
              </w:rPr>
              <w:t>供应商</w:t>
            </w:r>
            <w:r>
              <w:rPr>
                <w:rFonts w:hint="eastAsia" w:ascii="宋体" w:hAnsi="宋体" w:eastAsia="宋体" w:cs="宋体"/>
                <w:color w:val="auto"/>
                <w:spacing w:val="-5"/>
                <w:sz w:val="24"/>
                <w:szCs w:val="24"/>
                <w:highlight w:val="none"/>
              </w:rPr>
              <w:t>基本帐</w:t>
            </w:r>
            <w:r>
              <w:rPr>
                <w:rFonts w:hint="eastAsia" w:ascii="宋体" w:hAnsi="宋体" w:eastAsia="宋体" w:cs="宋体"/>
                <w:color w:val="auto"/>
                <w:spacing w:val="-6"/>
                <w:sz w:val="24"/>
                <w:szCs w:val="24"/>
                <w:highlight w:val="none"/>
              </w:rPr>
              <w:t>户一次性转入指定账户，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在</w:t>
            </w:r>
            <w:r>
              <w:rPr>
                <w:rFonts w:hint="eastAsia" w:ascii="宋体" w:hAnsi="宋体" w:eastAsia="宋体" w:cs="宋体"/>
                <w:color w:val="auto"/>
                <w:spacing w:val="-3"/>
                <w:sz w:val="24"/>
                <w:szCs w:val="24"/>
                <w:highlight w:val="none"/>
                <w:lang w:eastAsia="zh-CN"/>
              </w:rPr>
              <w:t>响应</w:t>
            </w:r>
            <w:r>
              <w:rPr>
                <w:rFonts w:hint="eastAsia" w:ascii="宋体" w:hAnsi="宋体" w:eastAsia="宋体" w:cs="宋体"/>
                <w:color w:val="auto"/>
                <w:spacing w:val="-3"/>
                <w:sz w:val="24"/>
                <w:szCs w:val="24"/>
                <w:highlight w:val="none"/>
              </w:rPr>
              <w:t>截止时间前到达指定的帐户（以实际到账时间为准</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3"/>
                <w:sz w:val="24"/>
                <w:szCs w:val="24"/>
                <w:highlight w:val="none"/>
              </w:rPr>
              <w:t>汇款单上</w:t>
            </w:r>
            <w:r>
              <w:rPr>
                <w:rFonts w:hint="eastAsia" w:ascii="宋体" w:hAnsi="宋体" w:eastAsia="宋体" w:cs="宋体"/>
                <w:color w:val="auto"/>
                <w:spacing w:val="-4"/>
                <w:sz w:val="24"/>
                <w:szCs w:val="24"/>
                <w:highlight w:val="none"/>
              </w:rPr>
              <w:t>需注明所</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3"/>
                <w:sz w:val="24"/>
                <w:szCs w:val="24"/>
                <w:highlight w:val="none"/>
              </w:rPr>
              <w:t>投项目名称（可简写</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3"/>
                <w:sz w:val="24"/>
                <w:szCs w:val="24"/>
                <w:highlight w:val="none"/>
              </w:rPr>
              <w:t>保函形式：应在规定截止时间前开具</w:t>
            </w:r>
            <w:r>
              <w:rPr>
                <w:rFonts w:hint="eastAsia" w:ascii="宋体" w:hAnsi="宋体" w:eastAsia="宋体" w:cs="宋体"/>
                <w:color w:val="auto"/>
                <w:spacing w:val="-4"/>
                <w:sz w:val="24"/>
                <w:szCs w:val="24"/>
                <w:highlight w:val="none"/>
              </w:rPr>
              <w:t>完成并满足</w:t>
            </w:r>
            <w:r>
              <w:rPr>
                <w:rFonts w:hint="eastAsia" w:ascii="宋体" w:hAnsi="宋体" w:eastAsia="宋体" w:cs="宋体"/>
                <w:color w:val="auto"/>
                <w:spacing w:val="-4"/>
                <w:sz w:val="24"/>
                <w:szCs w:val="24"/>
                <w:highlight w:val="none"/>
                <w:lang w:eastAsia="zh-CN"/>
              </w:rPr>
              <w:t>响应</w:t>
            </w:r>
            <w:r>
              <w:rPr>
                <w:rFonts w:hint="eastAsia" w:ascii="宋体" w:hAnsi="宋体" w:eastAsia="宋体" w:cs="宋体"/>
                <w:color w:val="auto"/>
                <w:spacing w:val="-4"/>
                <w:sz w:val="24"/>
                <w:szCs w:val="24"/>
                <w:highlight w:val="none"/>
              </w:rPr>
              <w:t>有</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4"/>
                <w:sz w:val="24"/>
                <w:szCs w:val="24"/>
                <w:highlight w:val="none"/>
              </w:rPr>
              <w:t>效期等有关内容规定。到账截止时间：</w:t>
            </w:r>
            <w:r>
              <w:rPr>
                <w:rFonts w:hint="eastAsia" w:ascii="宋体" w:hAnsi="宋体" w:eastAsia="宋体" w:cs="宋体"/>
                <w:color w:val="auto"/>
                <w:spacing w:val="-4"/>
                <w:sz w:val="24"/>
                <w:szCs w:val="24"/>
                <w:highlight w:val="none"/>
                <w:lang w:eastAsia="zh-CN"/>
              </w:rPr>
              <w:t>响应</w:t>
            </w:r>
            <w:r>
              <w:rPr>
                <w:rFonts w:hint="eastAsia" w:ascii="宋体" w:hAnsi="宋体" w:eastAsia="宋体" w:cs="宋体"/>
                <w:color w:val="auto"/>
                <w:spacing w:val="-4"/>
                <w:sz w:val="24"/>
                <w:szCs w:val="24"/>
                <w:highlight w:val="none"/>
              </w:rPr>
              <w:t>截止时间前（以到账时间为准，节假</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4"/>
                <w:sz w:val="24"/>
                <w:szCs w:val="24"/>
                <w:highlight w:val="none"/>
              </w:rPr>
              <w:t>日除外）。本项目不需要换取收据，银行汇款凭证用于</w:t>
            </w:r>
            <w:r>
              <w:rPr>
                <w:rFonts w:hint="eastAsia" w:ascii="宋体" w:hAnsi="宋体" w:eastAsia="宋体" w:cs="宋体"/>
                <w:color w:val="auto"/>
                <w:spacing w:val="-4"/>
                <w:sz w:val="24"/>
                <w:szCs w:val="24"/>
                <w:highlight w:val="none"/>
                <w:lang w:eastAsia="zh-CN"/>
              </w:rPr>
              <w:t>响应</w:t>
            </w:r>
            <w:r>
              <w:rPr>
                <w:rFonts w:hint="eastAsia" w:ascii="宋体" w:hAnsi="宋体" w:eastAsia="宋体" w:cs="宋体"/>
                <w:color w:val="auto"/>
                <w:spacing w:val="-4"/>
                <w:sz w:val="24"/>
                <w:szCs w:val="24"/>
                <w:highlight w:val="none"/>
              </w:rPr>
              <w:t>保证金证明。如因</w:t>
            </w:r>
            <w:r>
              <w:rPr>
                <w:rFonts w:hint="eastAsia" w:ascii="宋体" w:hAnsi="宋体" w:eastAsia="宋体" w:cs="宋体"/>
                <w:color w:val="auto"/>
                <w:spacing w:val="-4"/>
                <w:sz w:val="24"/>
                <w:szCs w:val="24"/>
                <w:highlight w:val="none"/>
                <w:lang w:eastAsia="zh-CN"/>
              </w:rPr>
              <w:t>谈判</w:t>
            </w:r>
            <w:r>
              <w:rPr>
                <w:rFonts w:hint="eastAsia" w:ascii="宋体" w:hAnsi="宋体" w:eastAsia="宋体" w:cs="宋体"/>
                <w:color w:val="auto"/>
                <w:spacing w:val="-2"/>
                <w:sz w:val="24"/>
                <w:szCs w:val="24"/>
                <w:highlight w:val="none"/>
              </w:rPr>
              <w:t>人自身原因打款不成功的，代理公司不承担任何责任。</w:t>
            </w:r>
          </w:p>
          <w:p w14:paraId="4DCB33F5">
            <w:pPr>
              <w:pStyle w:val="39"/>
              <w:spacing w:before="53" w:line="255" w:lineRule="auto"/>
              <w:ind w:left="34" w:firstLine="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r>
              <w:rPr>
                <w:rFonts w:hint="eastAsia" w:ascii="宋体" w:hAnsi="宋体" w:eastAsia="宋体" w:cs="宋体"/>
                <w:color w:val="auto"/>
                <w:spacing w:val="-6"/>
                <w:sz w:val="24"/>
                <w:szCs w:val="24"/>
                <w:highlight w:val="none"/>
                <w:lang w:eastAsia="zh-CN"/>
              </w:rPr>
              <w:t>响应</w:t>
            </w:r>
            <w:r>
              <w:rPr>
                <w:rFonts w:hint="eastAsia" w:ascii="宋体" w:hAnsi="宋体" w:eastAsia="宋体" w:cs="宋体"/>
                <w:color w:val="auto"/>
                <w:spacing w:val="-6"/>
                <w:sz w:val="24"/>
                <w:szCs w:val="24"/>
                <w:highlight w:val="none"/>
              </w:rPr>
              <w:t>保证金的退还：</w:t>
            </w:r>
            <w:r>
              <w:rPr>
                <w:rFonts w:hint="eastAsia" w:ascii="宋体" w:hAnsi="宋体" w:eastAsia="宋体" w:cs="宋体"/>
                <w:color w:val="auto"/>
                <w:spacing w:val="-6"/>
                <w:sz w:val="24"/>
                <w:szCs w:val="24"/>
                <w:highlight w:val="none"/>
                <w:lang w:eastAsia="zh-CN"/>
              </w:rPr>
              <w:t>成交通知书</w:t>
            </w:r>
            <w:r>
              <w:rPr>
                <w:rFonts w:hint="eastAsia" w:ascii="宋体" w:hAnsi="宋体" w:eastAsia="宋体" w:cs="宋体"/>
                <w:color w:val="auto"/>
                <w:spacing w:val="-6"/>
                <w:sz w:val="24"/>
                <w:szCs w:val="24"/>
                <w:highlight w:val="none"/>
              </w:rPr>
              <w:t>发出之日起 5 个工作日内退还未</w:t>
            </w:r>
            <w:r>
              <w:rPr>
                <w:rFonts w:hint="eastAsia" w:ascii="宋体" w:hAnsi="宋体" w:eastAsia="宋体" w:cs="宋体"/>
                <w:color w:val="auto"/>
                <w:spacing w:val="-6"/>
                <w:sz w:val="24"/>
                <w:szCs w:val="24"/>
                <w:highlight w:val="none"/>
                <w:lang w:eastAsia="zh-CN"/>
              </w:rPr>
              <w:t>成交供应商</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6"/>
                <w:sz w:val="24"/>
                <w:szCs w:val="24"/>
                <w:highlight w:val="none"/>
                <w:lang w:eastAsia="zh-CN"/>
              </w:rPr>
              <w:t>响应</w:t>
            </w:r>
            <w:r>
              <w:rPr>
                <w:rFonts w:hint="eastAsia" w:ascii="宋体" w:hAnsi="宋体" w:eastAsia="宋体" w:cs="宋体"/>
                <w:color w:val="auto"/>
                <w:spacing w:val="-4"/>
                <w:sz w:val="24"/>
                <w:szCs w:val="24"/>
                <w:highlight w:val="none"/>
              </w:rPr>
              <w:t>保证金，</w:t>
            </w:r>
            <w:r>
              <w:rPr>
                <w:rFonts w:hint="eastAsia" w:ascii="宋体" w:hAnsi="宋体" w:eastAsia="宋体" w:cs="宋体"/>
                <w:color w:val="auto"/>
                <w:spacing w:val="-4"/>
                <w:sz w:val="24"/>
                <w:szCs w:val="24"/>
                <w:highlight w:val="none"/>
                <w:lang w:eastAsia="zh-CN"/>
              </w:rPr>
              <w:t>成交</w:t>
            </w:r>
            <w:r>
              <w:rPr>
                <w:rFonts w:hint="eastAsia" w:ascii="宋体" w:hAnsi="宋体" w:eastAsia="宋体" w:cs="宋体"/>
                <w:color w:val="auto"/>
                <w:spacing w:val="-4"/>
                <w:sz w:val="24"/>
                <w:szCs w:val="24"/>
                <w:highlight w:val="none"/>
              </w:rPr>
              <w:t>单位</w:t>
            </w:r>
            <w:r>
              <w:rPr>
                <w:rFonts w:hint="eastAsia" w:ascii="宋体" w:hAnsi="宋体" w:eastAsia="宋体" w:cs="宋体"/>
                <w:color w:val="auto"/>
                <w:spacing w:val="-4"/>
                <w:sz w:val="24"/>
                <w:szCs w:val="24"/>
                <w:highlight w:val="none"/>
                <w:lang w:eastAsia="zh-CN"/>
              </w:rPr>
              <w:t>响应</w:t>
            </w:r>
            <w:r>
              <w:rPr>
                <w:rFonts w:hint="eastAsia" w:ascii="宋体" w:hAnsi="宋体" w:eastAsia="宋体" w:cs="宋体"/>
                <w:color w:val="auto"/>
                <w:spacing w:val="-4"/>
                <w:sz w:val="24"/>
                <w:szCs w:val="24"/>
                <w:highlight w:val="none"/>
              </w:rPr>
              <w:t>保证金在与采购单位签订</w:t>
            </w:r>
            <w:r>
              <w:rPr>
                <w:rFonts w:hint="eastAsia" w:ascii="宋体" w:hAnsi="宋体" w:eastAsia="宋体" w:cs="宋体"/>
                <w:color w:val="auto"/>
                <w:spacing w:val="-5"/>
                <w:sz w:val="24"/>
                <w:szCs w:val="24"/>
                <w:highlight w:val="none"/>
              </w:rPr>
              <w:t>合同后，把合同扫描件和</w:t>
            </w:r>
            <w:r>
              <w:rPr>
                <w:rFonts w:hint="eastAsia" w:ascii="宋体" w:hAnsi="宋体" w:eastAsia="宋体" w:cs="宋体"/>
                <w:color w:val="auto"/>
                <w:spacing w:val="-5"/>
                <w:sz w:val="24"/>
                <w:szCs w:val="24"/>
                <w:highlight w:val="none"/>
                <w:lang w:eastAsia="zh-CN"/>
              </w:rPr>
              <w:t>响应</w:t>
            </w:r>
            <w:r>
              <w:rPr>
                <w:rFonts w:hint="eastAsia" w:ascii="宋体" w:hAnsi="宋体" w:eastAsia="宋体" w:cs="宋体"/>
                <w:color w:val="auto"/>
                <w:spacing w:val="-5"/>
                <w:sz w:val="24"/>
                <w:szCs w:val="24"/>
                <w:highlight w:val="none"/>
              </w:rPr>
              <w:t>保证金银行转账回执单发到接收</w:t>
            </w:r>
            <w:r>
              <w:rPr>
                <w:rFonts w:hint="eastAsia" w:ascii="宋体" w:hAnsi="宋体" w:eastAsia="宋体" w:cs="宋体"/>
                <w:color w:val="auto"/>
                <w:spacing w:val="-5"/>
                <w:sz w:val="24"/>
                <w:szCs w:val="24"/>
                <w:highlight w:val="none"/>
                <w:lang w:eastAsia="zh-CN"/>
              </w:rPr>
              <w:t>谈判文件</w:t>
            </w:r>
            <w:r>
              <w:rPr>
                <w:rFonts w:hint="eastAsia" w:ascii="宋体" w:hAnsi="宋体" w:eastAsia="宋体" w:cs="宋体"/>
                <w:color w:val="auto"/>
                <w:spacing w:val="-5"/>
                <w:sz w:val="24"/>
                <w:szCs w:val="24"/>
                <w:highlight w:val="none"/>
              </w:rPr>
              <w:t xml:space="preserve">邮箱 </w:t>
            </w:r>
            <w:r>
              <w:rPr>
                <w:rFonts w:hint="eastAsia" w:ascii="宋体" w:hAnsi="宋体" w:eastAsia="宋体" w:cs="宋体"/>
                <w:color w:val="auto"/>
                <w:spacing w:val="-5"/>
                <w:sz w:val="24"/>
                <w:szCs w:val="24"/>
                <w:highlight w:val="none"/>
                <w:lang w:val="en-US" w:eastAsia="zh-CN"/>
              </w:rPr>
              <w:t>1443379697</w:t>
            </w:r>
            <w:r>
              <w:rPr>
                <w:rFonts w:hint="eastAsia" w:ascii="宋体" w:hAnsi="宋体" w:eastAsia="宋体" w:cs="宋体"/>
                <w:color w:val="auto"/>
                <w:spacing w:val="-5"/>
                <w:sz w:val="24"/>
                <w:szCs w:val="24"/>
                <w:highlight w:val="none"/>
              </w:rPr>
              <w:t>@qq.com 后，5 个工</w:t>
            </w:r>
            <w:r>
              <w:rPr>
                <w:rFonts w:hint="eastAsia" w:ascii="宋体" w:hAnsi="宋体" w:eastAsia="宋体" w:cs="宋体"/>
                <w:color w:val="auto"/>
                <w:spacing w:val="-8"/>
                <w:sz w:val="24"/>
                <w:szCs w:val="24"/>
                <w:highlight w:val="none"/>
              </w:rPr>
              <w:t>作日内原账户退回。备注：保证金退款手续根据</w:t>
            </w:r>
            <w:r>
              <w:rPr>
                <w:rFonts w:hint="eastAsia" w:ascii="宋体" w:hAnsi="宋体" w:eastAsia="宋体" w:cs="宋体"/>
                <w:color w:val="auto"/>
                <w:spacing w:val="-9"/>
                <w:sz w:val="24"/>
                <w:szCs w:val="24"/>
                <w:highlight w:val="none"/>
              </w:rPr>
              <w:t>《中华人民共和国政府采购法》、《政府采购货物和服务</w:t>
            </w:r>
            <w:r>
              <w:rPr>
                <w:rFonts w:hint="eastAsia" w:ascii="宋体" w:hAnsi="宋体" w:eastAsia="宋体" w:cs="宋体"/>
                <w:color w:val="auto"/>
                <w:spacing w:val="-9"/>
                <w:sz w:val="24"/>
                <w:szCs w:val="24"/>
                <w:highlight w:val="none"/>
                <w:lang w:eastAsia="zh-CN"/>
              </w:rPr>
              <w:t>谈判响应</w:t>
            </w:r>
            <w:r>
              <w:rPr>
                <w:rFonts w:hint="eastAsia" w:ascii="宋体" w:hAnsi="宋体" w:eastAsia="宋体" w:cs="宋体"/>
                <w:color w:val="auto"/>
                <w:spacing w:val="-9"/>
                <w:sz w:val="24"/>
                <w:szCs w:val="24"/>
                <w:highlight w:val="none"/>
              </w:rPr>
              <w:t>管理办法》（中华人民共和国财政部令第 87</w:t>
            </w:r>
            <w:r>
              <w:rPr>
                <w:rFonts w:hint="eastAsia" w:ascii="宋体" w:hAnsi="宋体" w:eastAsia="宋体" w:cs="宋体"/>
                <w:color w:val="auto"/>
                <w:spacing w:val="-10"/>
                <w:sz w:val="24"/>
                <w:szCs w:val="24"/>
                <w:highlight w:val="none"/>
              </w:rPr>
              <w:t xml:space="preserve"> 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等相关文件执行。</w:t>
            </w:r>
            <w:r>
              <w:rPr>
                <w:rFonts w:hint="eastAsia" w:ascii="宋体" w:hAnsi="宋体" w:eastAsia="宋体" w:cs="宋体"/>
                <w:color w:val="auto"/>
                <w:sz w:val="24"/>
                <w:szCs w:val="24"/>
                <w:highlight w:val="none"/>
              </w:rPr>
              <w:t xml:space="preserve">  </w:t>
            </w:r>
          </w:p>
        </w:tc>
      </w:tr>
      <w:tr w14:paraId="46379CF1">
        <w:tblPrEx>
          <w:tblCellMar>
            <w:top w:w="0" w:type="dxa"/>
            <w:left w:w="108" w:type="dxa"/>
            <w:bottom w:w="49" w:type="dxa"/>
            <w:right w:w="115" w:type="dxa"/>
          </w:tblCellMar>
        </w:tblPrEx>
        <w:trPr>
          <w:trHeight w:val="820"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4B4AF7FB">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2932" w:type="dxa"/>
            <w:tcBorders>
              <w:top w:val="single" w:color="auto" w:sz="4" w:space="0"/>
              <w:left w:val="single" w:color="auto" w:sz="4" w:space="0"/>
              <w:bottom w:val="single" w:color="auto" w:sz="4" w:space="0"/>
              <w:right w:val="single" w:color="auto" w:sz="4" w:space="0"/>
            </w:tcBorders>
            <w:noWrap w:val="0"/>
            <w:vAlign w:val="center"/>
          </w:tcPr>
          <w:p w14:paraId="3D5DF6BB">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通讯联系</w:t>
            </w:r>
          </w:p>
        </w:tc>
        <w:tc>
          <w:tcPr>
            <w:tcW w:w="4705" w:type="dxa"/>
            <w:gridSpan w:val="2"/>
            <w:tcBorders>
              <w:top w:val="single" w:color="auto" w:sz="4" w:space="0"/>
              <w:left w:val="single" w:color="auto" w:sz="4" w:space="0"/>
              <w:bottom w:val="single" w:color="auto" w:sz="4" w:space="0"/>
              <w:right w:val="single" w:color="auto" w:sz="4" w:space="0"/>
            </w:tcBorders>
            <w:noWrap w:val="0"/>
            <w:vAlign w:val="center"/>
          </w:tcPr>
          <w:p w14:paraId="1A4201A7">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自提交</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之时起至评标结束止，应确保其提供的联系方式一直保持有效和畅通，以保证在招投标期间需进行往来函件或与之有关的事宜能及时发送或通知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，并能及时反馈信息。否则，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（或招标代理机构）不承担由此（提供的联系方式无效或通讯不畅）引起的一切后果。</w:t>
            </w:r>
          </w:p>
        </w:tc>
      </w:tr>
      <w:tr w14:paraId="4A15A385">
        <w:tblPrEx>
          <w:tblCellMar>
            <w:top w:w="0" w:type="dxa"/>
            <w:left w:w="108" w:type="dxa"/>
            <w:bottom w:w="49" w:type="dxa"/>
            <w:right w:w="115" w:type="dxa"/>
          </w:tblCellMar>
        </w:tblPrEx>
        <w:trPr>
          <w:trHeight w:val="480"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66EAD57D">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p>
        </w:tc>
        <w:tc>
          <w:tcPr>
            <w:tcW w:w="2932" w:type="dxa"/>
            <w:tcBorders>
              <w:top w:val="single" w:color="auto" w:sz="4" w:space="0"/>
              <w:left w:val="single" w:color="auto" w:sz="4" w:space="0"/>
              <w:bottom w:val="single" w:color="auto" w:sz="4" w:space="0"/>
              <w:right w:val="single" w:color="auto" w:sz="4" w:space="0"/>
            </w:tcBorders>
            <w:noWrap w:val="0"/>
            <w:vAlign w:val="center"/>
          </w:tcPr>
          <w:p w14:paraId="62CC4299">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应承担的费用</w:t>
            </w:r>
          </w:p>
        </w:tc>
        <w:tc>
          <w:tcPr>
            <w:tcW w:w="4705" w:type="dxa"/>
            <w:gridSpan w:val="2"/>
            <w:tcBorders>
              <w:top w:val="single" w:color="auto" w:sz="4" w:space="0"/>
              <w:left w:val="single" w:color="auto" w:sz="4" w:space="0"/>
              <w:bottom w:val="single" w:color="auto" w:sz="4" w:space="0"/>
              <w:right w:val="single" w:color="auto" w:sz="4" w:space="0"/>
            </w:tcBorders>
            <w:noWrap w:val="0"/>
            <w:vAlign w:val="center"/>
          </w:tcPr>
          <w:p w14:paraId="75C9C64B">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费用承担详见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lang w:val="en-US" w:eastAsia="zh-CN"/>
              </w:rPr>
              <w:t>总则</w:t>
            </w:r>
            <w:r>
              <w:rPr>
                <w:rFonts w:hint="eastAsia" w:ascii="宋体" w:hAnsi="宋体" w:eastAsia="宋体" w:cs="宋体"/>
                <w:color w:val="auto"/>
                <w:sz w:val="24"/>
                <w:szCs w:val="24"/>
                <w:highlight w:val="none"/>
              </w:rPr>
              <w:t>部分“第1.5.1款”</w:t>
            </w:r>
          </w:p>
        </w:tc>
      </w:tr>
      <w:tr w14:paraId="7367CBF5">
        <w:tblPrEx>
          <w:tblCellMar>
            <w:top w:w="0" w:type="dxa"/>
            <w:left w:w="108" w:type="dxa"/>
            <w:bottom w:w="49" w:type="dxa"/>
            <w:right w:w="115" w:type="dxa"/>
          </w:tblCellMar>
        </w:tblPrEx>
        <w:trPr>
          <w:trHeight w:val="480"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6F9DB8B8">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9.5</w:t>
            </w:r>
          </w:p>
        </w:tc>
        <w:tc>
          <w:tcPr>
            <w:tcW w:w="2932" w:type="dxa"/>
            <w:tcBorders>
              <w:top w:val="single" w:color="auto" w:sz="4" w:space="0"/>
              <w:left w:val="single" w:color="auto" w:sz="4" w:space="0"/>
              <w:bottom w:val="single" w:color="auto" w:sz="4" w:space="0"/>
              <w:right w:val="single" w:color="auto" w:sz="4" w:space="0"/>
            </w:tcBorders>
            <w:noWrap w:val="0"/>
            <w:vAlign w:val="center"/>
          </w:tcPr>
          <w:p w14:paraId="24BCD4B7">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评审办法</w:t>
            </w:r>
          </w:p>
        </w:tc>
        <w:tc>
          <w:tcPr>
            <w:tcW w:w="4705" w:type="dxa"/>
            <w:gridSpan w:val="2"/>
            <w:tcBorders>
              <w:top w:val="single" w:color="auto" w:sz="4" w:space="0"/>
              <w:left w:val="single" w:color="auto" w:sz="4" w:space="0"/>
              <w:bottom w:val="single" w:color="auto" w:sz="4" w:space="0"/>
              <w:right w:val="single" w:color="auto" w:sz="4" w:space="0"/>
            </w:tcBorders>
            <w:noWrap w:val="0"/>
            <w:vAlign w:val="center"/>
          </w:tcPr>
          <w:p w14:paraId="4FE80C14">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综合评分法</w:t>
            </w:r>
          </w:p>
        </w:tc>
      </w:tr>
      <w:tr w14:paraId="16587F9F">
        <w:tblPrEx>
          <w:tblCellMar>
            <w:top w:w="0" w:type="dxa"/>
            <w:left w:w="108" w:type="dxa"/>
            <w:bottom w:w="49" w:type="dxa"/>
            <w:right w:w="115" w:type="dxa"/>
          </w:tblCellMar>
        </w:tblPrEx>
        <w:trPr>
          <w:trHeight w:val="90"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734F1E90">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9.7</w:t>
            </w:r>
          </w:p>
        </w:tc>
        <w:tc>
          <w:tcPr>
            <w:tcW w:w="2932" w:type="dxa"/>
            <w:tcBorders>
              <w:top w:val="single" w:color="auto" w:sz="4" w:space="0"/>
              <w:left w:val="single" w:color="auto" w:sz="4" w:space="0"/>
              <w:bottom w:val="single" w:color="auto" w:sz="4" w:space="0"/>
              <w:right w:val="single" w:color="auto" w:sz="4" w:space="0"/>
            </w:tcBorders>
            <w:noWrap w:val="0"/>
            <w:vAlign w:val="center"/>
          </w:tcPr>
          <w:p w14:paraId="2D8756B9">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电子投标须知</w:t>
            </w:r>
          </w:p>
        </w:tc>
        <w:tc>
          <w:tcPr>
            <w:tcW w:w="4705" w:type="dxa"/>
            <w:gridSpan w:val="2"/>
            <w:tcBorders>
              <w:top w:val="single" w:color="auto" w:sz="4" w:space="0"/>
              <w:left w:val="single" w:color="auto" w:sz="4" w:space="0"/>
              <w:bottom w:val="single" w:color="auto" w:sz="4" w:space="0"/>
              <w:right w:val="single" w:color="auto" w:sz="4" w:space="0"/>
            </w:tcBorders>
            <w:noWrap w:val="0"/>
            <w:vAlign w:val="center"/>
          </w:tcPr>
          <w:p w14:paraId="52611243">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请投标单位提前自学线上开标流程；投标截止时间当天，线上开标环节，响应文件解密时长30分钟，各投标单位务必提前调试好在线参标电脑的各项配置及CA锁网上进行签到、文件解密以及操作投标，响应文件报价确认签字时间为10分钟，超过时间视为报价无疑义。</w:t>
            </w:r>
          </w:p>
          <w:p w14:paraId="3341D1B5">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2.招标文件中采购清单、技术需求等如有偏差，如有疑义请澄清中及时提出；否则视为充分理解招标文件各项要求。</w:t>
            </w:r>
          </w:p>
          <w:p w14:paraId="2D553FAA">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采用政府采购云平台线上招标、投标，请各潜在投标单位及时办理CA锁和学习政府采购云平台线上投标相关知识。请在政府采购云平台登录后，进行下载招标文件，投标单位获取招标文件后及时关注云平台答疑文件获取栏目，具体相关事宜见政府采购云平台。本项目采用资格后审，请投标单位仔细阅读招标文件的各项要求，制作响应文件，并准备相关资料，若投标单位未按招标文件规定的时间和地点递交响应文件、资格条件不符或提供资料不全等原因导致投标失败，则由投标单位自行承担由此而引起的所有不利后果。</w:t>
            </w:r>
          </w:p>
          <w:p w14:paraId="7AF714F3">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招标文件中如有内容冲突的地方，以投标须知要求为准。</w:t>
            </w:r>
          </w:p>
        </w:tc>
      </w:tr>
      <w:tr w14:paraId="6A7CD777">
        <w:tblPrEx>
          <w:tblCellMar>
            <w:top w:w="0" w:type="dxa"/>
            <w:left w:w="108" w:type="dxa"/>
            <w:bottom w:w="49" w:type="dxa"/>
            <w:right w:w="115" w:type="dxa"/>
          </w:tblCellMar>
        </w:tblPrEx>
        <w:trPr>
          <w:trHeight w:val="1899"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1B9F155C">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9.8</w:t>
            </w:r>
          </w:p>
        </w:tc>
        <w:tc>
          <w:tcPr>
            <w:tcW w:w="2932" w:type="dxa"/>
            <w:tcBorders>
              <w:top w:val="single" w:color="auto" w:sz="4" w:space="0"/>
              <w:left w:val="single" w:color="auto" w:sz="4" w:space="0"/>
              <w:bottom w:val="single" w:color="auto" w:sz="4" w:space="0"/>
              <w:right w:val="single" w:color="auto" w:sz="4" w:space="0"/>
            </w:tcBorders>
            <w:noWrap w:val="0"/>
            <w:vAlign w:val="center"/>
          </w:tcPr>
          <w:p w14:paraId="5AA8ECCA">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c>
          <w:tcPr>
            <w:tcW w:w="4705" w:type="dxa"/>
            <w:gridSpan w:val="2"/>
            <w:tcBorders>
              <w:top w:val="single" w:color="auto" w:sz="4" w:space="0"/>
              <w:left w:val="single" w:color="auto" w:sz="4" w:space="0"/>
              <w:bottom w:val="single" w:color="auto" w:sz="4" w:space="0"/>
              <w:right w:val="single" w:color="auto" w:sz="4" w:space="0"/>
            </w:tcBorders>
            <w:noWrap w:val="0"/>
            <w:vAlign w:val="center"/>
          </w:tcPr>
          <w:p w14:paraId="6EAA2F89">
            <w:pPr>
              <w:spacing w:line="240" w:lineRule="atLeas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是否为专门面向中小企业采购：是（是、否）</w:t>
            </w:r>
          </w:p>
          <w:p w14:paraId="1EF94040">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highlight w:val="none"/>
              </w:rPr>
              <w:t>潜在</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属于中小微企业的，请在响应文件中提供“中小企业声明函”，如果未提供或提供虛假的“中小企业声明函”，投标企业将承担由此造成的一切不利后果。</w:t>
            </w:r>
            <w:r>
              <w:rPr>
                <w:rFonts w:hint="eastAsia" w:ascii="宋体" w:hAnsi="宋体" w:eastAsia="宋体" w:cs="宋体"/>
                <w:b/>
                <w:bCs/>
                <w:color w:val="auto"/>
                <w:sz w:val="24"/>
                <w:highlight w:val="none"/>
                <w:lang w:val="en-US" w:eastAsia="zh-CN"/>
              </w:rPr>
              <w:t>本项目所属行业：建筑业</w:t>
            </w:r>
          </w:p>
        </w:tc>
      </w:tr>
      <w:bookmarkEnd w:id="14"/>
    </w:tbl>
    <w:p w14:paraId="589C8D68">
      <w:pPr>
        <w:pageBreakBefore w:val="0"/>
        <w:kinsoku/>
        <w:overflowPunct/>
        <w:topLinePunct w:val="0"/>
        <w:bidi w:val="0"/>
        <w:spacing w:beforeAutospacing="0" w:after="0" w:afterAutospacing="0" w:line="240" w:lineRule="auto"/>
        <w:ind w:left="0" w:leftChars="0" w:right="0"/>
        <w:jc w:val="center"/>
        <w:textAlignment w:val="auto"/>
        <w:outlineLvl w:val="9"/>
        <w:rPr>
          <w:rFonts w:hint="eastAsia" w:ascii="宋体" w:hAnsi="宋体" w:eastAsia="宋体" w:cs="宋体"/>
          <w:b/>
          <w:color w:val="auto"/>
          <w:sz w:val="24"/>
          <w:szCs w:val="24"/>
          <w:highlight w:val="none"/>
        </w:rPr>
      </w:pPr>
    </w:p>
    <w:p w14:paraId="5DA781B3">
      <w:pPr>
        <w:pageBreakBefore w:val="0"/>
        <w:kinsoku/>
        <w:overflowPunct/>
        <w:topLinePunct w:val="0"/>
        <w:bidi w:val="0"/>
        <w:spacing w:beforeAutospacing="0" w:after="0" w:afterAutospacing="0" w:line="240" w:lineRule="auto"/>
        <w:ind w:left="0" w:leftChars="0" w:right="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bookmarkStart w:id="15" w:name="_Toc30282"/>
      <w:r>
        <w:rPr>
          <w:rFonts w:hint="eastAsia" w:ascii="宋体" w:hAnsi="宋体" w:eastAsia="宋体" w:cs="宋体"/>
          <w:b/>
          <w:color w:val="auto"/>
          <w:sz w:val="24"/>
          <w:szCs w:val="24"/>
          <w:highlight w:val="none"/>
        </w:rPr>
        <w:t>1. 总则</w:t>
      </w:r>
      <w:bookmarkEnd w:id="15"/>
    </w:p>
    <w:p w14:paraId="44ABF550">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16" w:name="_Toc17180"/>
      <w:r>
        <w:rPr>
          <w:rFonts w:hint="eastAsia" w:ascii="宋体" w:hAnsi="宋体" w:eastAsia="宋体" w:cs="宋体"/>
          <w:b/>
          <w:color w:val="auto"/>
          <w:sz w:val="24"/>
          <w:szCs w:val="24"/>
          <w:highlight w:val="none"/>
        </w:rPr>
        <w:t>1.1 招标项目概况</w:t>
      </w:r>
      <w:bookmarkEnd w:id="16"/>
    </w:p>
    <w:p w14:paraId="419E3AD0">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CC10D4D">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招标代理机构：见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7C86AC0A">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招标项目名称：见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AAA418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项目建设地点：见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7B4C9FF8">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项目建设规模：见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5C08DE5">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项目投资估算：见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58B5E81">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17" w:name="_Toc13311"/>
      <w:r>
        <w:rPr>
          <w:rFonts w:hint="eastAsia" w:ascii="宋体" w:hAnsi="宋体" w:eastAsia="宋体" w:cs="宋体"/>
          <w:b/>
          <w:color w:val="auto"/>
          <w:sz w:val="24"/>
          <w:szCs w:val="24"/>
          <w:highlight w:val="none"/>
        </w:rPr>
        <w:t>1.2 招标项目的资金来源和落实情况</w:t>
      </w:r>
      <w:bookmarkEnd w:id="17"/>
    </w:p>
    <w:p w14:paraId="4EC0C63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资金来源及比例：见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B4CE3F4">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资金落实情况：见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749C73A">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18" w:name="_Toc1150"/>
      <w:r>
        <w:rPr>
          <w:rFonts w:hint="eastAsia" w:ascii="宋体" w:hAnsi="宋体" w:eastAsia="宋体" w:cs="宋体"/>
          <w:b/>
          <w:color w:val="auto"/>
          <w:sz w:val="24"/>
          <w:szCs w:val="24"/>
          <w:highlight w:val="none"/>
        </w:rPr>
        <w:t>1.3 招标范围、</w:t>
      </w:r>
      <w:r>
        <w:rPr>
          <w:rFonts w:hint="eastAsia" w:ascii="宋体" w:hAnsi="宋体" w:eastAsia="宋体" w:cs="宋体"/>
          <w:b/>
          <w:color w:val="auto"/>
          <w:sz w:val="24"/>
          <w:szCs w:val="24"/>
          <w:highlight w:val="none"/>
          <w:lang w:val="en-US" w:eastAsia="zh-CN"/>
        </w:rPr>
        <w:t>工期要求</w:t>
      </w:r>
      <w:r>
        <w:rPr>
          <w:rFonts w:hint="eastAsia" w:ascii="宋体" w:hAnsi="宋体" w:eastAsia="宋体" w:cs="宋体"/>
          <w:b/>
          <w:color w:val="auto"/>
          <w:sz w:val="24"/>
          <w:szCs w:val="24"/>
          <w:highlight w:val="none"/>
        </w:rPr>
        <w:t>和质量标准</w:t>
      </w:r>
      <w:bookmarkEnd w:id="18"/>
    </w:p>
    <w:p w14:paraId="4A9507E0">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招标范围：见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B8BA2A6">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1.3.2 </w:t>
      </w:r>
      <w:r>
        <w:rPr>
          <w:rFonts w:hint="eastAsia" w:ascii="宋体" w:hAnsi="宋体" w:eastAsia="宋体" w:cs="宋体"/>
          <w:color w:val="auto"/>
          <w:sz w:val="24"/>
          <w:szCs w:val="24"/>
          <w:highlight w:val="none"/>
          <w:lang w:val="en-US" w:eastAsia="zh-CN"/>
        </w:rPr>
        <w:t>工期要求</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7F10A12">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质量标准：见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2C3D6E6">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19" w:name="_Toc28158"/>
      <w:r>
        <w:rPr>
          <w:rFonts w:hint="eastAsia" w:ascii="宋体" w:hAnsi="宋体" w:eastAsia="宋体" w:cs="宋体"/>
          <w:b/>
          <w:color w:val="auto"/>
          <w:sz w:val="24"/>
          <w:szCs w:val="24"/>
          <w:highlight w:val="none"/>
        </w:rPr>
        <w:t xml:space="preserve">1.4 </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资格要求</w:t>
      </w:r>
      <w:bookmarkEnd w:id="19"/>
    </w:p>
    <w:p w14:paraId="30ED33D4">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应具备承担本招标项目资质条件、能力和信誉：见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91AE76E">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需要提交的相关证明材料见本章第 3.5 款的规定。</w:t>
      </w:r>
    </w:p>
    <w:p w14:paraId="71A2D43C">
      <w:pPr>
        <w:pageBreakBefore w:val="0"/>
        <w:kinsoku/>
        <w:overflowPunct/>
        <w:topLinePunct w:val="0"/>
        <w:bidi w:val="0"/>
        <w:spacing w:beforeAutospacing="0" w:after="0" w:afterAutospacing="0" w:line="240" w:lineRule="auto"/>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须知前附表规定接受联合体投标的，联合体除应符合本章第 1.4.1 项和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须知前附表的要求外，还应遵守以下规定：</w:t>
      </w:r>
    </w:p>
    <w:p w14:paraId="7B7866C8">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（1）联合体各方应按竞争性磋商提供的格式签订联合体协议书，明确联合体牵头人和各方权利义务，并承诺就中标项目向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承担连带责任；</w:t>
      </w:r>
    </w:p>
    <w:p w14:paraId="4319556E">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（2）由同一专业的单位组成的联合体，按照资质等级较低的单位确定资质等级；</w:t>
      </w:r>
    </w:p>
    <w:p w14:paraId="7E01E5FF">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（3）联合体各方不得再以自己名义单独或参加其他联合体在本招标项目中投标，否则各相关投标均无效。</w:t>
      </w:r>
    </w:p>
    <w:p w14:paraId="6623CE9B">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（4）本项目不接受联合体投标。</w:t>
      </w:r>
    </w:p>
    <w:p w14:paraId="1BD8629F">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不得存在下列情形之一：</w:t>
      </w:r>
    </w:p>
    <w:p w14:paraId="66F86709">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不具有独立法人资格的附属机构（单位）；</w:t>
      </w:r>
    </w:p>
    <w:p w14:paraId="25C33B12">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存在利害关系且可能影响招标公正性；</w:t>
      </w:r>
    </w:p>
    <w:p w14:paraId="45F0C92C">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（3）与本招标项目的其他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为同一个单位负责人；</w:t>
      </w:r>
    </w:p>
    <w:p w14:paraId="22B60F99">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（4）与本招标项目的其他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存在控股、管理关系；</w:t>
      </w:r>
    </w:p>
    <w:p w14:paraId="5A635211">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（5）为本招标项目的代建人；</w:t>
      </w:r>
    </w:p>
    <w:p w14:paraId="7B1D9206">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（6）为本招标项目的招标代理机构；</w:t>
      </w:r>
    </w:p>
    <w:p w14:paraId="37A3774E">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（7）与本招标项目的代建人或招标代理机构同为一个法定代表人；</w:t>
      </w:r>
    </w:p>
    <w:p w14:paraId="6931F2CA">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（8）与本招标项目的代建人或招标代理机构存在控股或参股关系；</w:t>
      </w:r>
    </w:p>
    <w:p w14:paraId="0FCB42F4">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（9）被依法暂停或者取消投标资格；</w:t>
      </w:r>
    </w:p>
    <w:p w14:paraId="68E39826">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（10）被责令停产停业、暂扣或者吊销许可证、暂扣或者吊销执照；</w:t>
      </w:r>
    </w:p>
    <w:p w14:paraId="40A353B1">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（11）进入清算程序，或被宣告破产，或其他丧失履约能力的情形；</w:t>
      </w:r>
    </w:p>
    <w:p w14:paraId="402E1997">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（12）在最近三年内发生重大质量问题（以相关行业主管部门的行政处罚决定或司法机关出具的有关法律文书为准）；</w:t>
      </w:r>
    </w:p>
    <w:p w14:paraId="6C9E0B73">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（13）被工商行政管理机关在全国企业信用信息公示系统中列入严重违法失信企业名单；</w:t>
      </w:r>
    </w:p>
    <w:p w14:paraId="7D98E8DC">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（14）被最高人民法院在“信用中国”网站（www.creditchina.gov.cn）或各级信用信息共享平台中列入失信被执行人名单；</w:t>
      </w:r>
    </w:p>
    <w:p w14:paraId="2D67C709">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（15）在近三年内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或其法定代表人、拟委任的项目负责人有行贿犯罪行为的（以检察机关职务犯罪预防部门出具的查询结果为准）；</w:t>
      </w:r>
    </w:p>
    <w:p w14:paraId="530E7ABC">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（16）法律法规或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须知前附表规定的其他情形。</w:t>
      </w:r>
    </w:p>
    <w:p w14:paraId="03948694">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20" w:name="_Toc4919"/>
      <w:r>
        <w:rPr>
          <w:rFonts w:hint="eastAsia" w:ascii="宋体" w:hAnsi="宋体" w:eastAsia="宋体" w:cs="宋体"/>
          <w:b/>
          <w:color w:val="auto"/>
          <w:sz w:val="24"/>
          <w:szCs w:val="24"/>
          <w:highlight w:val="none"/>
        </w:rPr>
        <w:t>1.5 费用承担</w:t>
      </w:r>
      <w:bookmarkEnd w:id="20"/>
    </w:p>
    <w:p w14:paraId="24E619E7">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为准备和参加投标活动所发生的一切费用均由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自行承担，包括（但不限于）：按照自治区发改委新发改医价[2012]832 号文规定向提供场地、设施及服务的交易场经营机构交纳场地及设施服务费；一旦中标还应承担：招标代理费等，计取后分摊至各分项报价并计入投标总报价中，但不得单独列项。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的同时视为同意承担上述费用，否则，将被视为自动放弃中标结果，其投标保证金将不予退还。敬请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注意！。</w:t>
      </w:r>
    </w:p>
    <w:p w14:paraId="1B6E31F3">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21" w:name="_Toc26194"/>
      <w:r>
        <w:rPr>
          <w:rFonts w:hint="eastAsia" w:ascii="宋体" w:hAnsi="宋体" w:eastAsia="宋体" w:cs="宋体"/>
          <w:b/>
          <w:color w:val="auto"/>
          <w:sz w:val="24"/>
          <w:szCs w:val="24"/>
          <w:highlight w:val="none"/>
        </w:rPr>
        <w:t>1.6 保密</w:t>
      </w:r>
      <w:bookmarkEnd w:id="21"/>
    </w:p>
    <w:p w14:paraId="27669EA1">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参与招标投标活动的各方应对竞争性磋商和</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中的商业和技术等秘密保密，否则应承担相应的法律责任。</w:t>
      </w:r>
    </w:p>
    <w:p w14:paraId="4AD1779C">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22" w:name="_Toc11492"/>
      <w:r>
        <w:rPr>
          <w:rFonts w:hint="eastAsia" w:ascii="宋体" w:hAnsi="宋体" w:eastAsia="宋体" w:cs="宋体"/>
          <w:b/>
          <w:color w:val="auto"/>
          <w:sz w:val="24"/>
          <w:szCs w:val="24"/>
          <w:highlight w:val="none"/>
        </w:rPr>
        <w:t>1.7 语言文字</w:t>
      </w:r>
      <w:bookmarkEnd w:id="22"/>
    </w:p>
    <w:p w14:paraId="5BD98C22">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使用的语言文字为中文。专用术语使用外文的，应附有中文注释。</w:t>
      </w:r>
    </w:p>
    <w:p w14:paraId="4A27461C">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23" w:name="_Toc16628"/>
      <w:r>
        <w:rPr>
          <w:rFonts w:hint="eastAsia" w:ascii="宋体" w:hAnsi="宋体" w:eastAsia="宋体" w:cs="宋体"/>
          <w:b/>
          <w:color w:val="auto"/>
          <w:sz w:val="24"/>
          <w:szCs w:val="24"/>
          <w:highlight w:val="none"/>
        </w:rPr>
        <w:t>1.8 计量单位</w:t>
      </w:r>
      <w:bookmarkEnd w:id="23"/>
    </w:p>
    <w:p w14:paraId="62D637C9">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14:paraId="010FA0EF">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24" w:name="_Toc5918"/>
      <w:r>
        <w:rPr>
          <w:rFonts w:hint="eastAsia" w:ascii="宋体" w:hAnsi="宋体" w:eastAsia="宋体" w:cs="宋体"/>
          <w:b/>
          <w:color w:val="auto"/>
          <w:sz w:val="24"/>
          <w:szCs w:val="24"/>
          <w:highlight w:val="none"/>
        </w:rPr>
        <w:t>1.9 踏勘现场</w:t>
      </w:r>
      <w:bookmarkEnd w:id="24"/>
    </w:p>
    <w:p w14:paraId="035F639D">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须知前附表规定组织踏勘现场的，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须知前附表规定的时间、地点组织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踏勘项目现场。部分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未按时参加踏勘现场的，不影响踏勘现场的正常进行。</w:t>
      </w:r>
    </w:p>
    <w:p w14:paraId="4BB1746E">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踏勘现场发生的费用自理。</w:t>
      </w:r>
    </w:p>
    <w:p w14:paraId="2FDE387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除</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的原因外，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自行负责在踏勘现场中所发生的人员伤亡和财产损失。</w:t>
      </w:r>
    </w:p>
    <w:p w14:paraId="02731C41">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1.9.4 </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在踏勘现场中介绍的工程场地和相关的周边环境情况，</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在编制</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时参考，</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据此作出的判断和决策负责。</w:t>
      </w:r>
    </w:p>
    <w:p w14:paraId="50AC5AF7">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25" w:name="_Toc16508"/>
      <w:r>
        <w:rPr>
          <w:rFonts w:hint="eastAsia" w:ascii="宋体" w:hAnsi="宋体" w:eastAsia="宋体" w:cs="宋体"/>
          <w:b/>
          <w:color w:val="auto"/>
          <w:sz w:val="24"/>
          <w:szCs w:val="24"/>
          <w:highlight w:val="none"/>
        </w:rPr>
        <w:t>1.10 投标预备会</w:t>
      </w:r>
      <w:bookmarkEnd w:id="25"/>
    </w:p>
    <w:p w14:paraId="600DF9D3">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1.10.1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须知前附表规定召开投标预备会的，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须知前附表规定的时间和地点召开投标预备会，澄清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提出的问题。</w:t>
      </w:r>
    </w:p>
    <w:p w14:paraId="6DA501C9">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1.10.2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须知前附表规定的时间和形式将提出的问题送达</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，以便</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在会议期间澄清。</w:t>
      </w:r>
    </w:p>
    <w:p w14:paraId="1E20A4F3">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 投标预备会后，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所提问题的澄清，以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须知前附表规定的形式通知所有购买竞争性磋商的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。该澄清内容为竞争性磋商的组成部分。</w:t>
      </w:r>
    </w:p>
    <w:p w14:paraId="038AA992">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26" w:name="_Toc22528"/>
      <w:r>
        <w:rPr>
          <w:rFonts w:hint="eastAsia" w:ascii="宋体" w:hAnsi="宋体" w:eastAsia="宋体" w:cs="宋体"/>
          <w:b/>
          <w:color w:val="auto"/>
          <w:sz w:val="24"/>
          <w:szCs w:val="24"/>
          <w:highlight w:val="none"/>
        </w:rPr>
        <w:t>1.11 分包</w:t>
      </w:r>
      <w:bookmarkEnd w:id="26"/>
    </w:p>
    <w:p w14:paraId="3DF63D04">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1.11.1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拟在中标后将中标项目的非主体、非关键性工作进行分包的，应符合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须知前附表规定的分包内容、分包金额和资质要求等限制性条件，除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须知前附表规定的非主体、非关键性工作外，其他工作不得分包。</w:t>
      </w:r>
    </w:p>
    <w:p w14:paraId="024A53D9">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中标人不得向他人转让中标项目，接受分包的人不得再次分包。中标人应当就分包项目向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负责，接受分包的人就分包项目承担连带责任。</w:t>
      </w:r>
    </w:p>
    <w:p w14:paraId="2892F943">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27" w:name="_Toc20751"/>
      <w:r>
        <w:rPr>
          <w:rFonts w:hint="eastAsia" w:ascii="宋体" w:hAnsi="宋体" w:eastAsia="宋体" w:cs="宋体"/>
          <w:b/>
          <w:color w:val="auto"/>
          <w:sz w:val="24"/>
          <w:szCs w:val="24"/>
          <w:highlight w:val="none"/>
        </w:rPr>
        <w:t>1.12 响应和偏差</w:t>
      </w:r>
      <w:bookmarkEnd w:id="27"/>
    </w:p>
    <w:p w14:paraId="73032382">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应当对竞争性磋商的实质性要求和条件作出满足性或更有利于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的响应，否则，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的投标将被否决。实质性要求和条件见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212A243">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应根据竞争性磋商的要求提供投标</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方案等内容以对竞争性磋商作出响应。</w:t>
      </w:r>
    </w:p>
    <w:p w14:paraId="5CBFCFA8">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须知前附表允许</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偏离竞争性磋商某些要求的，偏差应当符合竞争性磋商规定的偏差范围和幅度。</w:t>
      </w:r>
    </w:p>
    <w:p w14:paraId="50CA5D8A">
      <w:pPr>
        <w:pageBreakBefore w:val="0"/>
        <w:kinsoku/>
        <w:overflowPunct/>
        <w:topLinePunct w:val="0"/>
        <w:bidi w:val="0"/>
        <w:spacing w:beforeAutospacing="0" w:after="0" w:afterAutospacing="0" w:line="240" w:lineRule="auto"/>
        <w:ind w:left="0" w:leftChars="0" w:right="0"/>
        <w:jc w:val="center"/>
        <w:textAlignment w:val="auto"/>
        <w:outlineLvl w:val="0"/>
        <w:rPr>
          <w:rFonts w:hint="eastAsia" w:ascii="宋体" w:hAnsi="宋体" w:eastAsia="宋体" w:cs="宋体"/>
          <w:b/>
          <w:color w:val="auto"/>
          <w:sz w:val="24"/>
          <w:szCs w:val="24"/>
          <w:highlight w:val="none"/>
        </w:rPr>
      </w:pPr>
      <w:bookmarkStart w:id="28" w:name="_Toc30653"/>
      <w:r>
        <w:rPr>
          <w:rFonts w:hint="eastAsia" w:ascii="宋体" w:hAnsi="宋体" w:eastAsia="宋体" w:cs="宋体"/>
          <w:b/>
          <w:color w:val="auto"/>
          <w:sz w:val="24"/>
          <w:szCs w:val="24"/>
          <w:highlight w:val="none"/>
        </w:rPr>
        <w:t>2. 竞争性磋商文件</w:t>
      </w:r>
      <w:bookmarkEnd w:id="28"/>
    </w:p>
    <w:p w14:paraId="24D06136">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29" w:name="_Toc7187"/>
      <w:r>
        <w:rPr>
          <w:rFonts w:hint="eastAsia" w:ascii="宋体" w:hAnsi="宋体" w:eastAsia="宋体" w:cs="宋体"/>
          <w:b/>
          <w:color w:val="auto"/>
          <w:sz w:val="24"/>
          <w:szCs w:val="24"/>
          <w:highlight w:val="none"/>
        </w:rPr>
        <w:t>2.1 竞争性磋商文件的组成</w:t>
      </w:r>
      <w:bookmarkEnd w:id="29"/>
    </w:p>
    <w:p w14:paraId="15623CB5">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本竞争性磋商文件包括：</w:t>
      </w:r>
    </w:p>
    <w:p w14:paraId="61A5D0D0">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14:paraId="7D08F26A">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14:paraId="75AD31DE">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14:paraId="3887E86A">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（4）合同条款及格式；</w:t>
      </w:r>
    </w:p>
    <w:p w14:paraId="19DE3C4E">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项目采购需</w:t>
      </w:r>
      <w:r>
        <w:rPr>
          <w:rFonts w:hint="eastAsia" w:ascii="宋体" w:hAnsi="宋体" w:eastAsia="宋体" w:cs="宋体"/>
          <w:color w:val="auto"/>
          <w:sz w:val="24"/>
          <w:szCs w:val="24"/>
          <w:highlight w:val="none"/>
        </w:rPr>
        <w:t>求；</w:t>
      </w:r>
    </w:p>
    <w:p w14:paraId="63633847">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格式；</w:t>
      </w:r>
    </w:p>
    <w:p w14:paraId="117CF1A0">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须知前附表规定的其他资料。</w:t>
      </w:r>
    </w:p>
    <w:p w14:paraId="19D9FA6A">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根据本章第1.10 款、第 2.2 款和第 2.3 款对竞争性磋商所作的澄清、修改，构成竞争性磋商的组成部分。</w:t>
      </w:r>
    </w:p>
    <w:p w14:paraId="4CBD5DBB">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30" w:name="_Toc15395"/>
      <w:r>
        <w:rPr>
          <w:rFonts w:hint="eastAsia" w:ascii="宋体" w:hAnsi="宋体" w:eastAsia="宋体" w:cs="宋体"/>
          <w:b/>
          <w:color w:val="auto"/>
          <w:sz w:val="24"/>
          <w:szCs w:val="24"/>
          <w:highlight w:val="none"/>
        </w:rPr>
        <w:t>2.2 竞争性磋商文件的澄清</w:t>
      </w:r>
      <w:bookmarkEnd w:id="30"/>
    </w:p>
    <w:p w14:paraId="6BDACE3D">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应仔细阅读和检查竞争性磋商文件的全部内容。如发现缺页或附件不全，应及时向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提出，以便补齐。如有疑问，应按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须知前附表规定的时间和形式将提出的问题送达</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对竞争性磋商予以澄清。</w:t>
      </w:r>
    </w:p>
    <w:p w14:paraId="76CB4C5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竞争性磋商文件的澄清以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须知前附表规定的形式发给所有购买竞争性磋商的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，但不指明澄清问题的来源。澄清发出的时间距本章第 4.2.1 项规定的投标截止时间不足 5 日的，并且澄清内容可能影响</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编制的，将相应延长投标截止时间。</w:t>
      </w:r>
    </w:p>
    <w:p w14:paraId="1D7F07B4">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在收到澄清后，应按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须知前附表规定的时间和形式通知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，确认已收到该澄清。</w:t>
      </w:r>
    </w:p>
    <w:p w14:paraId="6C9816B5">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 除非</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认为确有必要答复，否则，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有权拒绝回复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在本章第 2.2.1 项规定的时间后的任何澄清要求。</w:t>
      </w:r>
    </w:p>
    <w:p w14:paraId="0E9213A8">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31" w:name="_Toc29232"/>
      <w:r>
        <w:rPr>
          <w:rFonts w:hint="eastAsia" w:ascii="宋体" w:hAnsi="宋体" w:eastAsia="宋体" w:cs="宋体"/>
          <w:b/>
          <w:color w:val="auto"/>
          <w:sz w:val="24"/>
          <w:szCs w:val="24"/>
          <w:highlight w:val="none"/>
        </w:rPr>
        <w:t>2.3 竞争性磋商文件的修改</w:t>
      </w:r>
      <w:bookmarkEnd w:id="31"/>
    </w:p>
    <w:p w14:paraId="23A67414">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2.3.1 </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须知前附表规定的形式修改竞争性磋商文件，并通知所有已购买竞争性磋商文件的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。修改竞争性磋商文件的时间距本章第 4.2.1 项规定的投标截止时间不足 5 日的，并且修改内容可能影响</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编制的，将相应延长投标截止时间。</w:t>
      </w:r>
    </w:p>
    <w:p w14:paraId="36BA6F26">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收到修改内容后，应按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须知前附表规定的时间和形式通知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，确认已收到该修改。</w:t>
      </w:r>
    </w:p>
    <w:p w14:paraId="6668C473">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32" w:name="_Toc5373"/>
      <w:r>
        <w:rPr>
          <w:rFonts w:hint="eastAsia" w:ascii="宋体" w:hAnsi="宋体" w:eastAsia="宋体" w:cs="宋体"/>
          <w:b/>
          <w:color w:val="auto"/>
          <w:sz w:val="24"/>
          <w:szCs w:val="24"/>
          <w:highlight w:val="none"/>
        </w:rPr>
        <w:t>2.4 竞争性磋商文件的异议</w:t>
      </w:r>
      <w:bookmarkEnd w:id="32"/>
    </w:p>
    <w:p w14:paraId="2211901E">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或者其他利害关系人对竞争性磋商文件有异议的，应当在投标截止时间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日前以书面形式提出。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将在收到异议之日起 3 日内作出答复；作出答复前，将暂停招标投标活动。</w:t>
      </w:r>
    </w:p>
    <w:p w14:paraId="7351100E">
      <w:pPr>
        <w:pageBreakBefore w:val="0"/>
        <w:kinsoku/>
        <w:overflowPunct/>
        <w:topLinePunct w:val="0"/>
        <w:bidi w:val="0"/>
        <w:spacing w:beforeAutospacing="0" w:after="0" w:afterAutospacing="0" w:line="240" w:lineRule="auto"/>
        <w:ind w:left="0" w:leftChars="0" w:right="0"/>
        <w:jc w:val="center"/>
        <w:textAlignment w:val="auto"/>
        <w:outlineLvl w:val="0"/>
        <w:rPr>
          <w:rFonts w:hint="eastAsia" w:ascii="宋体" w:hAnsi="宋体" w:eastAsia="宋体" w:cs="宋体"/>
          <w:b/>
          <w:color w:val="auto"/>
          <w:sz w:val="24"/>
          <w:szCs w:val="24"/>
          <w:highlight w:val="none"/>
          <w:lang w:eastAsia="zh-CN"/>
        </w:rPr>
      </w:pPr>
      <w:bookmarkStart w:id="33" w:name="_Toc1701"/>
      <w:r>
        <w:rPr>
          <w:rFonts w:hint="eastAsia" w:ascii="宋体" w:hAnsi="宋体" w:eastAsia="宋体" w:cs="宋体"/>
          <w:b/>
          <w:color w:val="auto"/>
          <w:sz w:val="24"/>
          <w:szCs w:val="24"/>
          <w:highlight w:val="none"/>
        </w:rPr>
        <w:t xml:space="preserve">3. </w:t>
      </w:r>
      <w:r>
        <w:rPr>
          <w:rFonts w:hint="eastAsia" w:ascii="宋体" w:hAnsi="宋体" w:eastAsia="宋体" w:cs="宋体"/>
          <w:b/>
          <w:color w:val="auto"/>
          <w:sz w:val="24"/>
          <w:szCs w:val="24"/>
          <w:highlight w:val="none"/>
          <w:lang w:eastAsia="zh-CN"/>
        </w:rPr>
        <w:t>磋商文件</w:t>
      </w:r>
      <w:bookmarkEnd w:id="33"/>
    </w:p>
    <w:p w14:paraId="202A6C13">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34" w:name="_Toc26799"/>
      <w:r>
        <w:rPr>
          <w:rFonts w:hint="eastAsia" w:ascii="宋体" w:hAnsi="宋体" w:eastAsia="宋体" w:cs="宋体"/>
          <w:b/>
          <w:color w:val="auto"/>
          <w:sz w:val="24"/>
          <w:szCs w:val="24"/>
          <w:highlight w:val="none"/>
        </w:rPr>
        <w:t xml:space="preserve">3.1 </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的组成</w:t>
      </w:r>
      <w:bookmarkEnd w:id="34"/>
    </w:p>
    <w:p w14:paraId="33F4BB4F">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3.1.1 </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应包括下列内容：</w:t>
      </w:r>
    </w:p>
    <w:p w14:paraId="6897AC04">
      <w:pPr>
        <w:spacing w:before="75" w:line="231" w:lineRule="auto"/>
        <w:outlineLvl w:val="1"/>
        <w:rPr>
          <w:rFonts w:hint="eastAsia" w:ascii="宋体" w:hAnsi="宋体" w:eastAsia="宋体" w:cs="宋体"/>
          <w:color w:val="auto"/>
          <w:highlight w:val="none"/>
        </w:rPr>
      </w:pPr>
      <w:r>
        <w:rPr>
          <w:rFonts w:hint="eastAsia" w:ascii="宋体" w:hAnsi="宋体" w:eastAsia="宋体" w:cs="宋体"/>
          <w:b/>
          <w:bCs/>
          <w:color w:val="auto"/>
          <w:spacing w:val="6"/>
          <w:sz w:val="23"/>
          <w:szCs w:val="23"/>
          <w:highlight w:val="none"/>
        </w:rPr>
        <w:t>第一部分</w:t>
      </w:r>
      <w:r>
        <w:rPr>
          <w:rFonts w:hint="eastAsia" w:ascii="宋体" w:hAnsi="宋体" w:eastAsia="宋体" w:cs="宋体"/>
          <w:color w:val="auto"/>
          <w:spacing w:val="6"/>
          <w:sz w:val="23"/>
          <w:szCs w:val="23"/>
          <w:highlight w:val="none"/>
        </w:rPr>
        <w:t xml:space="preserve"> </w:t>
      </w:r>
      <w:r>
        <w:rPr>
          <w:rFonts w:hint="eastAsia" w:ascii="宋体" w:hAnsi="宋体" w:eastAsia="宋体" w:cs="宋体"/>
          <w:b/>
          <w:bCs/>
          <w:color w:val="auto"/>
          <w:spacing w:val="6"/>
          <w:sz w:val="23"/>
          <w:szCs w:val="23"/>
          <w:highlight w:val="none"/>
        </w:rPr>
        <w:t>开标一览表及资格证明文件</w:t>
      </w:r>
    </w:p>
    <w:p w14:paraId="4F9A943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1、开标一览表（见响应文件格式一）;</w:t>
      </w:r>
    </w:p>
    <w:p w14:paraId="584B7D5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2具有相应的营业执照副本原件扫描件（须加盖本单位章） ;</w:t>
      </w:r>
    </w:p>
    <w:p w14:paraId="55EA866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3、法定代表人授权委托书及被委托人身份证（法定代表人投标提供法定 代表人身份证明及身份证）见响应文件格式二，自然人投标的无需提供;</w:t>
      </w:r>
    </w:p>
    <w:p w14:paraId="0792652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4"/>
          <w:szCs w:val="24"/>
          <w:highlight w:val="none"/>
          <w:lang w:val="en-US" w:eastAsia="zh-CN"/>
        </w:rPr>
        <w:t>4、参与政府采购活动前3年内未被列入失信、重大税收违法案件、财政部门禁止参加政府采购活动的承诺书</w:t>
      </w:r>
      <w:r>
        <w:rPr>
          <w:rFonts w:hint="eastAsia" w:ascii="宋体" w:hAnsi="宋体" w:eastAsia="宋体" w:cs="宋体"/>
          <w:color w:val="auto"/>
          <w:spacing w:val="7"/>
          <w:sz w:val="23"/>
          <w:szCs w:val="23"/>
          <w:highlight w:val="none"/>
        </w:rPr>
        <w:t>；</w:t>
      </w:r>
    </w:p>
    <w:p w14:paraId="5727017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5、</w:t>
      </w:r>
      <w:r>
        <w:rPr>
          <w:rFonts w:hint="eastAsia" w:ascii="宋体" w:hAnsi="宋体" w:eastAsia="宋体" w:cs="宋体"/>
          <w:color w:val="auto"/>
          <w:sz w:val="24"/>
          <w:szCs w:val="24"/>
          <w:highlight w:val="none"/>
          <w:lang w:val="en-US" w:eastAsia="zh-CN"/>
        </w:rPr>
        <w:t>有依法缴纳税收和社会保障资金的良好记录；（投标单位需提供2024年1月至今任一月的税收和社保缴纳记录；税收可提供由投标单位所在地税务部门出具的“0”申报证明或无欠税证明。（原件、复印件、影印件均可，留存复印件或影印件）</w:t>
      </w:r>
      <w:r>
        <w:rPr>
          <w:rFonts w:hint="eastAsia" w:ascii="宋体" w:hAnsi="宋体" w:eastAsia="宋体" w:cs="宋体"/>
          <w:color w:val="auto"/>
          <w:spacing w:val="-5"/>
          <w:sz w:val="23"/>
          <w:szCs w:val="23"/>
          <w:highlight w:val="none"/>
        </w:rPr>
        <w:t>；</w:t>
      </w:r>
    </w:p>
    <w:p w14:paraId="3D67E86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6"/>
          <w:sz w:val="23"/>
          <w:szCs w:val="23"/>
          <w:highlight w:val="none"/>
        </w:rPr>
        <w:t>6、</w:t>
      </w:r>
      <w:r>
        <w:rPr>
          <w:rFonts w:hint="eastAsia" w:ascii="宋体" w:hAnsi="宋体" w:eastAsia="宋体" w:cs="宋体"/>
          <w:color w:val="auto"/>
          <w:sz w:val="24"/>
          <w:szCs w:val="24"/>
          <w:highlight w:val="none"/>
          <w:lang w:val="en-US" w:eastAsia="zh-CN"/>
        </w:rPr>
        <w:t>提供2022或2023年度的财务审计报告(成立不满一年的提供开标前一个月内有效银行资信证明）；</w:t>
      </w:r>
    </w:p>
    <w:p w14:paraId="09DA5F5C">
      <w:pPr>
        <w:spacing w:before="27" w:line="239" w:lineRule="auto"/>
        <w:ind w:right="65"/>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7、</w:t>
      </w:r>
      <w:r>
        <w:rPr>
          <w:rFonts w:hint="eastAsia" w:ascii="宋体" w:hAnsi="宋体" w:eastAsia="宋体" w:cs="宋体"/>
          <w:color w:val="auto"/>
          <w:sz w:val="24"/>
          <w:szCs w:val="24"/>
          <w:highlight w:val="none"/>
          <w:lang w:val="en-US" w:eastAsia="zh-CN"/>
        </w:rPr>
        <w:t>投标单位（供应商）其法人参加本次采购活动前三年内，在经营活动中没有重大违法记录的声明及对本次项目《反商业贿赂承诺书》</w:t>
      </w:r>
      <w:r>
        <w:rPr>
          <w:rFonts w:hint="eastAsia" w:ascii="宋体" w:hAnsi="宋体" w:eastAsia="宋体" w:cs="宋体"/>
          <w:color w:val="auto"/>
          <w:spacing w:val="7"/>
          <w:sz w:val="23"/>
          <w:szCs w:val="23"/>
          <w:highlight w:val="none"/>
        </w:rPr>
        <w:t>；</w:t>
      </w:r>
    </w:p>
    <w:p w14:paraId="39AB0CFD">
      <w:pPr>
        <w:spacing w:before="22" w:line="247" w:lineRule="auto"/>
        <w:ind w:right="131"/>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lang w:val="en-US" w:eastAsia="zh-CN"/>
        </w:rPr>
        <w:t>8</w:t>
      </w:r>
      <w:r>
        <w:rPr>
          <w:rFonts w:hint="eastAsia" w:ascii="宋体" w:hAnsi="宋体" w:eastAsia="宋体" w:cs="宋体"/>
          <w:color w:val="auto"/>
          <w:spacing w:val="12"/>
          <w:sz w:val="23"/>
          <w:szCs w:val="23"/>
          <w:highlight w:val="none"/>
        </w:rPr>
        <w:t>、</w:t>
      </w:r>
      <w:r>
        <w:rPr>
          <w:rFonts w:hint="eastAsia" w:ascii="宋体" w:hAnsi="宋体" w:eastAsia="宋体" w:cs="宋体"/>
          <w:color w:val="auto"/>
          <w:sz w:val="24"/>
          <w:szCs w:val="24"/>
          <w:highlight w:val="none"/>
          <w:lang w:val="en-US" w:eastAsia="zh-CN"/>
        </w:rPr>
        <w:t>信用中国”（https://www.creditchina.gov.cn/）网站列入失信被执行人和重大税收违法失信主体的、被“中国政府采购网”（http://www.ccgp.gov.cn/）网站列入政府采购严重违法失信行为记录名单（处罚期限尚未届满的）的投标人，及“国家企业信用信息公示系统”（http://www.gsxt.gov.cn/index.html）被列入经营异常名录、严重违法失信企业名单（黑名单），不得参与本项目的政府采购活动</w:t>
      </w:r>
      <w:r>
        <w:rPr>
          <w:rFonts w:hint="eastAsia" w:ascii="宋体" w:hAnsi="宋体" w:eastAsia="宋体" w:cs="宋体"/>
          <w:color w:val="auto"/>
          <w:spacing w:val="7"/>
          <w:sz w:val="23"/>
          <w:szCs w:val="23"/>
          <w:highlight w:val="none"/>
        </w:rPr>
        <w:t>。</w:t>
      </w:r>
    </w:p>
    <w:p w14:paraId="5C0128C9">
      <w:pPr>
        <w:spacing w:before="26"/>
        <w:ind w:right="13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9、资质要求：具备市政公用工程施工总承包三级及以上资质等级、有效的安全生产许可证；项目负责人具备市政公用工程二级及以上注册建造师执业资格且具有有效的安全生产考核证B证。</w:t>
      </w:r>
    </w:p>
    <w:p w14:paraId="62E42149">
      <w:pPr>
        <w:spacing w:before="26"/>
        <w:ind w:right="13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10、供应商须知资料表要求的其他资格证明文件;</w:t>
      </w:r>
    </w:p>
    <w:p w14:paraId="5B746458">
      <w:pPr>
        <w:spacing w:line="228" w:lineRule="auto"/>
        <w:rPr>
          <w:rFonts w:hint="eastAsia" w:ascii="宋体" w:hAnsi="宋体" w:eastAsia="宋体" w:cs="宋体"/>
          <w:color w:val="auto"/>
          <w:sz w:val="23"/>
          <w:szCs w:val="23"/>
          <w:highlight w:val="none"/>
        </w:rPr>
        <w:sectPr>
          <w:pgSz w:w="11906" w:h="16838"/>
          <w:pgMar w:top="1431" w:right="1785" w:bottom="1171" w:left="1785" w:header="1134" w:footer="996" w:gutter="0"/>
          <w:pgNumType w:fmt="decimal"/>
          <w:cols w:space="720" w:num="1"/>
        </w:sectPr>
      </w:pPr>
    </w:p>
    <w:p w14:paraId="13255B3C">
      <w:pPr>
        <w:spacing w:before="47" w:line="225" w:lineRule="auto"/>
        <w:ind w:left="3178"/>
        <w:outlineLvl w:val="1"/>
        <w:rPr>
          <w:rFonts w:hint="eastAsia" w:ascii="宋体" w:hAnsi="宋体" w:eastAsia="宋体" w:cs="宋体"/>
          <w:color w:val="auto"/>
          <w:highlight w:val="none"/>
        </w:rPr>
      </w:pPr>
      <w:r>
        <w:rPr>
          <w:rFonts w:hint="eastAsia" w:ascii="宋体" w:hAnsi="宋体" w:eastAsia="宋体" w:cs="宋体"/>
          <w:b/>
          <w:bCs/>
          <w:color w:val="auto"/>
          <w:spacing w:val="4"/>
          <w:sz w:val="23"/>
          <w:szCs w:val="23"/>
          <w:highlight w:val="none"/>
        </w:rPr>
        <w:t>第二部分</w:t>
      </w:r>
      <w:r>
        <w:rPr>
          <w:rFonts w:hint="eastAsia" w:ascii="宋体" w:hAnsi="宋体" w:eastAsia="宋体" w:cs="宋体"/>
          <w:color w:val="auto"/>
          <w:spacing w:val="18"/>
          <w:sz w:val="23"/>
          <w:szCs w:val="23"/>
          <w:highlight w:val="none"/>
        </w:rPr>
        <w:t xml:space="preserve">  </w:t>
      </w:r>
      <w:r>
        <w:rPr>
          <w:rFonts w:hint="eastAsia" w:ascii="宋体" w:hAnsi="宋体" w:eastAsia="宋体" w:cs="宋体"/>
          <w:b/>
          <w:bCs/>
          <w:color w:val="auto"/>
          <w:spacing w:val="4"/>
          <w:sz w:val="23"/>
          <w:szCs w:val="23"/>
          <w:highlight w:val="none"/>
        </w:rPr>
        <w:t>商务及技术文件</w:t>
      </w:r>
    </w:p>
    <w:p w14:paraId="0E2988A6">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1、磋商响应函（响应文件格式四）</w:t>
      </w:r>
    </w:p>
    <w:p w14:paraId="20E1B0C9">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2、投标分项报价表（响应文件格式五）</w:t>
      </w:r>
    </w:p>
    <w:p w14:paraId="5DADCF70">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3、建设内容说明一览表（响应文件格式六）</w:t>
      </w:r>
    </w:p>
    <w:p w14:paraId="3D73E875">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4、商务条款偏离表（响应文件格式七）</w:t>
      </w:r>
    </w:p>
    <w:p w14:paraId="0673F869">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5、技术规格偏离表（响应文件格式八）</w:t>
      </w:r>
    </w:p>
    <w:p w14:paraId="5F18A2A3">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6、符合《政府采购促进中小企业发展管理办法》、《关于政府采购支持监狱企业发展 有关问题的通知》和《三部门联合发布关于促进残疾人就业政府采购政策的通知》 价格扣减条件的供应商须提交</w:t>
      </w:r>
    </w:p>
    <w:p w14:paraId="4096C766">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中小企业声明函(工程）（响应文件格式十一）</w:t>
      </w:r>
    </w:p>
    <w:p w14:paraId="3C162C5D">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《残疾人福利性单位声明函》（响应文件格式十二）</w:t>
      </w:r>
    </w:p>
    <w:p w14:paraId="461001B8">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 磋商保证金</w:t>
      </w:r>
    </w:p>
    <w:p w14:paraId="72C3D83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7、供应商关联单位的说明（格式自拟）</w:t>
      </w:r>
    </w:p>
    <w:p w14:paraId="60AA5A82">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8、响应文件还应包括供应商须知第 10 条的所有技术</w:t>
      </w:r>
    </w:p>
    <w:p w14:paraId="3910F9FA">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9.已标价工程量清单</w:t>
      </w:r>
    </w:p>
    <w:p w14:paraId="4EE3888D">
      <w:pPr>
        <w:spacing w:before="31" w:line="225" w:lineRule="auto"/>
        <w:rPr>
          <w:rFonts w:hint="eastAsia" w:ascii="宋体" w:hAnsi="宋体" w:eastAsia="宋体" w:cs="宋体"/>
          <w:color w:val="auto"/>
          <w:sz w:val="24"/>
          <w:szCs w:val="24"/>
          <w:highlight w:val="none"/>
        </w:rPr>
      </w:pPr>
      <w:r>
        <w:rPr>
          <w:rFonts w:hint="eastAsia" w:ascii="宋体" w:hAnsi="宋体" w:eastAsia="宋体" w:cs="宋体"/>
          <w:color w:val="auto"/>
          <w:spacing w:val="7"/>
          <w:sz w:val="23"/>
          <w:szCs w:val="23"/>
          <w:highlight w:val="none"/>
          <w:lang w:val="en-US" w:eastAsia="zh-CN"/>
        </w:rPr>
        <w:t>10.最终报价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在评标过程中作出的符合法律法规和竞争性磋商规定的澄清确认，构成</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w:t>
      </w:r>
    </w:p>
    <w:p w14:paraId="6CC17F96">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3.1.2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须知前附表规定不接受联合体投标</w:t>
      </w:r>
      <w:r>
        <w:rPr>
          <w:rFonts w:hint="eastAsia" w:ascii="宋体" w:hAnsi="宋体" w:eastAsia="宋体" w:cs="宋体"/>
          <w:color w:val="auto"/>
          <w:sz w:val="24"/>
          <w:szCs w:val="24"/>
          <w:highlight w:val="none"/>
          <w:lang w:eastAsia="zh-CN"/>
        </w:rPr>
        <w:t>。</w:t>
      </w:r>
    </w:p>
    <w:p w14:paraId="0C4B325A">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须知前附表未要求提交投标保证金的，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不包括本章第 3.1.1（4）目所指的投标保证金。</w:t>
      </w:r>
    </w:p>
    <w:p w14:paraId="12058D47">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35" w:name="_Toc3581"/>
      <w:r>
        <w:rPr>
          <w:rFonts w:hint="eastAsia" w:ascii="宋体" w:hAnsi="宋体" w:eastAsia="宋体" w:cs="宋体"/>
          <w:b/>
          <w:color w:val="auto"/>
          <w:sz w:val="24"/>
          <w:szCs w:val="24"/>
          <w:highlight w:val="none"/>
        </w:rPr>
        <w:t>3.2 投标报价</w:t>
      </w:r>
      <w:bookmarkEnd w:id="35"/>
    </w:p>
    <w:p w14:paraId="693886AE">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投标报价应包括国家规定的增值税税金，除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须知前附表另有规定外，增值税税金按一般计税方法计算。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应按第六章“</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格式”的要求在投标函中进行报价并填写费用清单。</w:t>
      </w:r>
    </w:p>
    <w:p w14:paraId="39189A78">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应充分了解该项目的总体情况以及影响投标报价的其他要素进行报价。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的投标报价包括了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为完成本招标项目所需的全部费用。</w:t>
      </w:r>
    </w:p>
    <w:p w14:paraId="49C9CBA2">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本项目的报价方式见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在投标截止时间前修改投标函中的投标报价总额，应同时修改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“费用清单”中的相应报价。此修改须符合本章第 4.3 款的有关要求。</w:t>
      </w:r>
    </w:p>
    <w:p w14:paraId="5802BA21">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3.2.4 </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设有最高投标限价的，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的投标报价不得超过最高投标限价，最高投标限价在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须知前附表中载明。</w:t>
      </w:r>
    </w:p>
    <w:p w14:paraId="59D0C98F">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 投标报价的其他要求见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9369D9C">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36" w:name="_Toc10881"/>
      <w:r>
        <w:rPr>
          <w:rFonts w:hint="eastAsia" w:ascii="宋体" w:hAnsi="宋体" w:eastAsia="宋体" w:cs="宋体"/>
          <w:b/>
          <w:color w:val="auto"/>
          <w:sz w:val="24"/>
          <w:szCs w:val="24"/>
          <w:highlight w:val="none"/>
        </w:rPr>
        <w:t>3.3 投标有效期</w:t>
      </w:r>
      <w:bookmarkEnd w:id="36"/>
    </w:p>
    <w:p w14:paraId="48371D56">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须知前附表另有规定外，投标有效期为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rPr>
        <w:t>天。</w:t>
      </w:r>
    </w:p>
    <w:p w14:paraId="3C49ADC9">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在投标有效期内，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撤销</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的，应承担竞争性磋商和法律规定的责任。</w:t>
      </w:r>
    </w:p>
    <w:p w14:paraId="6A6444A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出现特殊情况需要延长投标有效期的，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以书面形式通知所有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延长投标有效期。</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应予以书面答复，同意延长的，应相应延长其投标保证金的有效期，但不得要求或被允许修改其</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拒绝延长的，其投标失效，但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有权收回其投标保证金及以现金或者支票形式递交的投标保证金的银行同期存款利息。</w:t>
      </w:r>
    </w:p>
    <w:p w14:paraId="43A3A4C0">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37" w:name="_Toc9120"/>
      <w:r>
        <w:rPr>
          <w:rFonts w:hint="eastAsia" w:ascii="宋体" w:hAnsi="宋体" w:eastAsia="宋体" w:cs="宋体"/>
          <w:b/>
          <w:color w:val="auto"/>
          <w:sz w:val="24"/>
          <w:szCs w:val="24"/>
          <w:highlight w:val="none"/>
        </w:rPr>
        <w:t xml:space="preserve">3.4 </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rPr>
        <w:t>保证金</w:t>
      </w:r>
      <w:bookmarkEnd w:id="37"/>
    </w:p>
    <w:p w14:paraId="1C07E9F8">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的同时，应按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须知前附表规定的金额、形式和第六章“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格式”规定的投标保证金格式递交投标保证金，并作为其</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的组成部分。境内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以现金或者支票形式提交的投标保证金，应当从其基本账户转出或现金并在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中附上基本账户开户证明。联合体投标的，其投标保证金可以由牵头人递交，并应符合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须知前附表的规定。</w:t>
      </w:r>
    </w:p>
    <w:p w14:paraId="602F8107">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不按本章第 3.4.1 项要求提交投标保证金的，</w:t>
      </w:r>
      <w:r>
        <w:rPr>
          <w:rFonts w:hint="eastAsia" w:ascii="宋体" w:hAnsi="宋体" w:eastAsia="宋体" w:cs="宋体"/>
          <w:b/>
          <w:color w:val="auto"/>
          <w:sz w:val="24"/>
          <w:szCs w:val="24"/>
          <w:highlight w:val="none"/>
          <w:lang w:eastAsia="zh-CN"/>
        </w:rPr>
        <w:t>磋商小组</w:t>
      </w:r>
      <w:r>
        <w:rPr>
          <w:rFonts w:hint="eastAsia" w:ascii="宋体" w:hAnsi="宋体" w:eastAsia="宋体" w:cs="宋体"/>
          <w:b/>
          <w:color w:val="auto"/>
          <w:sz w:val="24"/>
          <w:szCs w:val="24"/>
          <w:highlight w:val="none"/>
        </w:rPr>
        <w:t>将否决其投标</w:t>
      </w:r>
      <w:r>
        <w:rPr>
          <w:rFonts w:hint="eastAsia" w:ascii="宋体" w:hAnsi="宋体" w:eastAsia="宋体" w:cs="宋体"/>
          <w:color w:val="auto"/>
          <w:sz w:val="24"/>
          <w:szCs w:val="24"/>
          <w:highlight w:val="none"/>
        </w:rPr>
        <w:t>。</w:t>
      </w:r>
    </w:p>
    <w:p w14:paraId="3921B92A">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3.4.3 </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最迟将在与中标人签订合同后 5 日内，向未中标的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和中标人退还投标保证金。投标保证金以现金或者支票形式递交的，还应退还银行同期存款利息。</w:t>
      </w:r>
    </w:p>
    <w:p w14:paraId="001914FA">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 有下列情形之一的，投标保证金将不予退还：</w:t>
      </w:r>
    </w:p>
    <w:p w14:paraId="4FA21CCF">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在投标有效期内撤销</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w:t>
      </w:r>
    </w:p>
    <w:p w14:paraId="1246CF03">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（2）中标人在收到中标通知书后，无正当理由不与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订立合同，在签订合同时向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提出附加条件，或者不按照竞争性磋商要求提交履约保证金；</w:t>
      </w:r>
    </w:p>
    <w:p w14:paraId="289E63AF">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须知前附表规定的其他可以不予退还投标保证金的情形。</w:t>
      </w:r>
    </w:p>
    <w:p w14:paraId="167D6A83">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38" w:name="_Toc12402"/>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 xml:space="preserve"> 备选投标方案</w:t>
      </w:r>
      <w:bookmarkEnd w:id="38"/>
    </w:p>
    <w:p w14:paraId="4794873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 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须知前附表规定允许外，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不得递交备选投标方案，否则其投标将被否决。</w:t>
      </w:r>
    </w:p>
    <w:p w14:paraId="0DC1229F">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 允许</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递交备选投标方案的，只有中标人所递交的备选投标方案方可予以考虑。</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认为中标人的备选投标方案优于其按照竞争性磋商要求编制的投标方案的，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可以接受该备选投标方案。</w:t>
      </w:r>
    </w:p>
    <w:p w14:paraId="4165B283">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提供两个或两个以上投标报价，或者在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中提供一个报价，但同时提供两个或两个以上方案的，视为提供备选方案。</w:t>
      </w:r>
    </w:p>
    <w:p w14:paraId="671504E7">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39" w:name="_Toc13537"/>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6响应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的编制</w:t>
      </w:r>
      <w:bookmarkEnd w:id="39"/>
    </w:p>
    <w:p w14:paraId="2EDD8CCA">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应按第六章“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格式”进行编写，如有必要，可以增加附页，作为</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的组成部分。其中，投标函附录在满足竞争性磋商实质性要求的基础上，可以提出比竞争性磋商要求更有利于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的承诺。</w:t>
      </w:r>
    </w:p>
    <w:p w14:paraId="517B1E5E">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3.7.2 </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应当对竞争性磋商有关</w:t>
      </w:r>
      <w:r>
        <w:rPr>
          <w:rFonts w:hint="eastAsia" w:ascii="宋体" w:hAnsi="宋体" w:eastAsia="宋体" w:cs="宋体"/>
          <w:color w:val="auto"/>
          <w:sz w:val="24"/>
          <w:szCs w:val="24"/>
          <w:highlight w:val="none"/>
          <w:lang w:val="en-US" w:eastAsia="zh-CN"/>
        </w:rPr>
        <w:t>工期要求</w:t>
      </w:r>
      <w:r>
        <w:rPr>
          <w:rFonts w:hint="eastAsia" w:ascii="宋体" w:hAnsi="宋体" w:eastAsia="宋体" w:cs="宋体"/>
          <w:color w:val="auto"/>
          <w:sz w:val="24"/>
          <w:szCs w:val="24"/>
          <w:highlight w:val="none"/>
        </w:rPr>
        <w:t>、投标有效期、发包人要求、招标范围等实质性内容作出响应。</w:t>
      </w:r>
    </w:p>
    <w:p w14:paraId="5632F220">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应采用不褪色的材料书写或打印或复印。</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在要求签字盖章处均应加盖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单位公章，并由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的法定代表人或其委托代理人签字（不得用签名章、印签章代替），由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的法定代表人签字的，应附法定代表人身份证明，由代理人签字的，应附授权委托书，身份证明或授权委托书应符合第六章“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格式”的要求。</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应尽量避免涂改、行间插字或删除。如果出现上述情况，修改之处应加盖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单位公章或由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的法定代表人或其委托代理人签字确认。</w:t>
      </w:r>
    </w:p>
    <w:p w14:paraId="33AA0950">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40" w:name="_Hlk508129765"/>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正本一份，</w:t>
      </w:r>
      <w:bookmarkEnd w:id="40"/>
      <w:r>
        <w:rPr>
          <w:rFonts w:hint="eastAsia" w:ascii="宋体" w:hAnsi="宋体" w:eastAsia="宋体" w:cs="宋体"/>
          <w:color w:val="auto"/>
          <w:sz w:val="24"/>
          <w:szCs w:val="24"/>
          <w:highlight w:val="none"/>
        </w:rPr>
        <w:t>副本份数见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正本和副本的封面</w:t>
      </w:r>
      <w:bookmarkStart w:id="41" w:name="_Hlk532635112"/>
      <w:r>
        <w:rPr>
          <w:rFonts w:hint="eastAsia" w:ascii="宋体" w:hAnsi="宋体" w:eastAsia="宋体" w:cs="宋体"/>
          <w:color w:val="auto"/>
          <w:sz w:val="24"/>
          <w:szCs w:val="24"/>
          <w:highlight w:val="none"/>
        </w:rPr>
        <w:t>右上角上应清楚地标记“正本”或“副本”的字样</w:t>
      </w:r>
      <w:bookmarkEnd w:id="41"/>
      <w:r>
        <w:rPr>
          <w:rFonts w:hint="eastAsia" w:ascii="宋体" w:hAnsi="宋体" w:eastAsia="宋体" w:cs="宋体"/>
          <w:color w:val="auto"/>
          <w:sz w:val="24"/>
          <w:szCs w:val="24"/>
          <w:highlight w:val="none"/>
        </w:rPr>
        <w:t>。</w:t>
      </w:r>
    </w:p>
    <w:p w14:paraId="4F616EC7">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的正本与副本应分别装订，并编制目录，</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需分册装订的，具体分册装订要求见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w:t>
      </w:r>
    </w:p>
    <w:p w14:paraId="260A5B12">
      <w:pPr>
        <w:pageBreakBefore w:val="0"/>
        <w:kinsoku/>
        <w:overflowPunct/>
        <w:topLinePunct w:val="0"/>
        <w:bidi w:val="0"/>
        <w:spacing w:beforeAutospacing="0" w:after="0" w:afterAutospacing="0" w:line="240" w:lineRule="auto"/>
        <w:ind w:left="0" w:leftChars="0" w:right="0"/>
        <w:jc w:val="center"/>
        <w:textAlignment w:val="auto"/>
        <w:outlineLvl w:val="0"/>
        <w:rPr>
          <w:rFonts w:hint="eastAsia" w:ascii="宋体" w:hAnsi="宋体" w:eastAsia="宋体" w:cs="宋体"/>
          <w:b/>
          <w:color w:val="auto"/>
          <w:sz w:val="24"/>
          <w:szCs w:val="24"/>
          <w:highlight w:val="none"/>
          <w:lang w:eastAsia="zh-CN"/>
        </w:rPr>
      </w:pPr>
      <w:bookmarkStart w:id="42" w:name="_Toc11411"/>
      <w:r>
        <w:rPr>
          <w:rFonts w:hint="eastAsia" w:ascii="宋体" w:hAnsi="宋体" w:eastAsia="宋体" w:cs="宋体"/>
          <w:b/>
          <w:color w:val="auto"/>
          <w:sz w:val="24"/>
          <w:szCs w:val="24"/>
          <w:highlight w:val="none"/>
        </w:rPr>
        <w:t xml:space="preserve">4. </w:t>
      </w:r>
      <w:r>
        <w:rPr>
          <w:rFonts w:hint="eastAsia" w:ascii="宋体" w:hAnsi="宋体" w:eastAsia="宋体" w:cs="宋体"/>
          <w:b/>
          <w:color w:val="auto"/>
          <w:sz w:val="24"/>
          <w:szCs w:val="24"/>
          <w:highlight w:val="none"/>
          <w:lang w:val="en-US" w:eastAsia="zh-CN"/>
        </w:rPr>
        <w:t>磋商</w:t>
      </w:r>
      <w:bookmarkEnd w:id="42"/>
    </w:p>
    <w:p w14:paraId="7E107BC3">
      <w:pPr>
        <w:pStyle w:val="5"/>
        <w:numPr>
          <w:ilvl w:val="2"/>
          <w:numId w:val="0"/>
        </w:numPr>
        <w:spacing w:line="520" w:lineRule="exact"/>
        <w:jc w:val="both"/>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4.1 响应文件的密封和标记</w:t>
      </w:r>
    </w:p>
    <w:p w14:paraId="0C05CAC1">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4.1.1、磋商响应文件的提交</w:t>
      </w:r>
    </w:p>
    <w:p w14:paraId="13270246">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4.1.2投标人应于</w:t>
      </w:r>
      <w:r>
        <w:rPr>
          <w:rFonts w:hint="eastAsia" w:ascii="宋体" w:hAnsi="宋体" w:eastAsia="宋体" w:cs="宋体"/>
          <w:color w:val="auto"/>
          <w:sz w:val="24"/>
          <w:szCs w:val="24"/>
          <w:highlight w:val="none"/>
          <w:lang w:eastAsia="zh-CN"/>
        </w:rPr>
        <w:t>于</w:t>
      </w:r>
      <w:r>
        <w:rPr>
          <w:rFonts w:hint="eastAsia" w:ascii="宋体" w:hAnsi="宋体" w:eastAsia="宋体" w:cs="宋体"/>
          <w:i w:val="0"/>
          <w:iCs w:val="0"/>
          <w:caps w:val="0"/>
          <w:color w:val="auto"/>
          <w:spacing w:val="0"/>
          <w:kern w:val="0"/>
          <w:sz w:val="24"/>
          <w:szCs w:val="24"/>
          <w:highlight w:val="none"/>
          <w:lang w:val="en-US" w:eastAsia="zh-CN" w:bidi="ar"/>
        </w:rPr>
        <w:t>2025年01月06日 16:00</w:t>
      </w:r>
      <w:r>
        <w:rPr>
          <w:rFonts w:hint="eastAsia" w:ascii="宋体" w:hAnsi="宋体" w:eastAsia="宋体" w:cs="宋体"/>
          <w:color w:val="auto"/>
          <w:sz w:val="24"/>
          <w:szCs w:val="24"/>
          <w:highlight w:val="none"/>
          <w:lang w:eastAsia="zh-CN"/>
        </w:rPr>
        <w:t>（北京时间）时止</w:t>
      </w:r>
      <w:r>
        <w:rPr>
          <w:rFonts w:hint="eastAsia" w:ascii="宋体" w:hAnsi="宋体" w:eastAsia="宋体" w:cs="宋体"/>
          <w:color w:val="auto"/>
          <w:sz w:val="24"/>
          <w:szCs w:val="24"/>
          <w:highlight w:val="none"/>
          <w:lang w:val="en-US" w:eastAsia="zh-CN"/>
        </w:rPr>
        <w:t>整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p w14:paraId="08ECC82D">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4.1.3谈判响应人应于谈判之前将谈判响应文件递交至谈判地点（按本须知前附表所规定的地点）。</w:t>
      </w:r>
    </w:p>
    <w:p w14:paraId="69007AA4">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本项目实行网上投标，采用电子投标文件。若供应商参与投标，自行承担投标一切费用。 </w:t>
      </w:r>
    </w:p>
    <w:p w14:paraId="3CC07BE5">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各供应商应在开标前应确保成为新疆维吾尔自治区政府采购网正式注册入库供应商，并完成CA数字证书申领。因未注册入库、未办理CA数字证书等原因造成无法投标或投标失败等后果由供应商自行承担。 </w:t>
      </w:r>
    </w:p>
    <w:p w14:paraId="5686BCB1">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2AE013DF">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49481F5D">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开标时间后30分钟内供应商可以登录“政采云”平台，用“项目采购-开标评标”功能进行解密投标文件。若供应商在规定时间内（</w:t>
      </w:r>
      <w:r>
        <w:rPr>
          <w:rFonts w:hint="eastAsia" w:ascii="宋体" w:hAnsi="宋体" w:eastAsia="宋体" w:cs="宋体"/>
          <w:color w:val="auto"/>
          <w:sz w:val="24"/>
          <w:szCs w:val="24"/>
          <w:highlight w:val="none"/>
          <w:lang w:eastAsia="zh-CN"/>
        </w:rPr>
        <w:t xml:space="preserve">于2025年01月06日 </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eastAsia="zh-CN"/>
        </w:rPr>
        <w:t>16:</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0（北京时间）</w:t>
      </w:r>
      <w:r>
        <w:rPr>
          <w:rFonts w:hint="eastAsia" w:ascii="宋体" w:hAnsi="宋体" w:eastAsia="宋体" w:cs="宋体"/>
          <w:color w:val="auto"/>
          <w:sz w:val="24"/>
          <w:szCs w:val="24"/>
          <w:highlight w:val="none"/>
          <w:lang w:val="en-US" w:eastAsia="zh-CN"/>
        </w:rPr>
        <w:t>前）未按时解密的，视为投标文件撤回。</w:t>
      </w:r>
    </w:p>
    <w:p w14:paraId="0B24DB01">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43" w:name="_Toc25967"/>
      <w:r>
        <w:rPr>
          <w:rFonts w:hint="eastAsia" w:ascii="宋体" w:hAnsi="宋体" w:eastAsia="宋体" w:cs="宋体"/>
          <w:b/>
          <w:color w:val="auto"/>
          <w:sz w:val="24"/>
          <w:szCs w:val="24"/>
          <w:highlight w:val="none"/>
        </w:rPr>
        <w:t xml:space="preserve">4.2 </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的递交</w:t>
      </w:r>
      <w:bookmarkEnd w:id="43"/>
    </w:p>
    <w:p w14:paraId="23A39B0F">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4.2.1 供应商应在供应商须知前附表规定的投标截止时间前递交磋商文件。</w:t>
      </w:r>
    </w:p>
    <w:p w14:paraId="1B3FC731">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4.2.2 供应商递交磋商文件的地点：见供应商须知前附表。</w:t>
      </w:r>
    </w:p>
    <w:p w14:paraId="2AA6688A">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4.2.3 除供应商须知前附表另有规定外，供应商所递交的磋商文件不予退还。</w:t>
      </w:r>
    </w:p>
    <w:p w14:paraId="7FED7120">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4.2.4 采购人收到磋商文件后，向供应商出具签收凭证。</w:t>
      </w:r>
    </w:p>
    <w:p w14:paraId="6C2BE96A">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4.2.5 逾期送达的磋商文件，采购人将予以拒收。</w:t>
      </w:r>
    </w:p>
    <w:p w14:paraId="4823029D">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44" w:name="_Toc3634"/>
      <w:r>
        <w:rPr>
          <w:rFonts w:hint="eastAsia" w:ascii="宋体" w:hAnsi="宋体" w:eastAsia="宋体" w:cs="宋体"/>
          <w:b/>
          <w:color w:val="auto"/>
          <w:sz w:val="24"/>
          <w:szCs w:val="24"/>
          <w:highlight w:val="none"/>
        </w:rPr>
        <w:t xml:space="preserve">4.3 </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的修改与撤回</w:t>
      </w:r>
      <w:bookmarkEnd w:id="44"/>
    </w:p>
    <w:p w14:paraId="0D34CEB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4.3.1 在本章第 4.2.1 项规定的投标截止时间前，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可以修改或撤回已递交的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，但应以书面形</w:t>
      </w:r>
    </w:p>
    <w:p w14:paraId="164DC63D">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式通知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506A8672">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修改或撤回已递交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的书面通知应按照本章第 3.7.3项的要求签字或盖章。</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收到书面通知后，向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出具签收凭证。</w:t>
      </w:r>
    </w:p>
    <w:p w14:paraId="1D8EB219">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撤回</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自收到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书面撤回通知之日起5日内退还已收取的投标保证金。</w:t>
      </w:r>
    </w:p>
    <w:p w14:paraId="24DFF66E">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4.3.4 修改的内容为</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的组成部分。修改的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应按照本章第 3 条、第 4 条的规定进行编制、密封、标记和递交，并标明“修改”字样。</w:t>
      </w:r>
    </w:p>
    <w:p w14:paraId="1BA904C2">
      <w:pPr>
        <w:pageBreakBefore w:val="0"/>
        <w:kinsoku/>
        <w:overflowPunct/>
        <w:topLinePunct w:val="0"/>
        <w:bidi w:val="0"/>
        <w:spacing w:beforeAutospacing="0" w:after="0" w:afterAutospacing="0" w:line="240" w:lineRule="auto"/>
        <w:ind w:left="0" w:leftChars="0" w:right="0"/>
        <w:jc w:val="center"/>
        <w:textAlignment w:val="auto"/>
        <w:outlineLvl w:val="9"/>
        <w:rPr>
          <w:rFonts w:hint="eastAsia" w:ascii="宋体" w:hAnsi="宋体" w:eastAsia="宋体" w:cs="宋体"/>
          <w:b/>
          <w:color w:val="auto"/>
          <w:sz w:val="24"/>
          <w:szCs w:val="24"/>
          <w:highlight w:val="none"/>
        </w:rPr>
      </w:pPr>
    </w:p>
    <w:p w14:paraId="7BBF1AE8">
      <w:pPr>
        <w:pageBreakBefore w:val="0"/>
        <w:kinsoku/>
        <w:overflowPunct/>
        <w:topLinePunct w:val="0"/>
        <w:bidi w:val="0"/>
        <w:spacing w:beforeAutospacing="0" w:after="0" w:afterAutospacing="0" w:line="240" w:lineRule="auto"/>
        <w:ind w:left="0" w:leftChars="0" w:right="0"/>
        <w:jc w:val="center"/>
        <w:textAlignment w:val="auto"/>
        <w:outlineLvl w:val="0"/>
        <w:rPr>
          <w:rFonts w:hint="eastAsia" w:ascii="宋体" w:hAnsi="宋体" w:eastAsia="宋体" w:cs="宋体"/>
          <w:b/>
          <w:color w:val="auto"/>
          <w:sz w:val="24"/>
          <w:szCs w:val="24"/>
          <w:highlight w:val="none"/>
        </w:rPr>
      </w:pPr>
      <w:bookmarkStart w:id="45" w:name="_Toc16467"/>
      <w:r>
        <w:rPr>
          <w:rFonts w:hint="eastAsia" w:ascii="宋体" w:hAnsi="宋体" w:eastAsia="宋体" w:cs="宋体"/>
          <w:b/>
          <w:color w:val="auto"/>
          <w:sz w:val="24"/>
          <w:szCs w:val="24"/>
          <w:highlight w:val="none"/>
        </w:rPr>
        <w:t>5. 开标</w:t>
      </w:r>
      <w:bookmarkEnd w:id="45"/>
    </w:p>
    <w:p w14:paraId="5DEDF515">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color w:val="auto"/>
          <w:sz w:val="24"/>
          <w:szCs w:val="24"/>
          <w:highlight w:val="none"/>
        </w:rPr>
      </w:pPr>
      <w:bookmarkStart w:id="46" w:name="_Toc29022"/>
      <w:r>
        <w:rPr>
          <w:rFonts w:hint="eastAsia" w:ascii="宋体" w:hAnsi="宋体" w:eastAsia="宋体" w:cs="宋体"/>
          <w:b/>
          <w:color w:val="auto"/>
          <w:sz w:val="24"/>
          <w:szCs w:val="24"/>
          <w:highlight w:val="none"/>
        </w:rPr>
        <w:t>5.1 开标时间和地点</w:t>
      </w:r>
      <w:bookmarkEnd w:id="46"/>
    </w:p>
    <w:p w14:paraId="0B9BEF56">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在本章第 4.2.1 项规定的投标截止时间（开标时间）和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须知前附表规定的地点开标，并邀请所有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的法定代表人或其委托代理人准时参加。</w:t>
      </w:r>
    </w:p>
    <w:p w14:paraId="3358C98B">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47" w:name="_Toc25062"/>
      <w:r>
        <w:rPr>
          <w:rFonts w:hint="eastAsia" w:ascii="宋体" w:hAnsi="宋体" w:eastAsia="宋体" w:cs="宋体"/>
          <w:b/>
          <w:color w:val="auto"/>
          <w:sz w:val="24"/>
          <w:szCs w:val="24"/>
          <w:highlight w:val="none"/>
        </w:rPr>
        <w:t>5.2 开标程序</w:t>
      </w:r>
      <w:bookmarkEnd w:id="47"/>
    </w:p>
    <w:p w14:paraId="51F725FC">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lang w:val="en-US" w:eastAsia="zh-CN"/>
        </w:rPr>
      </w:pPr>
      <w:bookmarkStart w:id="48" w:name="_Toc14217"/>
      <w:r>
        <w:rPr>
          <w:rFonts w:hint="eastAsia" w:ascii="宋体" w:hAnsi="宋体" w:eastAsia="宋体" w:cs="宋体"/>
          <w:b/>
          <w:color w:val="auto"/>
          <w:sz w:val="24"/>
          <w:szCs w:val="24"/>
          <w:highlight w:val="none"/>
          <w:lang w:val="en-US" w:eastAsia="zh-CN"/>
        </w:rPr>
        <w:t>5.2.1采购代理机构按照招标文件规定的时间、地点主持开标。开标前，采购代理机构将会同监督人员或公证人员进行验标（检查网上招标系统正常与否，检查供应商报名及保证金交纳情况），确认无误后开标。开标时，各供应商应对本单位的加密的电子响应文件解密，采购代理机构工作人员在监督人员或公证人员监督下解密所有响应文件。</w:t>
      </w:r>
      <w:bookmarkEnd w:id="48"/>
    </w:p>
    <w:p w14:paraId="7C79D5AD">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lang w:val="en-US" w:eastAsia="zh-CN"/>
        </w:rPr>
      </w:pPr>
      <w:bookmarkStart w:id="49" w:name="_Toc27228"/>
      <w:r>
        <w:rPr>
          <w:rFonts w:hint="eastAsia" w:ascii="宋体" w:hAnsi="宋体" w:eastAsia="宋体" w:cs="宋体"/>
          <w:b/>
          <w:color w:val="auto"/>
          <w:sz w:val="24"/>
          <w:szCs w:val="24"/>
          <w:highlight w:val="none"/>
          <w:lang w:val="en-US" w:eastAsia="zh-CN"/>
        </w:rPr>
        <w:t>5.2.2监督人员或公证员对开标过程进行全程监督及公证。</w:t>
      </w:r>
      <w:bookmarkEnd w:id="49"/>
    </w:p>
    <w:p w14:paraId="15AA6F36">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50" w:name="_Toc31325"/>
      <w:r>
        <w:rPr>
          <w:rFonts w:hint="eastAsia" w:ascii="宋体" w:hAnsi="宋体" w:eastAsia="宋体" w:cs="宋体"/>
          <w:b/>
          <w:color w:val="auto"/>
          <w:sz w:val="24"/>
          <w:szCs w:val="24"/>
          <w:highlight w:val="none"/>
        </w:rPr>
        <w:t>5.3 开标异议</w:t>
      </w:r>
      <w:bookmarkEnd w:id="50"/>
    </w:p>
    <w:p w14:paraId="56F8D0CC">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对开标有异议的，应当在开标</w:t>
      </w:r>
      <w:r>
        <w:rPr>
          <w:rFonts w:hint="eastAsia" w:ascii="宋体" w:hAnsi="宋体" w:eastAsia="宋体" w:cs="宋体"/>
          <w:color w:val="auto"/>
          <w:sz w:val="24"/>
          <w:szCs w:val="24"/>
          <w:highlight w:val="none"/>
          <w:lang w:eastAsia="zh-CN"/>
        </w:rPr>
        <w:t>时及时</w:t>
      </w:r>
      <w:r>
        <w:rPr>
          <w:rFonts w:hint="eastAsia" w:ascii="宋体" w:hAnsi="宋体" w:eastAsia="宋体" w:cs="宋体"/>
          <w:color w:val="auto"/>
          <w:sz w:val="24"/>
          <w:szCs w:val="24"/>
          <w:highlight w:val="none"/>
        </w:rPr>
        <w:t>提出，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当场作出答复，并制作记录。</w:t>
      </w:r>
    </w:p>
    <w:p w14:paraId="4F549592">
      <w:pPr>
        <w:pageBreakBefore w:val="0"/>
        <w:kinsoku/>
        <w:overflowPunct/>
        <w:topLinePunct w:val="0"/>
        <w:bidi w:val="0"/>
        <w:spacing w:beforeAutospacing="0" w:after="0" w:afterAutospacing="0" w:line="240" w:lineRule="auto"/>
        <w:ind w:left="0" w:leftChars="0" w:right="0"/>
        <w:jc w:val="center"/>
        <w:textAlignment w:val="auto"/>
        <w:outlineLvl w:val="0"/>
        <w:rPr>
          <w:rFonts w:hint="eastAsia" w:ascii="宋体" w:hAnsi="宋体" w:eastAsia="宋体" w:cs="宋体"/>
          <w:b/>
          <w:color w:val="auto"/>
          <w:sz w:val="24"/>
          <w:szCs w:val="24"/>
          <w:highlight w:val="none"/>
        </w:rPr>
      </w:pPr>
      <w:bookmarkStart w:id="51" w:name="_Toc17888"/>
      <w:r>
        <w:rPr>
          <w:rFonts w:hint="eastAsia" w:ascii="宋体" w:hAnsi="宋体" w:eastAsia="宋体" w:cs="宋体"/>
          <w:b/>
          <w:color w:val="auto"/>
          <w:sz w:val="24"/>
          <w:szCs w:val="24"/>
          <w:highlight w:val="none"/>
        </w:rPr>
        <w:t>6. 评标</w:t>
      </w:r>
      <w:bookmarkEnd w:id="51"/>
    </w:p>
    <w:p w14:paraId="1AA5371C">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lang w:eastAsia="zh-CN"/>
        </w:rPr>
      </w:pPr>
      <w:bookmarkStart w:id="52" w:name="_Toc20980"/>
      <w:r>
        <w:rPr>
          <w:rFonts w:hint="eastAsia" w:ascii="宋体" w:hAnsi="宋体" w:eastAsia="宋体" w:cs="宋体"/>
          <w:b/>
          <w:color w:val="auto"/>
          <w:sz w:val="24"/>
          <w:szCs w:val="24"/>
          <w:highlight w:val="none"/>
        </w:rPr>
        <w:t xml:space="preserve">6.1 </w:t>
      </w:r>
      <w:r>
        <w:rPr>
          <w:rFonts w:hint="eastAsia" w:ascii="宋体" w:hAnsi="宋体" w:eastAsia="宋体" w:cs="宋体"/>
          <w:b/>
          <w:color w:val="auto"/>
          <w:sz w:val="24"/>
          <w:szCs w:val="24"/>
          <w:highlight w:val="none"/>
          <w:lang w:eastAsia="zh-CN"/>
        </w:rPr>
        <w:t>磋商小组</w:t>
      </w:r>
      <w:bookmarkEnd w:id="52"/>
    </w:p>
    <w:p w14:paraId="41A18AAA">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评标由采购人或招标代理机构依法组建的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应当具有中级及以上专业技术职称，熟悉招标项目技术、经济或管理特点，具有评审招标项目的能力和合同管理经验）或其委托的招标代理机构熟悉相关业务的代表，以及有关技术、经济等方面的专家组成。</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成员人数以及技术、经济等方面专家的确定方式见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62BBA7A">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6.1.2 </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成员有下列情形之一的，应当回避：</w:t>
      </w:r>
    </w:p>
    <w:p w14:paraId="0D96E145">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主要负责人的近亲属；</w:t>
      </w:r>
    </w:p>
    <w:p w14:paraId="7E02A094">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14:paraId="02B76371">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有经济利益关系，可能影响对投标公正评审的；</w:t>
      </w:r>
    </w:p>
    <w:p w14:paraId="2F2510B9">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（4）曾因在招标、评标以及其他与招标投标有关活动中从事违法行为而受过行政处罚或刑事处罚的；</w:t>
      </w:r>
    </w:p>
    <w:p w14:paraId="7921632D">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有其他利害关系。</w:t>
      </w:r>
    </w:p>
    <w:p w14:paraId="675F0456">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 评标过程中，</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成员有回避事由、擅离职守或者因健康等原因不能继续评标的，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有权更换。被更换的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成员作出的评审结论无效，由更换后的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成员重新进行评审。</w:t>
      </w:r>
    </w:p>
    <w:p w14:paraId="01C8BA13">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53" w:name="_Toc32339"/>
      <w:r>
        <w:rPr>
          <w:rFonts w:hint="eastAsia" w:ascii="宋体" w:hAnsi="宋体" w:eastAsia="宋体" w:cs="宋体"/>
          <w:b/>
          <w:color w:val="auto"/>
          <w:sz w:val="24"/>
          <w:szCs w:val="24"/>
          <w:highlight w:val="none"/>
        </w:rPr>
        <w:t>6.2 评标原则</w:t>
      </w:r>
      <w:bookmarkEnd w:id="53"/>
    </w:p>
    <w:p w14:paraId="4F1327BD">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14:paraId="28933586">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54" w:name="_Toc29203"/>
      <w:r>
        <w:rPr>
          <w:rFonts w:hint="eastAsia" w:ascii="宋体" w:hAnsi="宋体" w:eastAsia="宋体" w:cs="宋体"/>
          <w:b/>
          <w:color w:val="auto"/>
          <w:sz w:val="24"/>
          <w:szCs w:val="24"/>
          <w:highlight w:val="none"/>
        </w:rPr>
        <w:t>6.3 评标</w:t>
      </w:r>
      <w:bookmarkEnd w:id="54"/>
    </w:p>
    <w:p w14:paraId="0CDB7E5A">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6.3.1 磋商小组按照第三章“评标办法”规定的方法、评审因素、标准和程序对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文件进行评审。第三章“评标办法”没有规定的方法、评审因素和标准，不作为评标依据。</w:t>
      </w:r>
    </w:p>
    <w:p w14:paraId="6838AE4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6.3.2磋商：</w:t>
      </w:r>
    </w:p>
    <w:p w14:paraId="79DC4D34">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磋商时，供应商的磋商代表应出示本人身份证原件，并且和磋商响应性文件中提供的法定代表人身份证明中的法定代表人或法定代表人授权书中的被授权人一致，否则其作出的任何意思表示均无效，磋商小组应终止和该供应商的磋商进程。</w:t>
      </w:r>
    </w:p>
    <w:p w14:paraId="6ACEBBD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磋商小组依据采购人提出的磋商事项分别与合格供应商进行一对一磋商。磋商过程中，采购人可以提出新的磋商事项（包括改变磋商文件中的部分实质性内容），这些新事项的提出应符合磋商文件的规定，且必须要和所有合格供应商就这些新事项进行磋商。</w:t>
      </w:r>
    </w:p>
    <w:p w14:paraId="2DA196F6">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（3）对于供应商提供的优惠条件，采购人应在供应商最大程度满足上述1.1款和3.3.2款中采购人提出的磋商事项的前提下才综合考虑这些优惠条件能带来的好处。不得将优惠条件置于磋商事项之上。</w:t>
      </w:r>
    </w:p>
    <w:p w14:paraId="46C8FA6D">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采购人可以对工程的施工内容、需满足的技术要求和使用功能、合同条件向供应商作进一步的说明，可以要求供应商就磋商响应文件中含糊不清和含义不明确之处作出书面澄清或说明。供应商必须在规定的时间内以书面的形式做出解释和澄清。供应商也可以对磋商文件中不明白事项和合同条件要求采购人作进一步的说明。</w:t>
      </w:r>
    </w:p>
    <w:p w14:paraId="41C034A2">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（5）供应商可以提供一些建议供采购人考虑。采购人可以在评估其建议能否更好的实现上述1.1款目的后决定是否采纳。</w:t>
      </w:r>
    </w:p>
    <w:p w14:paraId="311E7197">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（6）供应商可以根据采购人提出的要求和自身的条件（包括给予采购人的优惠和提供的建议）决定是否对磋商响应文件中的维修方案和其他关键性内容作出调整。并就此和磋商小组磋商。</w:t>
      </w:r>
    </w:p>
    <w:p w14:paraId="1EC6C96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在采购人通知提交最后报价之前，供应商也可以根据磋商情况退出磋商。采购人应当退还退出磋商的供应商的保证金。</w:t>
      </w:r>
    </w:p>
    <w:p w14:paraId="7FC496C7">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（7）对于供应商提出的磋商事项和磋商响应文件中的某些事项，采购人应考虑这些事项对采购需求和采购成本的影响程度，以决定接受或拒绝或协商修正。</w:t>
      </w:r>
    </w:p>
    <w:p w14:paraId="34DF33F6">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对于磋商中双方不能达成一致的事项，采购人应评估该事项不能达成一致可能导致影响合同履行的程度和风险大小的程度，以决定接受或拒绝该供应商。如果接受该供应商，采购人应说明如何处理该事项可能导致的影响。</w:t>
      </w:r>
    </w:p>
    <w:p w14:paraId="4E18CD82">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6.3.3每轮磋商结束后，磋商小组应当对该轮磋商的情况进行综合评价，以确定下一轮磋商的内容。磋商小组应通知所有合格供应商在规定时间内进行下一轮磋商。</w:t>
      </w:r>
    </w:p>
    <w:p w14:paraId="39C5E732">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在下一轮磋商中，如果</w:t>
      </w:r>
      <w:bookmarkStart w:id="55" w:name="_Hlk18076358"/>
      <w:r>
        <w:rPr>
          <w:rFonts w:hint="eastAsia" w:ascii="宋体" w:hAnsi="宋体" w:eastAsia="宋体" w:cs="宋体"/>
          <w:color w:val="auto"/>
          <w:sz w:val="24"/>
          <w:szCs w:val="24"/>
          <w:highlight w:val="none"/>
          <w:lang w:val="en-US" w:eastAsia="zh-CN"/>
        </w:rPr>
        <w:t>采购人和某位供应商</w:t>
      </w:r>
      <w:bookmarkEnd w:id="55"/>
      <w:r>
        <w:rPr>
          <w:rFonts w:hint="eastAsia" w:ascii="宋体" w:hAnsi="宋体" w:eastAsia="宋体" w:cs="宋体"/>
          <w:color w:val="auto"/>
          <w:sz w:val="24"/>
          <w:szCs w:val="24"/>
          <w:highlight w:val="none"/>
          <w:lang w:val="en-US" w:eastAsia="zh-CN"/>
        </w:rPr>
        <w:t>在前一轮磋商中的未决事项仍不能解决，且这个未决事项会影响将来合同的执行，采购人可以终止和该供应商的磋商进程。</w:t>
      </w:r>
    </w:p>
    <w:p w14:paraId="68ED0EA9">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6.3.4磋商结束后，磋商小组应当通知所有合格供应商在规定时间内提交最后报价，提交有效最后报价的供应商不得少于2家。</w:t>
      </w:r>
    </w:p>
    <w:p w14:paraId="68D10CF6">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供应商应根据磋商的情况确定最后报价，在磋商小组规定的时间提交。</w:t>
      </w:r>
    </w:p>
    <w:p w14:paraId="733AEE10">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最后报价应是供应商完成供应商须知前附表采购内容中说明的全部工作内容的所有费用和合理的利润。</w:t>
      </w:r>
    </w:p>
    <w:p w14:paraId="6D2DAD5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交的最后报价中如果有内容缺失、价格计算错误等缺陷，磋商小组应对要求供应商对这些缺陷进行修正。如果供应商拒绝进行修正，那么应终止和供应商的磋商。上述修正内容不包括最后的价格，最后的价格是否修正由供应商自主决定。</w:t>
      </w:r>
    </w:p>
    <w:p w14:paraId="62DA0317">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无论什么原因，没有提交最后报价的供应商应被视为撤回或撤销磋商响应文件。</w:t>
      </w:r>
    </w:p>
    <w:p w14:paraId="29324F2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outlineLvl w:val="9"/>
        <w:rPr>
          <w:rFonts w:hint="eastAsia" w:ascii="宋体" w:hAnsi="宋体" w:eastAsia="宋体" w:cs="宋体"/>
          <w:b/>
          <w:color w:val="auto"/>
          <w:sz w:val="24"/>
          <w:szCs w:val="24"/>
          <w:highlight w:val="none"/>
        </w:rPr>
      </w:pPr>
    </w:p>
    <w:p w14:paraId="5442DEB2">
      <w:pPr>
        <w:pageBreakBefore w:val="0"/>
        <w:kinsoku/>
        <w:overflowPunct/>
        <w:topLinePunct w:val="0"/>
        <w:bidi w:val="0"/>
        <w:spacing w:beforeAutospacing="0" w:after="0" w:afterAutospacing="0" w:line="240" w:lineRule="auto"/>
        <w:ind w:left="0" w:leftChars="0" w:right="0"/>
        <w:jc w:val="center"/>
        <w:textAlignment w:val="auto"/>
        <w:outlineLvl w:val="0"/>
        <w:rPr>
          <w:rFonts w:hint="eastAsia" w:ascii="宋体" w:hAnsi="宋体" w:eastAsia="宋体" w:cs="宋体"/>
          <w:b/>
          <w:color w:val="auto"/>
          <w:sz w:val="24"/>
          <w:szCs w:val="24"/>
          <w:highlight w:val="none"/>
        </w:rPr>
      </w:pPr>
      <w:bookmarkStart w:id="56" w:name="_Toc11302"/>
      <w:r>
        <w:rPr>
          <w:rFonts w:hint="eastAsia" w:ascii="宋体" w:hAnsi="宋体" w:eastAsia="宋体" w:cs="宋体"/>
          <w:b/>
          <w:color w:val="auto"/>
          <w:sz w:val="24"/>
          <w:szCs w:val="24"/>
          <w:highlight w:val="none"/>
        </w:rPr>
        <w:t>7. 合同授予</w:t>
      </w:r>
      <w:bookmarkEnd w:id="56"/>
    </w:p>
    <w:p w14:paraId="6986BE9B">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57" w:name="_Toc32294"/>
      <w:r>
        <w:rPr>
          <w:rFonts w:hint="eastAsia" w:ascii="宋体" w:hAnsi="宋体" w:eastAsia="宋体" w:cs="宋体"/>
          <w:b/>
          <w:color w:val="auto"/>
          <w:sz w:val="24"/>
          <w:szCs w:val="24"/>
          <w:highlight w:val="none"/>
        </w:rPr>
        <w:t>7.1 中标候选人公示</w:t>
      </w:r>
      <w:bookmarkEnd w:id="57"/>
    </w:p>
    <w:p w14:paraId="742F809D">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详见供应商须知</w:t>
      </w:r>
      <w:r>
        <w:rPr>
          <w:rFonts w:hint="eastAsia" w:ascii="宋体" w:hAnsi="宋体" w:eastAsia="宋体" w:cs="宋体"/>
          <w:color w:val="auto"/>
          <w:sz w:val="24"/>
          <w:szCs w:val="24"/>
          <w:highlight w:val="none"/>
        </w:rPr>
        <w:t>。</w:t>
      </w:r>
    </w:p>
    <w:p w14:paraId="73D25A39">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58" w:name="_Toc1772"/>
      <w:r>
        <w:rPr>
          <w:rFonts w:hint="eastAsia" w:ascii="宋体" w:hAnsi="宋体" w:eastAsia="宋体" w:cs="宋体"/>
          <w:b/>
          <w:color w:val="auto"/>
          <w:sz w:val="24"/>
          <w:szCs w:val="24"/>
          <w:highlight w:val="none"/>
        </w:rPr>
        <w:t>7.2 评标结果异议</w:t>
      </w:r>
      <w:bookmarkEnd w:id="58"/>
    </w:p>
    <w:p w14:paraId="6C0DFC13">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或者其他利害关系人对评标结果有异议的，应当在评标结束后三个工作日内提出。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将在收到异议之日起 3 日内作出答复；作出答复前，将暂停招标投标活动。</w:t>
      </w:r>
    </w:p>
    <w:p w14:paraId="4C585EF3">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59" w:name="_Toc12797"/>
      <w:r>
        <w:rPr>
          <w:rFonts w:hint="eastAsia" w:ascii="宋体" w:hAnsi="宋体" w:eastAsia="宋体" w:cs="宋体"/>
          <w:b/>
          <w:color w:val="auto"/>
          <w:sz w:val="24"/>
          <w:szCs w:val="24"/>
          <w:highlight w:val="none"/>
        </w:rPr>
        <w:t>7.3 中标候选人履约能力审查</w:t>
      </w:r>
      <w:bookmarkEnd w:id="59"/>
    </w:p>
    <w:p w14:paraId="14493B2D">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中标候选人的经营、财务状况发生较大变化或存在违法行为，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认为可能影响其履约能力的，将在发出中标通知书前提请原</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按照竞争性磋商规定的标准和方法进行审查确认。</w:t>
      </w:r>
    </w:p>
    <w:p w14:paraId="704225C1">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60" w:name="_Toc23443"/>
      <w:r>
        <w:rPr>
          <w:rFonts w:hint="eastAsia" w:ascii="宋体" w:hAnsi="宋体" w:eastAsia="宋体" w:cs="宋体"/>
          <w:b/>
          <w:color w:val="auto"/>
          <w:sz w:val="24"/>
          <w:szCs w:val="24"/>
          <w:highlight w:val="none"/>
        </w:rPr>
        <w:t>7.4 定标</w:t>
      </w:r>
      <w:bookmarkEnd w:id="60"/>
    </w:p>
    <w:p w14:paraId="2EB58817">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须知前附表的规定，</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授权的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依法确定中标人。</w:t>
      </w:r>
    </w:p>
    <w:p w14:paraId="00649C3D">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61" w:name="_Toc11682"/>
      <w:r>
        <w:rPr>
          <w:rFonts w:hint="eastAsia" w:ascii="宋体" w:hAnsi="宋体" w:eastAsia="宋体" w:cs="宋体"/>
          <w:b/>
          <w:color w:val="auto"/>
          <w:sz w:val="24"/>
          <w:szCs w:val="24"/>
          <w:highlight w:val="none"/>
        </w:rPr>
        <w:t>7.5 中标通知</w:t>
      </w:r>
      <w:bookmarkEnd w:id="61"/>
    </w:p>
    <w:p w14:paraId="66E2BDF1">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在本章第 3.3 款规定的投标有效期内，</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以书面形式向中标人发出中标通知书，同时将中标结果通知未中标的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2D24EC81">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62" w:name="_Toc7537"/>
      <w:r>
        <w:rPr>
          <w:rFonts w:hint="eastAsia" w:ascii="宋体" w:hAnsi="宋体" w:eastAsia="宋体" w:cs="宋体"/>
          <w:b/>
          <w:color w:val="auto"/>
          <w:sz w:val="24"/>
          <w:szCs w:val="24"/>
          <w:highlight w:val="none"/>
        </w:rPr>
        <w:t>7.6 技术成果经济补偿</w:t>
      </w:r>
      <w:bookmarkEnd w:id="62"/>
    </w:p>
    <w:p w14:paraId="38F7E985">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对符合竞争性磋商规定的未中标人的技术成果进行补偿的，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须知前附表规定的标准给予经济补偿，未中标人在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中声明放弃技术成果经济补偿费的除外。</w:t>
      </w:r>
    </w:p>
    <w:p w14:paraId="7A89E320">
      <w:pPr>
        <w:pageBreakBefore w:val="0"/>
        <w:kinsoku/>
        <w:overflowPunct/>
        <w:topLinePunct w:val="0"/>
        <w:bidi w:val="0"/>
        <w:spacing w:beforeAutospacing="0" w:after="0" w:afterAutospacing="0" w:line="240" w:lineRule="auto"/>
        <w:ind w:left="0" w:leftChars="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将于中标通知书发出后 30 日内向未中标人支付技术成果经济补偿费。</w:t>
      </w:r>
    </w:p>
    <w:p w14:paraId="5028A14A">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63" w:name="_Toc25797"/>
      <w:r>
        <w:rPr>
          <w:rFonts w:hint="eastAsia" w:ascii="宋体" w:hAnsi="宋体" w:eastAsia="宋体" w:cs="宋体"/>
          <w:b/>
          <w:color w:val="auto"/>
          <w:sz w:val="24"/>
          <w:szCs w:val="24"/>
          <w:highlight w:val="none"/>
        </w:rPr>
        <w:t>7.7 履约保证金</w:t>
      </w:r>
      <w:bookmarkEnd w:id="63"/>
    </w:p>
    <w:p w14:paraId="3AAF81D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7.7.1 在签订合同前，中标人应按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须知前附表规定的形式、金额和竞争性磋商第四章“合同条款及格式”规定的或者事先经过</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书面认可的履约保证金格式向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提交履约保证金。除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须知前附表另有规定外，履约保证金为中标合同金额的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%。联合体中标的，其履约保证金以联合体各方或者联合体中牵头人的名义提交。</w:t>
      </w:r>
    </w:p>
    <w:p w14:paraId="0147F283">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7.7.2 中标人不能按本章第 7.7.1 项要求提交履约保证金的，视为放弃中标，其投标保证金不予退还，给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造成的损失超过投标保证金数额的，中标人还应当对超过部分予以赔偿。</w:t>
      </w:r>
    </w:p>
    <w:p w14:paraId="1940F244">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64" w:name="_Toc12406"/>
      <w:r>
        <w:rPr>
          <w:rFonts w:hint="eastAsia" w:ascii="宋体" w:hAnsi="宋体" w:eastAsia="宋体" w:cs="宋体"/>
          <w:b/>
          <w:color w:val="auto"/>
          <w:sz w:val="24"/>
          <w:szCs w:val="24"/>
          <w:highlight w:val="none"/>
        </w:rPr>
        <w:t>7.8 签订合同</w:t>
      </w:r>
      <w:bookmarkEnd w:id="64"/>
    </w:p>
    <w:p w14:paraId="4C8FB1DF">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7.8.1 </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和中标人应当在中标通知书发出之日起</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日内，根据竞争性磋商和中标人的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订立书面合同。中标人无正当理由拒签合同，在签订合同时向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提出附加条件，或者不按照竞争性磋商要求提交履约保证金的，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有权取消其中标资格，其投标保证金不予退还；给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造成的损失超过投标保证金数额的，中标人还应当对超过部分予以赔偿。</w:t>
      </w:r>
    </w:p>
    <w:p w14:paraId="6E848F3A">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7.8.2 发出中标通知书后，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无正当理由拒签合同，或者在签订合同时向中标人提出附加条件的，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向中标人退还投标保证金；给中标人造成损失的，还应当赔偿损失。</w:t>
      </w:r>
    </w:p>
    <w:p w14:paraId="76A41C57">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7.8.3 联合体中标的，联合体各方应当共同与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签订合同，就中标项目向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承担连带责任。</w:t>
      </w:r>
    </w:p>
    <w:p w14:paraId="28041C8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8.纪律和监督</w:t>
      </w:r>
    </w:p>
    <w:p w14:paraId="4658D71E">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65" w:name="_Toc30344"/>
      <w:r>
        <w:rPr>
          <w:rFonts w:hint="eastAsia" w:ascii="宋体" w:hAnsi="宋体" w:eastAsia="宋体" w:cs="宋体"/>
          <w:b/>
          <w:color w:val="auto"/>
          <w:sz w:val="24"/>
          <w:szCs w:val="24"/>
          <w:highlight w:val="none"/>
        </w:rPr>
        <w:t>8.1 对</w:t>
      </w:r>
      <w:r>
        <w:rPr>
          <w:rFonts w:hint="eastAsia" w:ascii="宋体" w:hAnsi="宋体" w:eastAsia="宋体" w:cs="宋体"/>
          <w:b/>
          <w:color w:val="auto"/>
          <w:sz w:val="24"/>
          <w:szCs w:val="24"/>
          <w:highlight w:val="none"/>
          <w:lang w:eastAsia="zh-CN"/>
        </w:rPr>
        <w:t>采购人</w:t>
      </w:r>
      <w:r>
        <w:rPr>
          <w:rFonts w:hint="eastAsia" w:ascii="宋体" w:hAnsi="宋体" w:eastAsia="宋体" w:cs="宋体"/>
          <w:b/>
          <w:color w:val="auto"/>
          <w:sz w:val="24"/>
          <w:szCs w:val="24"/>
          <w:highlight w:val="none"/>
        </w:rPr>
        <w:t>的纪律要求</w:t>
      </w:r>
      <w:bookmarkEnd w:id="65"/>
    </w:p>
    <w:p w14:paraId="6D61AC4D">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不得泄露招标投标活动中应当保密的情况和资料，不得与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串通损害国家利益、社会公共利益或者他人合法权益。</w:t>
      </w:r>
    </w:p>
    <w:p w14:paraId="73ED8E28">
      <w:pPr>
        <w:pageBreakBefore w:val="0"/>
        <w:kinsoku/>
        <w:overflowPunct/>
        <w:topLinePunct w:val="0"/>
        <w:bidi w:val="0"/>
        <w:spacing w:beforeAutospacing="0" w:after="0" w:afterAutospacing="0" w:line="240" w:lineRule="auto"/>
        <w:ind w:left="0" w:leftChars="0" w:right="0"/>
        <w:textAlignment w:val="auto"/>
        <w:outlineLvl w:val="9"/>
        <w:rPr>
          <w:rFonts w:hint="eastAsia" w:ascii="宋体" w:hAnsi="宋体" w:eastAsia="宋体" w:cs="宋体"/>
          <w:b/>
          <w:color w:val="auto"/>
          <w:sz w:val="24"/>
          <w:szCs w:val="24"/>
          <w:highlight w:val="none"/>
        </w:rPr>
      </w:pPr>
    </w:p>
    <w:p w14:paraId="3AC0E6B6">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66" w:name="_Toc15950"/>
      <w:r>
        <w:rPr>
          <w:rFonts w:hint="eastAsia" w:ascii="宋体" w:hAnsi="宋体" w:eastAsia="宋体" w:cs="宋体"/>
          <w:b/>
          <w:color w:val="auto"/>
          <w:sz w:val="24"/>
          <w:szCs w:val="24"/>
          <w:highlight w:val="none"/>
        </w:rPr>
        <w:t>8.2 对</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的纪律要求</w:t>
      </w:r>
      <w:bookmarkEnd w:id="66"/>
    </w:p>
    <w:p w14:paraId="1A133CEB">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不得相互串通投标或者与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串通投标，不得向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成员行贿谋取中标，不得以他人名义投标或者以其他方式弄虚作假骗取中标；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不得以任何方式干扰、影响评标工作。</w:t>
      </w:r>
    </w:p>
    <w:p w14:paraId="33AE5DF5">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67" w:name="_Toc6328"/>
      <w:r>
        <w:rPr>
          <w:rFonts w:hint="eastAsia" w:ascii="宋体" w:hAnsi="宋体" w:eastAsia="宋体" w:cs="宋体"/>
          <w:b/>
          <w:color w:val="auto"/>
          <w:sz w:val="24"/>
          <w:szCs w:val="24"/>
          <w:highlight w:val="none"/>
        </w:rPr>
        <w:t>8.3 对</w:t>
      </w:r>
      <w:r>
        <w:rPr>
          <w:rFonts w:hint="eastAsia" w:ascii="宋体" w:hAnsi="宋体" w:eastAsia="宋体" w:cs="宋体"/>
          <w:b/>
          <w:color w:val="auto"/>
          <w:sz w:val="24"/>
          <w:szCs w:val="24"/>
          <w:highlight w:val="none"/>
          <w:lang w:eastAsia="zh-CN"/>
        </w:rPr>
        <w:t>磋商小组</w:t>
      </w:r>
      <w:r>
        <w:rPr>
          <w:rFonts w:hint="eastAsia" w:ascii="宋体" w:hAnsi="宋体" w:eastAsia="宋体" w:cs="宋体"/>
          <w:b/>
          <w:color w:val="auto"/>
          <w:sz w:val="24"/>
          <w:szCs w:val="24"/>
          <w:highlight w:val="none"/>
        </w:rPr>
        <w:t>成员的纪律要求</w:t>
      </w:r>
      <w:bookmarkEnd w:id="67"/>
    </w:p>
    <w:p w14:paraId="1F38A2E4">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成员不得收受他人的财物或者其他好处，不得向他人透露对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的评审和比较、中标候选人的推荐情况以及评标有关的其他情况。在评标活动中，</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成员应当客观、公正地履行职责，遵守职业道德，不得擅离职守，影响评标程序正常进行，不得使用第三章“评标办法”没有规定的评审因素和标准进行评标。</w:t>
      </w:r>
    </w:p>
    <w:p w14:paraId="1DD67B86">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68" w:name="_Toc13624"/>
      <w:r>
        <w:rPr>
          <w:rFonts w:hint="eastAsia" w:ascii="宋体" w:hAnsi="宋体" w:eastAsia="宋体" w:cs="宋体"/>
          <w:b/>
          <w:color w:val="auto"/>
          <w:sz w:val="24"/>
          <w:szCs w:val="24"/>
          <w:highlight w:val="none"/>
        </w:rPr>
        <w:t>8.4 对与评标活动有关的工作人员的纪律要求</w:t>
      </w:r>
      <w:bookmarkEnd w:id="68"/>
    </w:p>
    <w:p w14:paraId="662A450F">
      <w:pPr>
        <w:pageBreakBefore w:val="0"/>
        <w:kinsoku/>
        <w:overflowPunct/>
        <w:topLinePunct w:val="0"/>
        <w:bidi w:val="0"/>
        <w:spacing w:beforeAutospacing="0" w:after="0" w:afterAutospacing="0" w:line="24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与评标活动有关的工作人员不得收受他人的财物或者其他好处，不得向他人透露对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的评审和比较、中标候选人的推荐情况以及评标有关的其他情况。在评标活动中，与评标活动有关的工作人员不得擅离职守，影响评标程序正常进行。</w:t>
      </w:r>
    </w:p>
    <w:p w14:paraId="618ADC74">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b/>
          <w:color w:val="auto"/>
          <w:sz w:val="24"/>
          <w:szCs w:val="24"/>
          <w:highlight w:val="none"/>
        </w:rPr>
      </w:pPr>
      <w:bookmarkStart w:id="69" w:name="_Toc22959"/>
      <w:r>
        <w:rPr>
          <w:rFonts w:hint="eastAsia" w:ascii="宋体" w:hAnsi="宋体" w:eastAsia="宋体" w:cs="宋体"/>
          <w:b/>
          <w:color w:val="auto"/>
          <w:sz w:val="24"/>
          <w:szCs w:val="24"/>
          <w:highlight w:val="none"/>
        </w:rPr>
        <w:t>8.5 投诉</w:t>
      </w:r>
      <w:bookmarkEnd w:id="69"/>
    </w:p>
    <w:p w14:paraId="2D9FA3C5">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8.5.1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或者其他利害关系人认为招标投标活动不符合法律、行政法规规定的，可以自知道或者应当知道之日起 10 日内向有关行政监督部门投诉。投诉应当有明确的请求和必要的证明材料。</w:t>
      </w:r>
    </w:p>
    <w:p w14:paraId="5BD95B5E">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8.5.2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或者其他利害关系人对竞争性磋商、开标和评标结果提出投诉的，应当按照</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 2.4 款、第 5.3 款和第 7.2 款的规定先向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提出异议。异议答复期间不计算在第 8.5.1 项规定的期限内。</w:t>
      </w:r>
    </w:p>
    <w:p w14:paraId="55A422B0">
      <w:pPr>
        <w:pageBreakBefore w:val="0"/>
        <w:kinsoku/>
        <w:overflowPunct/>
        <w:topLinePunct w:val="0"/>
        <w:bidi w:val="0"/>
        <w:spacing w:beforeAutospacing="0" w:after="0" w:afterAutospacing="0" w:line="240" w:lineRule="auto"/>
        <w:ind w:left="0" w:leftChars="0" w:right="0"/>
        <w:jc w:val="center"/>
        <w:textAlignment w:val="auto"/>
        <w:outlineLvl w:val="0"/>
        <w:rPr>
          <w:rFonts w:hint="eastAsia" w:ascii="宋体" w:hAnsi="宋体" w:eastAsia="宋体" w:cs="宋体"/>
          <w:b/>
          <w:color w:val="auto"/>
          <w:sz w:val="24"/>
          <w:szCs w:val="24"/>
          <w:highlight w:val="none"/>
        </w:rPr>
      </w:pPr>
      <w:bookmarkStart w:id="70" w:name="_Toc18131"/>
      <w:r>
        <w:rPr>
          <w:rFonts w:hint="eastAsia" w:ascii="宋体" w:hAnsi="宋体" w:eastAsia="宋体" w:cs="宋体"/>
          <w:b/>
          <w:color w:val="auto"/>
          <w:sz w:val="24"/>
          <w:szCs w:val="24"/>
          <w:highlight w:val="none"/>
        </w:rPr>
        <w:t>9. 是否采用电子招标投标</w:t>
      </w:r>
      <w:bookmarkEnd w:id="70"/>
    </w:p>
    <w:p w14:paraId="7E3A9521">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9.1本招标项目采用电子招标投标方式。</w:t>
      </w:r>
    </w:p>
    <w:p w14:paraId="643D2069">
      <w:pPr>
        <w:pageBreakBefore w:val="0"/>
        <w:kinsoku/>
        <w:overflowPunct/>
        <w:topLinePunct w:val="0"/>
        <w:bidi w:val="0"/>
        <w:spacing w:beforeAutospacing="0" w:after="0" w:afterAutospacing="0" w:line="240" w:lineRule="auto"/>
        <w:ind w:left="0" w:leftChars="0" w:right="0"/>
        <w:jc w:val="center"/>
        <w:textAlignment w:val="auto"/>
        <w:outlineLvl w:val="0"/>
        <w:rPr>
          <w:rFonts w:hint="eastAsia" w:ascii="宋体" w:hAnsi="宋体" w:eastAsia="宋体" w:cs="宋体"/>
          <w:color w:val="auto"/>
          <w:sz w:val="24"/>
          <w:szCs w:val="24"/>
          <w:highlight w:val="none"/>
        </w:rPr>
      </w:pPr>
      <w:bookmarkStart w:id="71" w:name="_Toc22138"/>
      <w:r>
        <w:rPr>
          <w:rFonts w:hint="eastAsia" w:ascii="宋体" w:hAnsi="宋体" w:eastAsia="宋体" w:cs="宋体"/>
          <w:b/>
          <w:color w:val="auto"/>
          <w:sz w:val="24"/>
          <w:szCs w:val="24"/>
          <w:highlight w:val="none"/>
        </w:rPr>
        <w:t xml:space="preserve">10. </w:t>
      </w:r>
      <w:bookmarkStart w:id="72" w:name="_Hlk507195825"/>
      <w:r>
        <w:rPr>
          <w:rFonts w:hint="eastAsia" w:ascii="宋体" w:hAnsi="宋体" w:eastAsia="宋体" w:cs="宋体"/>
          <w:b/>
          <w:color w:val="auto"/>
          <w:sz w:val="24"/>
          <w:szCs w:val="24"/>
          <w:highlight w:val="none"/>
        </w:rPr>
        <w:t>需要补充的其他内容需要补充的其他内容</w:t>
      </w:r>
      <w:bookmarkEnd w:id="71"/>
      <w:bookmarkEnd w:id="72"/>
    </w:p>
    <w:p w14:paraId="168BDB82">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bookmarkStart w:id="73" w:name="_Hlk507195973"/>
      <w:r>
        <w:rPr>
          <w:rFonts w:hint="eastAsia" w:ascii="宋体" w:hAnsi="宋体" w:eastAsia="宋体" w:cs="宋体"/>
          <w:color w:val="auto"/>
          <w:sz w:val="24"/>
          <w:szCs w:val="24"/>
          <w:highlight w:val="none"/>
        </w:rPr>
        <w:t>类似项目：见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bookmarkEnd w:id="73"/>
    </w:p>
    <w:p w14:paraId="06C46F9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代表出席开标会：见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2996B2B1">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10.3通讯联系：</w:t>
      </w:r>
      <w:bookmarkStart w:id="74" w:name="_Hlk508127552"/>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bookmarkEnd w:id="74"/>
    </w:p>
    <w:p w14:paraId="02B7EEC7">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应承担的费用：见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620C3A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highlight w:val="none"/>
        </w:rPr>
      </w:pPr>
    </w:p>
    <w:p w14:paraId="352B5115">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highlight w:val="none"/>
        </w:rPr>
      </w:pPr>
    </w:p>
    <w:p w14:paraId="5C014B5F">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highlight w:val="none"/>
        </w:rPr>
      </w:pPr>
    </w:p>
    <w:p w14:paraId="1D83282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020E5E1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3AFC05F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431DF8A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第三章 评标办法（综合评估法）</w:t>
      </w:r>
    </w:p>
    <w:p w14:paraId="7B24AEB5">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highlight w:val="none"/>
        </w:rPr>
      </w:pPr>
    </w:p>
    <w:p w14:paraId="7525601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6E6FF968">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一、总则</w:t>
      </w:r>
    </w:p>
    <w:p w14:paraId="06F6A62F">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eastAsia="zh-CN"/>
        </w:rPr>
        <w:t>磋商小组</w:t>
      </w:r>
    </w:p>
    <w:p w14:paraId="006A05FD">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1.1评标由依法组成的</w:t>
      </w:r>
      <w:r>
        <w:rPr>
          <w:rFonts w:hint="eastAsia" w:ascii="宋体" w:hAnsi="宋体" w:eastAsia="宋体" w:cs="宋体"/>
          <w:b w:val="0"/>
          <w:bCs/>
          <w:color w:val="auto"/>
          <w:sz w:val="24"/>
          <w:szCs w:val="24"/>
          <w:highlight w:val="none"/>
          <w:lang w:eastAsia="zh-CN"/>
        </w:rPr>
        <w:t>磋商小组</w:t>
      </w:r>
      <w:r>
        <w:rPr>
          <w:rFonts w:hint="eastAsia" w:ascii="宋体" w:hAnsi="宋体" w:eastAsia="宋体" w:cs="宋体"/>
          <w:b w:val="0"/>
          <w:bCs/>
          <w:color w:val="auto"/>
          <w:sz w:val="24"/>
          <w:szCs w:val="24"/>
          <w:highlight w:val="none"/>
        </w:rPr>
        <w:t>负责。</w:t>
      </w:r>
    </w:p>
    <w:p w14:paraId="37883026">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2.评标方法</w:t>
      </w:r>
    </w:p>
    <w:p w14:paraId="087D1BF6">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综合评分法，即</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能够最大限度的满足招标文件规定的各项综合评价标准且经评审得分最高的</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为中标候选人的评标方法。</w:t>
      </w:r>
    </w:p>
    <w:p w14:paraId="671B0C63">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二、评标程序</w:t>
      </w:r>
    </w:p>
    <w:p w14:paraId="69150F6F">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的初步评审</w:t>
      </w:r>
    </w:p>
    <w:p w14:paraId="5B2770CA">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3.1初步评审分为资格性检查和符合性检查。</w:t>
      </w:r>
    </w:p>
    <w:p w14:paraId="75655CE5">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3.1.1 资格性检查。根据法律法规和招标文件的规定，对</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中的资格证明、投标保证金等进行审查，以确定</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是否具备投标资格。</w:t>
      </w:r>
    </w:p>
    <w:p w14:paraId="26977888">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3.1.2 符合性检查。依据招标文件的规定，从</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的有效性、完整性和对招标文件的响应程度进行审查，以确定是否对招标文件的实质性要求作出响应。</w:t>
      </w:r>
      <w:r>
        <w:rPr>
          <w:rFonts w:hint="eastAsia" w:ascii="宋体" w:hAnsi="宋体" w:eastAsia="宋体" w:cs="宋体"/>
          <w:b w:val="0"/>
          <w:bCs/>
          <w:color w:val="auto"/>
          <w:sz w:val="24"/>
          <w:szCs w:val="24"/>
          <w:highlight w:val="none"/>
          <w:lang w:eastAsia="zh-CN"/>
        </w:rPr>
        <w:t>磋商小组</w:t>
      </w:r>
      <w:r>
        <w:rPr>
          <w:rFonts w:hint="eastAsia" w:ascii="宋体" w:hAnsi="宋体" w:eastAsia="宋体" w:cs="宋体"/>
          <w:b w:val="0"/>
          <w:bCs/>
          <w:color w:val="auto"/>
          <w:sz w:val="24"/>
          <w:szCs w:val="24"/>
          <w:highlight w:val="none"/>
        </w:rPr>
        <w:t>决定</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的响应性只根据</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真实无误的内容，而不依据外部的证据，但</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有不真实、不正确的内容时除外。</w:t>
      </w:r>
    </w:p>
    <w:p w14:paraId="74A4C4B5">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3.1.3</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不得通过修正或撤销不合要求的偏离从而使其投标成为实质上响应的投标。</w:t>
      </w:r>
    </w:p>
    <w:p w14:paraId="3C9BF502">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0285278E">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sectPr>
          <w:footerReference r:id="rId9" w:type="default"/>
          <w:pgSz w:w="11906" w:h="16839"/>
          <w:pgMar w:top="1440" w:right="1080" w:bottom="1440" w:left="1080" w:header="907" w:footer="996" w:gutter="0"/>
          <w:pgNumType w:fmt="decimal"/>
          <w:cols w:space="720" w:num="1"/>
        </w:sectPr>
      </w:pPr>
    </w:p>
    <w:p w14:paraId="0EB3EA02">
      <w:pPr>
        <w:pStyle w:val="7"/>
        <w:rPr>
          <w:rFonts w:hint="eastAsia"/>
          <w:color w:val="auto"/>
          <w:highlight w:val="none"/>
        </w:rPr>
      </w:pPr>
    </w:p>
    <w:p w14:paraId="227D0181">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评标办法前附表-初步评审标准</w:t>
      </w:r>
    </w:p>
    <w:p w14:paraId="324C407C">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6301"/>
        <w:gridCol w:w="1742"/>
      </w:tblGrid>
      <w:tr w14:paraId="1816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079" w:type="dxa"/>
            <w:gridSpan w:val="2"/>
            <w:noWrap w:val="0"/>
            <w:vAlign w:val="center"/>
          </w:tcPr>
          <w:p w14:paraId="1CC6E722">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lang w:val="en-US" w:eastAsia="zh-CN"/>
              </w:rPr>
              <w:t xml:space="preserve">     </w:t>
            </w:r>
            <w:r>
              <w:rPr>
                <w:rFonts w:hint="eastAsia" w:ascii="宋体" w:hAnsi="宋体" w:eastAsia="宋体" w:cs="宋体"/>
                <w:b/>
                <w:color w:val="auto"/>
                <w:sz w:val="18"/>
                <w:szCs w:val="18"/>
                <w:highlight w:val="none"/>
              </w:rPr>
              <w:t>评审标准</w:t>
            </w:r>
          </w:p>
        </w:tc>
        <w:tc>
          <w:tcPr>
            <w:tcW w:w="1742" w:type="dxa"/>
            <w:shd w:val="clear" w:color="auto" w:fill="auto"/>
            <w:noWrap w:val="0"/>
            <w:vAlign w:val="center"/>
          </w:tcPr>
          <w:p w14:paraId="6F840E89">
            <w:pPr>
              <w:spacing w:line="300" w:lineRule="auto"/>
              <w:jc w:val="center"/>
              <w:rPr>
                <w:rFonts w:hint="eastAsia" w:ascii="宋体" w:hAnsi="宋体" w:eastAsia="宋体" w:cs="宋体"/>
                <w:color w:val="auto"/>
                <w:spacing w:val="-2"/>
                <w:kern w:val="2"/>
                <w:sz w:val="24"/>
                <w:szCs w:val="22"/>
                <w:highlight w:val="none"/>
                <w:lang w:val="en-US" w:eastAsia="zh-CN" w:bidi="ar-SA"/>
              </w:rPr>
            </w:pPr>
            <w:r>
              <w:rPr>
                <w:rFonts w:hint="eastAsia" w:ascii="宋体" w:hAnsi="宋体" w:eastAsia="宋体" w:cs="宋体"/>
                <w:color w:val="auto"/>
                <w:spacing w:val="-2"/>
                <w:kern w:val="2"/>
                <w:sz w:val="24"/>
                <w:szCs w:val="22"/>
                <w:highlight w:val="none"/>
                <w:lang w:val="en-US" w:eastAsia="zh-CN" w:bidi="ar-SA"/>
              </w:rPr>
              <w:t>评审意见</w:t>
            </w:r>
          </w:p>
        </w:tc>
      </w:tr>
      <w:tr w14:paraId="1AB9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78" w:type="dxa"/>
            <w:shd w:val="clear" w:color="auto" w:fill="auto"/>
            <w:noWrap w:val="0"/>
            <w:vAlign w:val="center"/>
          </w:tcPr>
          <w:p w14:paraId="1A2117A9">
            <w:pPr>
              <w:spacing w:line="300" w:lineRule="auto"/>
              <w:jc w:val="center"/>
              <w:rPr>
                <w:rFonts w:hint="eastAsia" w:ascii="宋体" w:hAnsi="宋体" w:eastAsia="宋体" w:cs="宋体"/>
                <w:b/>
                <w:color w:val="auto"/>
                <w:kern w:val="2"/>
                <w:sz w:val="24"/>
                <w:szCs w:val="22"/>
                <w:highlight w:val="none"/>
                <w:lang w:val="en-US" w:eastAsia="zh-CN" w:bidi="ar-SA"/>
              </w:rPr>
            </w:pPr>
            <w:r>
              <w:rPr>
                <w:rFonts w:hint="eastAsia" w:ascii="宋体" w:hAnsi="宋体" w:eastAsia="宋体" w:cs="宋体"/>
                <w:b/>
                <w:color w:val="auto"/>
                <w:sz w:val="24"/>
                <w:highlight w:val="none"/>
              </w:rPr>
              <w:t>序号</w:t>
            </w:r>
          </w:p>
        </w:tc>
        <w:tc>
          <w:tcPr>
            <w:tcW w:w="6301" w:type="dxa"/>
            <w:shd w:val="clear" w:color="auto" w:fill="auto"/>
            <w:noWrap w:val="0"/>
            <w:vAlign w:val="center"/>
          </w:tcPr>
          <w:p w14:paraId="722378B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b w:val="0"/>
                <w:bCs/>
                <w:color w:val="auto"/>
                <w:kern w:val="2"/>
                <w:sz w:val="21"/>
                <w:szCs w:val="21"/>
                <w:highlight w:val="none"/>
                <w:lang w:val="en-US" w:eastAsia="zh-CN" w:bidi="ar-SA"/>
              </w:rPr>
            </w:pPr>
          </w:p>
        </w:tc>
        <w:tc>
          <w:tcPr>
            <w:tcW w:w="1742" w:type="dxa"/>
            <w:noWrap w:val="0"/>
            <w:vAlign w:val="center"/>
          </w:tcPr>
          <w:p w14:paraId="2F0BB2AA">
            <w:pPr>
              <w:pageBreakBefore w:val="0"/>
              <w:widowControl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pacing w:val="-2"/>
                <w:kern w:val="2"/>
                <w:sz w:val="24"/>
                <w:szCs w:val="22"/>
                <w:highlight w:val="none"/>
                <w:lang w:val="en-US" w:eastAsia="zh-CN" w:bidi="ar-SA"/>
              </w:rPr>
              <w:t>是否合格</w:t>
            </w:r>
          </w:p>
        </w:tc>
      </w:tr>
      <w:tr w14:paraId="1FE9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78" w:type="dxa"/>
            <w:shd w:val="clear" w:color="auto" w:fill="auto"/>
            <w:noWrap w:val="0"/>
            <w:vAlign w:val="center"/>
          </w:tcPr>
          <w:p w14:paraId="558C4CA0">
            <w:pPr>
              <w:spacing w:line="300" w:lineRule="auto"/>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rPr>
              <w:t>1</w:t>
            </w:r>
          </w:p>
        </w:tc>
        <w:tc>
          <w:tcPr>
            <w:tcW w:w="6301" w:type="dxa"/>
            <w:noWrap w:val="0"/>
            <w:vAlign w:val="center"/>
          </w:tcPr>
          <w:p w14:paraId="4897CC8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合格有效的法人或者非法人组织营业执照;</w:t>
            </w:r>
          </w:p>
          <w:p w14:paraId="5965C53B">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18"/>
                <w:szCs w:val="18"/>
                <w:highlight w:val="none"/>
              </w:rPr>
            </w:pPr>
          </w:p>
        </w:tc>
        <w:tc>
          <w:tcPr>
            <w:tcW w:w="1742" w:type="dxa"/>
            <w:noWrap w:val="0"/>
            <w:vAlign w:val="center"/>
          </w:tcPr>
          <w:p w14:paraId="6B548255">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18"/>
                <w:szCs w:val="18"/>
                <w:highlight w:val="none"/>
              </w:rPr>
            </w:pPr>
          </w:p>
        </w:tc>
      </w:tr>
      <w:tr w14:paraId="70C2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78" w:type="dxa"/>
            <w:shd w:val="clear" w:color="auto" w:fill="auto"/>
            <w:noWrap w:val="0"/>
            <w:vAlign w:val="center"/>
          </w:tcPr>
          <w:p w14:paraId="53103AE8">
            <w:pPr>
              <w:spacing w:line="300" w:lineRule="auto"/>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rPr>
              <w:t>2</w:t>
            </w:r>
          </w:p>
        </w:tc>
        <w:tc>
          <w:tcPr>
            <w:tcW w:w="6301" w:type="dxa"/>
            <w:noWrap w:val="0"/>
            <w:vAlign w:val="center"/>
          </w:tcPr>
          <w:p w14:paraId="517B0B1C">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24"/>
                <w:szCs w:val="24"/>
                <w:highlight w:val="none"/>
                <w:lang w:val="en-US" w:eastAsia="zh-CN"/>
              </w:rPr>
              <w:t>法定代表人授权书及被委托人身份证（法定代表人投标提供法定代表人身份证明及身份证）</w:t>
            </w:r>
            <w:r>
              <w:rPr>
                <w:rFonts w:hint="eastAsia" w:ascii="宋体" w:hAnsi="宋体" w:eastAsia="宋体" w:cs="宋体"/>
                <w:color w:val="auto"/>
                <w:sz w:val="18"/>
                <w:szCs w:val="18"/>
                <w:highlight w:val="none"/>
                <w:lang w:val="en-US" w:eastAsia="zh-CN"/>
              </w:rPr>
              <w:t>。</w:t>
            </w:r>
          </w:p>
        </w:tc>
        <w:tc>
          <w:tcPr>
            <w:tcW w:w="1742" w:type="dxa"/>
            <w:noWrap w:val="0"/>
            <w:vAlign w:val="center"/>
          </w:tcPr>
          <w:p w14:paraId="27D4E8F0">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18"/>
                <w:szCs w:val="18"/>
                <w:highlight w:val="none"/>
                <w:lang w:val="en-US" w:eastAsia="zh-CN"/>
              </w:rPr>
            </w:pPr>
          </w:p>
        </w:tc>
      </w:tr>
      <w:tr w14:paraId="0C62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78" w:type="dxa"/>
            <w:shd w:val="clear" w:color="auto" w:fill="auto"/>
            <w:noWrap w:val="0"/>
            <w:vAlign w:val="center"/>
          </w:tcPr>
          <w:p w14:paraId="61271115">
            <w:pPr>
              <w:spacing w:line="300" w:lineRule="auto"/>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3</w:t>
            </w:r>
          </w:p>
        </w:tc>
        <w:tc>
          <w:tcPr>
            <w:tcW w:w="6301" w:type="dxa"/>
            <w:shd w:val="clear" w:color="auto" w:fill="auto"/>
            <w:noWrap w:val="0"/>
            <w:vAlign w:val="center"/>
          </w:tcPr>
          <w:p w14:paraId="0D33878F">
            <w:pPr>
              <w:pageBreakBefore w:val="0"/>
              <w:widowControl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24"/>
                <w:szCs w:val="24"/>
                <w:highlight w:val="none"/>
                <w:lang w:val="en-US" w:eastAsia="zh-CN"/>
              </w:rPr>
              <w:t>参与政府采购活动前3年内未被列入失信、重大税收违法案件、财政部门禁止参加政府采购活动的承诺书；</w:t>
            </w:r>
          </w:p>
        </w:tc>
        <w:tc>
          <w:tcPr>
            <w:tcW w:w="1742" w:type="dxa"/>
            <w:shd w:val="clear" w:color="auto" w:fill="auto"/>
            <w:noWrap w:val="0"/>
            <w:vAlign w:val="center"/>
          </w:tcPr>
          <w:p w14:paraId="1655F228">
            <w:pPr>
              <w:pageBreakBefore w:val="0"/>
              <w:widowControl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18"/>
                <w:szCs w:val="18"/>
                <w:highlight w:val="none"/>
                <w:lang w:val="en-US" w:eastAsia="zh-CN"/>
              </w:rPr>
            </w:pPr>
          </w:p>
        </w:tc>
      </w:tr>
      <w:tr w14:paraId="7B7F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78" w:type="dxa"/>
            <w:shd w:val="clear" w:color="auto" w:fill="auto"/>
            <w:noWrap w:val="0"/>
            <w:vAlign w:val="center"/>
          </w:tcPr>
          <w:p w14:paraId="5220A656">
            <w:pPr>
              <w:spacing w:line="300" w:lineRule="auto"/>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4</w:t>
            </w:r>
          </w:p>
        </w:tc>
        <w:tc>
          <w:tcPr>
            <w:tcW w:w="6301" w:type="dxa"/>
            <w:shd w:val="clear" w:color="auto" w:fill="auto"/>
            <w:noWrap w:val="0"/>
            <w:vAlign w:val="center"/>
          </w:tcPr>
          <w:p w14:paraId="78E3866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依法缴纳税收和社会保障资金的良好记录；（投标单位需提供2024年1月至今任一月的税收和社保缴纳记录；税收可提供由投标单位所在地税务部门出具的“0”申报证明或无欠税证明。（原件、复印件、影印件均可，留存复印件或影印件）</w:t>
            </w:r>
          </w:p>
          <w:p w14:paraId="0615446C">
            <w:pPr>
              <w:pageBreakBefore w:val="0"/>
              <w:widowControl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kern w:val="2"/>
                <w:sz w:val="18"/>
                <w:szCs w:val="18"/>
                <w:highlight w:val="none"/>
                <w:lang w:val="en-US" w:eastAsia="zh-CN" w:bidi="ar-SA"/>
              </w:rPr>
            </w:pPr>
          </w:p>
        </w:tc>
        <w:tc>
          <w:tcPr>
            <w:tcW w:w="1742" w:type="dxa"/>
            <w:shd w:val="clear" w:color="auto" w:fill="auto"/>
            <w:noWrap w:val="0"/>
            <w:vAlign w:val="center"/>
          </w:tcPr>
          <w:p w14:paraId="3900769D">
            <w:pPr>
              <w:pageBreakBefore w:val="0"/>
              <w:widowControl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18"/>
                <w:szCs w:val="18"/>
                <w:highlight w:val="none"/>
                <w:lang w:val="en-US" w:eastAsia="zh-CN"/>
              </w:rPr>
            </w:pPr>
          </w:p>
        </w:tc>
      </w:tr>
      <w:tr w14:paraId="748F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8" w:type="dxa"/>
            <w:shd w:val="clear" w:color="auto" w:fill="auto"/>
            <w:noWrap w:val="0"/>
            <w:vAlign w:val="center"/>
          </w:tcPr>
          <w:p w14:paraId="4E4C4151">
            <w:pPr>
              <w:spacing w:line="30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6301" w:type="dxa"/>
            <w:shd w:val="clear" w:color="auto" w:fill="auto"/>
            <w:noWrap w:val="0"/>
            <w:vAlign w:val="center"/>
          </w:tcPr>
          <w:p w14:paraId="7B95C3A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提供2022或2023年度的财务审计报告(成立不满一年的提供开标前一个月内有效银行资信证明）；</w:t>
            </w:r>
          </w:p>
        </w:tc>
        <w:tc>
          <w:tcPr>
            <w:tcW w:w="1742" w:type="dxa"/>
            <w:shd w:val="clear" w:color="auto" w:fill="auto"/>
            <w:noWrap w:val="0"/>
            <w:vAlign w:val="center"/>
          </w:tcPr>
          <w:p w14:paraId="2DF459D3">
            <w:pPr>
              <w:pageBreakBefore w:val="0"/>
              <w:widowControl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18"/>
                <w:szCs w:val="18"/>
                <w:highlight w:val="none"/>
                <w:lang w:val="en-US" w:eastAsia="zh-CN"/>
              </w:rPr>
            </w:pPr>
          </w:p>
        </w:tc>
      </w:tr>
      <w:tr w14:paraId="2A6C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78" w:type="dxa"/>
            <w:shd w:val="clear" w:color="auto" w:fill="auto"/>
            <w:noWrap w:val="0"/>
            <w:vAlign w:val="center"/>
          </w:tcPr>
          <w:p w14:paraId="62E98729">
            <w:pPr>
              <w:spacing w:line="30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6301" w:type="dxa"/>
            <w:shd w:val="clear" w:color="auto" w:fill="auto"/>
            <w:noWrap w:val="0"/>
            <w:vAlign w:val="center"/>
          </w:tcPr>
          <w:p w14:paraId="5126E0BC">
            <w:pPr>
              <w:pageBreakBefore w:val="0"/>
              <w:widowControl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24"/>
                <w:szCs w:val="24"/>
                <w:highlight w:val="none"/>
                <w:lang w:val="en-US" w:eastAsia="zh-CN"/>
              </w:rPr>
              <w:t>投标单位（供应商）其法人参加本次采购活动前三年内，在经营活动中没有重大违法记录的声明及对本次项目《反商业贿赂承诺书》；</w:t>
            </w:r>
          </w:p>
        </w:tc>
        <w:tc>
          <w:tcPr>
            <w:tcW w:w="1742" w:type="dxa"/>
            <w:shd w:val="clear" w:color="auto" w:fill="auto"/>
            <w:noWrap w:val="0"/>
            <w:vAlign w:val="center"/>
          </w:tcPr>
          <w:p w14:paraId="3A5CEE92">
            <w:pPr>
              <w:pageBreakBefore w:val="0"/>
              <w:widowControl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18"/>
                <w:szCs w:val="18"/>
                <w:highlight w:val="none"/>
                <w:lang w:val="en-US" w:eastAsia="zh-CN"/>
              </w:rPr>
            </w:pPr>
          </w:p>
        </w:tc>
      </w:tr>
      <w:tr w14:paraId="2586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78" w:type="dxa"/>
            <w:shd w:val="clear" w:color="auto" w:fill="auto"/>
            <w:noWrap w:val="0"/>
            <w:vAlign w:val="center"/>
          </w:tcPr>
          <w:p w14:paraId="650B09FE">
            <w:pPr>
              <w:spacing w:line="300" w:lineRule="auto"/>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7</w:t>
            </w:r>
          </w:p>
        </w:tc>
        <w:tc>
          <w:tcPr>
            <w:tcW w:w="6301" w:type="dxa"/>
            <w:shd w:val="clear" w:color="auto" w:fill="auto"/>
            <w:noWrap w:val="0"/>
            <w:vAlign w:val="center"/>
          </w:tcPr>
          <w:p w14:paraId="28B68C35">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24"/>
                <w:szCs w:val="24"/>
                <w:highlight w:val="none"/>
                <w:lang w:val="en-US" w:eastAsia="zh-CN"/>
              </w:rPr>
              <w:t>在信用中国”（https://www.creditchina.gov.cn/）网站列入失信被执行人和重大税收违法失信主体的、被“中国政府采购网”（http://www.ccgp.gov.cn/）网站列入政府采购严重违法失信行为记录名单（处罚期限尚未届满的）的投标人，及“国家企业信用信息公示系统”（http://www.gsxt.gov.cn/index.html）被列入经营异常名录、严重违法失信企业名单（黑名单），不得参与本项目的政府采购活动</w:t>
            </w:r>
          </w:p>
        </w:tc>
        <w:tc>
          <w:tcPr>
            <w:tcW w:w="1742" w:type="dxa"/>
            <w:shd w:val="clear" w:color="auto" w:fill="auto"/>
            <w:noWrap w:val="0"/>
            <w:vAlign w:val="center"/>
          </w:tcPr>
          <w:p w14:paraId="05FECE14">
            <w:pPr>
              <w:pageBreakBefore w:val="0"/>
              <w:widowControl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18"/>
                <w:szCs w:val="18"/>
                <w:highlight w:val="none"/>
                <w:lang w:val="en-US" w:eastAsia="zh-CN"/>
              </w:rPr>
            </w:pPr>
          </w:p>
        </w:tc>
      </w:tr>
      <w:tr w14:paraId="6688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78" w:type="dxa"/>
            <w:shd w:val="clear" w:color="auto" w:fill="auto"/>
            <w:noWrap w:val="0"/>
            <w:vAlign w:val="center"/>
          </w:tcPr>
          <w:p w14:paraId="1A881289">
            <w:pPr>
              <w:spacing w:line="300" w:lineRule="auto"/>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8</w:t>
            </w:r>
          </w:p>
        </w:tc>
        <w:tc>
          <w:tcPr>
            <w:tcW w:w="6301" w:type="dxa"/>
            <w:shd w:val="clear" w:color="auto" w:fill="auto"/>
            <w:noWrap w:val="0"/>
            <w:vAlign w:val="center"/>
          </w:tcPr>
          <w:p w14:paraId="31AFF760">
            <w:pPr>
              <w:pageBreakBefore w:val="0"/>
              <w:widowControl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24"/>
                <w:szCs w:val="24"/>
                <w:highlight w:val="none"/>
                <w:lang w:val="en-US" w:eastAsia="zh-CN"/>
              </w:rPr>
              <w:t>资质要求：具备市政公用工程施工总承包三级及以上资质等级、有效的安全生产许可证；项目负责人具备市政公用工程二级及以上注册建造师执业资格且具有有效的安全生产考核证B证。</w:t>
            </w:r>
          </w:p>
        </w:tc>
        <w:tc>
          <w:tcPr>
            <w:tcW w:w="1742" w:type="dxa"/>
            <w:shd w:val="clear" w:color="auto" w:fill="auto"/>
            <w:noWrap w:val="0"/>
            <w:vAlign w:val="center"/>
          </w:tcPr>
          <w:p w14:paraId="599B0B17">
            <w:pPr>
              <w:pageBreakBefore w:val="0"/>
              <w:widowControl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18"/>
                <w:szCs w:val="18"/>
                <w:highlight w:val="none"/>
                <w:lang w:val="en-US" w:eastAsia="zh-CN"/>
              </w:rPr>
            </w:pPr>
          </w:p>
        </w:tc>
      </w:tr>
      <w:tr w14:paraId="16B6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79" w:type="dxa"/>
            <w:gridSpan w:val="2"/>
            <w:shd w:val="clear" w:color="auto" w:fill="auto"/>
            <w:noWrap w:val="0"/>
            <w:vAlign w:val="center"/>
          </w:tcPr>
          <w:p w14:paraId="06E0C4E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结论：通过评审打“√”，未通过评审打“×”</w:t>
            </w:r>
          </w:p>
        </w:tc>
        <w:tc>
          <w:tcPr>
            <w:tcW w:w="1742" w:type="dxa"/>
            <w:noWrap w:val="0"/>
            <w:vAlign w:val="center"/>
          </w:tcPr>
          <w:p w14:paraId="2F0D521D">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18"/>
                <w:szCs w:val="18"/>
                <w:highlight w:val="none"/>
                <w:lang w:val="en-US" w:eastAsia="zh-CN"/>
              </w:rPr>
            </w:pPr>
          </w:p>
        </w:tc>
      </w:tr>
    </w:tbl>
    <w:p w14:paraId="3037DCBD">
      <w:pPr>
        <w:spacing w:line="360" w:lineRule="auto"/>
        <w:jc w:val="center"/>
        <w:rPr>
          <w:rFonts w:hint="eastAsia" w:ascii="宋体" w:hAnsi="宋体" w:eastAsia="宋体" w:cs="宋体"/>
          <w:b/>
          <w:color w:val="auto"/>
          <w:sz w:val="28"/>
          <w:szCs w:val="28"/>
          <w:highlight w:val="none"/>
        </w:rPr>
      </w:pPr>
    </w:p>
    <w:p w14:paraId="0E6F725C">
      <w:pPr>
        <w:spacing w:line="360" w:lineRule="auto"/>
        <w:jc w:val="center"/>
        <w:rPr>
          <w:rFonts w:hint="eastAsia" w:ascii="宋体" w:hAnsi="宋体" w:eastAsia="宋体" w:cs="宋体"/>
          <w:b/>
          <w:color w:val="auto"/>
          <w:sz w:val="28"/>
          <w:szCs w:val="28"/>
          <w:highlight w:val="none"/>
        </w:rPr>
      </w:pPr>
    </w:p>
    <w:p w14:paraId="5778AB48">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初步评审—符合性审查表</w:t>
      </w:r>
    </w:p>
    <w:tbl>
      <w:tblPr>
        <w:tblStyle w:val="25"/>
        <w:tblpPr w:leftFromText="180" w:rightFromText="180" w:vertAnchor="text" w:horzAnchor="page" w:tblpXSpec="center" w:tblpY="154"/>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915"/>
        <w:gridCol w:w="1276"/>
      </w:tblGrid>
      <w:tr w14:paraId="7585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63" w:type="dxa"/>
            <w:gridSpan w:val="2"/>
            <w:vAlign w:val="center"/>
          </w:tcPr>
          <w:p w14:paraId="61A68C36">
            <w:pPr>
              <w:spacing w:line="300" w:lineRule="auto"/>
              <w:jc w:val="center"/>
              <w:rPr>
                <w:rFonts w:hint="eastAsia" w:ascii="宋体" w:hAnsi="宋体" w:eastAsia="宋体" w:cs="宋体"/>
                <w:b/>
                <w:color w:val="auto"/>
                <w:spacing w:val="-2"/>
                <w:sz w:val="24"/>
                <w:highlight w:val="none"/>
              </w:rPr>
            </w:pPr>
            <w:r>
              <w:rPr>
                <w:rFonts w:hint="eastAsia" w:ascii="宋体" w:hAnsi="宋体" w:eastAsia="宋体" w:cs="宋体"/>
                <w:b/>
                <w:color w:val="auto"/>
                <w:spacing w:val="-2"/>
                <w:sz w:val="24"/>
                <w:highlight w:val="none"/>
              </w:rPr>
              <w:t>评审内容</w:t>
            </w:r>
          </w:p>
        </w:tc>
        <w:tc>
          <w:tcPr>
            <w:tcW w:w="1276" w:type="dxa"/>
            <w:vAlign w:val="center"/>
          </w:tcPr>
          <w:p w14:paraId="0898D60A">
            <w:pPr>
              <w:spacing w:line="300" w:lineRule="auto"/>
              <w:jc w:val="center"/>
              <w:rPr>
                <w:rFonts w:hint="eastAsia" w:ascii="宋体" w:hAnsi="宋体" w:eastAsia="宋体" w:cs="宋体"/>
                <w:color w:val="auto"/>
                <w:spacing w:val="-2"/>
                <w:sz w:val="24"/>
                <w:highlight w:val="none"/>
              </w:rPr>
            </w:pPr>
            <w:r>
              <w:rPr>
                <w:rFonts w:hint="eastAsia" w:ascii="宋体" w:hAnsi="宋体" w:eastAsia="宋体" w:cs="宋体"/>
                <w:b/>
                <w:color w:val="auto"/>
                <w:sz w:val="24"/>
                <w:highlight w:val="none"/>
              </w:rPr>
              <w:t>评审意见</w:t>
            </w:r>
          </w:p>
        </w:tc>
      </w:tr>
      <w:tr w14:paraId="1F52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8" w:type="dxa"/>
            <w:vAlign w:val="center"/>
          </w:tcPr>
          <w:p w14:paraId="0233F14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序号</w:t>
            </w:r>
          </w:p>
        </w:tc>
        <w:tc>
          <w:tcPr>
            <w:tcW w:w="6915" w:type="dxa"/>
            <w:vAlign w:val="center"/>
          </w:tcPr>
          <w:p w14:paraId="02AACF9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宋体" w:hAnsi="宋体" w:eastAsia="宋体" w:cs="宋体"/>
                <w:b w:val="0"/>
                <w:bCs/>
                <w:color w:val="auto"/>
                <w:sz w:val="21"/>
                <w:szCs w:val="21"/>
                <w:highlight w:val="none"/>
                <w:lang w:val="en-US" w:eastAsia="zh-CN"/>
              </w:rPr>
            </w:pPr>
          </w:p>
        </w:tc>
        <w:tc>
          <w:tcPr>
            <w:tcW w:w="1276" w:type="dxa"/>
            <w:vAlign w:val="center"/>
          </w:tcPr>
          <w:p w14:paraId="103A191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是否合格</w:t>
            </w:r>
          </w:p>
        </w:tc>
      </w:tr>
      <w:tr w14:paraId="3A9A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7673429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915" w:type="dxa"/>
            <w:vAlign w:val="center"/>
          </w:tcPr>
          <w:p w14:paraId="56F4E65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投标报价高于预算金额；</w:t>
            </w:r>
          </w:p>
        </w:tc>
        <w:tc>
          <w:tcPr>
            <w:tcW w:w="1276" w:type="dxa"/>
            <w:vAlign w:val="center"/>
          </w:tcPr>
          <w:p w14:paraId="13E3AC7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1"/>
                <w:szCs w:val="21"/>
                <w:highlight w:val="none"/>
                <w:lang w:val="en-US" w:eastAsia="zh-CN"/>
              </w:rPr>
            </w:pPr>
          </w:p>
        </w:tc>
      </w:tr>
      <w:tr w14:paraId="26D0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vAlign w:val="center"/>
          </w:tcPr>
          <w:p w14:paraId="6B31E9E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915" w:type="dxa"/>
            <w:vAlign w:val="center"/>
          </w:tcPr>
          <w:p w14:paraId="0DFBF0D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供应商之间或者供应商与采购人串通投标的；</w:t>
            </w:r>
          </w:p>
        </w:tc>
        <w:tc>
          <w:tcPr>
            <w:tcW w:w="1276" w:type="dxa"/>
            <w:vAlign w:val="center"/>
          </w:tcPr>
          <w:p w14:paraId="34C215F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1"/>
                <w:szCs w:val="21"/>
                <w:highlight w:val="none"/>
                <w:lang w:val="en-US" w:eastAsia="zh-CN"/>
              </w:rPr>
            </w:pPr>
          </w:p>
        </w:tc>
      </w:tr>
      <w:tr w14:paraId="639B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vAlign w:val="center"/>
          </w:tcPr>
          <w:p w14:paraId="0BC8D4E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915" w:type="dxa"/>
            <w:vAlign w:val="center"/>
          </w:tcPr>
          <w:p w14:paraId="223DEFD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以行贿手段谋取成交或者以其他弄虚作假方式投标的；</w:t>
            </w:r>
          </w:p>
        </w:tc>
        <w:tc>
          <w:tcPr>
            <w:tcW w:w="1276" w:type="dxa"/>
            <w:vAlign w:val="center"/>
          </w:tcPr>
          <w:p w14:paraId="41A21AF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1"/>
                <w:szCs w:val="21"/>
                <w:highlight w:val="none"/>
                <w:lang w:val="en-US" w:eastAsia="zh-CN"/>
              </w:rPr>
            </w:pPr>
          </w:p>
        </w:tc>
      </w:tr>
      <w:tr w14:paraId="14A7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52A2876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915" w:type="dxa"/>
            <w:vAlign w:val="center"/>
          </w:tcPr>
          <w:p w14:paraId="4FD9C4B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评标委员会共同确定有实质上不响应磋商文件要求的；</w:t>
            </w:r>
          </w:p>
        </w:tc>
        <w:tc>
          <w:tcPr>
            <w:tcW w:w="1276" w:type="dxa"/>
            <w:vAlign w:val="center"/>
          </w:tcPr>
          <w:p w14:paraId="20FD487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1"/>
                <w:szCs w:val="21"/>
                <w:highlight w:val="none"/>
                <w:lang w:val="en-US" w:eastAsia="zh-CN"/>
              </w:rPr>
            </w:pPr>
          </w:p>
        </w:tc>
      </w:tr>
      <w:tr w14:paraId="0EBD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48" w:type="dxa"/>
            <w:vAlign w:val="center"/>
          </w:tcPr>
          <w:p w14:paraId="40DB7E4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915" w:type="dxa"/>
            <w:vAlign w:val="center"/>
          </w:tcPr>
          <w:p w14:paraId="58D041D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响应文件需供应商法定代表人或其授权代表签字或盖章和加盖供应商公章；</w:t>
            </w:r>
          </w:p>
        </w:tc>
        <w:tc>
          <w:tcPr>
            <w:tcW w:w="1276" w:type="dxa"/>
            <w:vAlign w:val="center"/>
          </w:tcPr>
          <w:p w14:paraId="65ACAD9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1"/>
                <w:szCs w:val="21"/>
                <w:highlight w:val="none"/>
                <w:lang w:val="en-US" w:eastAsia="zh-CN"/>
              </w:rPr>
            </w:pPr>
          </w:p>
        </w:tc>
      </w:tr>
      <w:tr w14:paraId="555F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48" w:type="dxa"/>
            <w:vAlign w:val="center"/>
          </w:tcPr>
          <w:p w14:paraId="08253CF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915" w:type="dxa"/>
            <w:vAlign w:val="center"/>
          </w:tcPr>
          <w:p w14:paraId="4C5B33C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投标的政府采购项目完成期限超过磋商文件规定期限的；</w:t>
            </w:r>
          </w:p>
        </w:tc>
        <w:tc>
          <w:tcPr>
            <w:tcW w:w="1276" w:type="dxa"/>
            <w:vAlign w:val="center"/>
          </w:tcPr>
          <w:p w14:paraId="39494CB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1"/>
                <w:szCs w:val="21"/>
                <w:highlight w:val="none"/>
                <w:lang w:val="en-US" w:eastAsia="zh-CN"/>
              </w:rPr>
            </w:pPr>
          </w:p>
        </w:tc>
      </w:tr>
      <w:tr w14:paraId="05E6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8" w:type="dxa"/>
            <w:vAlign w:val="center"/>
          </w:tcPr>
          <w:p w14:paraId="6E83524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915" w:type="dxa"/>
            <w:vAlign w:val="center"/>
          </w:tcPr>
          <w:p w14:paraId="3589313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响应文件载明的技术规格、技术标准、货物包装方式、检验标准和方法等，不符合磋商文件要求的；</w:t>
            </w:r>
          </w:p>
        </w:tc>
        <w:tc>
          <w:tcPr>
            <w:tcW w:w="1276" w:type="dxa"/>
            <w:vAlign w:val="center"/>
          </w:tcPr>
          <w:p w14:paraId="495BC4E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1"/>
                <w:szCs w:val="21"/>
                <w:highlight w:val="none"/>
                <w:lang w:val="en-US" w:eastAsia="zh-CN"/>
              </w:rPr>
            </w:pPr>
          </w:p>
        </w:tc>
      </w:tr>
      <w:tr w14:paraId="5203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4BF58C0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6915" w:type="dxa"/>
            <w:vAlign w:val="center"/>
          </w:tcPr>
          <w:p w14:paraId="52DB11B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响应文件附有采购人不能接受条件的；</w:t>
            </w:r>
          </w:p>
        </w:tc>
        <w:tc>
          <w:tcPr>
            <w:tcW w:w="1276" w:type="dxa"/>
            <w:vAlign w:val="center"/>
          </w:tcPr>
          <w:p w14:paraId="67ACC05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1"/>
                <w:szCs w:val="21"/>
                <w:highlight w:val="none"/>
                <w:lang w:val="en-US" w:eastAsia="zh-CN"/>
              </w:rPr>
            </w:pPr>
          </w:p>
        </w:tc>
      </w:tr>
      <w:tr w14:paraId="342F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vAlign w:val="center"/>
          </w:tcPr>
          <w:p w14:paraId="61B4168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6915" w:type="dxa"/>
            <w:vAlign w:val="center"/>
          </w:tcPr>
          <w:p w14:paraId="131F52C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不满足磋商文件实质性要求的其他情形.</w:t>
            </w:r>
          </w:p>
        </w:tc>
        <w:tc>
          <w:tcPr>
            <w:tcW w:w="1276" w:type="dxa"/>
            <w:vAlign w:val="center"/>
          </w:tcPr>
          <w:p w14:paraId="1DCA106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1"/>
                <w:szCs w:val="21"/>
                <w:highlight w:val="none"/>
                <w:lang w:val="en-US" w:eastAsia="zh-CN"/>
              </w:rPr>
            </w:pPr>
          </w:p>
        </w:tc>
      </w:tr>
      <w:tr w14:paraId="3487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vAlign w:val="center"/>
          </w:tcPr>
          <w:p w14:paraId="0A493A3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915" w:type="dxa"/>
            <w:vAlign w:val="center"/>
          </w:tcPr>
          <w:p w14:paraId="69DCE27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投标保证金缴纳有效证明；</w:t>
            </w:r>
          </w:p>
        </w:tc>
        <w:tc>
          <w:tcPr>
            <w:tcW w:w="1276" w:type="dxa"/>
            <w:vAlign w:val="center"/>
          </w:tcPr>
          <w:p w14:paraId="4C98820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1"/>
                <w:szCs w:val="21"/>
                <w:highlight w:val="none"/>
                <w:lang w:val="en-US" w:eastAsia="zh-CN"/>
              </w:rPr>
            </w:pPr>
          </w:p>
        </w:tc>
      </w:tr>
      <w:tr w14:paraId="7F0B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63" w:type="dxa"/>
            <w:gridSpan w:val="2"/>
            <w:vAlign w:val="center"/>
          </w:tcPr>
          <w:p w14:paraId="126842D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结论：通过评审打“√”，未通过评审打“×”</w:t>
            </w:r>
          </w:p>
        </w:tc>
        <w:tc>
          <w:tcPr>
            <w:tcW w:w="1276" w:type="dxa"/>
            <w:vAlign w:val="center"/>
          </w:tcPr>
          <w:p w14:paraId="02257E0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1"/>
                <w:szCs w:val="21"/>
                <w:highlight w:val="none"/>
                <w:lang w:val="en-US" w:eastAsia="zh-CN"/>
              </w:rPr>
            </w:pPr>
          </w:p>
        </w:tc>
      </w:tr>
    </w:tbl>
    <w:p w14:paraId="0C54B8C7">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8"/>
          <w:szCs w:val="28"/>
          <w:highlight w:val="none"/>
        </w:rPr>
      </w:pPr>
    </w:p>
    <w:p w14:paraId="0AA66DB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说明：</w:t>
      </w:r>
      <w:r>
        <w:rPr>
          <w:rFonts w:hint="eastAsia" w:ascii="宋体" w:hAnsi="宋体" w:eastAsia="宋体" w:cs="宋体"/>
          <w:b/>
          <w:color w:val="auto"/>
          <w:sz w:val="21"/>
          <w:szCs w:val="21"/>
          <w:highlight w:val="none"/>
          <w:lang w:eastAsia="zh-CN"/>
        </w:rPr>
        <w:t>磋商小组</w:t>
      </w:r>
      <w:r>
        <w:rPr>
          <w:rFonts w:hint="eastAsia" w:ascii="宋体" w:hAnsi="宋体" w:eastAsia="宋体" w:cs="宋体"/>
          <w:b/>
          <w:color w:val="auto"/>
          <w:sz w:val="21"/>
          <w:szCs w:val="21"/>
          <w:highlight w:val="none"/>
        </w:rPr>
        <w:t>对审查通过的，在对应栏打“√”</w:t>
      </w:r>
      <w:r>
        <w:rPr>
          <w:rFonts w:hint="eastAsia" w:ascii="宋体" w:hAnsi="宋体" w:eastAsia="宋体" w:cs="宋体"/>
          <w:b/>
          <w:color w:val="auto"/>
          <w:sz w:val="21"/>
          <w:szCs w:val="21"/>
          <w:highlight w:val="none"/>
          <w:lang w:val="en-US" w:eastAsia="zh-CN"/>
        </w:rPr>
        <w:t>或写“通过”</w:t>
      </w:r>
      <w:r>
        <w:rPr>
          <w:rFonts w:hint="eastAsia" w:ascii="宋体" w:hAnsi="宋体" w:eastAsia="宋体" w:cs="宋体"/>
          <w:b/>
          <w:color w:val="auto"/>
          <w:sz w:val="21"/>
          <w:szCs w:val="21"/>
          <w:highlight w:val="none"/>
        </w:rPr>
        <w:t>，未审查通过的，在对应栏打“×”</w:t>
      </w:r>
      <w:r>
        <w:rPr>
          <w:rFonts w:hint="eastAsia" w:ascii="宋体" w:hAnsi="宋体" w:eastAsia="宋体" w:cs="宋体"/>
          <w:b/>
          <w:color w:val="auto"/>
          <w:sz w:val="21"/>
          <w:szCs w:val="21"/>
          <w:highlight w:val="none"/>
          <w:lang w:val="en-US" w:eastAsia="zh-CN"/>
        </w:rPr>
        <w:t>或写“不通过”</w:t>
      </w:r>
      <w:bookmarkStart w:id="75" w:name="_Hlk508132005"/>
      <w:r>
        <w:rPr>
          <w:rFonts w:hint="eastAsia" w:ascii="宋体" w:hAnsi="宋体" w:eastAsia="宋体" w:cs="宋体"/>
          <w:b/>
          <w:color w:val="auto"/>
          <w:sz w:val="21"/>
          <w:szCs w:val="21"/>
          <w:highlight w:val="none"/>
          <w:lang w:val="en-US" w:eastAsia="zh-CN"/>
        </w:rPr>
        <w:t xml:space="preserve">若专家意见不一致时，则按少数服从多数的原则，由专家投票决定该供应商是否通过审查，进入下一阶段评审。 </w:t>
      </w:r>
    </w:p>
    <w:p w14:paraId="280E92D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3.2 有下列情形之一时，评标委员会应予废标，并将理由通知所有投标：</w:t>
      </w:r>
    </w:p>
    <w:p w14:paraId="6F5CD82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（1）符合专业条件的供应商或者对招标文件作实质性响应的供应商不足三家的；</w:t>
      </w:r>
    </w:p>
    <w:p w14:paraId="6E2270A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（2）出现影响招标公正的违法、违规行为的；</w:t>
      </w:r>
    </w:p>
    <w:p w14:paraId="1C6CDE8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（3）供应商的报价均超过了采购项目最高限价；</w:t>
      </w:r>
    </w:p>
    <w:p w14:paraId="6C41E3D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（4）因重大变故，采购任务取消的。</w:t>
      </w:r>
    </w:p>
    <w:p w14:paraId="529EA5E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4.磋商、响应文件有关事项的澄清、说明或者更正和最后报价</w:t>
      </w:r>
    </w:p>
    <w:p w14:paraId="474A198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4.1 对响应文件中含义不明确、同类问题表述不一致或者有明显文字和计算错误的内容，评标委员会将以书面形式通知供应商作出必要的澄清、说明，但不得超出响应文件的范围或对响应文件做实质性的修改（计算错误修正除外）。评标委员会不接受供应商主动提出的澄清、说明。</w:t>
      </w:r>
    </w:p>
    <w:p w14:paraId="4E234CD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4.2供应商不得对下列内容进行澄清或补充：</w:t>
      </w:r>
    </w:p>
    <w:p w14:paraId="3C38466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（1）开标时，未宣读的投标价格、价格折扣等实质性内容。</w:t>
      </w:r>
    </w:p>
    <w:p w14:paraId="412C66C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（2）不满足磋商文件的实质性要求的响应文件内容，</w:t>
      </w:r>
    </w:p>
    <w:p w14:paraId="7263FC6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4.3 计算错误将按以下方法修正：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若供应商拒绝接受上述修正，在评标时将其视为无效投标。</w:t>
      </w:r>
    </w:p>
    <w:p w14:paraId="6E3DE47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4.4 供应商的澄清、说明或者补正应该采用书面形式，由法定代表人或其授权的代理人签字，并按评标委员会的通知要求递交。</w:t>
      </w:r>
    </w:p>
    <w:p w14:paraId="1B29010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4.5 有效的书面澄清材料，是响应文件的补充材料，成为响应文件的组成部分。</w:t>
      </w:r>
    </w:p>
    <w:p w14:paraId="6BF07EDE">
      <w:pPr>
        <w:pStyle w:val="36"/>
        <w:rPr>
          <w:rFonts w:hint="eastAsia" w:ascii="宋体" w:hAnsi="宋体" w:eastAsia="宋体" w:cs="宋体"/>
          <w:color w:val="auto"/>
          <w:highlight w:val="none"/>
        </w:rPr>
      </w:pPr>
    </w:p>
    <w:p w14:paraId="296C8AA0">
      <w:pPr>
        <w:pStyle w:val="36"/>
        <w:rPr>
          <w:rFonts w:hint="eastAsia" w:ascii="宋体" w:hAnsi="宋体" w:eastAsia="宋体" w:cs="宋体"/>
          <w:color w:val="auto"/>
          <w:highlight w:val="none"/>
        </w:rPr>
      </w:pPr>
    </w:p>
    <w:p w14:paraId="61BA776E">
      <w:pPr>
        <w:pStyle w:val="36"/>
        <w:rPr>
          <w:rFonts w:hint="eastAsia" w:ascii="宋体" w:hAnsi="宋体" w:eastAsia="宋体" w:cs="宋体"/>
          <w:color w:val="auto"/>
          <w:highlight w:val="none"/>
        </w:rPr>
      </w:pPr>
    </w:p>
    <w:p w14:paraId="331851F0">
      <w:pPr>
        <w:pStyle w:val="7"/>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b/>
          <w:color w:val="auto"/>
          <w:sz w:val="24"/>
          <w:szCs w:val="24"/>
          <w:highlight w:val="none"/>
          <w:lang w:val="en-US"/>
        </w:rPr>
        <w:sectPr>
          <w:pgSz w:w="11906" w:h="16839"/>
          <w:pgMar w:top="1440" w:right="1080" w:bottom="1440" w:left="1080" w:header="907" w:footer="996" w:gutter="0"/>
          <w:pgNumType w:fmt="decimal"/>
          <w:cols w:space="720" w:num="1"/>
        </w:sectPr>
      </w:pPr>
    </w:p>
    <w:p w14:paraId="0021BBF8">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详细评审</w:t>
      </w:r>
    </w:p>
    <w:tbl>
      <w:tblPr>
        <w:tblStyle w:val="25"/>
        <w:tblpPr w:leftFromText="180" w:rightFromText="180" w:vertAnchor="text" w:horzAnchor="page" w:tblpX="880" w:tblpY="316"/>
        <w:tblOverlap w:val="never"/>
        <w:tblW w:w="103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2215"/>
        <w:gridCol w:w="5685"/>
        <w:gridCol w:w="1020"/>
      </w:tblGrid>
      <w:tr w14:paraId="0964D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393" w:type="dxa"/>
            <w:noWrap w:val="0"/>
            <w:tcMar>
              <w:top w:w="15" w:type="dxa"/>
              <w:left w:w="15" w:type="dxa"/>
              <w:right w:w="15" w:type="dxa"/>
            </w:tcMar>
            <w:vAlign w:val="center"/>
          </w:tcPr>
          <w:p w14:paraId="086832C7">
            <w:pPr>
              <w:widowControl/>
              <w:jc w:val="center"/>
              <w:textAlignment w:val="center"/>
              <w:rPr>
                <w:rFonts w:hint="eastAsia" w:ascii="宋体" w:hAnsi="宋体" w:eastAsia="宋体" w:cs="宋体"/>
                <w:b/>
                <w:color w:val="auto"/>
                <w:sz w:val="18"/>
                <w:szCs w:val="18"/>
                <w:highlight w:val="none"/>
                <w:lang w:eastAsia="zh-CN"/>
              </w:rPr>
            </w:pPr>
          </w:p>
        </w:tc>
        <w:tc>
          <w:tcPr>
            <w:tcW w:w="2215" w:type="dxa"/>
            <w:noWrap w:val="0"/>
            <w:tcMar>
              <w:top w:w="15" w:type="dxa"/>
              <w:left w:w="15" w:type="dxa"/>
              <w:right w:w="15" w:type="dxa"/>
            </w:tcMar>
            <w:vAlign w:val="center"/>
          </w:tcPr>
          <w:p w14:paraId="112C4128">
            <w:pPr>
              <w:widowControl/>
              <w:jc w:val="center"/>
              <w:textAlignment w:val="center"/>
              <w:rPr>
                <w:rFonts w:hint="eastAsia"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rPr>
              <w:t>评标因素</w:t>
            </w:r>
          </w:p>
        </w:tc>
        <w:tc>
          <w:tcPr>
            <w:tcW w:w="5685" w:type="dxa"/>
            <w:noWrap w:val="0"/>
            <w:tcMar>
              <w:top w:w="15" w:type="dxa"/>
              <w:left w:w="15" w:type="dxa"/>
              <w:right w:w="15" w:type="dxa"/>
            </w:tcMar>
            <w:vAlign w:val="center"/>
          </w:tcPr>
          <w:p w14:paraId="22F5E5ED">
            <w:pPr>
              <w:widowControl/>
              <w:jc w:val="center"/>
              <w:textAlignment w:val="center"/>
              <w:rPr>
                <w:rFonts w:hint="eastAsia"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rPr>
              <w:t>评分标准</w:t>
            </w:r>
          </w:p>
        </w:tc>
        <w:tc>
          <w:tcPr>
            <w:tcW w:w="1020" w:type="dxa"/>
            <w:noWrap w:val="0"/>
            <w:tcMar>
              <w:top w:w="15" w:type="dxa"/>
              <w:left w:w="15" w:type="dxa"/>
              <w:right w:w="15" w:type="dxa"/>
            </w:tcMar>
            <w:vAlign w:val="center"/>
          </w:tcPr>
          <w:p w14:paraId="4B59B150">
            <w:pPr>
              <w:widowControl/>
              <w:jc w:val="center"/>
              <w:textAlignment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分值</w:t>
            </w:r>
          </w:p>
        </w:tc>
      </w:tr>
      <w:tr w14:paraId="1F257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1393" w:type="dxa"/>
            <w:noWrap w:val="0"/>
            <w:tcMar>
              <w:top w:w="15" w:type="dxa"/>
              <w:left w:w="15" w:type="dxa"/>
              <w:right w:w="15" w:type="dxa"/>
            </w:tcMar>
            <w:vAlign w:val="center"/>
          </w:tcPr>
          <w:p w14:paraId="25425A2B">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投标报价（30分）</w:t>
            </w:r>
          </w:p>
        </w:tc>
        <w:tc>
          <w:tcPr>
            <w:tcW w:w="2215" w:type="dxa"/>
            <w:noWrap w:val="0"/>
            <w:tcMar>
              <w:top w:w="15" w:type="dxa"/>
              <w:left w:w="15" w:type="dxa"/>
              <w:right w:w="15" w:type="dxa"/>
            </w:tcMar>
            <w:vAlign w:val="center"/>
          </w:tcPr>
          <w:p w14:paraId="6715109D">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投标报价（30分）</w:t>
            </w:r>
          </w:p>
        </w:tc>
        <w:tc>
          <w:tcPr>
            <w:tcW w:w="5685" w:type="dxa"/>
            <w:noWrap w:val="0"/>
            <w:tcMar>
              <w:top w:w="15" w:type="dxa"/>
              <w:left w:w="15" w:type="dxa"/>
              <w:right w:w="15" w:type="dxa"/>
            </w:tcMar>
            <w:vAlign w:val="center"/>
          </w:tcPr>
          <w:p w14:paraId="0D481FBA">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满足招标文件要求且投标价格最低的投标报价为评标基准价，其价格得分为满分。其他投标人的价格得分统一按照下列公式计算：价格得分=（评标基准价/投标报价）×30%×100。</w:t>
            </w:r>
          </w:p>
        </w:tc>
        <w:tc>
          <w:tcPr>
            <w:tcW w:w="1020" w:type="dxa"/>
            <w:noWrap w:val="0"/>
            <w:tcMar>
              <w:top w:w="15" w:type="dxa"/>
              <w:left w:w="15" w:type="dxa"/>
              <w:right w:w="15" w:type="dxa"/>
            </w:tcMar>
            <w:vAlign w:val="center"/>
          </w:tcPr>
          <w:p w14:paraId="193793DA">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0-30分</w:t>
            </w:r>
          </w:p>
        </w:tc>
      </w:tr>
      <w:tr w14:paraId="5986B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1393" w:type="dxa"/>
            <w:vMerge w:val="restart"/>
            <w:noWrap w:val="0"/>
            <w:tcMar>
              <w:top w:w="15" w:type="dxa"/>
              <w:left w:w="15" w:type="dxa"/>
              <w:right w:w="15" w:type="dxa"/>
            </w:tcMar>
            <w:vAlign w:val="center"/>
          </w:tcPr>
          <w:p w14:paraId="6769AB14">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w:t>
            </w:r>
          </w:p>
        </w:tc>
        <w:tc>
          <w:tcPr>
            <w:tcW w:w="2215" w:type="dxa"/>
            <w:noWrap w:val="0"/>
            <w:tcMar>
              <w:top w:w="15" w:type="dxa"/>
              <w:left w:w="15" w:type="dxa"/>
              <w:right w:w="15" w:type="dxa"/>
            </w:tcMar>
            <w:vAlign w:val="center"/>
          </w:tcPr>
          <w:p w14:paraId="0A5EF3BE">
            <w:pPr>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制作标书（3分）</w:t>
            </w:r>
          </w:p>
        </w:tc>
        <w:tc>
          <w:tcPr>
            <w:tcW w:w="5685" w:type="dxa"/>
            <w:noWrap w:val="0"/>
            <w:tcMar>
              <w:top w:w="15" w:type="dxa"/>
              <w:left w:w="15" w:type="dxa"/>
              <w:right w:w="15" w:type="dxa"/>
            </w:tcMar>
            <w:vAlign w:val="center"/>
          </w:tcPr>
          <w:p w14:paraId="57451451">
            <w:pPr>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标函编制内容完整、齐全、叙述严谨；标书无涂改、错页、漏页现象的得3分；标书有涂改、错页、漏页等现象每错一处扣0.5分，连错三处得0分。</w:t>
            </w:r>
          </w:p>
        </w:tc>
        <w:tc>
          <w:tcPr>
            <w:tcW w:w="1020" w:type="dxa"/>
            <w:noWrap w:val="0"/>
            <w:tcMar>
              <w:top w:w="15" w:type="dxa"/>
              <w:left w:w="15" w:type="dxa"/>
              <w:right w:w="15" w:type="dxa"/>
            </w:tcMar>
            <w:vAlign w:val="center"/>
          </w:tcPr>
          <w:p w14:paraId="37075E44">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0-3分</w:t>
            </w:r>
          </w:p>
        </w:tc>
      </w:tr>
      <w:tr w14:paraId="65599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1393" w:type="dxa"/>
            <w:vMerge w:val="continue"/>
            <w:noWrap w:val="0"/>
            <w:tcMar>
              <w:top w:w="15" w:type="dxa"/>
              <w:left w:w="15" w:type="dxa"/>
              <w:right w:w="15" w:type="dxa"/>
            </w:tcMar>
            <w:vAlign w:val="center"/>
          </w:tcPr>
          <w:p w14:paraId="1A64CF61">
            <w:pPr>
              <w:rPr>
                <w:rFonts w:hint="eastAsia" w:ascii="宋体" w:hAnsi="宋体" w:eastAsia="宋体" w:cs="宋体"/>
                <w:color w:val="auto"/>
                <w:sz w:val="24"/>
                <w:szCs w:val="24"/>
                <w:highlight w:val="none"/>
                <w:lang w:val="en-US" w:eastAsia="zh-CN"/>
              </w:rPr>
            </w:pPr>
          </w:p>
        </w:tc>
        <w:tc>
          <w:tcPr>
            <w:tcW w:w="2215" w:type="dxa"/>
            <w:noWrap w:val="0"/>
            <w:tcMar>
              <w:top w:w="15" w:type="dxa"/>
              <w:left w:w="15" w:type="dxa"/>
              <w:right w:w="15" w:type="dxa"/>
            </w:tcMar>
            <w:vAlign w:val="center"/>
          </w:tcPr>
          <w:p w14:paraId="64C16CC0">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业绩（6分）</w:t>
            </w:r>
          </w:p>
        </w:tc>
        <w:tc>
          <w:tcPr>
            <w:tcW w:w="5685" w:type="dxa"/>
            <w:noWrap w:val="0"/>
            <w:tcMar>
              <w:top w:w="15" w:type="dxa"/>
              <w:left w:w="15" w:type="dxa"/>
              <w:right w:w="15" w:type="dxa"/>
            </w:tcMar>
            <w:vAlign w:val="center"/>
          </w:tcPr>
          <w:p w14:paraId="09A77D64">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投标企</w:t>
            </w:r>
            <w:r>
              <w:rPr>
                <w:rFonts w:hint="eastAsia" w:ascii="宋体" w:hAnsi="宋体" w:eastAsia="宋体" w:cs="宋体"/>
                <w:color w:val="0000FF"/>
                <w:sz w:val="24"/>
                <w:szCs w:val="24"/>
                <w:highlight w:val="none"/>
                <w:lang w:val="en-US" w:eastAsia="zh-CN"/>
              </w:rPr>
              <w:t>业提供近三年类似项目业绩（中标通知书或合同）一项的得2分，满分6分，无类似项目业绩的得0分。</w:t>
            </w:r>
          </w:p>
        </w:tc>
        <w:tc>
          <w:tcPr>
            <w:tcW w:w="1020" w:type="dxa"/>
            <w:noWrap w:val="0"/>
            <w:tcMar>
              <w:top w:w="15" w:type="dxa"/>
              <w:left w:w="15" w:type="dxa"/>
              <w:right w:w="15" w:type="dxa"/>
            </w:tcMar>
            <w:vAlign w:val="center"/>
          </w:tcPr>
          <w:p w14:paraId="25DA69AB">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0-6分</w:t>
            </w:r>
          </w:p>
        </w:tc>
      </w:tr>
      <w:tr w14:paraId="1BD9C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393" w:type="dxa"/>
            <w:vMerge w:val="restart"/>
            <w:noWrap w:val="0"/>
            <w:tcMar>
              <w:top w:w="15" w:type="dxa"/>
              <w:left w:w="15" w:type="dxa"/>
              <w:right w:w="15" w:type="dxa"/>
            </w:tcMar>
            <w:vAlign w:val="center"/>
          </w:tcPr>
          <w:p w14:paraId="21BC4374">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w:t>
            </w:r>
          </w:p>
        </w:tc>
        <w:tc>
          <w:tcPr>
            <w:tcW w:w="2215" w:type="dxa"/>
            <w:tcBorders>
              <w:bottom w:val="single" w:color="auto" w:sz="4" w:space="0"/>
            </w:tcBorders>
            <w:noWrap w:val="0"/>
            <w:tcMar>
              <w:top w:w="15" w:type="dxa"/>
              <w:left w:w="15" w:type="dxa"/>
              <w:right w:w="15" w:type="dxa"/>
            </w:tcMar>
            <w:vAlign w:val="center"/>
          </w:tcPr>
          <w:p w14:paraId="7A6701C9">
            <w:pPr>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人员配备（10分）</w:t>
            </w:r>
          </w:p>
        </w:tc>
        <w:tc>
          <w:tcPr>
            <w:tcW w:w="5685" w:type="dxa"/>
            <w:tcBorders>
              <w:bottom w:val="single" w:color="auto" w:sz="4" w:space="0"/>
            </w:tcBorders>
            <w:noWrap w:val="0"/>
            <w:tcMar>
              <w:top w:w="15" w:type="dxa"/>
              <w:left w:w="15" w:type="dxa"/>
              <w:right w:w="15" w:type="dxa"/>
            </w:tcMar>
            <w:vAlign w:val="center"/>
          </w:tcPr>
          <w:p w14:paraId="117C2A31">
            <w:pPr>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1.技术负责人、工程师具备工程师职称证；施工员、 质检员 、安全员 、机械员 、材料员 、其他人员岗位证书（每个得 1 分，最多得 7 分；</w:t>
            </w:r>
          </w:p>
          <w:p w14:paraId="366909BB">
            <w:pPr>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2.项目负责人有中级职称得 1 分；</w:t>
            </w:r>
          </w:p>
          <w:p w14:paraId="46E496E3">
            <w:pPr>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3.团队中有中级职称的一个得 1分，满分 2 分；</w:t>
            </w:r>
          </w:p>
          <w:p w14:paraId="19DD37C7">
            <w:pPr>
              <w:rPr>
                <w:rFonts w:hint="default"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注：需提供证件复印件加盖公章，未提供不得分。</w:t>
            </w:r>
          </w:p>
        </w:tc>
        <w:tc>
          <w:tcPr>
            <w:tcW w:w="1020" w:type="dxa"/>
            <w:tcBorders>
              <w:bottom w:val="single" w:color="auto" w:sz="4" w:space="0"/>
            </w:tcBorders>
            <w:noWrap w:val="0"/>
            <w:tcMar>
              <w:top w:w="15" w:type="dxa"/>
              <w:left w:w="15" w:type="dxa"/>
              <w:right w:w="15" w:type="dxa"/>
            </w:tcMar>
            <w:vAlign w:val="center"/>
          </w:tcPr>
          <w:p w14:paraId="3D5037D3">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0-10分</w:t>
            </w:r>
          </w:p>
        </w:tc>
      </w:tr>
      <w:tr w14:paraId="260DF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1393" w:type="dxa"/>
            <w:vMerge w:val="continue"/>
            <w:noWrap w:val="0"/>
            <w:tcMar>
              <w:top w:w="15" w:type="dxa"/>
              <w:left w:w="15" w:type="dxa"/>
              <w:right w:w="15" w:type="dxa"/>
            </w:tcMar>
            <w:vAlign w:val="center"/>
          </w:tcPr>
          <w:p w14:paraId="27CA4CAF">
            <w:pPr>
              <w:rPr>
                <w:rFonts w:hint="eastAsia" w:ascii="宋体" w:hAnsi="宋体" w:eastAsia="宋体" w:cs="宋体"/>
                <w:color w:val="auto"/>
                <w:sz w:val="24"/>
                <w:szCs w:val="24"/>
                <w:highlight w:val="none"/>
                <w:lang w:val="en-US" w:eastAsia="zh-CN"/>
              </w:rPr>
            </w:pPr>
          </w:p>
        </w:tc>
        <w:tc>
          <w:tcPr>
            <w:tcW w:w="2215" w:type="dxa"/>
            <w:tcBorders>
              <w:top w:val="single" w:color="auto" w:sz="4" w:space="0"/>
            </w:tcBorders>
            <w:shd w:val="clear" w:color="auto" w:fill="auto"/>
            <w:noWrap w:val="0"/>
            <w:tcMar>
              <w:top w:w="15" w:type="dxa"/>
              <w:left w:w="15" w:type="dxa"/>
              <w:right w:w="15" w:type="dxa"/>
            </w:tcMar>
            <w:vAlign w:val="center"/>
          </w:tcPr>
          <w:p w14:paraId="38DC040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合理化建议（6分）</w:t>
            </w:r>
          </w:p>
        </w:tc>
        <w:tc>
          <w:tcPr>
            <w:tcW w:w="5685" w:type="dxa"/>
            <w:tcBorders>
              <w:top w:val="single" w:color="auto" w:sz="4" w:space="0"/>
            </w:tcBorders>
            <w:shd w:val="clear" w:color="auto" w:fill="auto"/>
            <w:noWrap w:val="0"/>
            <w:tcMar>
              <w:top w:w="15" w:type="dxa"/>
              <w:left w:w="15" w:type="dxa"/>
              <w:right w:w="15" w:type="dxa"/>
            </w:tcMar>
            <w:vAlign w:val="center"/>
          </w:tcPr>
          <w:p w14:paraId="0FA3BBAE">
            <w:pPr>
              <w:rPr>
                <w:rFonts w:hint="eastAsia" w:ascii="宋体" w:hAnsi="宋体" w:eastAsia="宋体" w:cs="宋体"/>
                <w:color w:val="auto"/>
                <w:sz w:val="24"/>
                <w:szCs w:val="24"/>
                <w:highlight w:val="none"/>
                <w:lang w:val="en-US" w:eastAsia="zh-CN"/>
              </w:rPr>
            </w:pPr>
            <w:r>
              <w:rPr>
                <w:rFonts w:hint="eastAsia" w:ascii="宋体" w:hAnsi="宋体" w:eastAsia="宋体" w:cs="宋体"/>
                <w:color w:val="0000FF"/>
                <w:sz w:val="24"/>
                <w:szCs w:val="24"/>
                <w:highlight w:val="none"/>
                <w:lang w:val="en-US" w:eastAsia="zh-CN"/>
              </w:rPr>
              <w:t>给予合理化切实可行的建议可得 6 分，尚可得4分， 概念模糊阐述不清楚得0分。</w:t>
            </w:r>
          </w:p>
        </w:tc>
        <w:tc>
          <w:tcPr>
            <w:tcW w:w="1020" w:type="dxa"/>
            <w:tcBorders>
              <w:top w:val="single" w:color="auto" w:sz="4" w:space="0"/>
            </w:tcBorders>
            <w:shd w:val="clear" w:color="auto" w:fill="auto"/>
            <w:noWrap w:val="0"/>
            <w:tcMar>
              <w:top w:w="15" w:type="dxa"/>
              <w:left w:w="15" w:type="dxa"/>
              <w:right w:w="15" w:type="dxa"/>
            </w:tcMar>
            <w:vAlign w:val="center"/>
          </w:tcPr>
          <w:p w14:paraId="784CD1B7">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0-6分</w:t>
            </w:r>
          </w:p>
        </w:tc>
      </w:tr>
      <w:tr w14:paraId="46BFA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6" w:hRule="atLeast"/>
        </w:trPr>
        <w:tc>
          <w:tcPr>
            <w:tcW w:w="1393" w:type="dxa"/>
            <w:vMerge w:val="continue"/>
            <w:noWrap w:val="0"/>
            <w:tcMar>
              <w:top w:w="15" w:type="dxa"/>
              <w:left w:w="15" w:type="dxa"/>
              <w:right w:w="15" w:type="dxa"/>
            </w:tcMar>
            <w:vAlign w:val="top"/>
          </w:tcPr>
          <w:p w14:paraId="6BC6B4CA">
            <w:pPr>
              <w:rPr>
                <w:rFonts w:hint="eastAsia" w:ascii="宋体" w:hAnsi="宋体" w:eastAsia="宋体" w:cs="宋体"/>
                <w:color w:val="auto"/>
                <w:sz w:val="24"/>
                <w:szCs w:val="24"/>
                <w:highlight w:val="none"/>
                <w:lang w:val="en-US" w:eastAsia="zh-CN"/>
              </w:rPr>
            </w:pPr>
          </w:p>
        </w:tc>
        <w:tc>
          <w:tcPr>
            <w:tcW w:w="2215" w:type="dxa"/>
            <w:noWrap w:val="0"/>
            <w:tcMar>
              <w:top w:w="15" w:type="dxa"/>
              <w:left w:w="15" w:type="dxa"/>
              <w:right w:w="15" w:type="dxa"/>
            </w:tcMar>
            <w:vAlign w:val="top"/>
          </w:tcPr>
          <w:p w14:paraId="4018FF0F">
            <w:pPr>
              <w:rPr>
                <w:rFonts w:hint="eastAsia" w:ascii="宋体" w:hAnsi="宋体" w:eastAsia="宋体" w:cs="宋体"/>
                <w:color w:val="auto"/>
                <w:sz w:val="24"/>
                <w:szCs w:val="24"/>
                <w:highlight w:val="none"/>
                <w:lang w:val="en-US" w:eastAsia="zh-CN"/>
              </w:rPr>
            </w:pPr>
          </w:p>
          <w:p w14:paraId="43739EDA">
            <w:pPr>
              <w:rPr>
                <w:rFonts w:hint="eastAsia" w:ascii="宋体" w:hAnsi="宋体" w:eastAsia="宋体" w:cs="宋体"/>
                <w:color w:val="auto"/>
                <w:sz w:val="24"/>
                <w:szCs w:val="24"/>
                <w:highlight w:val="none"/>
                <w:lang w:val="en-US" w:eastAsia="zh-CN"/>
              </w:rPr>
            </w:pPr>
          </w:p>
          <w:p w14:paraId="6DF733B1">
            <w:pPr>
              <w:rPr>
                <w:rFonts w:hint="eastAsia" w:ascii="宋体" w:hAnsi="宋体" w:eastAsia="宋体" w:cs="宋体"/>
                <w:color w:val="auto"/>
                <w:sz w:val="24"/>
                <w:szCs w:val="24"/>
                <w:highlight w:val="none"/>
                <w:lang w:val="en-US" w:eastAsia="zh-CN"/>
              </w:rPr>
            </w:pPr>
          </w:p>
          <w:p w14:paraId="7BB6E30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实施方案（30 分）</w:t>
            </w:r>
          </w:p>
        </w:tc>
        <w:tc>
          <w:tcPr>
            <w:tcW w:w="5685" w:type="dxa"/>
            <w:noWrap w:val="0"/>
            <w:tcMar>
              <w:top w:w="15" w:type="dxa"/>
              <w:left w:w="15" w:type="dxa"/>
              <w:right w:w="15" w:type="dxa"/>
            </w:tcMar>
            <w:vAlign w:val="top"/>
          </w:tcPr>
          <w:p w14:paraId="5DAE95A8">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供应商根据项目特点，制定施工方案，包括：</w:t>
            </w:r>
          </w:p>
          <w:p w14:paraId="3C842087">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（1）企业综合能力；（2）针对本项目配备的施工设备设施；（3）应急预案能力；（4）安全管理措施；（5）服务管理能力；</w:t>
            </w:r>
          </w:p>
          <w:p w14:paraId="0BBEA467">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完整、完全满足项目需求、内容无错误或无缺陷的得30分。每有一项内容有缺陷或每有一项内容不满足项目需求或每有一项内容错误（内容错误或有缺陷是指：项目名称不符、需求理解错误，方案内容与项目需求不一致，涉及的技术规范标准等与国家或行业或采购文件要求不一致，方案内容存在凭空想象与编造、内容与实际实施存在差异性，语义表述不清，存在歧义、混乱，内容不充实完善等）的扣2分。扣完为止。</w:t>
            </w:r>
          </w:p>
        </w:tc>
        <w:tc>
          <w:tcPr>
            <w:tcW w:w="1020" w:type="dxa"/>
            <w:noWrap w:val="0"/>
            <w:tcMar>
              <w:top w:w="15" w:type="dxa"/>
              <w:left w:w="15" w:type="dxa"/>
              <w:right w:w="15" w:type="dxa"/>
            </w:tcMar>
            <w:vAlign w:val="center"/>
          </w:tcPr>
          <w:p w14:paraId="667769B1">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0-30分</w:t>
            </w:r>
          </w:p>
        </w:tc>
      </w:tr>
      <w:tr w14:paraId="47864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1" w:hRule="atLeast"/>
        </w:trPr>
        <w:tc>
          <w:tcPr>
            <w:tcW w:w="1393" w:type="dxa"/>
            <w:vMerge w:val="continue"/>
            <w:noWrap w:val="0"/>
            <w:tcMar>
              <w:top w:w="15" w:type="dxa"/>
              <w:left w:w="15" w:type="dxa"/>
              <w:right w:w="15" w:type="dxa"/>
            </w:tcMar>
            <w:vAlign w:val="top"/>
          </w:tcPr>
          <w:p w14:paraId="09A74D04">
            <w:pPr>
              <w:rPr>
                <w:rFonts w:hint="eastAsia" w:ascii="宋体" w:hAnsi="宋体" w:eastAsia="宋体" w:cs="宋体"/>
                <w:color w:val="auto"/>
                <w:sz w:val="24"/>
                <w:szCs w:val="24"/>
                <w:highlight w:val="none"/>
                <w:lang w:val="en-US" w:eastAsia="zh-CN"/>
              </w:rPr>
            </w:pPr>
          </w:p>
        </w:tc>
        <w:tc>
          <w:tcPr>
            <w:tcW w:w="2215" w:type="dxa"/>
            <w:noWrap w:val="0"/>
            <w:tcMar>
              <w:top w:w="15" w:type="dxa"/>
              <w:left w:w="15" w:type="dxa"/>
              <w:right w:w="15" w:type="dxa"/>
            </w:tcMar>
            <w:vAlign w:val="top"/>
          </w:tcPr>
          <w:p w14:paraId="1115B947">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劳动力计划和材料计划及保证措施（5 分）</w:t>
            </w:r>
          </w:p>
        </w:tc>
        <w:tc>
          <w:tcPr>
            <w:tcW w:w="5685" w:type="dxa"/>
            <w:noWrap w:val="0"/>
            <w:tcMar>
              <w:top w:w="15" w:type="dxa"/>
              <w:left w:w="15" w:type="dxa"/>
              <w:right w:w="15" w:type="dxa"/>
            </w:tcMar>
            <w:vAlign w:val="top"/>
          </w:tcPr>
          <w:p w14:paraId="6C49AF90">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劳动力配备充足，与进度计划呼应，较好满足施工要求 得（5 分）</w:t>
            </w:r>
          </w:p>
          <w:p w14:paraId="095D6E58">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与进度计划呼应，基本满足施工要求（3 分）</w:t>
            </w:r>
          </w:p>
          <w:p w14:paraId="2A04184B">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与进度计划不呼应，不能满足施工要求（0 分）</w:t>
            </w:r>
          </w:p>
        </w:tc>
        <w:tc>
          <w:tcPr>
            <w:tcW w:w="1020" w:type="dxa"/>
            <w:noWrap w:val="0"/>
            <w:tcMar>
              <w:top w:w="15" w:type="dxa"/>
              <w:left w:w="15" w:type="dxa"/>
              <w:right w:w="15" w:type="dxa"/>
            </w:tcMar>
            <w:vAlign w:val="center"/>
          </w:tcPr>
          <w:p w14:paraId="3A932860">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0-5分</w:t>
            </w:r>
          </w:p>
        </w:tc>
      </w:tr>
      <w:tr w14:paraId="7EBA0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0" w:hRule="atLeast"/>
        </w:trPr>
        <w:tc>
          <w:tcPr>
            <w:tcW w:w="1393" w:type="dxa"/>
            <w:vMerge w:val="continue"/>
            <w:noWrap w:val="0"/>
            <w:tcMar>
              <w:top w:w="15" w:type="dxa"/>
              <w:left w:w="15" w:type="dxa"/>
              <w:right w:w="15" w:type="dxa"/>
            </w:tcMar>
            <w:vAlign w:val="top"/>
          </w:tcPr>
          <w:p w14:paraId="2248C151">
            <w:pPr>
              <w:rPr>
                <w:rFonts w:hint="eastAsia" w:ascii="宋体" w:hAnsi="宋体" w:eastAsia="宋体" w:cs="宋体"/>
                <w:color w:val="auto"/>
                <w:sz w:val="24"/>
                <w:szCs w:val="24"/>
                <w:highlight w:val="none"/>
                <w:lang w:val="en-US" w:eastAsia="zh-CN"/>
              </w:rPr>
            </w:pPr>
          </w:p>
        </w:tc>
        <w:tc>
          <w:tcPr>
            <w:tcW w:w="2215" w:type="dxa"/>
            <w:noWrap w:val="0"/>
            <w:tcMar>
              <w:top w:w="15" w:type="dxa"/>
              <w:left w:w="15" w:type="dxa"/>
              <w:right w:w="15" w:type="dxa"/>
            </w:tcMar>
            <w:vAlign w:val="top"/>
          </w:tcPr>
          <w:p w14:paraId="236BBEA9">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现场文明施工措施（5分）</w:t>
            </w:r>
          </w:p>
        </w:tc>
        <w:tc>
          <w:tcPr>
            <w:tcW w:w="5685" w:type="dxa"/>
            <w:noWrap w:val="0"/>
            <w:tcMar>
              <w:top w:w="15" w:type="dxa"/>
              <w:left w:w="15" w:type="dxa"/>
              <w:right w:w="15" w:type="dxa"/>
            </w:tcMar>
            <w:vAlign w:val="top"/>
          </w:tcPr>
          <w:p w14:paraId="1EE29F47">
            <w:pP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措施应符合工程实际情况，切实可行。</w:t>
            </w:r>
          </w:p>
          <w:p w14:paraId="0E3DD695">
            <w:pP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现场文明施工措施科学、可行性高、效果显著得</w:t>
            </w:r>
            <w:r>
              <w:rPr>
                <w:rFonts w:hint="eastAsia" w:ascii="宋体" w:hAnsi="宋体" w:eastAsia="宋体" w:cs="宋体"/>
                <w:color w:val="auto"/>
                <w:sz w:val="24"/>
                <w:szCs w:val="24"/>
                <w:highlight w:val="none"/>
                <w:lang w:val="en-US" w:eastAsia="zh-CN"/>
              </w:rPr>
              <w:t>5</w:t>
            </w:r>
            <w:r>
              <w:rPr>
                <w:rFonts w:hint="default" w:ascii="宋体" w:hAnsi="宋体" w:eastAsia="宋体" w:cs="宋体"/>
                <w:color w:val="auto"/>
                <w:sz w:val="24"/>
                <w:szCs w:val="24"/>
                <w:highlight w:val="none"/>
                <w:lang w:val="en-US" w:eastAsia="zh-CN"/>
              </w:rPr>
              <w:t>分；</w:t>
            </w:r>
          </w:p>
          <w:p w14:paraId="0C24DFCE">
            <w:pP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现场文明施工措施基本满足工程需求得3分；</w:t>
            </w:r>
          </w:p>
          <w:p w14:paraId="054BDF3C">
            <w:pPr>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提供部分措施内容得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；不提供得0分。</w:t>
            </w:r>
          </w:p>
        </w:tc>
        <w:tc>
          <w:tcPr>
            <w:tcW w:w="1020" w:type="dxa"/>
            <w:noWrap w:val="0"/>
            <w:tcMar>
              <w:top w:w="15" w:type="dxa"/>
              <w:left w:w="15" w:type="dxa"/>
              <w:right w:w="15" w:type="dxa"/>
            </w:tcMar>
            <w:vAlign w:val="center"/>
          </w:tcPr>
          <w:p w14:paraId="6A38A85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0-5分</w:t>
            </w:r>
          </w:p>
        </w:tc>
      </w:tr>
      <w:tr w14:paraId="6CB33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6" w:hRule="atLeast"/>
        </w:trPr>
        <w:tc>
          <w:tcPr>
            <w:tcW w:w="1393" w:type="dxa"/>
            <w:vMerge w:val="continue"/>
            <w:tcBorders>
              <w:bottom w:val="single" w:color="auto" w:sz="4" w:space="0"/>
            </w:tcBorders>
            <w:noWrap w:val="0"/>
            <w:tcMar>
              <w:top w:w="15" w:type="dxa"/>
              <w:left w:w="15" w:type="dxa"/>
              <w:right w:w="15" w:type="dxa"/>
            </w:tcMar>
            <w:vAlign w:val="top"/>
          </w:tcPr>
          <w:p w14:paraId="08B3D097">
            <w:pPr>
              <w:rPr>
                <w:rFonts w:hint="eastAsia" w:ascii="宋体" w:hAnsi="宋体" w:eastAsia="宋体" w:cs="宋体"/>
                <w:color w:val="auto"/>
                <w:sz w:val="24"/>
                <w:szCs w:val="24"/>
                <w:highlight w:val="none"/>
                <w:lang w:val="en-US" w:eastAsia="zh-CN"/>
              </w:rPr>
            </w:pPr>
          </w:p>
        </w:tc>
        <w:tc>
          <w:tcPr>
            <w:tcW w:w="2215" w:type="dxa"/>
            <w:tcBorders>
              <w:top w:val="single" w:color="auto" w:sz="4" w:space="0"/>
              <w:bottom w:val="single" w:color="auto" w:sz="4" w:space="0"/>
            </w:tcBorders>
            <w:noWrap w:val="0"/>
            <w:tcMar>
              <w:top w:w="15" w:type="dxa"/>
              <w:left w:w="15" w:type="dxa"/>
              <w:right w:w="15" w:type="dxa"/>
            </w:tcMar>
            <w:vAlign w:val="top"/>
          </w:tcPr>
          <w:p w14:paraId="22E4CD8F">
            <w:pPr>
              <w:rPr>
                <w:rFonts w:hint="eastAsia" w:ascii="宋体" w:hAnsi="宋体" w:eastAsia="宋体" w:cs="宋体"/>
                <w:color w:val="auto"/>
                <w:sz w:val="24"/>
                <w:szCs w:val="24"/>
                <w:highlight w:val="none"/>
                <w:lang w:val="en-US" w:eastAsia="zh-CN"/>
              </w:rPr>
            </w:pPr>
          </w:p>
          <w:p w14:paraId="1D409E85">
            <w:pPr>
              <w:rPr>
                <w:rFonts w:hint="eastAsia" w:ascii="宋体" w:hAnsi="宋体" w:eastAsia="宋体" w:cs="宋体"/>
                <w:color w:val="auto"/>
                <w:sz w:val="24"/>
                <w:szCs w:val="24"/>
                <w:highlight w:val="none"/>
                <w:lang w:val="en-US" w:eastAsia="zh-CN"/>
              </w:rPr>
            </w:pPr>
          </w:p>
          <w:p w14:paraId="162C4D5B">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质量保证措施（5分）</w:t>
            </w:r>
          </w:p>
        </w:tc>
        <w:tc>
          <w:tcPr>
            <w:tcW w:w="5685" w:type="dxa"/>
            <w:tcBorders>
              <w:top w:val="single" w:color="auto" w:sz="4" w:space="0"/>
              <w:bottom w:val="single" w:color="auto" w:sz="4" w:space="0"/>
            </w:tcBorders>
            <w:noWrap w:val="0"/>
            <w:tcMar>
              <w:top w:w="15" w:type="dxa"/>
              <w:left w:w="15" w:type="dxa"/>
              <w:right w:w="15" w:type="dxa"/>
            </w:tcMar>
            <w:vAlign w:val="top"/>
          </w:tcPr>
          <w:p w14:paraId="3A704401">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编制了针对本工程的质量控制重点及质量通病预防措施（5 分）</w:t>
            </w:r>
          </w:p>
          <w:p w14:paraId="1FFADC57">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编制了针对本工程的质量控制重点，但质量通病预防措 施编制不详细（3 分）</w:t>
            </w:r>
          </w:p>
          <w:p w14:paraId="270C1C52">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针对本工程的质量控制重点及质量通病预防措施编制 过于简单（0分）</w:t>
            </w:r>
          </w:p>
        </w:tc>
        <w:tc>
          <w:tcPr>
            <w:tcW w:w="1020" w:type="dxa"/>
            <w:tcBorders>
              <w:top w:val="single" w:color="auto" w:sz="4" w:space="0"/>
              <w:bottom w:val="single" w:color="auto" w:sz="4" w:space="0"/>
            </w:tcBorders>
            <w:noWrap w:val="0"/>
            <w:tcMar>
              <w:top w:w="15" w:type="dxa"/>
              <w:left w:w="15" w:type="dxa"/>
              <w:right w:w="15" w:type="dxa"/>
            </w:tcMar>
            <w:vAlign w:val="center"/>
          </w:tcPr>
          <w:p w14:paraId="1165DDC3">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0-5分</w:t>
            </w:r>
          </w:p>
        </w:tc>
      </w:tr>
      <w:tr w14:paraId="78D69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393" w:type="dxa"/>
            <w:noWrap w:val="0"/>
            <w:tcMar>
              <w:top w:w="15" w:type="dxa"/>
              <w:left w:w="15" w:type="dxa"/>
              <w:right w:w="15" w:type="dxa"/>
            </w:tcMar>
            <w:vAlign w:val="center"/>
          </w:tcPr>
          <w:p w14:paraId="651740BD">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w:t>
            </w:r>
          </w:p>
        </w:tc>
        <w:tc>
          <w:tcPr>
            <w:tcW w:w="8920" w:type="dxa"/>
            <w:gridSpan w:val="3"/>
            <w:noWrap w:val="0"/>
            <w:tcMar>
              <w:top w:w="15" w:type="dxa"/>
              <w:left w:w="15" w:type="dxa"/>
              <w:right w:w="15" w:type="dxa"/>
            </w:tcMar>
            <w:vAlign w:val="center"/>
          </w:tcPr>
          <w:p w14:paraId="05959674">
            <w:pPr>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100分</w:t>
            </w:r>
          </w:p>
        </w:tc>
      </w:tr>
    </w:tbl>
    <w:p w14:paraId="30323917">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bookmarkEnd w:id="75"/>
    <w:p w14:paraId="4412723E">
      <w:pPr>
        <w:pageBreakBefore w:val="0"/>
        <w:kinsoku/>
        <w:overflowPunct/>
        <w:topLinePunct w:val="0"/>
        <w:bidi w:val="0"/>
        <w:spacing w:beforeAutospacing="0" w:after="0" w:afterAutospacing="0" w:line="240" w:lineRule="auto"/>
        <w:ind w:left="0" w:leftChars="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说明： 1、评委应在认真理解本竞争性磋商文件有关情况后， 做 出自己负责的按上述内容对投标人进行评审。 2、评分分值精确到小 数点后两位数。 3、响应文件与竞争性磋商文件有重大偏差时， 评委 在评审时需写明原因。 4 、供应商所提供的材料或者填写的内容必须 真实 、可靠， 如有虚假或隐瞒， 一经查实将导致投标被拒绝， 并按照 《中华人民共和国政府采购法》 第七十七条第一款“提供虚假材料谋 取中标、成交的”进行处罚，给采购人造成损失的应承担赔偿责任。</w:t>
      </w:r>
    </w:p>
    <w:p w14:paraId="2C4440D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3FEC180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1975A9E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2674C23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45A0DB8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5FB48B7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2C8404C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628B858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316B15D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4307BA2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67450385">
      <w:pPr>
        <w:pStyle w:val="2"/>
        <w:rPr>
          <w:rFonts w:hint="eastAsia" w:ascii="宋体" w:hAnsi="宋体" w:eastAsia="宋体" w:cs="宋体"/>
          <w:color w:val="auto"/>
          <w:highlight w:val="none"/>
        </w:rPr>
      </w:pPr>
    </w:p>
    <w:p w14:paraId="10FBB4DE">
      <w:pPr>
        <w:pStyle w:val="2"/>
        <w:rPr>
          <w:rFonts w:hint="eastAsia" w:ascii="宋体" w:hAnsi="宋体" w:eastAsia="宋体" w:cs="宋体"/>
          <w:color w:val="auto"/>
          <w:highlight w:val="none"/>
        </w:rPr>
      </w:pPr>
    </w:p>
    <w:p w14:paraId="03E5B3BB">
      <w:pPr>
        <w:pStyle w:val="2"/>
        <w:rPr>
          <w:rFonts w:hint="eastAsia" w:ascii="宋体" w:hAnsi="宋体" w:eastAsia="宋体" w:cs="宋体"/>
          <w:color w:val="auto"/>
          <w:highlight w:val="none"/>
        </w:rPr>
      </w:pPr>
    </w:p>
    <w:p w14:paraId="5681CE90">
      <w:pPr>
        <w:pStyle w:val="2"/>
        <w:rPr>
          <w:rFonts w:hint="eastAsia" w:ascii="宋体" w:hAnsi="宋体" w:eastAsia="宋体" w:cs="宋体"/>
          <w:color w:val="auto"/>
          <w:highlight w:val="none"/>
        </w:rPr>
      </w:pPr>
    </w:p>
    <w:p w14:paraId="724BB0A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szCs w:val="44"/>
          <w:highlight w:val="none"/>
        </w:rPr>
      </w:pPr>
    </w:p>
    <w:p w14:paraId="74D4018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r>
        <w:rPr>
          <w:rFonts w:hint="eastAsia" w:ascii="宋体" w:hAnsi="宋体" w:eastAsia="宋体" w:cs="宋体"/>
          <w:b/>
          <w:color w:val="auto"/>
          <w:sz w:val="44"/>
          <w:szCs w:val="44"/>
          <w:highlight w:val="none"/>
        </w:rPr>
        <w:t>第四章 合同条款及格式</w:t>
      </w:r>
    </w:p>
    <w:p w14:paraId="67B472C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6CFFE44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1"/>
          <w:szCs w:val="21"/>
          <w:highlight w:val="none"/>
        </w:rPr>
      </w:pPr>
    </w:p>
    <w:p w14:paraId="31CE585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以采购人提供的模板为准</w:t>
      </w:r>
    </w:p>
    <w:p w14:paraId="2500D30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1"/>
          <w:szCs w:val="21"/>
          <w:highlight w:val="none"/>
        </w:rPr>
      </w:pPr>
    </w:p>
    <w:p w14:paraId="1E99637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3F0FF0F3">
      <w:pPr>
        <w:pStyle w:val="2"/>
        <w:rPr>
          <w:rFonts w:hint="eastAsia" w:ascii="宋体" w:hAnsi="宋体" w:eastAsia="宋体" w:cs="宋体"/>
          <w:color w:val="auto"/>
          <w:highlight w:val="none"/>
        </w:rPr>
      </w:pPr>
    </w:p>
    <w:p w14:paraId="5CA71891">
      <w:pPr>
        <w:rPr>
          <w:rFonts w:hint="eastAsia" w:ascii="宋体" w:hAnsi="宋体" w:eastAsia="宋体" w:cs="宋体"/>
          <w:color w:val="auto"/>
          <w:highlight w:val="none"/>
        </w:rPr>
      </w:pPr>
    </w:p>
    <w:p w14:paraId="53EE414B">
      <w:pPr>
        <w:pStyle w:val="2"/>
        <w:rPr>
          <w:rFonts w:hint="eastAsia" w:ascii="宋体" w:hAnsi="宋体" w:eastAsia="宋体" w:cs="宋体"/>
          <w:color w:val="auto"/>
          <w:highlight w:val="none"/>
        </w:rPr>
      </w:pPr>
    </w:p>
    <w:p w14:paraId="598BA4C8">
      <w:pPr>
        <w:rPr>
          <w:rFonts w:hint="eastAsia" w:ascii="宋体" w:hAnsi="宋体" w:eastAsia="宋体" w:cs="宋体"/>
          <w:color w:val="auto"/>
          <w:highlight w:val="none"/>
        </w:rPr>
      </w:pPr>
    </w:p>
    <w:p w14:paraId="3DA2D03F">
      <w:pPr>
        <w:pStyle w:val="2"/>
        <w:rPr>
          <w:rFonts w:hint="eastAsia" w:ascii="宋体" w:hAnsi="宋体" w:eastAsia="宋体" w:cs="宋体"/>
          <w:color w:val="auto"/>
          <w:highlight w:val="none"/>
        </w:rPr>
      </w:pPr>
    </w:p>
    <w:p w14:paraId="330758A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6E30FF9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12B493E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51F672A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484B58D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67E940A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1913E5A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1E0725C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2642F72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47AFDA1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665CAA5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43B20FB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2A84C560">
      <w:pPr>
        <w:pStyle w:val="22"/>
        <w:rPr>
          <w:rFonts w:hint="eastAsia" w:ascii="宋体" w:hAnsi="宋体" w:eastAsia="宋体" w:cs="宋体"/>
          <w:color w:val="auto"/>
          <w:highlight w:val="none"/>
        </w:rPr>
      </w:pPr>
    </w:p>
    <w:p w14:paraId="4924DDE7">
      <w:pPr>
        <w:pStyle w:val="8"/>
        <w:rPr>
          <w:rFonts w:hint="eastAsia" w:ascii="宋体" w:hAnsi="宋体" w:eastAsia="宋体" w:cs="宋体"/>
          <w:color w:val="auto"/>
          <w:highlight w:val="none"/>
        </w:rPr>
      </w:pPr>
    </w:p>
    <w:p w14:paraId="5302743A">
      <w:pPr>
        <w:rPr>
          <w:rFonts w:hint="eastAsia" w:ascii="宋体" w:hAnsi="宋体" w:eastAsia="宋体" w:cs="宋体"/>
          <w:color w:val="auto"/>
          <w:highlight w:val="none"/>
        </w:rPr>
      </w:pPr>
    </w:p>
    <w:p w14:paraId="4A5EFAA2">
      <w:pPr>
        <w:pStyle w:val="22"/>
        <w:rPr>
          <w:rFonts w:hint="eastAsia" w:ascii="宋体" w:hAnsi="宋体" w:eastAsia="宋体" w:cs="宋体"/>
          <w:color w:val="auto"/>
          <w:highlight w:val="none"/>
        </w:rPr>
      </w:pPr>
    </w:p>
    <w:p w14:paraId="4DADC62D">
      <w:pPr>
        <w:pStyle w:val="8"/>
        <w:rPr>
          <w:rFonts w:hint="eastAsia" w:ascii="宋体" w:hAnsi="宋体" w:eastAsia="宋体" w:cs="宋体"/>
          <w:color w:val="auto"/>
          <w:highlight w:val="none"/>
        </w:rPr>
      </w:pPr>
    </w:p>
    <w:p w14:paraId="2F25BA78">
      <w:pPr>
        <w:rPr>
          <w:rFonts w:hint="eastAsia" w:ascii="宋体" w:hAnsi="宋体" w:eastAsia="宋体" w:cs="宋体"/>
          <w:color w:val="auto"/>
          <w:highlight w:val="none"/>
        </w:rPr>
      </w:pPr>
    </w:p>
    <w:p w14:paraId="147813F2">
      <w:pPr>
        <w:pStyle w:val="22"/>
        <w:rPr>
          <w:rFonts w:hint="eastAsia" w:ascii="宋体" w:hAnsi="宋体" w:eastAsia="宋体" w:cs="宋体"/>
          <w:color w:val="auto"/>
          <w:highlight w:val="none"/>
        </w:rPr>
      </w:pPr>
    </w:p>
    <w:p w14:paraId="1077771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023F04D9">
      <w:pPr>
        <w:pStyle w:val="7"/>
        <w:rPr>
          <w:rFonts w:hint="eastAsia" w:ascii="宋体" w:hAnsi="宋体" w:eastAsia="宋体" w:cs="宋体"/>
          <w:color w:val="auto"/>
          <w:highlight w:val="none"/>
        </w:rPr>
      </w:pPr>
    </w:p>
    <w:p w14:paraId="1D2893E1">
      <w:pPr>
        <w:pStyle w:val="7"/>
        <w:rPr>
          <w:rFonts w:hint="eastAsia" w:ascii="宋体" w:hAnsi="宋体" w:eastAsia="宋体" w:cs="宋体"/>
          <w:color w:val="auto"/>
          <w:highlight w:val="none"/>
        </w:rPr>
      </w:pPr>
    </w:p>
    <w:p w14:paraId="24D1BCD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2D94C248">
      <w:pPr>
        <w:ind w:firstLine="320" w:firstLineChars="100"/>
        <w:jc w:val="left"/>
        <w:rPr>
          <w:rFonts w:hint="eastAsia" w:ascii="宋体" w:hAnsi="宋体" w:eastAsia="宋体" w:cs="宋体"/>
          <w:bCs/>
          <w:color w:val="auto"/>
          <w:sz w:val="32"/>
          <w:szCs w:val="32"/>
          <w:highlight w:val="none"/>
        </w:rPr>
      </w:pPr>
      <w:bookmarkStart w:id="76" w:name="_Toc296890982"/>
      <w:bookmarkStart w:id="77" w:name="_Toc296503025"/>
      <w:r>
        <w:rPr>
          <w:rFonts w:hint="eastAsia" w:ascii="宋体" w:hAnsi="宋体" w:eastAsia="宋体" w:cs="宋体"/>
          <w:bCs/>
          <w:color w:val="auto"/>
          <w:sz w:val="32"/>
          <w:szCs w:val="32"/>
          <w:highlight w:val="none"/>
        </w:rPr>
        <w:t>（GF—201</w:t>
      </w:r>
      <w:r>
        <w:rPr>
          <w:rFonts w:hint="eastAsia" w:ascii="宋体" w:hAnsi="宋体" w:eastAsia="宋体" w:cs="宋体"/>
          <w:bCs/>
          <w:color w:val="auto"/>
          <w:sz w:val="32"/>
          <w:szCs w:val="32"/>
          <w:highlight w:val="none"/>
          <w:lang w:val="en-US" w:eastAsia="zh-CN"/>
        </w:rPr>
        <w:t>7</w:t>
      </w:r>
      <w:r>
        <w:rPr>
          <w:rFonts w:hint="eastAsia" w:ascii="宋体" w:hAnsi="宋体" w:eastAsia="宋体" w:cs="宋体"/>
          <w:bCs/>
          <w:color w:val="auto"/>
          <w:sz w:val="32"/>
          <w:szCs w:val="32"/>
          <w:highlight w:val="none"/>
        </w:rPr>
        <w:t>—</w:t>
      </w:r>
      <w:r>
        <w:rPr>
          <w:rFonts w:hint="eastAsia" w:ascii="宋体" w:hAnsi="宋体" w:eastAsia="宋体" w:cs="宋体"/>
          <w:bCs/>
          <w:color w:val="auto"/>
          <w:sz w:val="32"/>
          <w:szCs w:val="32"/>
          <w:highlight w:val="none"/>
          <w:lang w:val="en-US" w:eastAsia="zh-CN"/>
        </w:rPr>
        <w:t>0201</w:t>
      </w:r>
      <w:r>
        <w:rPr>
          <w:rFonts w:hint="eastAsia" w:ascii="宋体" w:hAnsi="宋体" w:eastAsia="宋体" w:cs="宋体"/>
          <w:bCs/>
          <w:color w:val="auto"/>
          <w:sz w:val="32"/>
          <w:szCs w:val="32"/>
          <w:highlight w:val="none"/>
        </w:rPr>
        <w:t>）</w:t>
      </w:r>
    </w:p>
    <w:p w14:paraId="0C6C4991">
      <w:pPr>
        <w:jc w:val="center"/>
        <w:rPr>
          <w:rFonts w:hint="eastAsia" w:ascii="宋体" w:hAnsi="宋体" w:eastAsia="宋体" w:cs="宋体"/>
          <w:b/>
          <w:color w:val="auto"/>
          <w:sz w:val="52"/>
          <w:szCs w:val="52"/>
          <w:highlight w:val="none"/>
        </w:rPr>
      </w:pPr>
    </w:p>
    <w:p w14:paraId="7C1E5B02">
      <w:pPr>
        <w:jc w:val="center"/>
        <w:rPr>
          <w:rFonts w:hint="eastAsia" w:ascii="宋体" w:hAnsi="宋体" w:eastAsia="宋体" w:cs="宋体"/>
          <w:b/>
          <w:color w:val="auto"/>
          <w:sz w:val="52"/>
          <w:szCs w:val="52"/>
          <w:highlight w:val="none"/>
        </w:rPr>
      </w:pPr>
    </w:p>
    <w:p w14:paraId="22B35AAD">
      <w:pPr>
        <w:jc w:val="center"/>
        <w:rPr>
          <w:rFonts w:hint="eastAsia" w:ascii="宋体" w:hAnsi="宋体" w:eastAsia="宋体" w:cs="宋体"/>
          <w:b/>
          <w:color w:val="auto"/>
          <w:sz w:val="52"/>
          <w:szCs w:val="52"/>
          <w:highlight w:val="none"/>
        </w:rPr>
      </w:pPr>
    </w:p>
    <w:p w14:paraId="1B1856DB">
      <w:pPr>
        <w:jc w:val="center"/>
        <w:rPr>
          <w:rFonts w:hint="eastAsia" w:ascii="宋体" w:hAnsi="宋体" w:eastAsia="宋体" w:cs="宋体"/>
          <w:b/>
          <w:color w:val="auto"/>
          <w:sz w:val="52"/>
          <w:szCs w:val="52"/>
          <w:highlight w:val="none"/>
        </w:rPr>
      </w:pPr>
    </w:p>
    <w:p w14:paraId="59180F38">
      <w:pPr>
        <w:jc w:val="center"/>
        <w:rPr>
          <w:rFonts w:hint="eastAsia" w:ascii="宋体" w:hAnsi="宋体" w:eastAsia="宋体" w:cs="宋体"/>
          <w:b/>
          <w:color w:val="auto"/>
          <w:sz w:val="72"/>
          <w:szCs w:val="52"/>
          <w:highlight w:val="none"/>
        </w:rPr>
      </w:pPr>
      <w:r>
        <w:rPr>
          <w:rFonts w:hint="eastAsia" w:ascii="宋体" w:hAnsi="宋体" w:eastAsia="宋体" w:cs="宋体"/>
          <w:b/>
          <w:color w:val="auto"/>
          <w:sz w:val="72"/>
          <w:szCs w:val="52"/>
          <w:highlight w:val="none"/>
        </w:rPr>
        <w:t>建设工程施工合同</w:t>
      </w:r>
    </w:p>
    <w:p w14:paraId="077B2B1D">
      <w:pPr>
        <w:jc w:val="center"/>
        <w:rPr>
          <w:rFonts w:hint="eastAsia" w:ascii="宋体" w:hAnsi="宋体" w:eastAsia="宋体" w:cs="宋体"/>
          <w:b/>
          <w:color w:val="auto"/>
          <w:sz w:val="72"/>
          <w:szCs w:val="72"/>
          <w:highlight w:val="none"/>
        </w:rPr>
      </w:pPr>
    </w:p>
    <w:p w14:paraId="41F37E9F">
      <w:pPr>
        <w:jc w:val="center"/>
        <w:rPr>
          <w:rFonts w:hint="eastAsia" w:ascii="宋体" w:hAnsi="宋体" w:eastAsia="宋体" w:cs="宋体"/>
          <w:b/>
          <w:color w:val="auto"/>
          <w:sz w:val="72"/>
          <w:szCs w:val="72"/>
          <w:highlight w:val="none"/>
        </w:rPr>
      </w:pPr>
    </w:p>
    <w:p w14:paraId="11620848">
      <w:pPr>
        <w:jc w:val="center"/>
        <w:rPr>
          <w:rFonts w:hint="eastAsia" w:ascii="宋体" w:hAnsi="宋体" w:eastAsia="宋体" w:cs="宋体"/>
          <w:b/>
          <w:color w:val="auto"/>
          <w:sz w:val="52"/>
          <w:szCs w:val="52"/>
          <w:highlight w:val="none"/>
        </w:rPr>
      </w:pPr>
    </w:p>
    <w:p w14:paraId="0B6B2DC6">
      <w:pPr>
        <w:rPr>
          <w:rFonts w:hint="eastAsia" w:ascii="宋体" w:hAnsi="宋体" w:eastAsia="宋体" w:cs="宋体"/>
          <w:b/>
          <w:color w:val="auto"/>
          <w:sz w:val="28"/>
          <w:szCs w:val="28"/>
          <w:highlight w:val="none"/>
        </w:rPr>
      </w:pPr>
    </w:p>
    <w:p w14:paraId="213E0756">
      <w:pPr>
        <w:rPr>
          <w:rFonts w:hint="eastAsia" w:ascii="宋体" w:hAnsi="宋体" w:eastAsia="宋体" w:cs="宋体"/>
          <w:b/>
          <w:color w:val="auto"/>
          <w:sz w:val="28"/>
          <w:szCs w:val="28"/>
          <w:highlight w:val="none"/>
        </w:rPr>
      </w:pPr>
    </w:p>
    <w:p w14:paraId="4DA56C0B">
      <w:pPr>
        <w:ind w:right="2849" w:rightChars="1295" w:firstLine="2868" w:firstLineChars="1304"/>
        <w:jc w:val="distribute"/>
        <w:rPr>
          <w:rFonts w:hint="eastAsia" w:ascii="宋体" w:hAnsi="宋体" w:eastAsia="宋体" w:cs="宋体"/>
          <w:b/>
          <w:color w:val="auto"/>
          <w:sz w:val="32"/>
          <w:szCs w:val="28"/>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3970020</wp:posOffset>
                </wp:positionH>
                <wp:positionV relativeFrom="paragraph">
                  <wp:posOffset>120015</wp:posOffset>
                </wp:positionV>
                <wp:extent cx="723900" cy="457200"/>
                <wp:effectExtent l="4445" t="4445" r="18415" b="1079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DDF1CB4">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6432;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7DDF1CB4">
                      <w:pPr>
                        <w:rPr>
                          <w:rFonts w:hint="eastAsia"/>
                          <w:b/>
                          <w:bCs/>
                          <w:sz w:val="32"/>
                        </w:rPr>
                      </w:pPr>
                      <w:r>
                        <w:rPr>
                          <w:rFonts w:hint="eastAsia"/>
                          <w:b/>
                          <w:bCs/>
                          <w:sz w:val="32"/>
                        </w:rPr>
                        <w:t>制定</w:t>
                      </w:r>
                    </w:p>
                  </w:txbxContent>
                </v:textbox>
              </v:shape>
            </w:pict>
          </mc:Fallback>
        </mc:AlternateContent>
      </w:r>
      <w:r>
        <w:rPr>
          <w:rFonts w:hint="eastAsia" w:ascii="宋体" w:hAnsi="宋体" w:eastAsia="宋体" w:cs="宋体"/>
          <w:b/>
          <w:color w:val="auto"/>
          <w:sz w:val="32"/>
          <w:szCs w:val="28"/>
          <w:highlight w:val="none"/>
        </w:rPr>
        <w:t>住房城乡建设部</w:t>
      </w:r>
    </w:p>
    <w:p w14:paraId="5571D8AB">
      <w:pPr>
        <w:ind w:right="2849" w:rightChars="1295" w:firstLine="2750" w:firstLineChars="856"/>
        <w:jc w:val="distribute"/>
        <w:rPr>
          <w:rFonts w:hint="eastAsia" w:ascii="宋体" w:hAnsi="宋体" w:eastAsia="宋体" w:cs="宋体"/>
          <w:b/>
          <w:color w:val="auto"/>
          <w:sz w:val="32"/>
          <w:szCs w:val="28"/>
          <w:highlight w:val="none"/>
        </w:rPr>
      </w:pPr>
      <w:r>
        <w:rPr>
          <w:rFonts w:hint="eastAsia" w:ascii="宋体" w:hAnsi="宋体" w:eastAsia="宋体" w:cs="宋体"/>
          <w:b/>
          <w:color w:val="auto"/>
          <w:sz w:val="32"/>
          <w:szCs w:val="28"/>
          <w:highlight w:val="none"/>
        </w:rPr>
        <w:t>国家工商行政管理总局</w:t>
      </w:r>
    </w:p>
    <w:p w14:paraId="48CB8E93">
      <w:pPr>
        <w:rPr>
          <w:rFonts w:hint="eastAsia" w:ascii="宋体" w:hAnsi="宋体" w:eastAsia="宋体" w:cs="宋体"/>
          <w:b/>
          <w:color w:val="auto"/>
          <w:highlight w:val="none"/>
        </w:rPr>
      </w:pPr>
    </w:p>
    <w:p w14:paraId="5CB00BDC">
      <w:pPr>
        <w:adjustRightInd w:val="0"/>
        <w:snapToGrid w:val="0"/>
        <w:ind w:right="2849" w:rightChars="1295"/>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40CC27E3">
      <w:pPr>
        <w:adjustRightInd w:val="0"/>
        <w:snapToGrid w:val="0"/>
        <w:ind w:right="2849" w:rightChars="1295"/>
        <w:jc w:val="center"/>
        <w:rPr>
          <w:rFonts w:hint="eastAsia" w:ascii="宋体" w:hAnsi="宋体" w:eastAsia="宋体" w:cs="宋体"/>
          <w:color w:val="auto"/>
          <w:sz w:val="44"/>
          <w:szCs w:val="44"/>
          <w:highlight w:val="none"/>
        </w:rPr>
      </w:pPr>
      <w:r>
        <w:rPr>
          <w:rFonts w:hint="eastAsia" w:ascii="宋体" w:hAnsi="宋体" w:eastAsia="宋体" w:cs="宋体"/>
          <w:b/>
          <w:color w:val="auto"/>
          <w:sz w:val="44"/>
          <w:szCs w:val="44"/>
          <w:highlight w:val="none"/>
        </w:rPr>
        <w:t xml:space="preserve"> </w:t>
      </w:r>
      <w:r>
        <w:rPr>
          <w:rFonts w:hint="eastAsia" w:ascii="宋体" w:hAnsi="宋体" w:eastAsia="宋体" w:cs="宋体"/>
          <w:b/>
          <w:color w:val="auto"/>
          <w:sz w:val="44"/>
          <w:szCs w:val="44"/>
          <w:highlight w:val="none"/>
          <w:lang w:val="zh-CN"/>
        </w:rPr>
        <w:t>说         明</w:t>
      </w:r>
    </w:p>
    <w:p w14:paraId="2E7AAF76">
      <w:pPr>
        <w:adjustRightInd w:val="0"/>
        <w:snapToGrid w:val="0"/>
        <w:ind w:firstLine="600" w:firstLineChars="200"/>
        <w:rPr>
          <w:rFonts w:hint="eastAsia" w:ascii="宋体" w:hAnsi="宋体" w:eastAsia="宋体" w:cs="宋体"/>
          <w:color w:val="auto"/>
          <w:sz w:val="30"/>
          <w:szCs w:val="30"/>
          <w:highlight w:val="none"/>
        </w:rPr>
      </w:pPr>
    </w:p>
    <w:p w14:paraId="1F32D3C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为了指导建设工程施工合同当事人的签约行为，维护合同当事人的合法权益，依据《中华人民共和国</w:t>
      </w:r>
      <w:r>
        <w:rPr>
          <w:rFonts w:hint="eastAsia" w:ascii="宋体" w:hAnsi="宋体" w:eastAsia="宋体" w:cs="宋体"/>
          <w:color w:val="auto"/>
          <w:sz w:val="28"/>
          <w:szCs w:val="28"/>
          <w:highlight w:val="none"/>
          <w:lang w:val="en-US" w:eastAsia="zh-CN"/>
        </w:rPr>
        <w:t>民法典</w:t>
      </w:r>
      <w:r>
        <w:rPr>
          <w:rFonts w:hint="eastAsia" w:ascii="宋体" w:hAnsi="宋体" w:eastAsia="宋体" w:cs="宋体"/>
          <w:color w:val="auto"/>
          <w:sz w:val="28"/>
          <w:szCs w:val="28"/>
          <w:highlight w:val="none"/>
        </w:rPr>
        <w:t>》、《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0F2B6FF1">
      <w:p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一、《示范文本》的组成</w:t>
      </w:r>
    </w:p>
    <w:p w14:paraId="24F7536B">
      <w:pPr>
        <w:adjustRightInd w:val="0"/>
        <w:snapToGrid w:val="0"/>
        <w:spacing w:line="500" w:lineRule="exact"/>
        <w:ind w:firstLine="536" w:firstLineChars="200"/>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《示范文本》由合同协议书、通用合同条款和专用合同条款三部分组成。</w:t>
      </w:r>
    </w:p>
    <w:p w14:paraId="5124444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（一）合同协议书</w:t>
      </w:r>
    </w:p>
    <w:p w14:paraId="12B1C9D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75354815">
      <w:pPr>
        <w:numPr>
          <w:ilvl w:val="0"/>
          <w:numId w:val="4"/>
        </w:numPr>
        <w:adjustRightInd w:val="0"/>
        <w:snapToGrid w:val="0"/>
        <w:spacing w:line="500" w:lineRule="exact"/>
        <w:ind w:firstLine="560" w:firstLineChars="200"/>
        <w:rPr>
          <w:rFonts w:hint="eastAsia"/>
        </w:rPr>
      </w:pPr>
      <w:r>
        <w:rPr>
          <w:rFonts w:hint="eastAsia" w:ascii="宋体" w:hAnsi="宋体" w:eastAsia="宋体" w:cs="宋体"/>
          <w:color w:val="auto"/>
          <w:sz w:val="28"/>
          <w:szCs w:val="28"/>
          <w:highlight w:val="none"/>
        </w:rPr>
        <w:t>通用合同条款</w:t>
      </w:r>
    </w:p>
    <w:p w14:paraId="60A0ED0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通用合同条款是合同当事人根据《中华人民共和国建筑法》、《中华人民共和国合同法》等法律法规的规定，就工程建设的实施及相关事项，对合同当事人的权利义务作出的原则性约定。</w:t>
      </w:r>
    </w:p>
    <w:p w14:paraId="75E7BE1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用合同条款共计20条，具体条款分别为：一般约定、发包人、承包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5FB7E0D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（三）专用合同条款</w:t>
      </w:r>
    </w:p>
    <w:p w14:paraId="10509ED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5D073730">
      <w:pPr>
        <w:adjustRightInd w:val="0"/>
        <w:snapToGrid w:val="0"/>
        <w:spacing w:line="500" w:lineRule="exact"/>
        <w:ind w:right="26" w:rightChars="12"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1.专用合同条款的编号应与相应的通用合同条款的编号一致；</w:t>
      </w:r>
    </w:p>
    <w:p w14:paraId="5E343BA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2.合同当事人可以通过对专用合同条款的修改，满足具体建设工程的特殊要求，避免直接修改通用合同条款；</w:t>
      </w:r>
    </w:p>
    <w:p w14:paraId="264F6E7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3.在专用合同条款中有横道线的地方，合同当事人可针对相应的通用合同条款进行细化、完善、补充、修改或另行约定；如无细化、完善、补充、修改或另行约定，则填写“无”或划“/”。</w:t>
      </w:r>
    </w:p>
    <w:p w14:paraId="513A1774">
      <w:pPr>
        <w:adjustRightInd w:val="0"/>
        <w:snapToGrid w:val="0"/>
        <w:spacing w:line="5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二、《示范文本》的性质和适用范围</w:t>
      </w:r>
    </w:p>
    <w:p w14:paraId="2ED7A95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035E0C17">
      <w:pPr>
        <w:pStyle w:val="7"/>
        <w:rPr>
          <w:rFonts w:hint="eastAsia" w:ascii="宋体" w:hAnsi="宋体" w:eastAsia="宋体" w:cs="宋体"/>
          <w:color w:val="auto"/>
          <w:sz w:val="28"/>
          <w:szCs w:val="28"/>
          <w:highlight w:val="none"/>
        </w:rPr>
      </w:pPr>
    </w:p>
    <w:p w14:paraId="59526003">
      <w:pPr>
        <w:pStyle w:val="7"/>
        <w:rPr>
          <w:rFonts w:hint="eastAsia" w:ascii="宋体" w:hAnsi="宋体" w:eastAsia="宋体" w:cs="宋体"/>
          <w:color w:val="auto"/>
          <w:sz w:val="28"/>
          <w:szCs w:val="28"/>
          <w:highlight w:val="none"/>
        </w:rPr>
        <w:sectPr>
          <w:headerReference r:id="rId10" w:type="default"/>
          <w:footerReference r:id="rId11" w:type="default"/>
          <w:pgSz w:w="11906" w:h="16838"/>
          <w:pgMar w:top="1418" w:right="1555" w:bottom="1418" w:left="1531" w:header="851" w:footer="992" w:gutter="0"/>
          <w:pgNumType w:fmt="decimal"/>
          <w:cols w:space="720" w:num="1"/>
          <w:titlePg/>
          <w:docGrid w:type="lines" w:linePitch="312" w:charSpace="0"/>
        </w:sectPr>
      </w:pPr>
    </w:p>
    <w:p w14:paraId="32CE129E">
      <w:pPr>
        <w:pStyle w:val="41"/>
        <w:adjustRightInd w:val="0"/>
        <w:snapToGrid w:val="0"/>
        <w:spacing w:before="120" w:after="120" w:line="500" w:lineRule="exact"/>
        <w:jc w:val="center"/>
        <w:rPr>
          <w:rFonts w:hint="eastAsia" w:ascii="宋体" w:hAnsi="宋体" w:eastAsia="宋体" w:cs="宋体"/>
          <w:bCs w:val="0"/>
          <w:color w:val="auto"/>
          <w:highlight w:val="none"/>
        </w:rPr>
      </w:pPr>
      <w:r>
        <w:rPr>
          <w:rFonts w:hint="eastAsia" w:ascii="宋体" w:hAnsi="宋体" w:eastAsia="宋体" w:cs="宋体"/>
          <w:bCs w:val="0"/>
          <w:color w:val="auto"/>
          <w:highlight w:val="none"/>
          <w:lang w:val="zh-CN"/>
        </w:rPr>
        <w:t>目  录</w:t>
      </w:r>
    </w:p>
    <w:p w14:paraId="796306EC">
      <w:pPr>
        <w:pStyle w:val="15"/>
        <w:tabs>
          <w:tab w:val="right" w:leader="dot" w:pos="8810"/>
        </w:tabs>
        <w:adjustRightInd w:val="0"/>
        <w:snapToGrid w:val="0"/>
        <w:spacing w:line="440" w:lineRule="exact"/>
        <w:ind w:left="0"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"1-5"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"_Toc351203480" </w:instrText>
      </w:r>
      <w:r>
        <w:rPr>
          <w:rFonts w:hint="eastAsia" w:ascii="宋体" w:hAnsi="宋体" w:eastAsia="宋体" w:cs="宋体"/>
          <w:color w:val="auto"/>
          <w:highlight w:val="none"/>
        </w:rPr>
        <w:fldChar w:fldCharType="separate"/>
      </w:r>
      <w:r>
        <w:rPr>
          <w:rStyle w:val="29"/>
          <w:rFonts w:hint="eastAsia" w:ascii="宋体" w:hAnsi="宋体" w:eastAsia="宋体" w:cs="宋体"/>
          <w:b/>
          <w:color w:val="auto"/>
          <w:sz w:val="28"/>
          <w:szCs w:val="28"/>
          <w:highlight w:val="none"/>
        </w:rPr>
        <w:t xml:space="preserve">第一部分 合同协议书 </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p>
    <w:p w14:paraId="0221B2BC">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"_Toc351203481"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一、工程概况</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_Toc351203481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A76141A">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"_Toc351203482"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二、合同工期</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_Toc351203482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BAB5C50">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"_Toc351203483"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三、质量标准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p>
    <w:p w14:paraId="3A15121B">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"_Toc351203484"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四、签约合同价与合同价格形式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p>
    <w:p w14:paraId="1E3C6E2E">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"_Toc351203485"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五、项目经理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_Toc351203485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FCED00E">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"_Toc351203486"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六、合同文件构成</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p>
    <w:p w14:paraId="77205020">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"_Toc351203487"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七、承诺</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_Toc351203487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727A0AC">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"_Toc351203488"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八、词语含义</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p>
    <w:p w14:paraId="09BE0122">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"_Toc351203489"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九、签订时间</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p>
    <w:p w14:paraId="161BDFF4">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"_Toc351203490"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十、签订地点</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p>
    <w:p w14:paraId="7CFB5206">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"_Toc351203491"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十一、补充协议</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p>
    <w:p w14:paraId="193EA37A">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"_Toc351203492"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十二、合同生效</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p>
    <w:p w14:paraId="7231BD8F">
      <w:pPr>
        <w:pStyle w:val="21"/>
        <w:adjustRightInd w:val="0"/>
        <w:snapToGrid w:val="0"/>
        <w:spacing w:line="440" w:lineRule="exact"/>
        <w:ind w:left="10"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"_Toc351203493"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十三、合同份数</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p>
    <w:p w14:paraId="2D55C69A">
      <w:pPr>
        <w:pStyle w:val="15"/>
        <w:tabs>
          <w:tab w:val="right" w:leader="dot" w:pos="8810"/>
        </w:tabs>
        <w:adjustRightInd w:val="0"/>
        <w:snapToGrid w:val="0"/>
        <w:spacing w:line="440" w:lineRule="exact"/>
        <w:ind w:left="0" w:leftChars="0"/>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"_Toc351203494" </w:instrText>
      </w:r>
      <w:r>
        <w:rPr>
          <w:rFonts w:hint="eastAsia" w:ascii="宋体" w:hAnsi="宋体" w:eastAsia="宋体" w:cs="宋体"/>
          <w:color w:val="auto"/>
          <w:highlight w:val="none"/>
        </w:rPr>
        <w:fldChar w:fldCharType="separate"/>
      </w:r>
      <w:r>
        <w:rPr>
          <w:rStyle w:val="29"/>
          <w:rFonts w:hint="eastAsia" w:ascii="宋体" w:hAnsi="宋体" w:eastAsia="宋体" w:cs="宋体"/>
          <w:b/>
          <w:color w:val="auto"/>
          <w:sz w:val="28"/>
          <w:szCs w:val="28"/>
          <w:highlight w:val="none"/>
        </w:rPr>
        <w:t xml:space="preserve">第二部分 通用合同条款 </w:t>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p>
    <w:p w14:paraId="2C81BE84">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"_Toc351203495"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 一般约定</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p>
    <w:p w14:paraId="19DCDE06">
      <w:pPr>
        <w:pStyle w:val="14"/>
        <w:adjustRightInd w:val="0"/>
        <w:snapToGrid w:val="0"/>
        <w:spacing w:line="440" w:lineRule="exact"/>
        <w:ind w:left="0"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"_Toc351203496"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1.1词语定义与解释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p>
    <w:p w14:paraId="5CDF08DA">
      <w:pPr>
        <w:pStyle w:val="14"/>
        <w:adjustRightInd w:val="0"/>
        <w:snapToGrid w:val="0"/>
        <w:spacing w:line="440" w:lineRule="exact"/>
        <w:ind w:left="0"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"_Toc351203497"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1.2语言文字</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rPr>
        <w:fldChar w:fldCharType="end"/>
      </w:r>
    </w:p>
    <w:p w14:paraId="79CCB093">
      <w:pPr>
        <w:pStyle w:val="14"/>
        <w:adjustRightInd w:val="0"/>
        <w:snapToGrid w:val="0"/>
        <w:spacing w:line="440" w:lineRule="exact"/>
        <w:ind w:left="0"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"_Toc351203498"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1.3法律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rPr>
        <w:fldChar w:fldCharType="end"/>
      </w:r>
    </w:p>
    <w:p w14:paraId="78B9A003">
      <w:pPr>
        <w:pStyle w:val="14"/>
        <w:adjustRightInd w:val="0"/>
        <w:snapToGrid w:val="0"/>
        <w:spacing w:line="440" w:lineRule="exact"/>
        <w:ind w:left="0"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"_Toc351203499"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1.4 标准和规范</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rPr>
        <w:fldChar w:fldCharType="end"/>
      </w:r>
    </w:p>
    <w:p w14:paraId="0873DC0F">
      <w:pPr>
        <w:pStyle w:val="14"/>
        <w:adjustRightInd w:val="0"/>
        <w:snapToGrid w:val="0"/>
        <w:spacing w:line="440" w:lineRule="exact"/>
        <w:ind w:left="0"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"_Toc351203500"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1.5 合同文件的优先顺序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rPr>
        <w:fldChar w:fldCharType="end"/>
      </w:r>
    </w:p>
    <w:p w14:paraId="52A11BCA">
      <w:pPr>
        <w:pStyle w:val="14"/>
        <w:adjustRightInd w:val="0"/>
        <w:snapToGrid w:val="0"/>
        <w:spacing w:line="440" w:lineRule="exact"/>
        <w:ind w:left="0"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"_Toc351203501"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1.6图纸和承包人文件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_Toc351203501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C6B2964">
      <w:pPr>
        <w:pStyle w:val="14"/>
        <w:adjustRightInd w:val="0"/>
        <w:snapToGrid w:val="0"/>
        <w:spacing w:line="440" w:lineRule="exact"/>
        <w:ind w:left="0"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"_Toc351203502"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1.7联络</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1</w:t>
      </w:r>
    </w:p>
    <w:p w14:paraId="7E0EB279">
      <w:pPr>
        <w:pStyle w:val="14"/>
        <w:adjustRightInd w:val="0"/>
        <w:snapToGrid w:val="0"/>
        <w:spacing w:line="440" w:lineRule="exact"/>
        <w:ind w:left="0"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"_Toc351203503"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1.8严禁贿赂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1</w:t>
      </w:r>
    </w:p>
    <w:p w14:paraId="16AE8250">
      <w:pPr>
        <w:pStyle w:val="14"/>
        <w:adjustRightInd w:val="0"/>
        <w:snapToGrid w:val="0"/>
        <w:spacing w:line="440" w:lineRule="exact"/>
        <w:ind w:left="0"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"_Toc351203504"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1.9化石、文物</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1</w:t>
      </w:r>
    </w:p>
    <w:p w14:paraId="2EC8D735">
      <w:pPr>
        <w:pStyle w:val="14"/>
        <w:adjustRightInd w:val="0"/>
        <w:snapToGrid w:val="0"/>
        <w:spacing w:line="440" w:lineRule="exact"/>
        <w:ind w:left="0"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"_Toc351203505"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1.10交通运输</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_Toc351203505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0474399">
      <w:pPr>
        <w:pStyle w:val="14"/>
        <w:adjustRightInd w:val="0"/>
        <w:snapToGrid w:val="0"/>
        <w:spacing w:line="440" w:lineRule="exact"/>
        <w:ind w:left="0"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"_Toc351203506"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1.11知识产权</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_Toc351203506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A595CF2">
      <w:pPr>
        <w:pStyle w:val="14"/>
        <w:adjustRightInd w:val="0"/>
        <w:snapToGrid w:val="0"/>
        <w:spacing w:line="440" w:lineRule="exact"/>
        <w:ind w:left="0"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"_Toc351203507"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1.12保密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_Toc351203507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8D96D9B">
      <w:pPr>
        <w:pStyle w:val="14"/>
        <w:adjustRightInd w:val="0"/>
        <w:snapToGrid w:val="0"/>
        <w:spacing w:line="440" w:lineRule="exact"/>
        <w:ind w:left="0"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"_Toc351203508"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1.13工程量清单错误的修正</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_Toc351203508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10691B3">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"_Toc351203509"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2. 发包人</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_Toc351203509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B15CD2B">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"_Toc351203510"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2.1 许可或批准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_Toc351203510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10FD477">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"_Toc351203511"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2.2 发包人代表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14</w:t>
      </w:r>
      <w:r>
        <w:rPr>
          <w:rFonts w:hint="eastAsia" w:ascii="宋体" w:hAnsi="宋体" w:eastAsia="宋体" w:cs="宋体"/>
          <w:color w:val="auto"/>
          <w:sz w:val="28"/>
          <w:szCs w:val="28"/>
          <w:highlight w:val="none"/>
        </w:rPr>
        <w:fldChar w:fldCharType="end"/>
      </w:r>
    </w:p>
    <w:p w14:paraId="31B129B3">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"_Toc351203512"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2.3 发包人人员</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rPr>
        <w:fldChar w:fldCharType="end"/>
      </w:r>
    </w:p>
    <w:p w14:paraId="6A4A7D6D">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"_Toc351203513"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2.4 施工现场、施工条件和基础资料的提供</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rPr>
        <w:fldChar w:fldCharType="end"/>
      </w:r>
    </w:p>
    <w:p w14:paraId="782C42B7">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"_Toc351203514"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2.5 资金来源证明及支付担保</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p>
    <w:p w14:paraId="677A1EB4">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"_Toc351203515"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2.6 支付合同价款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p>
    <w:p w14:paraId="55099546">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"_Toc351203516"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2.7 组织竣工验收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p>
    <w:p w14:paraId="08E56DC6">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"_Toc351203517"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2.8 现场统一管理协议</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p>
    <w:p w14:paraId="71AAC58B">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"_Toc351203518"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3. 承包人</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p>
    <w:p w14:paraId="06A452D5">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"_Toc351203519"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3.1 承包人的一般义务</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p>
    <w:p w14:paraId="671926C9">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"_Toc351203520"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3.2 项目经理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17</w:t>
      </w:r>
      <w:r>
        <w:rPr>
          <w:rFonts w:hint="eastAsia" w:ascii="宋体" w:hAnsi="宋体" w:eastAsia="宋体" w:cs="宋体"/>
          <w:color w:val="auto"/>
          <w:sz w:val="28"/>
          <w:szCs w:val="28"/>
          <w:highlight w:val="none"/>
        </w:rPr>
        <w:fldChar w:fldCharType="end"/>
      </w:r>
    </w:p>
    <w:p w14:paraId="56E5A588">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"_Toc351203521"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3.3 承包人人员</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28</w:t>
      </w:r>
      <w:r>
        <w:rPr>
          <w:rFonts w:hint="eastAsia" w:ascii="宋体" w:hAnsi="宋体" w:eastAsia="宋体" w:cs="宋体"/>
          <w:color w:val="auto"/>
          <w:sz w:val="28"/>
          <w:szCs w:val="28"/>
          <w:highlight w:val="none"/>
        </w:rPr>
        <w:fldChar w:fldCharType="end"/>
      </w:r>
    </w:p>
    <w:p w14:paraId="475E657B">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"_Toc351203522"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3.4 承包人现场查勘</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9</w:t>
      </w:r>
    </w:p>
    <w:p w14:paraId="42474BBF">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"_Toc351203523"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3.5 分包</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_Toc351203523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3AF7E00">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"_Toc351203524"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3.6 工程照管与成品、半成品保护</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_Toc351203524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8CCB54E">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"_Toc351203525"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3.7 履约担保</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_Toc351203525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226A3D2">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"_Toc351203526"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3.8 联合体</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21</w:t>
      </w:r>
      <w:r>
        <w:rPr>
          <w:rFonts w:hint="eastAsia" w:ascii="宋体" w:hAnsi="宋体" w:eastAsia="宋体" w:cs="宋体"/>
          <w:color w:val="auto"/>
          <w:sz w:val="28"/>
          <w:szCs w:val="28"/>
          <w:highlight w:val="none"/>
        </w:rPr>
        <w:fldChar w:fldCharType="end"/>
      </w:r>
    </w:p>
    <w:p w14:paraId="439F0C71">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"_Toc351203532"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5. 工程质量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p>
    <w:p w14:paraId="6FBA3BBC">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"_Toc351203533"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5.1质量要求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p>
    <w:p w14:paraId="27B09338">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"_Toc351203534"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5.2质量保证措施</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p>
    <w:p w14:paraId="2B5BD449">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"_Toc351203535"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5.3 隐蔽工程检查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24</w:t>
      </w:r>
      <w:r>
        <w:rPr>
          <w:rFonts w:hint="eastAsia" w:ascii="宋体" w:hAnsi="宋体" w:eastAsia="宋体" w:cs="宋体"/>
          <w:color w:val="auto"/>
          <w:sz w:val="28"/>
          <w:szCs w:val="28"/>
          <w:highlight w:val="none"/>
        </w:rPr>
        <w:fldChar w:fldCharType="end"/>
      </w:r>
    </w:p>
    <w:p w14:paraId="796A2983">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"_Toc351203536"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5.4不合格工程的处理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25</w:t>
      </w:r>
      <w:r>
        <w:rPr>
          <w:rFonts w:hint="eastAsia" w:ascii="宋体" w:hAnsi="宋体" w:eastAsia="宋体" w:cs="宋体"/>
          <w:color w:val="auto"/>
          <w:sz w:val="28"/>
          <w:szCs w:val="28"/>
          <w:highlight w:val="none"/>
        </w:rPr>
        <w:fldChar w:fldCharType="end"/>
      </w:r>
    </w:p>
    <w:p w14:paraId="34042EDD">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"_Toc351203537"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5.5 质量争议检测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26</w:t>
      </w:r>
      <w:r>
        <w:rPr>
          <w:rFonts w:hint="eastAsia" w:ascii="宋体" w:hAnsi="宋体" w:eastAsia="宋体" w:cs="宋体"/>
          <w:color w:val="auto"/>
          <w:sz w:val="28"/>
          <w:szCs w:val="28"/>
          <w:highlight w:val="none"/>
        </w:rPr>
        <w:fldChar w:fldCharType="end"/>
      </w:r>
    </w:p>
    <w:p w14:paraId="050FF6D0">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"_Toc351203538"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6. 安全文明施工与环境保护</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26</w:t>
      </w:r>
      <w:r>
        <w:rPr>
          <w:rFonts w:hint="eastAsia" w:ascii="宋体" w:hAnsi="宋体" w:eastAsia="宋体" w:cs="宋体"/>
          <w:color w:val="auto"/>
          <w:sz w:val="28"/>
          <w:szCs w:val="28"/>
          <w:highlight w:val="none"/>
        </w:rPr>
        <w:fldChar w:fldCharType="end"/>
      </w:r>
    </w:p>
    <w:p w14:paraId="42D1ABF0">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"_Toc351203539"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6.1安全文明施工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26</w:t>
      </w:r>
      <w:r>
        <w:rPr>
          <w:rFonts w:hint="eastAsia" w:ascii="宋体" w:hAnsi="宋体" w:eastAsia="宋体" w:cs="宋体"/>
          <w:color w:val="auto"/>
          <w:sz w:val="28"/>
          <w:szCs w:val="28"/>
          <w:highlight w:val="none"/>
        </w:rPr>
        <w:fldChar w:fldCharType="end"/>
      </w:r>
    </w:p>
    <w:p w14:paraId="6563569C">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"_Toc351203540"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6.2 职业健康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9</w:t>
      </w:r>
    </w:p>
    <w:p w14:paraId="54F447F3">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"_Toc351203541"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6.3 环境保护</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p>
    <w:p w14:paraId="6FBAD4B1">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"_Toc351203542"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7. 工期和进度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p>
    <w:p w14:paraId="47B47F7C">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"_Toc351203543"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7.1施工组织设计</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p>
    <w:p w14:paraId="4100DD8A">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"_Toc351203544"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7.2 施工进度计划</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31</w:t>
      </w:r>
      <w:r>
        <w:rPr>
          <w:rFonts w:hint="eastAsia" w:ascii="宋体" w:hAnsi="宋体" w:eastAsia="宋体" w:cs="宋体"/>
          <w:color w:val="auto"/>
          <w:sz w:val="28"/>
          <w:szCs w:val="28"/>
          <w:highlight w:val="none"/>
        </w:rPr>
        <w:fldChar w:fldCharType="end"/>
      </w:r>
    </w:p>
    <w:p w14:paraId="6C4EA107">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"_Toc351203545"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7.3 开工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_Toc351203545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F60D3FC">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"_Toc351203546"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7.4测量放线</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32</w:t>
      </w:r>
      <w:r>
        <w:rPr>
          <w:rFonts w:hint="eastAsia" w:ascii="宋体" w:hAnsi="宋体" w:eastAsia="宋体" w:cs="宋体"/>
          <w:color w:val="auto"/>
          <w:sz w:val="28"/>
          <w:szCs w:val="28"/>
          <w:highlight w:val="none"/>
        </w:rPr>
        <w:fldChar w:fldCharType="end"/>
      </w:r>
    </w:p>
    <w:p w14:paraId="06B8D556">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"_Toc351203547"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7.5工期延误</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_Toc351203547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037D467">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"_Toc351203548"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7.6 不利物质条件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_Toc351203548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E68C311">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"_Toc351203549"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7.7异常恶劣的气候条件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_Toc351203549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B8DB7CC">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"_Toc351203550"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7.8 暂停施工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_Toc351203550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ABEF189">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"_Toc351203551"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7.9 提前竣工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_Toc351203551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A2D08CC">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"_Toc351203552"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8. 材料与设备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36</w:t>
      </w:r>
      <w:r>
        <w:rPr>
          <w:rFonts w:hint="eastAsia" w:ascii="宋体" w:hAnsi="宋体" w:eastAsia="宋体" w:cs="宋体"/>
          <w:color w:val="auto"/>
          <w:sz w:val="28"/>
          <w:szCs w:val="28"/>
          <w:highlight w:val="none"/>
        </w:rPr>
        <w:fldChar w:fldCharType="end"/>
      </w:r>
    </w:p>
    <w:p w14:paraId="659C6995">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"_Toc351203553"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8.1发包人供应材料与工程设备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36</w:t>
      </w:r>
      <w:r>
        <w:rPr>
          <w:rFonts w:hint="eastAsia" w:ascii="宋体" w:hAnsi="宋体" w:eastAsia="宋体" w:cs="宋体"/>
          <w:color w:val="auto"/>
          <w:sz w:val="28"/>
          <w:szCs w:val="28"/>
          <w:highlight w:val="none"/>
        </w:rPr>
        <w:fldChar w:fldCharType="end"/>
      </w:r>
    </w:p>
    <w:p w14:paraId="73D95621">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"_Toc351203554"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8.2承包人采购材料与工程设备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6</w:t>
      </w:r>
    </w:p>
    <w:p w14:paraId="4635ACF8">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"_Toc351203555"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8.3材料与工程设备的接收与拒收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6</w:t>
      </w:r>
    </w:p>
    <w:p w14:paraId="7FF2D1CA">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"_Toc351203556"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8.4材料与工程设备的保管与使用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7</w:t>
      </w:r>
    </w:p>
    <w:p w14:paraId="13E8FE1F">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"_Toc351203557"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8.5 禁止使用不合格的材料和工程设备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8</w:t>
      </w:r>
    </w:p>
    <w:p w14:paraId="05070776">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"_Toc351203558"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8.6 样品</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8</w:t>
      </w:r>
    </w:p>
    <w:p w14:paraId="3B2D27F9">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"_Toc351203559"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8.7 材料与工程设备的替代</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9</w:t>
      </w:r>
    </w:p>
    <w:p w14:paraId="12408FB4">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"_Toc351203560"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8.8 施工设备和临时设施</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40</w:t>
      </w:r>
      <w:r>
        <w:rPr>
          <w:rFonts w:hint="eastAsia" w:ascii="宋体" w:hAnsi="宋体" w:eastAsia="宋体" w:cs="宋体"/>
          <w:color w:val="auto"/>
          <w:sz w:val="28"/>
          <w:szCs w:val="28"/>
          <w:highlight w:val="none"/>
        </w:rPr>
        <w:fldChar w:fldCharType="end"/>
      </w:r>
    </w:p>
    <w:p w14:paraId="63F07D32">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"_Toc351203561"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8.9材料与设备专用要求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40</w:t>
      </w:r>
      <w:r>
        <w:rPr>
          <w:rFonts w:hint="eastAsia" w:ascii="宋体" w:hAnsi="宋体" w:eastAsia="宋体" w:cs="宋体"/>
          <w:color w:val="auto"/>
          <w:sz w:val="28"/>
          <w:szCs w:val="28"/>
          <w:highlight w:val="none"/>
        </w:rPr>
        <w:fldChar w:fldCharType="end"/>
      </w:r>
    </w:p>
    <w:p w14:paraId="4C593E0A">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"_Toc351203562"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9. 试验与检验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40</w:t>
      </w:r>
      <w:r>
        <w:rPr>
          <w:rFonts w:hint="eastAsia" w:ascii="宋体" w:hAnsi="宋体" w:eastAsia="宋体" w:cs="宋体"/>
          <w:color w:val="auto"/>
          <w:sz w:val="28"/>
          <w:szCs w:val="28"/>
          <w:highlight w:val="none"/>
        </w:rPr>
        <w:fldChar w:fldCharType="end"/>
      </w:r>
    </w:p>
    <w:p w14:paraId="22923494">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"_Toc351203563"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9.1试验设备与试验人员</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40</w:t>
      </w:r>
      <w:r>
        <w:rPr>
          <w:rFonts w:hint="eastAsia" w:ascii="宋体" w:hAnsi="宋体" w:eastAsia="宋体" w:cs="宋体"/>
          <w:color w:val="auto"/>
          <w:sz w:val="28"/>
          <w:szCs w:val="28"/>
          <w:highlight w:val="none"/>
        </w:rPr>
        <w:fldChar w:fldCharType="end"/>
      </w:r>
    </w:p>
    <w:p w14:paraId="6BB22FD4">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"_Toc351203564"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9.2取样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41</w:t>
      </w:r>
      <w:r>
        <w:rPr>
          <w:rFonts w:hint="eastAsia" w:ascii="宋体" w:hAnsi="宋体" w:eastAsia="宋体" w:cs="宋体"/>
          <w:color w:val="auto"/>
          <w:sz w:val="28"/>
          <w:szCs w:val="28"/>
          <w:highlight w:val="none"/>
        </w:rPr>
        <w:fldChar w:fldCharType="end"/>
      </w:r>
    </w:p>
    <w:p w14:paraId="4ACFA294">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"_Toc351203565"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9.3 材料、工程设备和工程的试验和检验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41</w:t>
      </w:r>
      <w:r>
        <w:rPr>
          <w:rFonts w:hint="eastAsia" w:ascii="宋体" w:hAnsi="宋体" w:eastAsia="宋体" w:cs="宋体"/>
          <w:color w:val="auto"/>
          <w:sz w:val="28"/>
          <w:szCs w:val="28"/>
          <w:highlight w:val="none"/>
        </w:rPr>
        <w:fldChar w:fldCharType="end"/>
      </w:r>
    </w:p>
    <w:p w14:paraId="5938B4D5">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"_Toc351203566"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9.4 现场工艺试验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41</w:t>
      </w:r>
      <w:r>
        <w:rPr>
          <w:rFonts w:hint="eastAsia" w:ascii="宋体" w:hAnsi="宋体" w:eastAsia="宋体" w:cs="宋体"/>
          <w:color w:val="auto"/>
          <w:sz w:val="28"/>
          <w:szCs w:val="28"/>
          <w:highlight w:val="none"/>
        </w:rPr>
        <w:fldChar w:fldCharType="end"/>
      </w:r>
    </w:p>
    <w:p w14:paraId="4494F923">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"_Toc351203567"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10. 变更</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42</w:t>
      </w:r>
      <w:r>
        <w:rPr>
          <w:rFonts w:hint="eastAsia" w:ascii="宋体" w:hAnsi="宋体" w:eastAsia="宋体" w:cs="宋体"/>
          <w:color w:val="auto"/>
          <w:sz w:val="28"/>
          <w:szCs w:val="28"/>
          <w:highlight w:val="none"/>
        </w:rPr>
        <w:fldChar w:fldCharType="end"/>
      </w:r>
    </w:p>
    <w:p w14:paraId="5027DF6D">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"_Toc351203568"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10.1变更的范围</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42</w:t>
      </w:r>
      <w:r>
        <w:rPr>
          <w:rFonts w:hint="eastAsia" w:ascii="宋体" w:hAnsi="宋体" w:eastAsia="宋体" w:cs="宋体"/>
          <w:color w:val="auto"/>
          <w:sz w:val="28"/>
          <w:szCs w:val="28"/>
          <w:highlight w:val="none"/>
        </w:rPr>
        <w:fldChar w:fldCharType="end"/>
      </w:r>
    </w:p>
    <w:p w14:paraId="2D71A13D">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"_Toc351203569"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10.2 变更权</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42</w:t>
      </w:r>
      <w:r>
        <w:rPr>
          <w:rFonts w:hint="eastAsia" w:ascii="宋体" w:hAnsi="宋体" w:eastAsia="宋体" w:cs="宋体"/>
          <w:color w:val="auto"/>
          <w:sz w:val="28"/>
          <w:szCs w:val="28"/>
          <w:highlight w:val="none"/>
        </w:rPr>
        <w:fldChar w:fldCharType="end"/>
      </w:r>
    </w:p>
    <w:p w14:paraId="12FF946A">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"_Toc351203570"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10.3变更程序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42</w:t>
      </w:r>
      <w:r>
        <w:rPr>
          <w:rFonts w:hint="eastAsia" w:ascii="宋体" w:hAnsi="宋体" w:eastAsia="宋体" w:cs="宋体"/>
          <w:color w:val="auto"/>
          <w:sz w:val="28"/>
          <w:szCs w:val="28"/>
          <w:highlight w:val="none"/>
        </w:rPr>
        <w:fldChar w:fldCharType="end"/>
      </w:r>
    </w:p>
    <w:p w14:paraId="02E8C702">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"_Toc351203571"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10.4变更估价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43</w:t>
      </w:r>
      <w:r>
        <w:rPr>
          <w:rFonts w:hint="eastAsia" w:ascii="宋体" w:hAnsi="宋体" w:eastAsia="宋体" w:cs="宋体"/>
          <w:color w:val="auto"/>
          <w:sz w:val="28"/>
          <w:szCs w:val="28"/>
          <w:highlight w:val="none"/>
        </w:rPr>
        <w:fldChar w:fldCharType="end"/>
      </w:r>
    </w:p>
    <w:p w14:paraId="41614E50">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"_Toc351203572"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10.5 承包人的合理化建议</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43</w:t>
      </w:r>
      <w:r>
        <w:rPr>
          <w:rFonts w:hint="eastAsia" w:ascii="宋体" w:hAnsi="宋体" w:eastAsia="宋体" w:cs="宋体"/>
          <w:color w:val="auto"/>
          <w:sz w:val="28"/>
          <w:szCs w:val="28"/>
          <w:highlight w:val="none"/>
        </w:rPr>
        <w:fldChar w:fldCharType="end"/>
      </w:r>
    </w:p>
    <w:p w14:paraId="4F5E3557">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"_Toc351203573"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10.6 变更引起的工期调整</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44</w:t>
      </w:r>
      <w:r>
        <w:rPr>
          <w:rFonts w:hint="eastAsia" w:ascii="宋体" w:hAnsi="宋体" w:eastAsia="宋体" w:cs="宋体"/>
          <w:color w:val="auto"/>
          <w:sz w:val="28"/>
          <w:szCs w:val="28"/>
          <w:highlight w:val="none"/>
        </w:rPr>
        <w:fldChar w:fldCharType="end"/>
      </w:r>
    </w:p>
    <w:p w14:paraId="0CB133B0">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"_Toc351203574"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10.7 暂估价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44</w:t>
      </w:r>
      <w:r>
        <w:rPr>
          <w:rFonts w:hint="eastAsia" w:ascii="宋体" w:hAnsi="宋体" w:eastAsia="宋体" w:cs="宋体"/>
          <w:color w:val="auto"/>
          <w:sz w:val="28"/>
          <w:szCs w:val="28"/>
          <w:highlight w:val="none"/>
        </w:rPr>
        <w:fldChar w:fldCharType="end"/>
      </w:r>
    </w:p>
    <w:p w14:paraId="54225710">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"_Toc351203575"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10.8 暂列金额</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6</w:t>
      </w:r>
    </w:p>
    <w:p w14:paraId="108C0537">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"_Toc351203576"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10.9 计日工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6</w:t>
      </w:r>
    </w:p>
    <w:p w14:paraId="65FE7A77">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"_Toc351203577"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11. 价格调整</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6</w:t>
      </w:r>
    </w:p>
    <w:p w14:paraId="1A0CB795">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"_Toc351203578"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11.1 市场价格波动引起的调整</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6</w:t>
      </w:r>
    </w:p>
    <w:p w14:paraId="3F38C706">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"_Toc351203579"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11.2 法律变化引起的调整</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9</w:t>
      </w:r>
    </w:p>
    <w:p w14:paraId="30EB597E">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"_Toc351203580"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12. 合同价格、计量与支付</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9</w:t>
      </w:r>
    </w:p>
    <w:p w14:paraId="7197063B">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"_Toc351203581"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12.1 合同价格形式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9</w:t>
      </w:r>
    </w:p>
    <w:p w14:paraId="17AE4410">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"_Toc351203582"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12.2 预付款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0</w:t>
      </w:r>
    </w:p>
    <w:p w14:paraId="700626CD">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"_Toc351203583"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12.3 计量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1</w:t>
      </w:r>
    </w:p>
    <w:p w14:paraId="4555AF66">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"_Toc351203584"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12.4 工程进度款支付</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2</w:t>
      </w:r>
    </w:p>
    <w:p w14:paraId="4A3FEF69">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"_Toc351203585"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12.5 支付账户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5</w:t>
      </w:r>
    </w:p>
    <w:p w14:paraId="3BF6F439">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"_Toc351203586"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13. 验收和工程试车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5</w:t>
      </w:r>
    </w:p>
    <w:p w14:paraId="7A900ECE">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"_Toc351203587"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13.1 分部分项工程验收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5</w:t>
      </w:r>
    </w:p>
    <w:p w14:paraId="7E788F49">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"_Toc351203588"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13.2竣工验收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5</w:t>
      </w:r>
    </w:p>
    <w:p w14:paraId="3FD8FA0A">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"_Toc351203589"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13.3工程试车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7</w:t>
      </w:r>
    </w:p>
    <w:p w14:paraId="4BC671CE">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"_Toc351203590"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13.4提前交付单位工程的验收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8</w:t>
      </w:r>
    </w:p>
    <w:p w14:paraId="5A4BAC59">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"_Toc351203591"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13.5 施工期运行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9</w:t>
      </w:r>
    </w:p>
    <w:p w14:paraId="1C5E74FC">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"_Toc351203592"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13.6 竣工退场</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9</w:t>
      </w:r>
    </w:p>
    <w:p w14:paraId="3BCDD36B">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"_Toc351203593"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14. 竣工结算</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0</w:t>
      </w:r>
    </w:p>
    <w:p w14:paraId="4F8CB0AD">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"_Toc351203594"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14.1 竣工结算申请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0</w:t>
      </w:r>
    </w:p>
    <w:p w14:paraId="17058E4A">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"_Toc351203595"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14.2 竣工</w:t>
      </w:r>
      <w:bookmarkStart w:id="78" w:name="_Hlt356058166"/>
      <w:bookmarkStart w:id="79" w:name="_Hlt356058165"/>
      <w:r>
        <w:rPr>
          <w:rStyle w:val="29"/>
          <w:rFonts w:hint="eastAsia" w:ascii="宋体" w:hAnsi="宋体" w:eastAsia="宋体" w:cs="宋体"/>
          <w:color w:val="auto"/>
          <w:sz w:val="28"/>
          <w:szCs w:val="28"/>
          <w:highlight w:val="none"/>
        </w:rPr>
        <w:t>结</w:t>
      </w:r>
      <w:bookmarkEnd w:id="78"/>
      <w:bookmarkEnd w:id="79"/>
      <w:r>
        <w:rPr>
          <w:rStyle w:val="29"/>
          <w:rFonts w:hint="eastAsia" w:ascii="宋体" w:hAnsi="宋体" w:eastAsia="宋体" w:cs="宋体"/>
          <w:color w:val="auto"/>
          <w:sz w:val="28"/>
          <w:szCs w:val="28"/>
          <w:highlight w:val="none"/>
        </w:rPr>
        <w:t>算审核</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0</w:t>
      </w:r>
    </w:p>
    <w:p w14:paraId="26382957">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"_Toc351203596"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14.3 甩项竣工协议</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61</w:t>
      </w:r>
      <w:r>
        <w:rPr>
          <w:rFonts w:hint="eastAsia" w:ascii="宋体" w:hAnsi="宋体" w:eastAsia="宋体" w:cs="宋体"/>
          <w:color w:val="auto"/>
          <w:sz w:val="28"/>
          <w:szCs w:val="28"/>
          <w:highlight w:val="none"/>
        </w:rPr>
        <w:fldChar w:fldCharType="end"/>
      </w:r>
    </w:p>
    <w:p w14:paraId="4754102E">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"_Toc351203597"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14.4 最终结清</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61</w:t>
      </w:r>
      <w:r>
        <w:rPr>
          <w:rFonts w:hint="eastAsia" w:ascii="宋体" w:hAnsi="宋体" w:eastAsia="宋体" w:cs="宋体"/>
          <w:color w:val="auto"/>
          <w:sz w:val="28"/>
          <w:szCs w:val="28"/>
          <w:highlight w:val="none"/>
        </w:rPr>
        <w:fldChar w:fldCharType="end"/>
      </w:r>
    </w:p>
    <w:p w14:paraId="2ED6C302">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"_Toc351203598"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15. 缺陷责任与保修</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62</w:t>
      </w:r>
      <w:r>
        <w:rPr>
          <w:rFonts w:hint="eastAsia" w:ascii="宋体" w:hAnsi="宋体" w:eastAsia="宋体" w:cs="宋体"/>
          <w:color w:val="auto"/>
          <w:sz w:val="28"/>
          <w:szCs w:val="28"/>
          <w:highlight w:val="none"/>
        </w:rPr>
        <w:fldChar w:fldCharType="end"/>
      </w:r>
    </w:p>
    <w:p w14:paraId="1ED1B1A4">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"_Toc351203599"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15.1 工程保修的原则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62</w:t>
      </w:r>
      <w:r>
        <w:rPr>
          <w:rFonts w:hint="eastAsia" w:ascii="宋体" w:hAnsi="宋体" w:eastAsia="宋体" w:cs="宋体"/>
          <w:color w:val="auto"/>
          <w:sz w:val="28"/>
          <w:szCs w:val="28"/>
          <w:highlight w:val="none"/>
        </w:rPr>
        <w:fldChar w:fldCharType="end"/>
      </w:r>
    </w:p>
    <w:p w14:paraId="7D8246F2">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"_Toc351203601"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15.3 质量保证金</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63</w:t>
      </w:r>
      <w:r>
        <w:rPr>
          <w:rFonts w:hint="eastAsia" w:ascii="宋体" w:hAnsi="宋体" w:eastAsia="宋体" w:cs="宋体"/>
          <w:color w:val="auto"/>
          <w:sz w:val="28"/>
          <w:szCs w:val="28"/>
          <w:highlight w:val="none"/>
        </w:rPr>
        <w:fldChar w:fldCharType="end"/>
      </w:r>
    </w:p>
    <w:p w14:paraId="1A26C514">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"_Toc351203602"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15.4 保修</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63</w:t>
      </w:r>
      <w:r>
        <w:rPr>
          <w:rFonts w:hint="eastAsia" w:ascii="宋体" w:hAnsi="宋体" w:eastAsia="宋体" w:cs="宋体"/>
          <w:color w:val="auto"/>
          <w:sz w:val="28"/>
          <w:szCs w:val="28"/>
          <w:highlight w:val="none"/>
        </w:rPr>
        <w:fldChar w:fldCharType="end"/>
      </w:r>
    </w:p>
    <w:p w14:paraId="2B1AB0A2">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"_Toc351203603"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16. 违约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5</w:t>
      </w:r>
    </w:p>
    <w:p w14:paraId="19CE0B76">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"_Toc351203604"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16.1 发包人违约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5</w:t>
      </w:r>
    </w:p>
    <w:p w14:paraId="606EA082">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"_Toc351203605"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16.2 承包人违约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6</w:t>
      </w:r>
    </w:p>
    <w:p w14:paraId="083A3116">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"_Toc351203606"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16.3 第三人造成的违约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8</w:t>
      </w:r>
    </w:p>
    <w:p w14:paraId="58816CEE">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"_Toc351203607"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17. 不可抗力</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8</w:t>
      </w:r>
    </w:p>
    <w:p w14:paraId="2822A1B1">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"_Toc351203608"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17.1 不可抗力的确认</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8</w:t>
      </w:r>
    </w:p>
    <w:p w14:paraId="10568A49">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"_Toc351203609"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17.2 不可抗力的通知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8</w:t>
      </w:r>
    </w:p>
    <w:p w14:paraId="0D8C6A36">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"_Toc351203610"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17.3 不可抗力后果的承担</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9</w:t>
      </w:r>
    </w:p>
    <w:p w14:paraId="34AC11BA">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"_Toc351203611"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17.4 因不可抗力解除合同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9</w:t>
      </w:r>
    </w:p>
    <w:p w14:paraId="15971C30">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"_Toc351203612"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18. 保险</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0</w:t>
      </w:r>
    </w:p>
    <w:p w14:paraId="16800FAA">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"_Toc351203613"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18.1 工程保险</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70</w:t>
      </w:r>
      <w:r>
        <w:rPr>
          <w:rFonts w:hint="eastAsia" w:ascii="宋体" w:hAnsi="宋体" w:eastAsia="宋体" w:cs="宋体"/>
          <w:color w:val="auto"/>
          <w:sz w:val="28"/>
          <w:szCs w:val="28"/>
          <w:highlight w:val="none"/>
        </w:rPr>
        <w:fldChar w:fldCharType="end"/>
      </w:r>
    </w:p>
    <w:p w14:paraId="70E0C39B">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"_Toc351203614"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18.2 工伤保险</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70</w:t>
      </w:r>
      <w:r>
        <w:rPr>
          <w:rFonts w:hint="eastAsia" w:ascii="宋体" w:hAnsi="宋体" w:eastAsia="宋体" w:cs="宋体"/>
          <w:color w:val="auto"/>
          <w:sz w:val="28"/>
          <w:szCs w:val="28"/>
          <w:highlight w:val="none"/>
        </w:rPr>
        <w:fldChar w:fldCharType="end"/>
      </w:r>
    </w:p>
    <w:p w14:paraId="2062DAAA">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"_Toc351203615"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18.3 其他保险</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70</w:t>
      </w:r>
      <w:r>
        <w:rPr>
          <w:rFonts w:hint="eastAsia" w:ascii="宋体" w:hAnsi="宋体" w:eastAsia="宋体" w:cs="宋体"/>
          <w:color w:val="auto"/>
          <w:sz w:val="28"/>
          <w:szCs w:val="28"/>
          <w:highlight w:val="none"/>
        </w:rPr>
        <w:fldChar w:fldCharType="end"/>
      </w:r>
    </w:p>
    <w:p w14:paraId="7915278C">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"_Toc351203616"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18.4 持续保险</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70</w:t>
      </w:r>
      <w:r>
        <w:rPr>
          <w:rFonts w:hint="eastAsia" w:ascii="宋体" w:hAnsi="宋体" w:eastAsia="宋体" w:cs="宋体"/>
          <w:color w:val="auto"/>
          <w:sz w:val="28"/>
          <w:szCs w:val="28"/>
          <w:highlight w:val="none"/>
        </w:rPr>
        <w:fldChar w:fldCharType="end"/>
      </w:r>
    </w:p>
    <w:p w14:paraId="640037CA">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"_Toc351203617"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18.5 保险凭证</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71</w:t>
      </w:r>
      <w:r>
        <w:rPr>
          <w:rFonts w:hint="eastAsia" w:ascii="宋体" w:hAnsi="宋体" w:eastAsia="宋体" w:cs="宋体"/>
          <w:color w:val="auto"/>
          <w:sz w:val="28"/>
          <w:szCs w:val="28"/>
          <w:highlight w:val="none"/>
        </w:rPr>
        <w:fldChar w:fldCharType="end"/>
      </w:r>
    </w:p>
    <w:p w14:paraId="7D85A63C">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"_Toc351203618"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18.6 未按约定投保的补救</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71</w:t>
      </w:r>
      <w:r>
        <w:rPr>
          <w:rFonts w:hint="eastAsia" w:ascii="宋体" w:hAnsi="宋体" w:eastAsia="宋体" w:cs="宋体"/>
          <w:color w:val="auto"/>
          <w:sz w:val="28"/>
          <w:szCs w:val="28"/>
          <w:highlight w:val="none"/>
        </w:rPr>
        <w:fldChar w:fldCharType="end"/>
      </w:r>
    </w:p>
    <w:p w14:paraId="671494FC">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"_Toc351203619"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18.7 通知义务</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71</w:t>
      </w:r>
      <w:r>
        <w:rPr>
          <w:rFonts w:hint="eastAsia" w:ascii="宋体" w:hAnsi="宋体" w:eastAsia="宋体" w:cs="宋体"/>
          <w:color w:val="auto"/>
          <w:sz w:val="28"/>
          <w:szCs w:val="28"/>
          <w:highlight w:val="none"/>
        </w:rPr>
        <w:fldChar w:fldCharType="end"/>
      </w:r>
    </w:p>
    <w:p w14:paraId="0D602020">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"_Toc351203620"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19. 索赔</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71</w:t>
      </w:r>
      <w:r>
        <w:rPr>
          <w:rFonts w:hint="eastAsia" w:ascii="宋体" w:hAnsi="宋体" w:eastAsia="宋体" w:cs="宋体"/>
          <w:color w:val="auto"/>
          <w:sz w:val="28"/>
          <w:szCs w:val="28"/>
          <w:highlight w:val="none"/>
        </w:rPr>
        <w:fldChar w:fldCharType="end"/>
      </w:r>
    </w:p>
    <w:p w14:paraId="150A0F6E">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"_Toc351203621"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19.1 承包人的索赔</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71</w:t>
      </w:r>
      <w:r>
        <w:rPr>
          <w:rFonts w:hint="eastAsia" w:ascii="宋体" w:hAnsi="宋体" w:eastAsia="宋体" w:cs="宋体"/>
          <w:color w:val="auto"/>
          <w:sz w:val="28"/>
          <w:szCs w:val="28"/>
          <w:highlight w:val="none"/>
        </w:rPr>
        <w:fldChar w:fldCharType="end"/>
      </w:r>
    </w:p>
    <w:p w14:paraId="34546369">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"_Toc351203622"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19.2 对承包人索赔的处理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72</w:t>
      </w:r>
      <w:r>
        <w:rPr>
          <w:rFonts w:hint="eastAsia" w:ascii="宋体" w:hAnsi="宋体" w:eastAsia="宋体" w:cs="宋体"/>
          <w:color w:val="auto"/>
          <w:sz w:val="28"/>
          <w:szCs w:val="28"/>
          <w:highlight w:val="none"/>
        </w:rPr>
        <w:fldChar w:fldCharType="end"/>
      </w:r>
    </w:p>
    <w:p w14:paraId="6C50D0BB">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"_Toc351203623"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19.3 发包人的索赔</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72</w:t>
      </w:r>
      <w:r>
        <w:rPr>
          <w:rFonts w:hint="eastAsia" w:ascii="宋体" w:hAnsi="宋体" w:eastAsia="宋体" w:cs="宋体"/>
          <w:color w:val="auto"/>
          <w:sz w:val="28"/>
          <w:szCs w:val="28"/>
          <w:highlight w:val="none"/>
        </w:rPr>
        <w:fldChar w:fldCharType="end"/>
      </w:r>
    </w:p>
    <w:p w14:paraId="50844593">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"_Toc351203624"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19.4 对发包人索赔的处理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72</w:t>
      </w:r>
      <w:r>
        <w:rPr>
          <w:rFonts w:hint="eastAsia" w:ascii="宋体" w:hAnsi="宋体" w:eastAsia="宋体" w:cs="宋体"/>
          <w:color w:val="auto"/>
          <w:sz w:val="28"/>
          <w:szCs w:val="28"/>
          <w:highlight w:val="none"/>
        </w:rPr>
        <w:fldChar w:fldCharType="end"/>
      </w:r>
    </w:p>
    <w:p w14:paraId="2181B610">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"_Toc351203625"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19.5 提出索赔的期限</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73</w:t>
      </w:r>
      <w:r>
        <w:rPr>
          <w:rFonts w:hint="eastAsia" w:ascii="宋体" w:hAnsi="宋体" w:eastAsia="宋体" w:cs="宋体"/>
          <w:color w:val="auto"/>
          <w:sz w:val="28"/>
          <w:szCs w:val="28"/>
          <w:highlight w:val="none"/>
        </w:rPr>
        <w:fldChar w:fldCharType="end"/>
      </w:r>
    </w:p>
    <w:p w14:paraId="7C8ECF6A">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"_Toc351203626"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20. 争议解决</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73</w:t>
      </w:r>
      <w:r>
        <w:rPr>
          <w:rFonts w:hint="eastAsia" w:ascii="宋体" w:hAnsi="宋体" w:eastAsia="宋体" w:cs="宋体"/>
          <w:color w:val="auto"/>
          <w:sz w:val="28"/>
          <w:szCs w:val="28"/>
          <w:highlight w:val="none"/>
        </w:rPr>
        <w:fldChar w:fldCharType="end"/>
      </w:r>
    </w:p>
    <w:p w14:paraId="4DCFFB60">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"_Toc351203627"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20.1和解</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73</w:t>
      </w:r>
      <w:r>
        <w:rPr>
          <w:rFonts w:hint="eastAsia" w:ascii="宋体" w:hAnsi="宋体" w:eastAsia="宋体" w:cs="宋体"/>
          <w:color w:val="auto"/>
          <w:sz w:val="28"/>
          <w:szCs w:val="28"/>
          <w:highlight w:val="none"/>
        </w:rPr>
        <w:fldChar w:fldCharType="end"/>
      </w:r>
    </w:p>
    <w:p w14:paraId="33D7BE18">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"_Toc351203628"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20.2调解</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73</w:t>
      </w:r>
      <w:r>
        <w:rPr>
          <w:rFonts w:hint="eastAsia" w:ascii="宋体" w:hAnsi="宋体" w:eastAsia="宋体" w:cs="宋体"/>
          <w:color w:val="auto"/>
          <w:sz w:val="28"/>
          <w:szCs w:val="28"/>
          <w:highlight w:val="none"/>
        </w:rPr>
        <w:fldChar w:fldCharType="end"/>
      </w:r>
    </w:p>
    <w:p w14:paraId="1C0335FE">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"_Toc351203629"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20.3争议评审</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73</w:t>
      </w:r>
      <w:r>
        <w:rPr>
          <w:rFonts w:hint="eastAsia" w:ascii="宋体" w:hAnsi="宋体" w:eastAsia="宋体" w:cs="宋体"/>
          <w:color w:val="auto"/>
          <w:sz w:val="28"/>
          <w:szCs w:val="28"/>
          <w:highlight w:val="none"/>
        </w:rPr>
        <w:fldChar w:fldCharType="end"/>
      </w:r>
    </w:p>
    <w:p w14:paraId="0EE72DE7">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"_Toc351203630"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20.4仲裁或诉讼</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74</w:t>
      </w:r>
      <w:r>
        <w:rPr>
          <w:rFonts w:hint="eastAsia" w:ascii="宋体" w:hAnsi="宋体" w:eastAsia="宋体" w:cs="宋体"/>
          <w:color w:val="auto"/>
          <w:sz w:val="28"/>
          <w:szCs w:val="28"/>
          <w:highlight w:val="none"/>
        </w:rPr>
        <w:fldChar w:fldCharType="end"/>
      </w:r>
    </w:p>
    <w:p w14:paraId="6270D778">
      <w:pPr>
        <w:pStyle w:val="14"/>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"_Toc351203631"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20.5争议解决条款效力</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4</w:t>
      </w:r>
    </w:p>
    <w:p w14:paraId="50DB0E24">
      <w:pPr>
        <w:pStyle w:val="15"/>
        <w:tabs>
          <w:tab w:val="right" w:leader="dot" w:pos="8810"/>
        </w:tabs>
        <w:adjustRightInd w:val="0"/>
        <w:snapToGrid w:val="0"/>
        <w:spacing w:line="440" w:lineRule="exact"/>
        <w:rPr>
          <w:rStyle w:val="29"/>
          <w:rFonts w:hint="eastAsia" w:ascii="宋体" w:hAnsi="宋体" w:eastAsia="宋体" w:cs="宋体"/>
          <w:color w:val="auto"/>
          <w:sz w:val="28"/>
          <w:szCs w:val="28"/>
          <w:highlight w:val="none"/>
        </w:rPr>
      </w:pPr>
    </w:p>
    <w:p w14:paraId="572BC791">
      <w:pPr>
        <w:pStyle w:val="15"/>
        <w:tabs>
          <w:tab w:val="right" w:leader="dot" w:pos="8810"/>
        </w:tabs>
        <w:adjustRightInd w:val="0"/>
        <w:snapToGrid w:val="0"/>
        <w:spacing w:line="440" w:lineRule="exact"/>
        <w:ind w:left="0" w:leftChars="0"/>
        <w:rPr>
          <w:rFonts w:hint="eastAsia" w:ascii="宋体" w:hAnsi="宋体" w:eastAsia="宋体" w:cs="宋体"/>
          <w:color w:val="auto"/>
          <w:sz w:val="28"/>
          <w:szCs w:val="28"/>
          <w:highlight w:val="none"/>
        </w:rPr>
      </w:pPr>
    </w:p>
    <w:p w14:paraId="04EF6509">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762679A">
      <w:pPr>
        <w:pStyle w:val="15"/>
        <w:tabs>
          <w:tab w:val="right" w:leader="dot" w:pos="8810"/>
        </w:tabs>
        <w:adjustRightInd w:val="0"/>
        <w:snapToGrid w:val="0"/>
        <w:spacing w:line="440" w:lineRule="exact"/>
        <w:ind w:left="0" w:leftChars="0"/>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"_Toc351203632" </w:instrText>
      </w:r>
      <w:r>
        <w:rPr>
          <w:rFonts w:hint="eastAsia" w:ascii="宋体" w:hAnsi="宋体" w:eastAsia="宋体" w:cs="宋体"/>
          <w:color w:val="auto"/>
          <w:highlight w:val="none"/>
        </w:rPr>
        <w:fldChar w:fldCharType="separate"/>
      </w:r>
      <w:r>
        <w:rPr>
          <w:rStyle w:val="29"/>
          <w:rFonts w:hint="eastAsia" w:ascii="宋体" w:hAnsi="宋体" w:eastAsia="宋体" w:cs="宋体"/>
          <w:b/>
          <w:color w:val="auto"/>
          <w:sz w:val="28"/>
          <w:szCs w:val="28"/>
          <w:highlight w:val="none"/>
        </w:rPr>
        <w:t>第三部分 专用合同条款</w:t>
      </w:r>
      <w:r>
        <w:rPr>
          <w:rStyle w:val="29"/>
          <w:rFonts w:hint="eastAsia" w:ascii="宋体" w:hAnsi="宋体" w:eastAsia="宋体" w:cs="宋体"/>
          <w:b/>
          <w:color w:val="auto"/>
          <w:sz w:val="28"/>
          <w:szCs w:val="28"/>
          <w:highlight w:val="none"/>
        </w:rPr>
        <w:fldChar w:fldCharType="end"/>
      </w:r>
      <w:r>
        <w:rPr>
          <w:rFonts w:hint="eastAsia" w:ascii="宋体" w:hAnsi="宋体" w:eastAsia="宋体" w:cs="宋体"/>
          <w:color w:val="auto"/>
          <w:sz w:val="28"/>
          <w:szCs w:val="28"/>
          <w:highlight w:val="none"/>
        </w:rPr>
        <w:t>………………………………………………75</w:t>
      </w:r>
    </w:p>
    <w:p w14:paraId="5BE748FF">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"_Toc351203633"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 一般约定</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75</w:t>
      </w:r>
    </w:p>
    <w:p w14:paraId="63C142DE">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"_Toc351203634"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2. 发包人</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78</w:t>
      </w:r>
    </w:p>
    <w:p w14:paraId="08FA874C">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"_Toc351203635"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3. 承包人</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79</w:t>
      </w:r>
    </w:p>
    <w:p w14:paraId="76C82F63">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"_Toc351203636"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 xml:space="preserve">4. </w:t>
      </w:r>
      <w:r>
        <w:rPr>
          <w:rStyle w:val="29"/>
          <w:rFonts w:hint="eastAsia" w:ascii="宋体" w:hAnsi="宋体" w:eastAsia="宋体" w:cs="宋体"/>
          <w:color w:val="auto"/>
          <w:sz w:val="28"/>
          <w:szCs w:val="28"/>
          <w:highlight w:val="none"/>
          <w:lang w:val="en-US" w:eastAsia="zh-CN"/>
        </w:rPr>
        <w:t>发包</w:t>
      </w:r>
      <w:r>
        <w:rPr>
          <w:rStyle w:val="29"/>
          <w:rFonts w:hint="eastAsia" w:ascii="宋体" w:hAnsi="宋体" w:eastAsia="宋体" w:cs="宋体"/>
          <w:color w:val="auto"/>
          <w:sz w:val="28"/>
          <w:szCs w:val="28"/>
          <w:highlight w:val="none"/>
        </w:rPr>
        <w:t>人</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82</w:t>
      </w:r>
    </w:p>
    <w:p w14:paraId="2E0C557A">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"_Toc351203637"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5. 工程质量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82</w:t>
      </w:r>
    </w:p>
    <w:p w14:paraId="0D1F3D9D">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"_Toc351203638"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6. 安全文明施工与环境保护</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83</w:t>
      </w:r>
    </w:p>
    <w:p w14:paraId="0EEA7E2D">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"_Toc351203639"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7. 工期和进度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83</w:t>
      </w:r>
    </w:p>
    <w:p w14:paraId="0C7E8164">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"_Toc351203640"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8. 材料与设备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85</w:t>
      </w:r>
    </w:p>
    <w:p w14:paraId="5A73D39C">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"_Toc351203641"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9. 试验与检验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86</w:t>
      </w:r>
    </w:p>
    <w:p w14:paraId="2D5F5507">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"_Toc351203642"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10. 变更</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86</w:t>
      </w:r>
    </w:p>
    <w:p w14:paraId="21811F57">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"_Toc351203643"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11. 价格调整</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87</w:t>
      </w:r>
    </w:p>
    <w:p w14:paraId="747C1CCF">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"_Toc351203644"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12. 合同价格、计量与支付</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88</w:t>
      </w:r>
    </w:p>
    <w:p w14:paraId="3BEAC373">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"_Toc351203645"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13. 验收和工程试车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91</w:t>
      </w:r>
    </w:p>
    <w:p w14:paraId="36B506FF">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"_Toc351203646"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14. 竣工结算</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91</w:t>
      </w:r>
    </w:p>
    <w:p w14:paraId="569EBCD0">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"_Toc351203647"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15. 缺陷责任期与保修</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92</w:t>
      </w:r>
    </w:p>
    <w:p w14:paraId="214AC652">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"_Toc351203648"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16. 违约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93</w:t>
      </w:r>
    </w:p>
    <w:p w14:paraId="7931D559">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"_Toc351203649"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17. 不可抗力</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94</w:t>
      </w:r>
    </w:p>
    <w:p w14:paraId="07955BDC">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"_Toc351203650"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18. 保险</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95</w:t>
      </w:r>
    </w:p>
    <w:p w14:paraId="26D8EB74">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"_Toc351203651"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20. 争议解决</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95</w:t>
      </w:r>
    </w:p>
    <w:p w14:paraId="65BE2C5F">
      <w:pPr>
        <w:pStyle w:val="21"/>
        <w:adjustRightInd w:val="0"/>
        <w:snapToGrid w:val="0"/>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"_Toc351203652"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97</w:t>
      </w:r>
    </w:p>
    <w:p w14:paraId="0C100651">
      <w:pPr>
        <w:pStyle w:val="5"/>
        <w:adjustRightInd w:val="0"/>
        <w:snapToGrid w:val="0"/>
        <w:spacing w:line="440" w:lineRule="exact"/>
        <w:jc w:val="center"/>
        <w:rPr>
          <w:rFonts w:hint="eastAsia" w:ascii="宋体" w:hAnsi="宋体" w:eastAsia="宋体" w:cs="宋体"/>
          <w:b w:val="0"/>
          <w:color w:val="auto"/>
          <w:sz w:val="28"/>
          <w:szCs w:val="28"/>
          <w:highlight w:val="none"/>
        </w:rPr>
        <w:sectPr>
          <w:footerReference r:id="rId12" w:type="first"/>
          <w:pgSz w:w="11906" w:h="16838"/>
          <w:pgMar w:top="1418" w:right="1555" w:bottom="1418" w:left="1531" w:header="851" w:footer="992" w:gutter="0"/>
          <w:pgNumType w:fmt="decimal"/>
          <w:cols w:space="720" w:num="1"/>
          <w:titlePg/>
          <w:docGrid w:type="lines" w:linePitch="312" w:charSpace="0"/>
        </w:sectPr>
      </w:pPr>
      <w:r>
        <w:rPr>
          <w:rFonts w:hint="eastAsia" w:ascii="宋体" w:hAnsi="宋体" w:eastAsia="宋体" w:cs="宋体"/>
          <w:b w:val="0"/>
          <w:color w:val="auto"/>
          <w:sz w:val="28"/>
          <w:szCs w:val="28"/>
          <w:highlight w:val="none"/>
        </w:rPr>
        <w:fldChar w:fldCharType="end"/>
      </w:r>
      <w:bookmarkStart w:id="80" w:name="_Toc351203480"/>
    </w:p>
    <w:p w14:paraId="35054154">
      <w:pPr>
        <w:pStyle w:val="5"/>
        <w:adjustRightInd w:val="0"/>
        <w:snapToGrid w:val="0"/>
        <w:spacing w:line="500" w:lineRule="exact"/>
        <w:jc w:val="center"/>
        <w:rPr>
          <w:rFonts w:hint="eastAsia" w:ascii="宋体" w:hAnsi="宋体" w:eastAsia="宋体" w:cs="宋体"/>
          <w:bCs w:val="0"/>
          <w:color w:val="auto"/>
          <w:sz w:val="44"/>
          <w:szCs w:val="44"/>
          <w:highlight w:val="none"/>
        </w:rPr>
      </w:pPr>
      <w:r>
        <w:rPr>
          <w:rFonts w:hint="eastAsia" w:ascii="宋体" w:hAnsi="宋体" w:eastAsia="宋体" w:cs="宋体"/>
          <w:bCs w:val="0"/>
          <w:color w:val="auto"/>
          <w:sz w:val="44"/>
          <w:szCs w:val="44"/>
          <w:highlight w:val="none"/>
        </w:rPr>
        <w:t>第一部分 合同协议书</w:t>
      </w:r>
      <w:bookmarkEnd w:id="76"/>
      <w:bookmarkEnd w:id="77"/>
      <w:bookmarkEnd w:id="80"/>
    </w:p>
    <w:p w14:paraId="264ECAD4">
      <w:pPr>
        <w:adjustRightInd w:val="0"/>
        <w:snapToGrid w:val="0"/>
        <w:spacing w:line="52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发包人（全称）：</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喀什中亚南亚工业园区管理委员会   </w:t>
      </w:r>
    </w:p>
    <w:p w14:paraId="5BFE758D">
      <w:pPr>
        <w:adjustRightInd w:val="0"/>
        <w:snapToGrid w:val="0"/>
        <w:spacing w:line="52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承包人（全称）：</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4B38313E">
      <w:pPr>
        <w:pStyle w:val="1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根据《中华人民共和国</w:t>
      </w:r>
      <w:r>
        <w:rPr>
          <w:rFonts w:hint="eastAsia" w:ascii="宋体" w:hAnsi="宋体" w:eastAsia="宋体" w:cs="宋体"/>
          <w:color w:val="auto"/>
          <w:sz w:val="28"/>
          <w:szCs w:val="28"/>
          <w:highlight w:val="none"/>
          <w:lang w:val="en-US" w:eastAsia="zh-CN"/>
        </w:rPr>
        <w:t>民法典</w:t>
      </w:r>
      <w:r>
        <w:rPr>
          <w:rFonts w:hint="eastAsia" w:ascii="宋体" w:hAnsi="宋体" w:eastAsia="宋体" w:cs="宋体"/>
          <w:color w:val="auto"/>
          <w:sz w:val="28"/>
          <w:szCs w:val="28"/>
          <w:highlight w:val="none"/>
        </w:rPr>
        <w:t>》、《中华人民共和国建筑法》及有关法律规定，遵循平等、自愿、公平和诚实信用的原则，双方就</w:t>
      </w:r>
      <w:r>
        <w:rPr>
          <w:rFonts w:hint="eastAsia" w:ascii="宋体" w:hAnsi="宋体" w:eastAsia="宋体" w:cs="宋体"/>
          <w:color w:val="auto"/>
          <w:sz w:val="28"/>
          <w:szCs w:val="28"/>
          <w:highlight w:val="none"/>
          <w:u w:val="single"/>
          <w:lang w:val="en-US" w:eastAsia="zh-CN"/>
        </w:rPr>
        <w:t>喀什光电保护盖板产业链项目土地平整</w:t>
      </w:r>
      <w:r>
        <w:rPr>
          <w:rFonts w:hint="eastAsia" w:ascii="宋体" w:hAnsi="宋体" w:eastAsia="宋体" w:cs="宋体"/>
          <w:color w:val="auto"/>
          <w:sz w:val="28"/>
          <w:szCs w:val="28"/>
          <w:highlight w:val="none"/>
        </w:rPr>
        <w:t>工程施工及有关事项协商一致，共同达成如下协议：</w:t>
      </w:r>
      <w:bookmarkStart w:id="81" w:name="_Toc351203481"/>
    </w:p>
    <w:p w14:paraId="459DAA51">
      <w:pPr>
        <w:adjustRightInd w:val="0"/>
        <w:snapToGrid w:val="0"/>
        <w:spacing w:line="520" w:lineRule="exac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一、工程概况</w:t>
      </w:r>
      <w:bookmarkEnd w:id="81"/>
    </w:p>
    <w:p w14:paraId="26F84E26">
      <w:pPr>
        <w:adjustRightInd w:val="0"/>
        <w:snapToGrid w:val="0"/>
        <w:spacing w:line="520" w:lineRule="exact"/>
        <w:ind w:firstLine="548" w:firstLineChars="196"/>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1.工程名称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lang w:val="en-US" w:eastAsia="zh-CN"/>
        </w:rPr>
        <w:t>喀什光电保护盖板产业链项目土地平整</w:t>
      </w:r>
      <w:r>
        <w:rPr>
          <w:rFonts w:hint="eastAsia" w:ascii="宋体" w:hAnsi="宋体" w:eastAsia="宋体" w:cs="宋体"/>
          <w:bCs/>
          <w:color w:val="auto"/>
          <w:sz w:val="28"/>
          <w:szCs w:val="28"/>
          <w:highlight w:val="none"/>
        </w:rPr>
        <w:t>2.工程地点：</w:t>
      </w:r>
      <w:r>
        <w:rPr>
          <w:rFonts w:hint="eastAsia" w:ascii="宋体" w:hAnsi="宋体" w:eastAsia="宋体" w:cs="宋体"/>
          <w:color w:val="auto"/>
          <w:sz w:val="28"/>
          <w:szCs w:val="28"/>
          <w:highlight w:val="none"/>
          <w:u w:val="single"/>
        </w:rPr>
        <w:t xml:space="preserve"> 场地平整68590.90m2及土方开挖、回填等等相关内容。 </w:t>
      </w:r>
      <w:r>
        <w:rPr>
          <w:rFonts w:hint="eastAsia" w:ascii="宋体" w:hAnsi="宋体" w:eastAsia="宋体" w:cs="宋体"/>
          <w:color w:val="auto"/>
          <w:sz w:val="28"/>
          <w:szCs w:val="28"/>
          <w:highlight w:val="none"/>
        </w:rPr>
        <w:t>。</w:t>
      </w:r>
    </w:p>
    <w:p w14:paraId="2E75784D">
      <w:pPr>
        <w:adjustRightInd w:val="0"/>
        <w:snapToGrid w:val="0"/>
        <w:spacing w:line="520" w:lineRule="exact"/>
        <w:ind w:firstLine="548" w:firstLineChars="196"/>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3.工程立项批准文号：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bCs/>
          <w:color w:val="auto"/>
          <w:sz w:val="28"/>
          <w:szCs w:val="28"/>
          <w:highlight w:val="none"/>
        </w:rPr>
        <w:t>。</w:t>
      </w:r>
    </w:p>
    <w:p w14:paraId="67E1DBD5">
      <w:pPr>
        <w:adjustRightInd w:val="0"/>
        <w:snapToGrid w:val="0"/>
        <w:spacing w:line="520" w:lineRule="exact"/>
        <w:ind w:firstLine="548" w:firstLineChars="196"/>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4.资金来源：</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财政资金</w:t>
      </w:r>
      <w:r>
        <w:rPr>
          <w:rFonts w:hint="eastAsia" w:ascii="宋体" w:hAnsi="宋体" w:eastAsia="宋体" w:cs="宋体"/>
          <w:color w:val="auto"/>
          <w:sz w:val="28"/>
          <w:szCs w:val="28"/>
          <w:highlight w:val="none"/>
          <w:u w:val="single"/>
        </w:rPr>
        <w:t xml:space="preserve">  </w:t>
      </w:r>
      <w:r>
        <w:rPr>
          <w:rFonts w:hint="eastAsia" w:ascii="宋体" w:hAnsi="宋体" w:eastAsia="宋体" w:cs="宋体"/>
          <w:bCs/>
          <w:color w:val="auto"/>
          <w:sz w:val="28"/>
          <w:szCs w:val="28"/>
          <w:highlight w:val="none"/>
        </w:rPr>
        <w:t>。</w:t>
      </w:r>
    </w:p>
    <w:p w14:paraId="10806AA9">
      <w:pPr>
        <w:adjustRightInd w:val="0"/>
        <w:snapToGrid w:val="0"/>
        <w:spacing w:line="520" w:lineRule="exact"/>
        <w:ind w:firstLine="548" w:firstLineChars="196"/>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5.工程内容：</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
          <w:color w:val="auto"/>
          <w:sz w:val="28"/>
          <w:szCs w:val="28"/>
          <w:highlight w:val="none"/>
          <w:u w:val="single"/>
        </w:rPr>
        <w:t xml:space="preserve">工程量清单包含的所有内容 </w:t>
      </w:r>
      <w:r>
        <w:rPr>
          <w:rFonts w:hint="eastAsia" w:ascii="宋体" w:hAnsi="宋体" w:eastAsia="宋体" w:cs="宋体"/>
          <w:bCs/>
          <w:color w:val="auto"/>
          <w:sz w:val="28"/>
          <w:szCs w:val="28"/>
          <w:highlight w:val="none"/>
          <w:u w:val="single"/>
        </w:rPr>
        <w:t xml:space="preserve">          </w:t>
      </w:r>
    </w:p>
    <w:p w14:paraId="41F8523C">
      <w:pPr>
        <w:adjustRightInd w:val="0"/>
        <w:snapToGrid w:val="0"/>
        <w:spacing w:line="520" w:lineRule="exact"/>
        <w:ind w:firstLine="548" w:firstLineChars="196"/>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群体工程应附《承包人承揽工程项目一览表》（附件1）。</w:t>
      </w:r>
    </w:p>
    <w:p w14:paraId="1A199A87">
      <w:pPr>
        <w:adjustRightInd w:val="0"/>
        <w:snapToGrid w:val="0"/>
        <w:spacing w:line="520" w:lineRule="exact"/>
        <w:ind w:firstLine="548" w:firstLineChars="196"/>
        <w:rPr>
          <w:rFonts w:hint="eastAsia" w:ascii="宋体" w:hAnsi="宋体" w:eastAsia="宋体" w:cs="宋体"/>
          <w:b/>
          <w:color w:val="auto"/>
          <w:sz w:val="28"/>
          <w:szCs w:val="28"/>
          <w:highlight w:val="none"/>
          <w:u w:val="single"/>
        </w:rPr>
      </w:pPr>
      <w:r>
        <w:rPr>
          <w:rFonts w:hint="eastAsia" w:ascii="宋体" w:hAnsi="宋体" w:eastAsia="宋体" w:cs="宋体"/>
          <w:bCs/>
          <w:color w:val="auto"/>
          <w:sz w:val="28"/>
          <w:szCs w:val="28"/>
          <w:highlight w:val="none"/>
        </w:rPr>
        <w:t>6.工程承包范围：</w:t>
      </w:r>
      <w:bookmarkStart w:id="82" w:name="_Toc351203482"/>
      <w:r>
        <w:rPr>
          <w:rFonts w:hint="eastAsia" w:ascii="宋体" w:hAnsi="宋体" w:eastAsia="宋体" w:cs="宋体"/>
          <w:bCs/>
          <w:color w:val="auto"/>
          <w:sz w:val="28"/>
          <w:szCs w:val="28"/>
          <w:highlight w:val="none"/>
          <w:u w:val="single"/>
        </w:rPr>
        <w:t xml:space="preserve">   </w:t>
      </w:r>
      <w:r>
        <w:rPr>
          <w:rFonts w:hint="eastAsia" w:ascii="宋体" w:hAnsi="宋体" w:eastAsia="宋体" w:cs="宋体"/>
          <w:b/>
          <w:color w:val="auto"/>
          <w:sz w:val="28"/>
          <w:szCs w:val="28"/>
          <w:highlight w:val="none"/>
          <w:u w:val="single"/>
        </w:rPr>
        <w:t xml:space="preserve">工程量清单包含的所有内容    </w:t>
      </w:r>
      <w:r>
        <w:rPr>
          <w:rFonts w:hint="eastAsia" w:ascii="宋体" w:hAnsi="宋体" w:eastAsia="宋体" w:cs="宋体"/>
          <w:bCs/>
          <w:color w:val="auto"/>
          <w:sz w:val="28"/>
          <w:szCs w:val="28"/>
          <w:highlight w:val="none"/>
          <w:u w:val="single"/>
        </w:rPr>
        <w:t xml:space="preserve">  </w:t>
      </w:r>
    </w:p>
    <w:p w14:paraId="11097692">
      <w:pPr>
        <w:adjustRightInd w:val="0"/>
        <w:snapToGrid w:val="0"/>
        <w:spacing w:line="520" w:lineRule="exact"/>
        <w:ind w:firstLine="562" w:firstLineChars="200"/>
        <w:rPr>
          <w:rFonts w:hint="eastAsia" w:ascii="宋体" w:hAnsi="宋体" w:eastAsia="宋体" w:cs="宋体"/>
          <w:color w:val="auto"/>
          <w:highlight w:val="none"/>
        </w:rPr>
      </w:pPr>
      <w:r>
        <w:rPr>
          <w:rFonts w:hint="eastAsia" w:ascii="宋体" w:hAnsi="宋体" w:eastAsia="宋体" w:cs="宋体"/>
          <w:b/>
          <w:color w:val="auto"/>
          <w:sz w:val="28"/>
          <w:szCs w:val="28"/>
          <w:highlight w:val="none"/>
        </w:rPr>
        <w:t>二、合同工期</w:t>
      </w:r>
      <w:bookmarkEnd w:id="82"/>
    </w:p>
    <w:p w14:paraId="603AD79B">
      <w:pPr>
        <w:adjustRightInd w:val="0"/>
        <w:snapToGrid w:val="0"/>
        <w:spacing w:line="520" w:lineRule="exact"/>
        <w:ind w:firstLine="45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计划开工日期：</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rPr>
        <w:t>月</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rPr>
        <w:t>日。</w:t>
      </w:r>
    </w:p>
    <w:p w14:paraId="2A552C6B">
      <w:pPr>
        <w:adjustRightInd w:val="0"/>
        <w:snapToGrid w:val="0"/>
        <w:spacing w:line="520" w:lineRule="exact"/>
        <w:ind w:firstLine="45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计划竣工日期：</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月</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rPr>
        <w:t>日。</w:t>
      </w:r>
      <w:r>
        <w:rPr>
          <w:rFonts w:hint="eastAsia" w:ascii="宋体" w:hAnsi="宋体" w:eastAsia="宋体" w:cs="宋体"/>
          <w:color w:val="auto"/>
          <w:sz w:val="28"/>
          <w:szCs w:val="28"/>
          <w:highlight w:val="none"/>
        </w:rPr>
        <w:t xml:space="preserve"> </w:t>
      </w:r>
    </w:p>
    <w:p w14:paraId="05A2C590">
      <w:pPr>
        <w:adjustRightInd w:val="0"/>
        <w:snapToGrid w:val="0"/>
        <w:spacing w:line="520" w:lineRule="exact"/>
        <w:ind w:firstLine="45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工期总日历天数：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天。工期总日历天数与根据前述计划开竣工日期计算的工期天数不一致的，以工期总日历天数为准。</w:t>
      </w:r>
      <w:bookmarkStart w:id="83" w:name="_Toc351203483"/>
    </w:p>
    <w:p w14:paraId="42F92019">
      <w:pPr>
        <w:adjustRightInd w:val="0"/>
        <w:snapToGrid w:val="0"/>
        <w:spacing w:line="520" w:lineRule="exact"/>
        <w:ind w:firstLine="45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三、质量标准</w:t>
      </w:r>
      <w:bookmarkEnd w:id="83"/>
    </w:p>
    <w:p w14:paraId="238747F9">
      <w:pPr>
        <w:adjustRightInd w:val="0"/>
        <w:snapToGrid w:val="0"/>
        <w:spacing w:line="520" w:lineRule="exact"/>
        <w:ind w:firstLine="45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工程质量符合</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合格</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标准。</w:t>
      </w:r>
    </w:p>
    <w:p w14:paraId="2B4ED4C0">
      <w:pPr>
        <w:adjustRightInd w:val="0"/>
        <w:snapToGrid w:val="0"/>
        <w:spacing w:line="520" w:lineRule="exact"/>
        <w:ind w:firstLine="459"/>
        <w:rPr>
          <w:rFonts w:hint="eastAsia" w:ascii="宋体" w:hAnsi="宋体" w:eastAsia="宋体" w:cs="宋体"/>
          <w:b/>
          <w:color w:val="auto"/>
          <w:sz w:val="28"/>
          <w:szCs w:val="28"/>
          <w:highlight w:val="none"/>
        </w:rPr>
      </w:pPr>
      <w:bookmarkStart w:id="84" w:name="_Toc351203484"/>
      <w:r>
        <w:rPr>
          <w:rFonts w:hint="eastAsia" w:ascii="宋体" w:hAnsi="宋体" w:eastAsia="宋体" w:cs="宋体"/>
          <w:b/>
          <w:color w:val="auto"/>
          <w:sz w:val="28"/>
          <w:szCs w:val="28"/>
          <w:highlight w:val="none"/>
        </w:rPr>
        <w:t>四、签约合同价与合同价格形式</w:t>
      </w:r>
      <w:bookmarkEnd w:id="84"/>
      <w:r>
        <w:rPr>
          <w:rFonts w:hint="eastAsia" w:ascii="宋体" w:hAnsi="宋体" w:eastAsia="宋体" w:cs="宋体"/>
          <w:b/>
          <w:color w:val="auto"/>
          <w:sz w:val="28"/>
          <w:szCs w:val="28"/>
          <w:highlight w:val="none"/>
        </w:rPr>
        <w:tab/>
      </w:r>
    </w:p>
    <w:p w14:paraId="62F3720E">
      <w:pPr>
        <w:adjustRightInd w:val="0"/>
        <w:snapToGrid w:val="0"/>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1.签约合同价为：</w:t>
      </w:r>
    </w:p>
    <w:p w14:paraId="0AA6EF6A">
      <w:pPr>
        <w:adjustRightInd w:val="0"/>
        <w:snapToGrid w:val="0"/>
        <w:spacing w:line="520" w:lineRule="exact"/>
        <w:ind w:firstLine="645" w:firstLineChars="250"/>
        <w:rPr>
          <w:rFonts w:hint="eastAsia" w:ascii="宋体" w:hAnsi="宋体" w:eastAsia="宋体" w:cs="宋体"/>
          <w:color w:val="auto"/>
          <w:spacing w:val="-11"/>
          <w:sz w:val="28"/>
          <w:szCs w:val="28"/>
          <w:highlight w:val="none"/>
          <w:u w:val="single"/>
        </w:rPr>
      </w:pPr>
      <w:r>
        <w:rPr>
          <w:rFonts w:hint="eastAsia" w:ascii="宋体" w:hAnsi="宋体" w:eastAsia="宋体" w:cs="宋体"/>
          <w:color w:val="auto"/>
          <w:spacing w:val="-11"/>
          <w:sz w:val="28"/>
          <w:szCs w:val="28"/>
          <w:highlight w:val="none"/>
        </w:rPr>
        <w:t>人民币（大写）</w:t>
      </w:r>
      <w:r>
        <w:rPr>
          <w:rFonts w:hint="eastAsia" w:ascii="宋体" w:hAnsi="宋体" w:eastAsia="宋体" w:cs="宋体"/>
          <w:color w:val="auto"/>
          <w:spacing w:val="-11"/>
          <w:sz w:val="28"/>
          <w:szCs w:val="28"/>
          <w:highlight w:val="none"/>
          <w:lang w:val="en-US" w:eastAsia="zh-CN"/>
        </w:rPr>
        <w:t xml:space="preserve"> </w:t>
      </w:r>
      <w:r>
        <w:rPr>
          <w:rFonts w:hint="eastAsia" w:ascii="宋体" w:hAnsi="宋体" w:eastAsia="宋体" w:cs="宋体"/>
          <w:color w:val="auto"/>
          <w:spacing w:val="-11"/>
          <w:sz w:val="28"/>
          <w:szCs w:val="28"/>
          <w:highlight w:val="none"/>
          <w:u w:val="single"/>
          <w:lang w:val="en-US" w:eastAsia="zh-CN"/>
        </w:rPr>
        <w:t xml:space="preserve">                                                      </w:t>
      </w:r>
      <w:r>
        <w:rPr>
          <w:rFonts w:hint="eastAsia" w:ascii="宋体" w:hAnsi="宋体" w:eastAsia="宋体" w:cs="宋体"/>
          <w:color w:val="auto"/>
          <w:spacing w:val="-11"/>
          <w:sz w:val="28"/>
          <w:szCs w:val="28"/>
          <w:highlight w:val="none"/>
          <w:u w:val="single"/>
        </w:rPr>
        <w:t>；</w:t>
      </w:r>
    </w:p>
    <w:p w14:paraId="7DE27D03">
      <w:pPr>
        <w:pStyle w:val="9"/>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人民币（小写）：</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元)；</w:t>
      </w:r>
    </w:p>
    <w:p w14:paraId="30027291">
      <w:pPr>
        <w:adjustRightInd w:val="0"/>
        <w:snapToGrid w:val="0"/>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2.合同价格形式：</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固定总价合同</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5A46E26A">
      <w:pPr>
        <w:adjustRightInd w:val="0"/>
        <w:snapToGrid w:val="0"/>
        <w:spacing w:line="520" w:lineRule="exact"/>
        <w:ind w:firstLine="562" w:firstLineChars="200"/>
        <w:rPr>
          <w:rFonts w:hint="eastAsia" w:ascii="宋体" w:hAnsi="宋体" w:eastAsia="宋体" w:cs="宋体"/>
          <w:b/>
          <w:color w:val="auto"/>
          <w:sz w:val="28"/>
          <w:szCs w:val="28"/>
          <w:highlight w:val="none"/>
        </w:rPr>
      </w:pPr>
      <w:bookmarkStart w:id="85" w:name="_Toc351203485"/>
      <w:r>
        <w:rPr>
          <w:rFonts w:hint="eastAsia" w:ascii="宋体" w:hAnsi="宋体" w:eastAsia="宋体" w:cs="宋体"/>
          <w:b/>
          <w:color w:val="auto"/>
          <w:sz w:val="28"/>
          <w:szCs w:val="28"/>
          <w:highlight w:val="none"/>
        </w:rPr>
        <w:t>五、</w:t>
      </w:r>
      <w:bookmarkEnd w:id="85"/>
      <w:r>
        <w:rPr>
          <w:rFonts w:hint="eastAsia" w:ascii="宋体" w:hAnsi="宋体" w:eastAsia="宋体" w:cs="宋体"/>
          <w:b/>
          <w:color w:val="auto"/>
          <w:sz w:val="28"/>
          <w:szCs w:val="28"/>
          <w:highlight w:val="none"/>
        </w:rPr>
        <w:t>项目经理</w:t>
      </w:r>
    </w:p>
    <w:p w14:paraId="3556D452">
      <w:pPr>
        <w:adjustRightInd w:val="0"/>
        <w:snapToGrid w:val="0"/>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承包人项目经理：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bookmarkStart w:id="86" w:name="_Toc351203486"/>
    </w:p>
    <w:p w14:paraId="296BD1CF">
      <w:pPr>
        <w:adjustRightInd w:val="0"/>
        <w:snapToGrid w:val="0"/>
        <w:spacing w:line="52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六、合同文件构成</w:t>
      </w:r>
      <w:bookmarkEnd w:id="86"/>
    </w:p>
    <w:p w14:paraId="532F2DF3">
      <w:pPr>
        <w:adjustRightInd w:val="0"/>
        <w:snapToGrid w:val="0"/>
        <w:spacing w:line="5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本协议书与下列文件一起构成合同文件：</w:t>
      </w:r>
    </w:p>
    <w:p w14:paraId="215784F7">
      <w:pPr>
        <w:autoSpaceDE w:val="0"/>
        <w:autoSpaceDN w:val="0"/>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（1）中标通知书（如果有）；</w:t>
      </w:r>
    </w:p>
    <w:p w14:paraId="5BE0FF33">
      <w:pPr>
        <w:autoSpaceDE w:val="0"/>
        <w:autoSpaceDN w:val="0"/>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（2）投标函及其附录（如果有）； </w:t>
      </w:r>
    </w:p>
    <w:p w14:paraId="11952EA2">
      <w:pPr>
        <w:autoSpaceDE w:val="0"/>
        <w:autoSpaceDN w:val="0"/>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（3）专用合同条款及其附件；</w:t>
      </w:r>
    </w:p>
    <w:p w14:paraId="7F377542">
      <w:pPr>
        <w:autoSpaceDE w:val="0"/>
        <w:autoSpaceDN w:val="0"/>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（4）通用合同条款；</w:t>
      </w:r>
    </w:p>
    <w:p w14:paraId="18223909">
      <w:pPr>
        <w:autoSpaceDE w:val="0"/>
        <w:autoSpaceDN w:val="0"/>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（5）技术标准和要求；</w:t>
      </w:r>
    </w:p>
    <w:p w14:paraId="2F78C62F">
      <w:pPr>
        <w:autoSpaceDE w:val="0"/>
        <w:autoSpaceDN w:val="0"/>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（6）图纸；</w:t>
      </w:r>
    </w:p>
    <w:p w14:paraId="7A8E97D9">
      <w:pPr>
        <w:autoSpaceDE w:val="0"/>
        <w:autoSpaceDN w:val="0"/>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（7）已标价工程量清单或预算书；</w:t>
      </w:r>
    </w:p>
    <w:p w14:paraId="54226633">
      <w:pPr>
        <w:autoSpaceDE w:val="0"/>
        <w:autoSpaceDN w:val="0"/>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（8）其他合同文件。</w:t>
      </w:r>
    </w:p>
    <w:p w14:paraId="03350DE9">
      <w:pPr>
        <w:autoSpaceDE w:val="0"/>
        <w:autoSpaceDN w:val="0"/>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在合同订立及履行过程中形成的与合同有关的文件均构成合同文件组成部分。</w:t>
      </w:r>
    </w:p>
    <w:p w14:paraId="14F29CB5">
      <w:pPr>
        <w:autoSpaceDE w:val="0"/>
        <w:autoSpaceDN w:val="0"/>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上述各项合同文件包括合同当事人就该项合同文件所作出的补充和修改，属于同一类内容的文件，应以最新签署的为准。专用合同条款及其附件须经合同当事人签字或盖章。</w:t>
      </w:r>
      <w:bookmarkStart w:id="87" w:name="_Toc351203487"/>
    </w:p>
    <w:p w14:paraId="070D7088">
      <w:pPr>
        <w:autoSpaceDE w:val="0"/>
        <w:autoSpaceDN w:val="0"/>
        <w:adjustRightInd w:val="0"/>
        <w:snapToGrid w:val="0"/>
        <w:spacing w:line="520" w:lineRule="exact"/>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七、承诺</w:t>
      </w:r>
      <w:bookmarkEnd w:id="87"/>
    </w:p>
    <w:p w14:paraId="0F42A0DC">
      <w:pPr>
        <w:adjustRightInd w:val="0"/>
        <w:snapToGrid w:val="0"/>
        <w:spacing w:line="5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1.发包人承诺按照法律规定履行项目审批手续、筹集工程建设资金并按照合同约定的期限和方式支付合同价款。</w:t>
      </w:r>
    </w:p>
    <w:p w14:paraId="11200092">
      <w:pPr>
        <w:adjustRightInd w:val="0"/>
        <w:snapToGrid w:val="0"/>
        <w:spacing w:line="5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2.承包人承诺按照法律规定及合同约定组织完成工程施工，确保工程质量和安全，不进行转包及违法分包，并在缺陷责任期及保修期内承担相应的工程维修责任。</w:t>
      </w:r>
    </w:p>
    <w:p w14:paraId="7032FB36">
      <w:pPr>
        <w:adjustRightInd w:val="0"/>
        <w:snapToGrid w:val="0"/>
        <w:spacing w:line="5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3.发包人和承包人通过招投标形式签订合同的，双方理解并承诺不再就同一工程另行签订与合同实质性内容相背离的协议。</w:t>
      </w:r>
    </w:p>
    <w:p w14:paraId="3332E15A">
      <w:pPr>
        <w:adjustRightInd w:val="0"/>
        <w:snapToGrid w:val="0"/>
        <w:spacing w:line="520" w:lineRule="exact"/>
        <w:rPr>
          <w:rFonts w:hint="eastAsia" w:ascii="宋体" w:hAnsi="宋体" w:eastAsia="宋体" w:cs="宋体"/>
          <w:b/>
          <w:bCs/>
          <w:color w:val="auto"/>
          <w:sz w:val="28"/>
          <w:szCs w:val="28"/>
          <w:highlight w:val="none"/>
        </w:rPr>
      </w:pPr>
      <w:bookmarkStart w:id="88" w:name="_Toc351203488"/>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八、词语含义</w:t>
      </w:r>
      <w:bookmarkEnd w:id="88"/>
    </w:p>
    <w:p w14:paraId="1B766B74">
      <w:pPr>
        <w:adjustRightInd w:val="0"/>
        <w:snapToGrid w:val="0"/>
        <w:spacing w:line="5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本协议书中词语含义与第二部分通用合同条款中赋予的含义相同。</w:t>
      </w:r>
      <w:bookmarkStart w:id="89" w:name="_Toc351203489"/>
    </w:p>
    <w:p w14:paraId="03F09A0F">
      <w:pPr>
        <w:adjustRightInd w:val="0"/>
        <w:snapToGrid w:val="0"/>
        <w:spacing w:line="52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九、签订时间</w:t>
      </w:r>
      <w:bookmarkEnd w:id="89"/>
    </w:p>
    <w:p w14:paraId="31CD0C91">
      <w:pPr>
        <w:adjustRightInd w:val="0"/>
        <w:snapToGrid w:val="0"/>
        <w:spacing w:line="5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本合同于</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2024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日</w:t>
      </w:r>
      <w:r>
        <w:rPr>
          <w:rFonts w:hint="eastAsia" w:ascii="宋体" w:hAnsi="宋体" w:eastAsia="宋体" w:cs="宋体"/>
          <w:bCs/>
          <w:color w:val="auto"/>
          <w:sz w:val="28"/>
          <w:szCs w:val="28"/>
          <w:highlight w:val="none"/>
        </w:rPr>
        <w:t>签订。</w:t>
      </w:r>
      <w:bookmarkStart w:id="90" w:name="_Toc351203490"/>
    </w:p>
    <w:p w14:paraId="5372988D">
      <w:pPr>
        <w:adjustRightInd w:val="0"/>
        <w:snapToGrid w:val="0"/>
        <w:spacing w:line="52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十、签订地点</w:t>
      </w:r>
      <w:bookmarkEnd w:id="90"/>
    </w:p>
    <w:p w14:paraId="58788BCB">
      <w:pPr>
        <w:adjustRightInd w:val="0"/>
        <w:snapToGrid w:val="0"/>
        <w:spacing w:line="5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本合同在</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u w:val="single"/>
          <w:lang w:val="en-US" w:eastAsia="zh-CN"/>
        </w:rPr>
        <w:t xml:space="preserve">   喀什中亚南亚工业园区管理委员会 </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签订。</w:t>
      </w:r>
      <w:bookmarkStart w:id="91" w:name="_Toc351203491"/>
    </w:p>
    <w:p w14:paraId="5BDD50C0">
      <w:pPr>
        <w:adjustRightInd w:val="0"/>
        <w:snapToGrid w:val="0"/>
        <w:spacing w:line="52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十一、补充协议</w:t>
      </w:r>
      <w:bookmarkEnd w:id="91"/>
    </w:p>
    <w:p w14:paraId="3C65C78A">
      <w:pPr>
        <w:adjustRightInd w:val="0"/>
        <w:snapToGrid w:val="0"/>
        <w:spacing w:line="5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合同未尽事宜，合同当事人另行签订补充协议，补充协议是合同的组成部分。</w:t>
      </w:r>
      <w:bookmarkStart w:id="92" w:name="_Toc351203492"/>
    </w:p>
    <w:p w14:paraId="63F132F6">
      <w:pPr>
        <w:adjustRightInd w:val="0"/>
        <w:snapToGrid w:val="0"/>
        <w:spacing w:line="52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十二、合同生效</w:t>
      </w:r>
      <w:bookmarkEnd w:id="92"/>
    </w:p>
    <w:p w14:paraId="2399A494">
      <w:pPr>
        <w:adjustRightInd w:val="0"/>
        <w:snapToGrid w:val="0"/>
        <w:spacing w:line="5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本合同自</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
          <w:color w:val="auto"/>
          <w:sz w:val="28"/>
          <w:szCs w:val="28"/>
          <w:highlight w:val="none"/>
          <w:u w:val="single"/>
        </w:rPr>
        <w:t>自双方签字盖章后</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生效。</w:t>
      </w:r>
      <w:bookmarkStart w:id="93" w:name="_Toc351203493"/>
    </w:p>
    <w:p w14:paraId="6735B26D">
      <w:pPr>
        <w:adjustRightInd w:val="0"/>
        <w:snapToGrid w:val="0"/>
        <w:spacing w:line="52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十三、合同份数</w:t>
      </w:r>
      <w:bookmarkEnd w:id="93"/>
    </w:p>
    <w:p w14:paraId="0EDB9C65">
      <w:pPr>
        <w:adjustRightInd w:val="0"/>
        <w:snapToGrid w:val="0"/>
        <w:spacing w:line="5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本合同一式</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
          <w:color w:val="auto"/>
          <w:sz w:val="28"/>
          <w:szCs w:val="28"/>
          <w:highlight w:val="none"/>
          <w:u w:val="single"/>
        </w:rPr>
        <w:t>捌</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份，均具有同等法律效力，发包人执</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
          <w:color w:val="auto"/>
          <w:sz w:val="28"/>
          <w:szCs w:val="28"/>
          <w:highlight w:val="none"/>
          <w:u w:val="single"/>
        </w:rPr>
        <w:t>肆</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份，承包人执</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
          <w:color w:val="auto"/>
          <w:sz w:val="28"/>
          <w:szCs w:val="28"/>
          <w:highlight w:val="none"/>
          <w:u w:val="single"/>
        </w:rPr>
        <w:t>肆</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份。</w:t>
      </w:r>
    </w:p>
    <w:p w14:paraId="18B77052">
      <w:pPr>
        <w:pStyle w:val="9"/>
        <w:rPr>
          <w:rFonts w:hint="eastAsia" w:ascii="宋体" w:hAnsi="宋体" w:eastAsia="宋体" w:cs="宋体"/>
          <w:color w:val="auto"/>
          <w:highlight w:val="none"/>
        </w:rPr>
      </w:pPr>
    </w:p>
    <w:p w14:paraId="57A79700">
      <w:pPr>
        <w:adjustRightInd w:val="0"/>
        <w:snapToGrid w:val="0"/>
        <w:spacing w:line="520" w:lineRule="exact"/>
        <w:ind w:left="5600" w:hanging="5600" w:hangingChars="200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发包人：</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承包人：</w:t>
      </w:r>
      <w:r>
        <w:rPr>
          <w:rFonts w:hint="eastAsia" w:ascii="宋体" w:hAnsi="宋体" w:eastAsia="宋体" w:cs="宋体"/>
          <w:color w:val="auto"/>
          <w:sz w:val="28"/>
          <w:szCs w:val="28"/>
          <w:highlight w:val="none"/>
          <w:lang w:val="en-US" w:eastAsia="zh-CN"/>
        </w:rPr>
        <w:t xml:space="preserve">            </w:t>
      </w:r>
    </w:p>
    <w:p w14:paraId="229E648B">
      <w:pPr>
        <w:adjustRightInd w:val="0"/>
        <w:snapToGrid w:val="0"/>
        <w:spacing w:line="520" w:lineRule="exact"/>
        <w:ind w:left="5320" w:hanging="5320" w:hangingChars="1900"/>
        <w:rPr>
          <w:rFonts w:hint="eastAsia" w:ascii="宋体" w:hAnsi="宋体" w:eastAsia="宋体" w:cs="宋体"/>
          <w:color w:val="auto"/>
          <w:sz w:val="28"/>
          <w:szCs w:val="28"/>
          <w:highlight w:val="none"/>
          <w:lang w:val="en-US" w:eastAsia="zh-CN"/>
        </w:rPr>
      </w:pPr>
    </w:p>
    <w:p w14:paraId="61F6464D">
      <w:pPr>
        <w:adjustRightInd w:val="0"/>
        <w:snapToGrid w:val="0"/>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法定代表人或其委托代理人：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法定代表人或其委托代理人：</w:t>
      </w:r>
    </w:p>
    <w:p w14:paraId="622BAE0A">
      <w:pPr>
        <w:adjustRightInd w:val="0"/>
        <w:snapToGrid w:val="0"/>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（签字）</w:t>
      </w:r>
    </w:p>
    <w:p w14:paraId="1DD7EC50">
      <w:pPr>
        <w:adjustRightInd w:val="0"/>
        <w:snapToGrid w:val="0"/>
        <w:spacing w:line="560" w:lineRule="exact"/>
        <w:rPr>
          <w:rFonts w:hint="eastAsia" w:ascii="宋体" w:hAnsi="宋体" w:eastAsia="宋体" w:cs="宋体"/>
          <w:color w:val="auto"/>
          <w:sz w:val="28"/>
          <w:szCs w:val="28"/>
          <w:highlight w:val="none"/>
          <w:u w:val="single"/>
        </w:rPr>
      </w:pPr>
    </w:p>
    <w:p w14:paraId="7382457E">
      <w:pPr>
        <w:tabs>
          <w:tab w:val="left" w:pos="4410"/>
        </w:tabs>
        <w:adjustRightInd w:val="0"/>
        <w:snapToGrid w:val="0"/>
        <w:spacing w:line="56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组织机构代码：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组织机构代码</w:t>
      </w:r>
      <w:r>
        <w:rPr>
          <w:rFonts w:hint="eastAsia" w:ascii="宋体" w:hAnsi="宋体" w:eastAsia="宋体" w:cs="宋体"/>
          <w:color w:val="auto"/>
          <w:sz w:val="28"/>
          <w:szCs w:val="28"/>
          <w:highlight w:val="none"/>
          <w:u w:val="single"/>
          <w:lang w:val="en-US" w:eastAsia="zh-CN"/>
        </w:rPr>
        <w:t xml:space="preserve">                       </w:t>
      </w:r>
    </w:p>
    <w:p w14:paraId="73B16334">
      <w:pPr>
        <w:adjustRightInd w:val="0"/>
        <w:snapToGrid w:val="0"/>
        <w:spacing w:line="560" w:lineRule="exact"/>
        <w:ind w:left="4760" w:hanging="4760" w:hangingChars="1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地    址：</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1A97EE01">
      <w:pPr>
        <w:adjustRightInd w:val="0"/>
        <w:snapToGrid w:val="0"/>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邮政编码：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743EEF07">
      <w:pPr>
        <w:adjustRightInd w:val="0"/>
        <w:snapToGrid w:val="0"/>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010B7DFD">
      <w:pPr>
        <w:adjustRightInd w:val="0"/>
        <w:snapToGrid w:val="0"/>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28B373C6">
      <w:pPr>
        <w:adjustRightInd w:val="0"/>
        <w:snapToGrid w:val="0"/>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  话：</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电    话：</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6EEC876D">
      <w:pPr>
        <w:adjustRightInd w:val="0"/>
        <w:snapToGrid w:val="0"/>
        <w:spacing w:line="560" w:lineRule="exact"/>
        <w:rPr>
          <w:rFonts w:hint="eastAsia" w:ascii="宋体" w:hAnsi="宋体" w:eastAsia="宋体" w:cs="宋体"/>
          <w:color w:val="auto"/>
          <w:sz w:val="28"/>
          <w:szCs w:val="28"/>
          <w:highlight w:val="none"/>
        </w:rPr>
      </w:pPr>
      <w:bookmarkStart w:id="94" w:name="_Toc351203494"/>
      <w:r>
        <w:rPr>
          <w:rFonts w:hint="eastAsia" w:ascii="宋体" w:hAnsi="宋体" w:eastAsia="宋体" w:cs="宋体"/>
          <w:color w:val="auto"/>
          <w:sz w:val="28"/>
          <w:szCs w:val="28"/>
          <w:highlight w:val="none"/>
        </w:rPr>
        <w:t>传  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传    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0C91584C">
      <w:pPr>
        <w:adjustRightInd w:val="0"/>
        <w:snapToGrid w:val="0"/>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电子信箱：</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电子信箱：</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5C1502E3">
      <w:pPr>
        <w:adjustRightInd w:val="0"/>
        <w:snapToGrid w:val="0"/>
        <w:spacing w:line="560" w:lineRule="exact"/>
        <w:ind w:left="5600" w:hanging="5600" w:hangingChars="200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开户银行：</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开户银行：</w:t>
      </w:r>
      <w:r>
        <w:rPr>
          <w:rFonts w:hint="eastAsia" w:ascii="宋体" w:hAnsi="宋体" w:eastAsia="宋体" w:cs="宋体"/>
          <w:color w:val="auto"/>
          <w:sz w:val="28"/>
          <w:szCs w:val="28"/>
          <w:highlight w:val="none"/>
          <w:u w:val="single"/>
          <w:lang w:val="en-US" w:eastAsia="zh-CN"/>
        </w:rPr>
        <w:t xml:space="preserve">                                </w:t>
      </w:r>
    </w:p>
    <w:p w14:paraId="5832F3F8">
      <w:pPr>
        <w:adjustRightInd w:val="0"/>
        <w:snapToGrid w:val="0"/>
        <w:spacing w:line="500" w:lineRule="exact"/>
        <w:jc w:val="both"/>
        <w:rPr>
          <w:rFonts w:hint="eastAsia" w:ascii="宋体" w:hAnsi="宋体" w:eastAsia="宋体" w:cs="宋体"/>
          <w:b/>
          <w:color w:val="auto"/>
          <w:sz w:val="44"/>
          <w:szCs w:val="44"/>
          <w:highlight w:val="none"/>
        </w:rPr>
      </w:pPr>
      <w:r>
        <w:rPr>
          <w:rFonts w:hint="eastAsia" w:ascii="宋体" w:hAnsi="宋体" w:eastAsia="宋体" w:cs="宋体"/>
          <w:color w:val="auto"/>
          <w:sz w:val="28"/>
          <w:szCs w:val="28"/>
          <w:highlight w:val="none"/>
        </w:rPr>
        <w:t>账  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账  号：</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highlight w:val="none"/>
        </w:rPr>
        <w:br w:type="page"/>
      </w:r>
      <w:r>
        <w:rPr>
          <w:rFonts w:hint="eastAsia" w:ascii="宋体" w:hAnsi="宋体" w:eastAsia="宋体" w:cs="宋体"/>
          <w:b/>
          <w:color w:val="auto"/>
          <w:sz w:val="44"/>
          <w:szCs w:val="44"/>
          <w:highlight w:val="none"/>
        </w:rPr>
        <w:t>第二部分 通用合同条款</w:t>
      </w:r>
      <w:bookmarkEnd w:id="94"/>
      <w:bookmarkStart w:id="95" w:name="_Toc337558727"/>
      <w:bookmarkStart w:id="96" w:name="_Toc351203495"/>
    </w:p>
    <w:p w14:paraId="2EF1BE5B">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1.</w:t>
      </w:r>
      <w:bookmarkStart w:id="97" w:name="_Toc303538974"/>
      <w:bookmarkEnd w:id="97"/>
      <w:bookmarkStart w:id="98" w:name="_Toc303538973"/>
      <w:bookmarkEnd w:id="98"/>
      <w:bookmarkStart w:id="99" w:name="_Toc303538972"/>
      <w:bookmarkEnd w:id="99"/>
      <w:bookmarkStart w:id="100" w:name="_Toc303538975"/>
      <w:bookmarkEnd w:id="100"/>
      <w:bookmarkStart w:id="101" w:name="_Toc303538976"/>
      <w:bookmarkEnd w:id="101"/>
      <w:bookmarkStart w:id="102" w:name="_Toc296503027"/>
      <w:bookmarkStart w:id="103" w:name="_Toc296346528"/>
      <w:r>
        <w:rPr>
          <w:rFonts w:hint="eastAsia" w:ascii="宋体" w:hAnsi="宋体" w:eastAsia="宋体" w:cs="宋体"/>
          <w:b/>
          <w:color w:val="auto"/>
          <w:kern w:val="0"/>
          <w:sz w:val="28"/>
          <w:szCs w:val="28"/>
          <w:highlight w:val="none"/>
        </w:rPr>
        <w:t xml:space="preserve"> 一般约定</w:t>
      </w:r>
      <w:bookmarkEnd w:id="95"/>
      <w:bookmarkEnd w:id="96"/>
      <w:bookmarkEnd w:id="102"/>
      <w:bookmarkEnd w:id="103"/>
      <w:bookmarkStart w:id="104" w:name="_Toc296503028"/>
      <w:bookmarkStart w:id="105" w:name="_Toc337558728"/>
      <w:bookmarkStart w:id="106" w:name="_Toc296346529"/>
      <w:bookmarkStart w:id="107" w:name="_Toc351203496"/>
    </w:p>
    <w:p w14:paraId="465B2660">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1.1词语定义</w:t>
      </w:r>
      <w:bookmarkEnd w:id="104"/>
      <w:bookmarkEnd w:id="105"/>
      <w:bookmarkEnd w:id="106"/>
      <w:r>
        <w:rPr>
          <w:rFonts w:hint="eastAsia" w:ascii="宋体" w:hAnsi="宋体" w:eastAsia="宋体" w:cs="宋体"/>
          <w:b/>
          <w:color w:val="auto"/>
          <w:kern w:val="0"/>
          <w:sz w:val="28"/>
          <w:szCs w:val="28"/>
          <w:highlight w:val="none"/>
        </w:rPr>
        <w:t>与解释</w:t>
      </w:r>
      <w:bookmarkEnd w:id="107"/>
    </w:p>
    <w:p w14:paraId="147A1C0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合同协议书、通用合同条款、专用合同条款中的下列词语具有本款所赋予的含义：</w:t>
      </w:r>
    </w:p>
    <w:p w14:paraId="355EBAB4">
      <w:pPr>
        <w:autoSpaceDE w:val="0"/>
        <w:autoSpaceDN w:val="0"/>
        <w:adjustRightInd w:val="0"/>
        <w:snapToGrid w:val="0"/>
        <w:spacing w:line="50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1.1.1 合同</w:t>
      </w:r>
    </w:p>
    <w:p w14:paraId="35B90E2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auto"/>
          <w:sz w:val="28"/>
          <w:szCs w:val="28"/>
          <w:highlight w:val="none"/>
        </w:rPr>
        <w:t>及其附件</w:t>
      </w:r>
      <w:r>
        <w:rPr>
          <w:rFonts w:hint="eastAsia" w:ascii="宋体" w:hAnsi="宋体" w:eastAsia="宋体" w:cs="宋体"/>
          <w:color w:val="auto"/>
          <w:kern w:val="0"/>
          <w:sz w:val="28"/>
          <w:szCs w:val="28"/>
          <w:highlight w:val="none"/>
        </w:rPr>
        <w:t>、通用合同条款、技术标准和要求、图纸、已标价工程量清单或预算书以及其他合同文件。</w:t>
      </w:r>
    </w:p>
    <w:p w14:paraId="0B7F03F9">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1.1.1.2 合同协议书：是指构成合同的由发包人和承包人共同签署的称为“合同协议书”的书面文件。</w:t>
      </w:r>
    </w:p>
    <w:p w14:paraId="1A49AAD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1.1.1.3 中标通知书：是指构成合同的由发包人通知承包人中标的书面文件。</w:t>
      </w:r>
    </w:p>
    <w:p w14:paraId="51107249">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1.1.1.4 投标函：是指构成合同的由承包人填写并签署的用于投标的称为“投标函”的文件。</w:t>
      </w:r>
    </w:p>
    <w:p w14:paraId="5FD61DB9">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1.1.1.5 投标函附录：是指构成合同的附在投标函后的称为“投标函附录”的文件。</w:t>
      </w:r>
    </w:p>
    <w:p w14:paraId="41C52DC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1.1.1.6 技术标准和要求：是指构成合同的施工应当遵守的或指导施工的国家、行业或地方的技术标准和要求，以及合同约定的技术标准和要求。</w:t>
      </w:r>
    </w:p>
    <w:p w14:paraId="53D6636A">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756B2D96">
      <w:pPr>
        <w:autoSpaceDE w:val="0"/>
        <w:autoSpaceDN w:val="0"/>
        <w:adjustRightInd w:val="0"/>
        <w:snapToGrid w:val="0"/>
        <w:spacing w:line="500" w:lineRule="exact"/>
        <w:ind w:firstLine="546" w:firstLineChars="195"/>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1.1.1.8 已标价工程量清单：是指构成合同的由承包人按照规定的格式和要求填写并标明价格的工程量清单，包括说明和表格。</w:t>
      </w:r>
    </w:p>
    <w:p w14:paraId="2D22A9A5">
      <w:pPr>
        <w:autoSpaceDE w:val="0"/>
        <w:autoSpaceDN w:val="0"/>
        <w:adjustRightInd w:val="0"/>
        <w:snapToGrid w:val="0"/>
        <w:spacing w:line="500" w:lineRule="exact"/>
        <w:ind w:firstLine="546" w:firstLineChars="195"/>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1.1.1.9 预算书：是指构成合同的由承包人按照发包人规定的格式和要求编制的工程预算文件。</w:t>
      </w:r>
    </w:p>
    <w:p w14:paraId="706384A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1.1.1.10 其他合同文件：是指经合同当事人约定的与工程施工有关的具有合同约束力的文件或书面协议。合同当事人可以在专用合同条款中进行约定。</w:t>
      </w:r>
    </w:p>
    <w:p w14:paraId="2CA1AE88">
      <w:pPr>
        <w:autoSpaceDE w:val="0"/>
        <w:autoSpaceDN w:val="0"/>
        <w:adjustRightInd w:val="0"/>
        <w:snapToGrid w:val="0"/>
        <w:spacing w:line="50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1.1.2 合同当事人及其他相关方</w:t>
      </w:r>
    </w:p>
    <w:p w14:paraId="09D63332">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1.1.2.1 合同当事人：是指发包人和（或）承包人。</w:t>
      </w:r>
    </w:p>
    <w:p w14:paraId="4280FFCE">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1.1.2.2 发包人：是指与承包人签订合同协议书的当事人及取得该当事人资格的合法继承人。</w:t>
      </w:r>
    </w:p>
    <w:p w14:paraId="5CAB26F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1.1.2.3 承包人：是指与发包人签订合同协议书的，具有相应工程施工承包资质的当事人及取得该当事人资格的合法继承人。</w:t>
      </w:r>
    </w:p>
    <w:p w14:paraId="583065C7">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1.1.2.4 </w:t>
      </w:r>
      <w:r>
        <w:rPr>
          <w:rFonts w:hint="eastAsia" w:ascii="宋体" w:hAnsi="宋体" w:eastAsia="宋体" w:cs="宋体"/>
          <w:color w:val="auto"/>
          <w:kern w:val="0"/>
          <w:sz w:val="28"/>
          <w:szCs w:val="28"/>
          <w:highlight w:val="none"/>
          <w:lang w:val="en-US" w:eastAsia="zh-CN"/>
        </w:rPr>
        <w:t>发包</w:t>
      </w:r>
      <w:r>
        <w:rPr>
          <w:rFonts w:hint="eastAsia" w:ascii="宋体" w:hAnsi="宋体" w:eastAsia="宋体" w:cs="宋体"/>
          <w:color w:val="auto"/>
          <w:kern w:val="0"/>
          <w:sz w:val="28"/>
          <w:szCs w:val="28"/>
          <w:highlight w:val="none"/>
        </w:rPr>
        <w:t>人：是指在专用合同条款中指明的，受发包人委托按照法律规定进行工程监督管理的法人或其他组织。</w:t>
      </w:r>
    </w:p>
    <w:p w14:paraId="2AB2FF0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1.1.2.5 设计人：是指在专用合同条款中指明的，受发包人委托负责工程设计并具备相应工程设计资质的法人或其他组织。</w:t>
      </w:r>
    </w:p>
    <w:p w14:paraId="3DCF7FEA">
      <w:pPr>
        <w:adjustRightInd w:val="0"/>
        <w:snapToGrid w:val="0"/>
        <w:spacing w:line="500" w:lineRule="exact"/>
        <w:ind w:firstLine="546" w:firstLineChars="195"/>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1.1.2.6 分包人：</w:t>
      </w:r>
      <w:bookmarkStart w:id="108" w:name="#go5"/>
      <w:bookmarkEnd w:id="108"/>
      <w:r>
        <w:rPr>
          <w:rFonts w:hint="eastAsia" w:ascii="宋体" w:hAnsi="宋体" w:eastAsia="宋体" w:cs="宋体"/>
          <w:color w:val="auto"/>
          <w:kern w:val="0"/>
          <w:sz w:val="28"/>
          <w:szCs w:val="28"/>
          <w:highlight w:val="none"/>
        </w:rPr>
        <w:t>是指按照法律规定和合同约定，分包部分工程或工作，并与承包人签订分包合同的具有相应资质的法人。</w:t>
      </w:r>
    </w:p>
    <w:p w14:paraId="2B4FAEF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1.1.2.7 发包人代表：是指由发包人任命并派驻施工现场在发包人授权范围内行使发包人权利的人。</w:t>
      </w:r>
    </w:p>
    <w:p w14:paraId="53537D17">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1.1.2.8 项目经理：是指由承包人任命并派驻施工现场，在承包人授权范围内负责合同履行，且按照法律规定具有相应资格的项目负责人。</w:t>
      </w:r>
    </w:p>
    <w:p w14:paraId="3F6E8F88">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1.1.3 工程和设备</w:t>
      </w:r>
    </w:p>
    <w:p w14:paraId="2113718C">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1.1.3.1 工程：是指与合同协议书中工程承包范围对应的永久工程和（或）临时工程。</w:t>
      </w:r>
    </w:p>
    <w:p w14:paraId="7CBC7255">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1.1.3.2 永久工程：是指按合同约定建造并移交给发包人的工程，包括工程设备。</w:t>
      </w:r>
    </w:p>
    <w:p w14:paraId="00C65718">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1.1.3.3 临时工程：是指为完成合同约定的永久工程所修建的各类临时性工程，不包括施工设备。</w:t>
      </w:r>
    </w:p>
    <w:p w14:paraId="0A949FCC">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1.1.3.4 单位工程：是指在合同协议书中指明的，具备独立施工条件并能形成独立使用功能的永久工程。</w:t>
      </w:r>
    </w:p>
    <w:p w14:paraId="6D16B594">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1.1.3.5 工程设备：是指构成永久工程的机电设备、金属结构设备、仪器及其他类似的设备和装置。</w:t>
      </w:r>
    </w:p>
    <w:p w14:paraId="66B278DE">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1.1.3.6 施工设备：是指为完成合同约定的各项工作所需的设备、器具和其他物品，但不包括工程设备、临时工程和材料。</w:t>
      </w:r>
    </w:p>
    <w:p w14:paraId="1C274B44">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1.1.3.7 施工现场：是指用于工程施工的场所，以及在专用合同条款中指明作为施工场所组成部分的其他场所，包括永久占地和临时占地。</w:t>
      </w:r>
    </w:p>
    <w:p w14:paraId="71161973">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1.1.3.8临时设施：是指为完成合同约定的各项工作所服务的临时性生产和生活设施。</w:t>
      </w:r>
    </w:p>
    <w:p w14:paraId="7F69D6D2">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1.1.3.9 永久占地：是指专用合同条款中指明为实施工程需永久占用的土地。</w:t>
      </w:r>
    </w:p>
    <w:p w14:paraId="2E6A543E">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1.1.3.10 临时占地：是指专用合同条款中指明为实施工程需要临时占用的土地。</w:t>
      </w:r>
    </w:p>
    <w:p w14:paraId="0618EFD3">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1.1.4 日期和期限</w:t>
      </w:r>
    </w:p>
    <w:p w14:paraId="36A562DB">
      <w:pPr>
        <w:adjustRightInd w:val="0"/>
        <w:snapToGrid w:val="0"/>
        <w:spacing w:line="500" w:lineRule="exact"/>
        <w:ind w:firstLine="528" w:firstLineChars="200"/>
        <w:jc w:val="left"/>
        <w:rPr>
          <w:rFonts w:hint="eastAsia" w:ascii="宋体" w:hAnsi="宋体" w:eastAsia="宋体" w:cs="宋体"/>
          <w:color w:val="auto"/>
          <w:spacing w:val="-8"/>
          <w:kern w:val="0"/>
          <w:sz w:val="28"/>
          <w:szCs w:val="28"/>
          <w:highlight w:val="none"/>
        </w:rPr>
      </w:pPr>
      <w:r>
        <w:rPr>
          <w:rFonts w:hint="eastAsia" w:ascii="宋体" w:hAnsi="宋体" w:eastAsia="宋体" w:cs="宋体"/>
          <w:color w:val="auto"/>
          <w:spacing w:val="-8"/>
          <w:kern w:val="0"/>
          <w:sz w:val="28"/>
          <w:szCs w:val="28"/>
          <w:highlight w:val="none"/>
        </w:rPr>
        <w:t>1.1.4.1 开工日期：包括计划开工日期和实际开工日期。计划开工日期是指合同协议书约定的开工日期；实际开工日期是指</w:t>
      </w:r>
      <w:r>
        <w:rPr>
          <w:rFonts w:hint="eastAsia" w:ascii="宋体" w:hAnsi="宋体" w:eastAsia="宋体" w:cs="宋体"/>
          <w:color w:val="auto"/>
          <w:spacing w:val="-8"/>
          <w:kern w:val="0"/>
          <w:sz w:val="28"/>
          <w:szCs w:val="28"/>
          <w:highlight w:val="none"/>
          <w:lang w:val="en-US" w:eastAsia="zh-CN"/>
        </w:rPr>
        <w:t>发包</w:t>
      </w:r>
      <w:r>
        <w:rPr>
          <w:rFonts w:hint="eastAsia" w:ascii="宋体" w:hAnsi="宋体" w:eastAsia="宋体" w:cs="宋体"/>
          <w:color w:val="auto"/>
          <w:spacing w:val="-8"/>
          <w:kern w:val="0"/>
          <w:sz w:val="28"/>
          <w:szCs w:val="28"/>
          <w:highlight w:val="none"/>
        </w:rPr>
        <w:t>人按照约定发出的符合法律规定的开工通知中载明的开工日期。</w:t>
      </w:r>
    </w:p>
    <w:p w14:paraId="4CF68288">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1.1.4.2 竣工日期：包括计划竣工日期和实际竣工日期。计划竣工日期是指合同协议书约定的竣工日期；实际竣工日期按照第13.2.3项〔竣工日期〕的约定确定。 </w:t>
      </w:r>
    </w:p>
    <w:p w14:paraId="5343ACBE">
      <w:pPr>
        <w:adjustRightInd w:val="0"/>
        <w:snapToGrid w:val="0"/>
        <w:spacing w:line="500" w:lineRule="exact"/>
        <w:ind w:firstLine="568" w:firstLineChars="203"/>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1.1.4.3 工期：是指在合同协议书约定的承包人完成工程所需的期限，包括按照合同约定所作的期限变更。</w:t>
      </w:r>
    </w:p>
    <w:p w14:paraId="2856213B">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1.1.4.4 缺陷责任期：是指承包人按照合同约定承担缺陷修复义务，且发包人预留质量保证金的期限，自工程实际竣工日期起计算。</w:t>
      </w:r>
    </w:p>
    <w:p w14:paraId="619007CC">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1.1.4.5 保修期：是指承包人按照合同约定对工程承担保修责任的期限，从工程竣工验收合格之日起计算。</w:t>
      </w:r>
    </w:p>
    <w:p w14:paraId="4F6DBE4C">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1.1.4.6 基准日期：招标发包的工程以投标截止日前28天的日期为基准日期，直接发包的工程以合同签订日前28天的日期为基准日期。</w:t>
      </w:r>
    </w:p>
    <w:p w14:paraId="617BB972">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1.1.4.7 天：除特别指明外，均指日历天。合同中按天计算时间的，开始当天不计入，从次日开始计算，期限最后一天的截止时间为当天24:00时。</w:t>
      </w:r>
    </w:p>
    <w:p w14:paraId="4254BC2A">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1.1.5 合同价格和费用</w:t>
      </w:r>
    </w:p>
    <w:p w14:paraId="58544C05">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1.1.5.1 签约合同价：是指</w:t>
      </w:r>
      <w:r>
        <w:rPr>
          <w:rFonts w:hint="eastAsia" w:ascii="宋体" w:hAnsi="宋体" w:eastAsia="宋体" w:cs="宋体"/>
          <w:color w:val="auto"/>
          <w:sz w:val="28"/>
          <w:szCs w:val="28"/>
          <w:highlight w:val="none"/>
        </w:rPr>
        <w:t>发包人和承包人在合同协议书中确定的总金额，包括安全文明施工费、暂估价及暂列金额等。</w:t>
      </w:r>
    </w:p>
    <w:p w14:paraId="711993FE">
      <w:pPr>
        <w:adjustRightInd w:val="0"/>
        <w:snapToGrid w:val="0"/>
        <w:spacing w:line="500" w:lineRule="exact"/>
        <w:ind w:firstLine="520" w:firstLineChars="200"/>
        <w:jc w:val="left"/>
        <w:rPr>
          <w:rFonts w:hint="eastAsia" w:ascii="宋体" w:hAnsi="宋体" w:eastAsia="宋体" w:cs="宋体"/>
          <w:color w:val="auto"/>
          <w:spacing w:val="-10"/>
          <w:kern w:val="0"/>
          <w:sz w:val="28"/>
          <w:szCs w:val="28"/>
          <w:highlight w:val="none"/>
        </w:rPr>
      </w:pPr>
      <w:r>
        <w:rPr>
          <w:rFonts w:hint="eastAsia" w:ascii="宋体" w:hAnsi="宋体" w:eastAsia="宋体" w:cs="宋体"/>
          <w:color w:val="auto"/>
          <w:spacing w:val="-10"/>
          <w:kern w:val="0"/>
          <w:sz w:val="28"/>
          <w:szCs w:val="28"/>
          <w:highlight w:val="none"/>
        </w:rPr>
        <w:t>1.1.5.2 合同价格：是指发包人用于支付承包人按照合同约定完成承包范围内全部工作的金额，包括合同履行过程中按合同约定发生的价格变化。</w:t>
      </w:r>
    </w:p>
    <w:p w14:paraId="0E4B5F78">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1.1.5.3 费用：是指为履行合同所发生的或将要发生的所有必需的开支，包括管理费和应分摊的其他费用，但不包括利润。</w:t>
      </w:r>
    </w:p>
    <w:p w14:paraId="559F3C5C">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1.1.5.4 暂估价：是指发包人在工程量清单或预算书中提供的用于支付必然发生但暂时不能确定价格的材料、工程设备的单价、专业工程以及服务工作的金额。</w:t>
      </w:r>
    </w:p>
    <w:p w14:paraId="2AAEB0B5">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41C3981E">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1.1.5.6 计日工：是指合同履行过程中，承包人完成发包人提出的零星工作或需要采用计日工计价的变更工作时，按合同中约定的单价计价的一种方式。</w:t>
      </w:r>
    </w:p>
    <w:p w14:paraId="67246AD6">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1.1.5.7 质量保证金</w:t>
      </w:r>
      <w:bookmarkStart w:id="109" w:name="#go2"/>
      <w:bookmarkEnd w:id="109"/>
      <w:r>
        <w:rPr>
          <w:rFonts w:hint="eastAsia" w:ascii="宋体" w:hAnsi="宋体" w:eastAsia="宋体" w:cs="宋体"/>
          <w:color w:val="auto"/>
          <w:kern w:val="0"/>
          <w:sz w:val="28"/>
          <w:szCs w:val="28"/>
          <w:highlight w:val="none"/>
        </w:rPr>
        <w:t>：是指按照第15.3款〔质量保证金〕约定承包人用于保证其在缺陷责任期内履行缺陷修补义务的担保</w:t>
      </w:r>
      <w:r>
        <w:rPr>
          <w:rFonts w:hint="eastAsia" w:ascii="宋体" w:hAnsi="宋体" w:eastAsia="宋体" w:cs="宋体"/>
          <w:color w:val="auto"/>
          <w:sz w:val="28"/>
          <w:szCs w:val="28"/>
          <w:highlight w:val="none"/>
        </w:rPr>
        <w:t>。</w:t>
      </w:r>
    </w:p>
    <w:p w14:paraId="27FED532">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1.1.5.8 总价项目：是指在现行国家、行业以及地方的计量规则中无工程量计算规则，在已标价工程量清单或预算书中以总价或以费率形式计算的项目。</w:t>
      </w:r>
    </w:p>
    <w:p w14:paraId="63418F44">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1.1.6 其他</w:t>
      </w:r>
    </w:p>
    <w:p w14:paraId="1425AE71">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1.1.6.1 书面形式：是指合同文件、信函、电报、传真等可以有形地表现所载内容的形式。</w:t>
      </w:r>
      <w:bookmarkStart w:id="110" w:name="_Toc296503029"/>
      <w:bookmarkStart w:id="111" w:name="_Toc296346530"/>
      <w:bookmarkStart w:id="112" w:name="_Toc351203497"/>
      <w:bookmarkStart w:id="113" w:name="_Toc337558729"/>
    </w:p>
    <w:p w14:paraId="6D69A63B">
      <w:pPr>
        <w:adjustRightInd w:val="0"/>
        <w:snapToGrid w:val="0"/>
        <w:spacing w:line="500" w:lineRule="exact"/>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1.2语言文字</w:t>
      </w:r>
      <w:bookmarkEnd w:id="110"/>
      <w:bookmarkEnd w:id="111"/>
      <w:bookmarkEnd w:id="112"/>
      <w:bookmarkEnd w:id="113"/>
    </w:p>
    <w:p w14:paraId="6585645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合同以中国的汉语简体文字编写、解释和说明。合同当事人在专用合同条款中约定使用两种以上语言时，汉语为优先解释和说明合同的语言。</w:t>
      </w:r>
      <w:bookmarkStart w:id="114" w:name="_Toc296346531"/>
      <w:bookmarkStart w:id="115" w:name="_Toc351203498"/>
      <w:bookmarkStart w:id="116" w:name="_Toc337558730"/>
      <w:bookmarkStart w:id="117" w:name="_Toc296503030"/>
    </w:p>
    <w:p w14:paraId="5B8DDDAA">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1.3 法律</w:t>
      </w:r>
      <w:bookmarkEnd w:id="114"/>
      <w:bookmarkEnd w:id="115"/>
      <w:bookmarkEnd w:id="116"/>
      <w:bookmarkEnd w:id="117"/>
    </w:p>
    <w:p w14:paraId="0022EF8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合同所称法律是指中华人民共和国法律、行政法规、部门规章，以及工程所在地的地方性法规、自治条例、单行条例和地方政府规章等。</w:t>
      </w:r>
    </w:p>
    <w:p w14:paraId="2262A93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合同当事人可以在专用合同条款中约定合同适用的其他规范性文件。</w:t>
      </w:r>
      <w:bookmarkStart w:id="118" w:name="_Toc351203499"/>
    </w:p>
    <w:p w14:paraId="5BA08898">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1.4 标准和规范</w:t>
      </w:r>
      <w:bookmarkEnd w:id="118"/>
    </w:p>
    <w:p w14:paraId="1B4537B3">
      <w:pPr>
        <w:autoSpaceDE w:val="0"/>
        <w:autoSpaceDN w:val="0"/>
        <w:adjustRightInd w:val="0"/>
        <w:snapToGrid w:val="0"/>
        <w:spacing w:line="500" w:lineRule="exact"/>
        <w:ind w:firstLine="64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1.4.1 适用于工程的国家标准、行业标准、工程所在地的地方性标准，以及相应的规范、规程等，合同当事人有特别要求的，应在专用合同</w:t>
      </w:r>
    </w:p>
    <w:p w14:paraId="6945D476">
      <w:pPr>
        <w:autoSpaceDE w:val="0"/>
        <w:autoSpaceDN w:val="0"/>
        <w:adjustRightInd w:val="0"/>
        <w:snapToGrid w:val="0"/>
        <w:spacing w:line="500" w:lineRule="exact"/>
        <w:ind w:firstLine="640"/>
        <w:jc w:val="left"/>
        <w:rPr>
          <w:rFonts w:hint="eastAsia" w:ascii="宋体" w:hAnsi="宋体" w:eastAsia="宋体" w:cs="宋体"/>
          <w:color w:val="auto"/>
          <w:kern w:val="0"/>
          <w:sz w:val="28"/>
          <w:szCs w:val="28"/>
          <w:highlight w:val="none"/>
        </w:rPr>
      </w:pPr>
    </w:p>
    <w:p w14:paraId="3D06D6A5">
      <w:pPr>
        <w:autoSpaceDE w:val="0"/>
        <w:autoSpaceDN w:val="0"/>
        <w:adjustRightInd w:val="0"/>
        <w:snapToGrid w:val="0"/>
        <w:spacing w:line="50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条款中约定。</w:t>
      </w:r>
    </w:p>
    <w:p w14:paraId="492A31CF">
      <w:pPr>
        <w:autoSpaceDE w:val="0"/>
        <w:autoSpaceDN w:val="0"/>
        <w:adjustRightInd w:val="0"/>
        <w:snapToGrid w:val="0"/>
        <w:spacing w:line="500" w:lineRule="exact"/>
        <w:ind w:firstLine="640"/>
        <w:jc w:val="left"/>
        <w:rPr>
          <w:rFonts w:hint="eastAsia" w:ascii="宋体" w:hAnsi="宋体" w:eastAsia="宋体" w:cs="宋体"/>
          <w:color w:val="auto"/>
          <w:spacing w:val="-6"/>
          <w:kern w:val="0"/>
          <w:sz w:val="28"/>
          <w:szCs w:val="28"/>
          <w:highlight w:val="none"/>
        </w:rPr>
      </w:pPr>
      <w:r>
        <w:rPr>
          <w:rFonts w:hint="eastAsia" w:ascii="宋体" w:hAnsi="宋体" w:eastAsia="宋体" w:cs="宋体"/>
          <w:color w:val="auto"/>
          <w:spacing w:val="-6"/>
          <w:kern w:val="0"/>
          <w:sz w:val="28"/>
          <w:szCs w:val="28"/>
          <w:highlight w:val="none"/>
        </w:rPr>
        <w:t>1.4.2 发包人要求使用国外标准、规范的，发包人负责提供原文版本和中文译本，并在专用合同条款中约定提供标准规范的名称、份数和时间。</w:t>
      </w:r>
    </w:p>
    <w:p w14:paraId="723029BC">
      <w:pPr>
        <w:autoSpaceDE w:val="0"/>
        <w:autoSpaceDN w:val="0"/>
        <w:adjustRightInd w:val="0"/>
        <w:snapToGrid w:val="0"/>
        <w:spacing w:line="500" w:lineRule="exact"/>
        <w:ind w:firstLine="64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bookmarkStart w:id="119" w:name="_Toc351203500"/>
    </w:p>
    <w:p w14:paraId="6E49C6F0">
      <w:pPr>
        <w:autoSpaceDE w:val="0"/>
        <w:autoSpaceDN w:val="0"/>
        <w:adjustRightInd w:val="0"/>
        <w:snapToGrid w:val="0"/>
        <w:spacing w:line="500" w:lineRule="exact"/>
        <w:ind w:firstLine="64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w:t>
      </w:r>
      <w:bookmarkStart w:id="120" w:name="_Toc337558731"/>
      <w:bookmarkStart w:id="121" w:name="_Toc296503031"/>
      <w:bookmarkStart w:id="122" w:name="_Toc296346532"/>
      <w:r>
        <w:rPr>
          <w:rFonts w:hint="eastAsia" w:ascii="宋体" w:hAnsi="宋体" w:eastAsia="宋体" w:cs="宋体"/>
          <w:b/>
          <w:color w:val="auto"/>
          <w:sz w:val="28"/>
          <w:szCs w:val="28"/>
          <w:highlight w:val="none"/>
        </w:rPr>
        <w:t>.5 合同文件的优先顺序</w:t>
      </w:r>
      <w:bookmarkEnd w:id="119"/>
    </w:p>
    <w:bookmarkEnd w:id="120"/>
    <w:bookmarkEnd w:id="121"/>
    <w:bookmarkEnd w:id="122"/>
    <w:p w14:paraId="102129BE">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组成合同的各项文件应互相解释，互为说明。除专用合同条款另有约定外，解释合同文件的优先顺序如下：</w:t>
      </w:r>
    </w:p>
    <w:p w14:paraId="20F31417">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（1）合同协议书；</w:t>
      </w:r>
    </w:p>
    <w:p w14:paraId="5929D70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（2）中标通知书（如果有）；</w:t>
      </w:r>
    </w:p>
    <w:p w14:paraId="35328D51">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（3）投标函及其附录（如果有）；</w:t>
      </w:r>
    </w:p>
    <w:p w14:paraId="66300FEC">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（4）专用合同条款</w:t>
      </w:r>
      <w:r>
        <w:rPr>
          <w:rFonts w:hint="eastAsia" w:ascii="宋体" w:hAnsi="宋体" w:eastAsia="宋体" w:cs="宋体"/>
          <w:color w:val="auto"/>
          <w:sz w:val="28"/>
          <w:szCs w:val="28"/>
          <w:highlight w:val="none"/>
        </w:rPr>
        <w:t>及其附件</w:t>
      </w:r>
      <w:r>
        <w:rPr>
          <w:rFonts w:hint="eastAsia" w:ascii="宋体" w:hAnsi="宋体" w:eastAsia="宋体" w:cs="宋体"/>
          <w:color w:val="auto"/>
          <w:kern w:val="0"/>
          <w:sz w:val="28"/>
          <w:szCs w:val="28"/>
          <w:highlight w:val="none"/>
        </w:rPr>
        <w:t>；</w:t>
      </w:r>
    </w:p>
    <w:p w14:paraId="4E28F13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（5）通用合同条款；</w:t>
      </w:r>
    </w:p>
    <w:p w14:paraId="70F195B8">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（6）技术标准和要求；</w:t>
      </w:r>
    </w:p>
    <w:p w14:paraId="658A4E8C">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（7）图纸；</w:t>
      </w:r>
    </w:p>
    <w:p w14:paraId="0736EB5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（8）已标价工程量清单或预算书；</w:t>
      </w:r>
    </w:p>
    <w:p w14:paraId="559508BF">
      <w:pPr>
        <w:autoSpaceDE w:val="0"/>
        <w:autoSpaceDN w:val="0"/>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（9）其他合同文件。</w:t>
      </w:r>
    </w:p>
    <w:p w14:paraId="2F526981">
      <w:pPr>
        <w:adjustRightInd w:val="0"/>
        <w:snapToGrid w:val="0"/>
        <w:spacing w:line="500" w:lineRule="exact"/>
        <w:ind w:firstLine="596" w:firstLineChars="21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上述各项合同文件包括合同当事人就该项合同文件所作出的补充和修改，属于同一类内容的文件，应以最新签署的为准。</w:t>
      </w:r>
    </w:p>
    <w:p w14:paraId="038490E3">
      <w:pPr>
        <w:adjustRightInd w:val="0"/>
        <w:snapToGrid w:val="0"/>
        <w:spacing w:line="500" w:lineRule="exact"/>
        <w:ind w:firstLine="596" w:firstLineChars="21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在合同订立及履行过程中形成的与合同有关的文件均构成合同文件组成部分，并根据其性质确定优先解释顺序。</w:t>
      </w:r>
      <w:bookmarkStart w:id="123" w:name="_Toc351203501"/>
    </w:p>
    <w:p w14:paraId="3880739B">
      <w:pPr>
        <w:adjustRightInd w:val="0"/>
        <w:snapToGrid w:val="0"/>
        <w:spacing w:line="500" w:lineRule="exact"/>
        <w:ind w:firstLine="599" w:firstLineChars="213"/>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bookmarkStart w:id="124" w:name="_Toc296346533"/>
      <w:bookmarkStart w:id="125" w:name="_Toc337558732"/>
      <w:bookmarkStart w:id="126" w:name="_Toc296503032"/>
      <w:r>
        <w:rPr>
          <w:rFonts w:hint="eastAsia" w:ascii="宋体" w:hAnsi="宋体" w:eastAsia="宋体" w:cs="宋体"/>
          <w:b/>
          <w:color w:val="auto"/>
          <w:sz w:val="28"/>
          <w:szCs w:val="28"/>
          <w:highlight w:val="none"/>
        </w:rPr>
        <w:t>.6图纸和承包人文件</w:t>
      </w:r>
      <w:bookmarkEnd w:id="123"/>
    </w:p>
    <w:bookmarkEnd w:id="124"/>
    <w:bookmarkEnd w:id="125"/>
    <w:bookmarkEnd w:id="126"/>
    <w:p w14:paraId="736C6B60">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1.6.1 图纸的提供和交底</w:t>
      </w:r>
    </w:p>
    <w:p w14:paraId="65FDC891">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应按照专用合同条款约定的期限、数量和内容向承包人免费提供图纸，并组织承包人、设计人进行图纸会审和设计交底。发包人至迟不得晚于第7.3.2项〔开工通知〕载明的开工日期前14天向承包人提供图纸。</w:t>
      </w:r>
    </w:p>
    <w:p w14:paraId="6D0BDD63">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因发包人未按合同约定提供图纸导致承包人费用增加和（或）工期延误的，按照第7.5.1项〔因发包人原因导致工期延误〕约定办理。</w:t>
      </w:r>
    </w:p>
    <w:p w14:paraId="6CCCA7C7">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1.6.2 图纸的错误</w:t>
      </w:r>
    </w:p>
    <w:p w14:paraId="1FAA92D2">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在收到发包人提供的图纸后，发现图纸存在差错、遗漏或缺陷的，应及时通知发包人。发包人接到该通知后，应附具相关意见并立即报送发包人，发包人应在收到发包人报送的通知后的合理时间内作出决定。合理时间是指发包人在收到发包人的报送通知后，尽其努力且不懈怠地完成图纸修改补充所需的时间。</w:t>
      </w:r>
    </w:p>
    <w:p w14:paraId="427B6A9C">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1.6.3 图纸的修改和补充</w:t>
      </w:r>
    </w:p>
    <w:p w14:paraId="79698AEE">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图纸需要修改和补充的，应经图纸原设计人及审批部门同意，并由发包人在工程或工程相应部位施工前将修改后的图纸或补充图纸提交给承包人，承包人应按修改或补充后的图纸施工。</w:t>
      </w:r>
    </w:p>
    <w:p w14:paraId="74B89662">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1.6.4 承包人文件</w:t>
      </w:r>
    </w:p>
    <w:p w14:paraId="644BB2AD">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承包人应按照专用合同条款的约定提供应当由其编制的与工程施工有关的文件，并按照专用合同条款约定的期限、数量和形式提交发包人。</w:t>
      </w:r>
    </w:p>
    <w:p w14:paraId="6A94C410">
      <w:pPr>
        <w:adjustRightInd w:val="0"/>
        <w:snapToGrid w:val="0"/>
        <w:spacing w:line="500" w:lineRule="exact"/>
        <w:ind w:firstLine="536" w:firstLineChars="200"/>
        <w:jc w:val="left"/>
        <w:rPr>
          <w:rFonts w:hint="eastAsia" w:ascii="宋体" w:hAnsi="宋体" w:eastAsia="宋体" w:cs="宋体"/>
          <w:color w:val="auto"/>
          <w:spacing w:val="-6"/>
          <w:kern w:val="0"/>
          <w:sz w:val="28"/>
          <w:szCs w:val="28"/>
          <w:highlight w:val="none"/>
        </w:rPr>
      </w:pPr>
      <w:r>
        <w:rPr>
          <w:rFonts w:hint="eastAsia" w:ascii="宋体" w:hAnsi="宋体" w:eastAsia="宋体" w:cs="宋体"/>
          <w:color w:val="auto"/>
          <w:spacing w:val="-6"/>
          <w:kern w:val="0"/>
          <w:sz w:val="28"/>
          <w:szCs w:val="28"/>
          <w:highlight w:val="none"/>
        </w:rPr>
        <w:t>除专用合同条款另有约定外，</w:t>
      </w:r>
      <w:r>
        <w:rPr>
          <w:rFonts w:hint="eastAsia" w:ascii="宋体" w:hAnsi="宋体" w:eastAsia="宋体" w:cs="宋体"/>
          <w:color w:val="auto"/>
          <w:kern w:val="0"/>
          <w:sz w:val="28"/>
          <w:szCs w:val="28"/>
          <w:highlight w:val="none"/>
        </w:rPr>
        <w:t>发包人</w:t>
      </w:r>
      <w:r>
        <w:rPr>
          <w:rFonts w:hint="eastAsia" w:ascii="宋体" w:hAnsi="宋体" w:eastAsia="宋体" w:cs="宋体"/>
          <w:color w:val="auto"/>
          <w:spacing w:val="-6"/>
          <w:kern w:val="0"/>
          <w:sz w:val="28"/>
          <w:szCs w:val="28"/>
          <w:highlight w:val="none"/>
        </w:rPr>
        <w:t>应在收到承包人文件后7天内审查完毕，</w:t>
      </w:r>
      <w:r>
        <w:rPr>
          <w:rFonts w:hint="eastAsia" w:ascii="宋体" w:hAnsi="宋体" w:eastAsia="宋体" w:cs="宋体"/>
          <w:color w:val="auto"/>
          <w:kern w:val="0"/>
          <w:sz w:val="28"/>
          <w:szCs w:val="28"/>
          <w:highlight w:val="none"/>
        </w:rPr>
        <w:t>发包人</w:t>
      </w:r>
      <w:r>
        <w:rPr>
          <w:rFonts w:hint="eastAsia" w:ascii="宋体" w:hAnsi="宋体" w:eastAsia="宋体" w:cs="宋体"/>
          <w:color w:val="auto"/>
          <w:spacing w:val="-6"/>
          <w:kern w:val="0"/>
          <w:sz w:val="28"/>
          <w:szCs w:val="28"/>
          <w:highlight w:val="none"/>
        </w:rPr>
        <w:t>对承包人文件有异议的，承包人应予以修改，并重新报送</w:t>
      </w:r>
      <w:r>
        <w:rPr>
          <w:rFonts w:hint="eastAsia" w:ascii="宋体" w:hAnsi="宋体" w:eastAsia="宋体" w:cs="宋体"/>
          <w:color w:val="auto"/>
          <w:kern w:val="0"/>
          <w:sz w:val="28"/>
          <w:szCs w:val="28"/>
          <w:highlight w:val="none"/>
        </w:rPr>
        <w:t>发包人</w:t>
      </w:r>
      <w:r>
        <w:rPr>
          <w:rFonts w:hint="eastAsia" w:ascii="宋体" w:hAnsi="宋体" w:eastAsia="宋体" w:cs="宋体"/>
          <w:color w:val="auto"/>
          <w:spacing w:val="-6"/>
          <w:kern w:val="0"/>
          <w:sz w:val="28"/>
          <w:szCs w:val="28"/>
          <w:highlight w:val="none"/>
        </w:rPr>
        <w:t>。</w:t>
      </w:r>
      <w:r>
        <w:rPr>
          <w:rFonts w:hint="eastAsia" w:ascii="宋体" w:hAnsi="宋体" w:eastAsia="宋体" w:cs="宋体"/>
          <w:color w:val="auto"/>
          <w:kern w:val="0"/>
          <w:sz w:val="28"/>
          <w:szCs w:val="28"/>
          <w:highlight w:val="none"/>
        </w:rPr>
        <w:t>发包人</w:t>
      </w:r>
      <w:r>
        <w:rPr>
          <w:rFonts w:hint="eastAsia" w:ascii="宋体" w:hAnsi="宋体" w:eastAsia="宋体" w:cs="宋体"/>
          <w:color w:val="auto"/>
          <w:spacing w:val="-6"/>
          <w:kern w:val="0"/>
          <w:sz w:val="28"/>
          <w:szCs w:val="28"/>
          <w:highlight w:val="none"/>
        </w:rPr>
        <w:t>的审查并不减轻或免除承包人根据合同约定应当承担的责任。</w:t>
      </w:r>
    </w:p>
    <w:p w14:paraId="0989C235">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1.6.5 图纸和承包人文件的保管</w:t>
      </w:r>
    </w:p>
    <w:p w14:paraId="2C91B694">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除专用合同条款另有约定外，承包人应在施工现场另外保存一套完整的图纸和承包人文件，供发包人及有关人员进行工程检查时使用。</w:t>
      </w:r>
      <w:bookmarkStart w:id="127" w:name="_Toc351203502"/>
    </w:p>
    <w:p w14:paraId="29E21EF7">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w:t>
      </w:r>
      <w:bookmarkStart w:id="128" w:name="_Toc337558733"/>
      <w:bookmarkStart w:id="129" w:name="_Toc296503033"/>
      <w:bookmarkStart w:id="130" w:name="_Toc296346534"/>
      <w:r>
        <w:rPr>
          <w:rFonts w:hint="eastAsia" w:ascii="宋体" w:hAnsi="宋体" w:eastAsia="宋体" w:cs="宋体"/>
          <w:b/>
          <w:color w:val="auto"/>
          <w:sz w:val="28"/>
          <w:szCs w:val="28"/>
          <w:highlight w:val="none"/>
        </w:rPr>
        <w:t>.7 联络</w:t>
      </w:r>
      <w:bookmarkEnd w:id="127"/>
    </w:p>
    <w:bookmarkEnd w:id="128"/>
    <w:bookmarkEnd w:id="129"/>
    <w:bookmarkEnd w:id="130"/>
    <w:p w14:paraId="27D36EC8">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1.7.1 与合同有关的通知、批准、证明、证书、指示、指令、要求、请求、同意、意见、确定和决定等，均应采用书面形式，并应在合同约定的期限内送达接收人和送达地点。</w:t>
      </w:r>
    </w:p>
    <w:p w14:paraId="15CB09B8">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1.7.2 发包人和承包人应在专用合同条款中约定各自的送达接收人和送达地点。任何一方合同当事人指定的接收人或送达地点发生变动的，应提前3天以书面形式通知对方。</w:t>
      </w:r>
    </w:p>
    <w:p w14:paraId="1BF54552">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1.7.3 发包人和承包人应当及时签收另一方送达至送达地点和指定接收人的来往信函。拒不签收的，由此增加的费用和（或）延误的工期由拒绝接收一方承担。</w:t>
      </w:r>
      <w:bookmarkStart w:id="131" w:name="_Toc351203503"/>
    </w:p>
    <w:p w14:paraId="48679AE9">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w:t>
      </w:r>
      <w:bookmarkStart w:id="132" w:name="_Toc296346536"/>
      <w:bookmarkStart w:id="133" w:name="_Toc337558734"/>
      <w:bookmarkStart w:id="134" w:name="_Toc296503035"/>
      <w:r>
        <w:rPr>
          <w:rFonts w:hint="eastAsia" w:ascii="宋体" w:hAnsi="宋体" w:eastAsia="宋体" w:cs="宋体"/>
          <w:b/>
          <w:color w:val="auto"/>
          <w:sz w:val="28"/>
          <w:szCs w:val="28"/>
          <w:highlight w:val="none"/>
        </w:rPr>
        <w:t>.8 严禁贿赂</w:t>
      </w:r>
      <w:bookmarkEnd w:id="131"/>
    </w:p>
    <w:bookmarkEnd w:id="132"/>
    <w:bookmarkEnd w:id="133"/>
    <w:bookmarkEnd w:id="134"/>
    <w:p w14:paraId="35A3540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合同当事人不得以贿赂或变相贿赂的方式，谋取非法利益或损害对方权益。因一方合同当事人的贿赂造成对方损失的，应赔偿损失，并承担相应的法律责任。</w:t>
      </w:r>
    </w:p>
    <w:p w14:paraId="5F8D052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承包人不得与发包人聘请的第三方串通损害发包人利益。未经发包人书面同意，承包人不得为发包人提供合同约定以外的通讯设备、交通工具及其他任何形式的利益，不得向发包人支付报酬。</w:t>
      </w:r>
      <w:bookmarkStart w:id="135" w:name="_Toc351203504"/>
    </w:p>
    <w:p w14:paraId="683ECF62">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w:t>
      </w:r>
      <w:bookmarkStart w:id="136" w:name="_Toc296503036"/>
      <w:bookmarkStart w:id="137" w:name="_Toc296346537"/>
      <w:bookmarkStart w:id="138" w:name="_Toc337558735"/>
      <w:r>
        <w:rPr>
          <w:rFonts w:hint="eastAsia" w:ascii="宋体" w:hAnsi="宋体" w:eastAsia="宋体" w:cs="宋体"/>
          <w:b/>
          <w:color w:val="auto"/>
          <w:sz w:val="28"/>
          <w:szCs w:val="28"/>
          <w:highlight w:val="none"/>
        </w:rPr>
        <w:t>.9 化石、文物</w:t>
      </w:r>
      <w:bookmarkEnd w:id="135"/>
    </w:p>
    <w:bookmarkEnd w:id="136"/>
    <w:bookmarkEnd w:id="137"/>
    <w:bookmarkEnd w:id="138"/>
    <w:p w14:paraId="5C96A390">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发包人。</w:t>
      </w:r>
    </w:p>
    <w:p w14:paraId="2DBAD9B9">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发包人和承包人应按有关政府行政管理部门要求采取妥善的保护措施，由此增加的费用和（或）延误的工期由发包人承担。</w:t>
      </w:r>
    </w:p>
    <w:p w14:paraId="04220207">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承包人发现文物后不及时报告或隐瞒不报，致使文物丢失或损坏的，应赔偿损失，并承担相应的法律责任。</w:t>
      </w:r>
      <w:bookmarkStart w:id="139" w:name="_Toc351203505"/>
    </w:p>
    <w:p w14:paraId="0B57D279">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w:t>
      </w:r>
      <w:bookmarkStart w:id="140" w:name="_Toc337558736"/>
      <w:r>
        <w:rPr>
          <w:rFonts w:hint="eastAsia" w:ascii="宋体" w:hAnsi="宋体" w:eastAsia="宋体" w:cs="宋体"/>
          <w:b/>
          <w:color w:val="auto"/>
          <w:sz w:val="28"/>
          <w:szCs w:val="28"/>
          <w:highlight w:val="none"/>
        </w:rPr>
        <w:t>.10 交通运输</w:t>
      </w:r>
      <w:bookmarkEnd w:id="139"/>
    </w:p>
    <w:bookmarkEnd w:id="140"/>
    <w:p w14:paraId="51465AEF">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1.10.1 出入现场的权利</w:t>
      </w:r>
    </w:p>
    <w:p w14:paraId="4ABC7DD2">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51A020EB">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23E92F9F">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1.10.2 场外交通</w:t>
      </w:r>
    </w:p>
    <w:p w14:paraId="09B0955B">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31E0EBE8">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1.10.3场内交通</w:t>
      </w:r>
    </w:p>
    <w:p w14:paraId="0C309C8F">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66A62944">
      <w:pPr>
        <w:adjustRightInd w:val="0"/>
        <w:snapToGrid w:val="0"/>
        <w:spacing w:line="500" w:lineRule="exact"/>
        <w:ind w:firstLine="536" w:firstLineChars="200"/>
        <w:jc w:val="left"/>
        <w:rPr>
          <w:rFonts w:hint="eastAsia" w:ascii="宋体" w:hAnsi="宋体" w:eastAsia="宋体" w:cs="宋体"/>
          <w:color w:val="auto"/>
          <w:spacing w:val="-6"/>
          <w:kern w:val="0"/>
          <w:sz w:val="28"/>
          <w:szCs w:val="28"/>
          <w:highlight w:val="none"/>
        </w:rPr>
      </w:pPr>
      <w:r>
        <w:rPr>
          <w:rFonts w:hint="eastAsia" w:ascii="宋体" w:hAnsi="宋体" w:eastAsia="宋体" w:cs="宋体"/>
          <w:color w:val="auto"/>
          <w:spacing w:val="-6"/>
          <w:kern w:val="0"/>
          <w:sz w:val="28"/>
          <w:szCs w:val="28"/>
          <w:highlight w:val="none"/>
        </w:rPr>
        <w:t>除发包人按照合同约定提供的场内道路和交通设施外，承包人负责修建、维修、养护和管理施工所需的其他场内临时道路和交通设施。发包人和可以为实现合同目的使用承包人修建的场内临时道路和交通设施。</w:t>
      </w:r>
    </w:p>
    <w:p w14:paraId="59BDDC2B">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场外交通和场内交通的边界由合同当事人在专用合同条款中约定。</w:t>
      </w:r>
    </w:p>
    <w:p w14:paraId="468B4170">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1.10.4 超大件和超重件的运输</w:t>
      </w:r>
    </w:p>
    <w:p w14:paraId="0359CBC6">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64259D8">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1.10.5 道路和桥梁的损坏责任</w:t>
      </w:r>
    </w:p>
    <w:p w14:paraId="7E7FB9EA">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因承包人运输造成施工场地内外公共道路和桥梁损坏的，由承包人承担修复损坏的全部费用和可能引起的赔偿。</w:t>
      </w:r>
    </w:p>
    <w:p w14:paraId="0F43C30F">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1.10.6 水路和航空运输</w:t>
      </w:r>
    </w:p>
    <w:p w14:paraId="72BC04E5">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本款前述各项的内容适用于水路运输和航空运输，其中“道路”一词的涵义包括河道、航线、船闸、机场、码头、堤防以及水路或航空运输中其他相似结构物；“车辆”一词的涵义包括船舶和飞机等。</w:t>
      </w:r>
      <w:bookmarkStart w:id="141" w:name="_Toc351203506"/>
    </w:p>
    <w:p w14:paraId="4C880212">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w:t>
      </w:r>
      <w:bookmarkStart w:id="142" w:name="_Toc337558737"/>
      <w:bookmarkStart w:id="143" w:name="_Toc296503037"/>
      <w:bookmarkStart w:id="144" w:name="_Toc296346538"/>
      <w:r>
        <w:rPr>
          <w:rFonts w:hint="eastAsia" w:ascii="宋体" w:hAnsi="宋体" w:eastAsia="宋体" w:cs="宋体"/>
          <w:b/>
          <w:color w:val="auto"/>
          <w:sz w:val="28"/>
          <w:szCs w:val="28"/>
          <w:highlight w:val="none"/>
        </w:rPr>
        <w:t>.11知识产权</w:t>
      </w:r>
      <w:bookmarkEnd w:id="141"/>
      <w:r>
        <w:rPr>
          <w:rFonts w:hint="eastAsia" w:ascii="宋体" w:hAnsi="宋体" w:eastAsia="宋体" w:cs="宋体"/>
          <w:b/>
          <w:color w:val="auto"/>
          <w:sz w:val="28"/>
          <w:szCs w:val="28"/>
          <w:highlight w:val="none"/>
        </w:rPr>
        <w:t xml:space="preserve"> </w:t>
      </w:r>
      <w:bookmarkEnd w:id="142"/>
    </w:p>
    <w:bookmarkEnd w:id="143"/>
    <w:bookmarkEnd w:id="144"/>
    <w:p w14:paraId="309A2E3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19160C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714910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FEE0644">
      <w:pPr>
        <w:adjustRightInd w:val="0"/>
        <w:snapToGrid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 xml:space="preserve">    </w:t>
      </w:r>
      <w:r>
        <w:rPr>
          <w:rFonts w:hint="eastAsia" w:ascii="宋体" w:hAnsi="宋体" w:eastAsia="宋体" w:cs="宋体"/>
          <w:color w:val="auto"/>
          <w:sz w:val="28"/>
          <w:szCs w:val="28"/>
          <w:highlight w:val="none"/>
        </w:rPr>
        <w:t>1.11.4 除专用合同条款另有约定外，承包人在合同签订前和签订时已确定采用的专利、专有技术、技术秘密的使用费已包含在签约合同价中。</w:t>
      </w:r>
      <w:bookmarkStart w:id="145" w:name="_Toc351203507"/>
    </w:p>
    <w:p w14:paraId="67DDED66">
      <w:pPr>
        <w:adjustRightInd w:val="0"/>
        <w:snapToGrid w:val="0"/>
        <w:spacing w:line="500" w:lineRule="exact"/>
        <w:ind w:firstLine="531" w:firstLineChars="18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bookmarkStart w:id="146" w:name="_Toc337558738"/>
      <w:r>
        <w:rPr>
          <w:rFonts w:hint="eastAsia" w:ascii="宋体" w:hAnsi="宋体" w:eastAsia="宋体" w:cs="宋体"/>
          <w:b/>
          <w:color w:val="auto"/>
          <w:sz w:val="28"/>
          <w:szCs w:val="28"/>
          <w:highlight w:val="none"/>
        </w:rPr>
        <w:t>.12 保密</w:t>
      </w:r>
      <w:bookmarkEnd w:id="145"/>
    </w:p>
    <w:bookmarkEnd w:id="146"/>
    <w:p w14:paraId="4ABC2FB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除法律规定或合同另有约定外，未经发包人同意，承包人不得将发包人提供的图纸、文件以及声明需要保密的资料信息等商业秘密泄露给第三方。</w:t>
      </w:r>
    </w:p>
    <w:p w14:paraId="06550DF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除法律规定或合同另有约定外，未经承包人同意，发包人不得将承包人提供的技术秘密及声明需要保密的资料信息等商业秘密泄露给第三方。</w:t>
      </w:r>
      <w:bookmarkStart w:id="147" w:name="_Toc351203508"/>
    </w:p>
    <w:p w14:paraId="63C3AC02">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1.13 工程量清单错误的修正</w:t>
      </w:r>
      <w:bookmarkEnd w:id="147"/>
    </w:p>
    <w:p w14:paraId="4038842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除专用合同条款另有约定外，发包人提供的工程量清单，应被认为是准确的和完整的。出现下列情形之一时，发包人应予以修正，并相应调整合同价格：</w:t>
      </w:r>
    </w:p>
    <w:p w14:paraId="478C41A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（1）工程量清单存在缺项、漏项的；</w:t>
      </w:r>
    </w:p>
    <w:p w14:paraId="4C23A732">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（2）工程量清单偏差超出专用合同条款约定的工程量偏差范围的；</w:t>
      </w:r>
    </w:p>
    <w:p w14:paraId="2118EF4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（3）未按照国家现行计量规范强制性规定计量的。</w:t>
      </w:r>
      <w:bookmarkStart w:id="148" w:name="_Toc351203509"/>
    </w:p>
    <w:p w14:paraId="54EE34EE">
      <w:pPr>
        <w:autoSpaceDE w:val="0"/>
        <w:autoSpaceDN w:val="0"/>
        <w:adjustRightInd w:val="0"/>
        <w:snapToGrid w:val="0"/>
        <w:spacing w:line="500" w:lineRule="exact"/>
        <w:ind w:firstLine="498" w:firstLineChars="177"/>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bookmarkStart w:id="149" w:name="_Toc337558739"/>
      <w:bookmarkStart w:id="150" w:name="_Toc296503038"/>
      <w:bookmarkStart w:id="151" w:name="_Toc296346539"/>
      <w:bookmarkStart w:id="152" w:name="OLE_LINK1"/>
      <w:bookmarkStart w:id="153" w:name="OLE_LINK2"/>
      <w:r>
        <w:rPr>
          <w:rFonts w:hint="eastAsia" w:ascii="宋体" w:hAnsi="宋体" w:eastAsia="宋体" w:cs="宋体"/>
          <w:b/>
          <w:color w:val="auto"/>
          <w:sz w:val="28"/>
          <w:szCs w:val="28"/>
          <w:highlight w:val="none"/>
        </w:rPr>
        <w:t>. 发包人</w:t>
      </w:r>
      <w:bookmarkEnd w:id="148"/>
      <w:bookmarkEnd w:id="149"/>
      <w:bookmarkEnd w:id="150"/>
      <w:bookmarkEnd w:id="151"/>
      <w:bookmarkStart w:id="154" w:name="_Toc351203510"/>
    </w:p>
    <w:p w14:paraId="2410A34D">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2</w:t>
      </w:r>
      <w:bookmarkStart w:id="155" w:name="_Toc337558740"/>
      <w:bookmarkStart w:id="156" w:name="_Toc296346540"/>
      <w:bookmarkStart w:id="157" w:name="_Toc296503039"/>
      <w:r>
        <w:rPr>
          <w:rFonts w:hint="eastAsia" w:ascii="宋体" w:hAnsi="宋体" w:eastAsia="宋体" w:cs="宋体"/>
          <w:b/>
          <w:color w:val="auto"/>
          <w:sz w:val="28"/>
          <w:szCs w:val="28"/>
          <w:highlight w:val="none"/>
        </w:rPr>
        <w:t>.1 许可或批准</w:t>
      </w:r>
      <w:bookmarkEnd w:id="154"/>
    </w:p>
    <w:p w14:paraId="2C56B28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56355D0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因发包人原因未能及时办理完毕前述许可、批准或备案，由发包人承担由此增加的费用和（或）延误的工期，并支付承包人合理的利润。</w:t>
      </w:r>
      <w:bookmarkStart w:id="158" w:name="_Toc351203511"/>
    </w:p>
    <w:p w14:paraId="2EFA419D">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2.2 发包人代表</w:t>
      </w:r>
      <w:bookmarkEnd w:id="158"/>
    </w:p>
    <w:p w14:paraId="0CF9DE59">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53A7DDE6">
      <w:pPr>
        <w:adjustRightInd w:val="0"/>
        <w:snapToGrid w:val="0"/>
        <w:spacing w:line="50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发包人代表不能按照合同约定履行其职责及义务，并导致合同无法继续正常履行的，承包人可以要求发包人撤换发包人代表。</w:t>
      </w:r>
    </w:p>
    <w:p w14:paraId="0CCB46E3">
      <w:pPr>
        <w:adjustRightInd w:val="0"/>
        <w:snapToGrid w:val="0"/>
        <w:spacing w:line="500" w:lineRule="exact"/>
        <w:ind w:firstLine="562" w:firstLineChars="200"/>
        <w:rPr>
          <w:rFonts w:hint="eastAsia" w:ascii="宋体" w:hAnsi="宋体" w:eastAsia="宋体" w:cs="宋体"/>
          <w:b/>
          <w:color w:val="auto"/>
          <w:sz w:val="28"/>
          <w:szCs w:val="28"/>
          <w:highlight w:val="none"/>
        </w:rPr>
      </w:pPr>
      <w:bookmarkStart w:id="159" w:name="_Toc351203512"/>
      <w:r>
        <w:rPr>
          <w:rFonts w:hint="eastAsia" w:ascii="宋体" w:hAnsi="宋体" w:eastAsia="宋体" w:cs="宋体"/>
          <w:b/>
          <w:color w:val="auto"/>
          <w:sz w:val="28"/>
          <w:szCs w:val="28"/>
          <w:highlight w:val="none"/>
        </w:rPr>
        <w:t>2.3 发包人人员</w:t>
      </w:r>
      <w:bookmarkEnd w:id="159"/>
    </w:p>
    <w:p w14:paraId="34A3CE1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发包人应要求在施工现场的发包人人员遵守法律及有关安全、质量、环境保护、文明施工等规定，并保障承包人免于承受因发包人人员未遵守上述要求给承包人造成的损失和责任。</w:t>
      </w:r>
    </w:p>
    <w:p w14:paraId="6CB00FC3">
      <w:pPr>
        <w:adjustRightInd w:val="0"/>
        <w:snapToGrid w:val="0"/>
        <w:spacing w:line="500" w:lineRule="exact"/>
        <w:ind w:firstLine="64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发包人人员包括发包人代表及其他由发包人派驻施工现场的人员。</w:t>
      </w:r>
      <w:bookmarkEnd w:id="155"/>
      <w:bookmarkEnd w:id="156"/>
      <w:bookmarkEnd w:id="157"/>
      <w:bookmarkStart w:id="160" w:name="_Toc351203513"/>
    </w:p>
    <w:p w14:paraId="6E3BF01E">
      <w:pPr>
        <w:adjustRightInd w:val="0"/>
        <w:snapToGrid w:val="0"/>
        <w:spacing w:line="500" w:lineRule="exact"/>
        <w:ind w:firstLine="567"/>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2</w:t>
      </w:r>
      <w:bookmarkStart w:id="161" w:name="_Toc296503040"/>
      <w:bookmarkStart w:id="162" w:name="_Toc337558741"/>
      <w:bookmarkStart w:id="163" w:name="_Toc296346541"/>
      <w:r>
        <w:rPr>
          <w:rFonts w:hint="eastAsia" w:ascii="宋体" w:hAnsi="宋体" w:eastAsia="宋体" w:cs="宋体"/>
          <w:b/>
          <w:color w:val="auto"/>
          <w:sz w:val="28"/>
          <w:szCs w:val="28"/>
          <w:highlight w:val="none"/>
        </w:rPr>
        <w:t>.4 施工现场、施工条件和基础资料的提供</w:t>
      </w:r>
      <w:bookmarkEnd w:id="160"/>
      <w:r>
        <w:rPr>
          <w:rFonts w:hint="eastAsia" w:ascii="宋体" w:hAnsi="宋体" w:eastAsia="宋体" w:cs="宋体"/>
          <w:b/>
          <w:color w:val="auto"/>
          <w:sz w:val="28"/>
          <w:szCs w:val="28"/>
          <w:highlight w:val="none"/>
        </w:rPr>
        <w:t xml:space="preserve"> </w:t>
      </w:r>
      <w:bookmarkEnd w:id="161"/>
      <w:bookmarkEnd w:id="162"/>
      <w:bookmarkEnd w:id="163"/>
      <w:r>
        <w:rPr>
          <w:rFonts w:hint="eastAsia" w:ascii="宋体" w:hAnsi="宋体" w:eastAsia="宋体" w:cs="宋体"/>
          <w:b/>
          <w:color w:val="auto"/>
          <w:sz w:val="28"/>
          <w:szCs w:val="28"/>
          <w:highlight w:val="none"/>
        </w:rPr>
        <w:t xml:space="preserve"> </w:t>
      </w:r>
    </w:p>
    <w:p w14:paraId="0BA5778C">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2.4.1 提供施工现场</w:t>
      </w:r>
    </w:p>
    <w:p w14:paraId="488786FD">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w:t>
      </w:r>
      <w:bookmarkEnd w:id="152"/>
      <w:bookmarkEnd w:id="153"/>
      <w:r>
        <w:rPr>
          <w:rFonts w:hint="eastAsia" w:ascii="宋体" w:hAnsi="宋体" w:eastAsia="宋体" w:cs="宋体"/>
          <w:color w:val="auto"/>
          <w:kern w:val="0"/>
          <w:sz w:val="28"/>
          <w:szCs w:val="28"/>
          <w:highlight w:val="none"/>
        </w:rPr>
        <w:t>专用合同条款另有约定外，发包人应最迟于开工日期7天前向承包人移交施工现场。</w:t>
      </w:r>
    </w:p>
    <w:p w14:paraId="69EDBAF2">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2.4.2 提供施工条件</w:t>
      </w:r>
    </w:p>
    <w:p w14:paraId="102A9B8D">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除专用合同条款另有约定外，发包人应负责提供施工所需要的条件，包括：</w:t>
      </w:r>
    </w:p>
    <w:p w14:paraId="56B4F208">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（1）将施工用水、电力、通讯线路等施工所必需的条件接至施工现场内；</w:t>
      </w:r>
    </w:p>
    <w:p w14:paraId="743130F7">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（2）保证向承包人提供正常施工所需要的进入施工现场的交通条件；</w:t>
      </w:r>
    </w:p>
    <w:p w14:paraId="168426A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（3）协调处理施工现场周围地下管线和邻近建筑物、构筑物、古树名木的保护工作，并承担相关费用；</w:t>
      </w:r>
    </w:p>
    <w:p w14:paraId="2563C7E0">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（4）按照专用合同条款约定应提供的其他设施和条件。</w:t>
      </w:r>
    </w:p>
    <w:p w14:paraId="03D42308">
      <w:pPr>
        <w:autoSpaceDE w:val="0"/>
        <w:autoSpaceDN w:val="0"/>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2.4.3 提供基础资料</w:t>
      </w:r>
    </w:p>
    <w:p w14:paraId="7AC404EC">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457228F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按照法律规定确需在开工后方能提供的基础资料，发包人应尽其努力及时地在相应工程施工前的合理期限内提供，合理期限应以不影响承包人的正常施工为限。</w:t>
      </w:r>
    </w:p>
    <w:p w14:paraId="1DDE8968">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2.4.4 逾期提供的责任</w:t>
      </w:r>
    </w:p>
    <w:p w14:paraId="243EE85A">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因发包人原因未能按合同约定及时向承包人提供施工现场、施工条件、基础资料的，由发包人承担由此增加的费用和（或）延误的工期。</w:t>
      </w:r>
      <w:bookmarkStart w:id="164" w:name="_Toc351203514"/>
    </w:p>
    <w:p w14:paraId="2B6A59C4">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2</w:t>
      </w:r>
      <w:bookmarkStart w:id="165" w:name="_Toc296503042"/>
      <w:bookmarkStart w:id="166" w:name="_Toc296346543"/>
      <w:bookmarkStart w:id="167" w:name="_Toc337558745"/>
      <w:r>
        <w:rPr>
          <w:rFonts w:hint="eastAsia" w:ascii="宋体" w:hAnsi="宋体" w:eastAsia="宋体" w:cs="宋体"/>
          <w:b/>
          <w:color w:val="auto"/>
          <w:sz w:val="28"/>
          <w:szCs w:val="28"/>
          <w:highlight w:val="none"/>
        </w:rPr>
        <w:t>.5 资</w:t>
      </w:r>
      <w:bookmarkEnd w:id="165"/>
      <w:bookmarkEnd w:id="166"/>
      <w:bookmarkEnd w:id="167"/>
      <w:r>
        <w:rPr>
          <w:rFonts w:hint="eastAsia" w:ascii="宋体" w:hAnsi="宋体" w:eastAsia="宋体" w:cs="宋体"/>
          <w:b/>
          <w:color w:val="auto"/>
          <w:sz w:val="28"/>
          <w:szCs w:val="28"/>
          <w:highlight w:val="none"/>
        </w:rPr>
        <w:t>金来源证明及支付担保</w:t>
      </w:r>
      <w:bookmarkEnd w:id="164"/>
    </w:p>
    <w:p w14:paraId="2777B3E6">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除专用合同条款另有约定外，发包人应在收到承包人要求提供资金来源证明的书面通知后28天内，向承包人提供能够按照合同约定支付合同价款的相应资金来源证明。</w:t>
      </w:r>
    </w:p>
    <w:p w14:paraId="20449021">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bookmarkStart w:id="168" w:name="_Toc351203515"/>
    </w:p>
    <w:p w14:paraId="1965D0E9">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2.6 支付合同价款</w:t>
      </w:r>
      <w:bookmarkEnd w:id="168"/>
    </w:p>
    <w:p w14:paraId="48DB8CD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发包人应按合同约定向承包人及时支付合同价款。</w:t>
      </w:r>
      <w:bookmarkStart w:id="169" w:name="_Toc351203516"/>
    </w:p>
    <w:p w14:paraId="62369888">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2.7 组织竣工验收</w:t>
      </w:r>
      <w:bookmarkEnd w:id="169"/>
    </w:p>
    <w:p w14:paraId="03EF46D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发包人应按合同约定及时组织竣工验收。</w:t>
      </w:r>
      <w:bookmarkStart w:id="170" w:name="_Toc351203517"/>
    </w:p>
    <w:p w14:paraId="6D2A0BC1">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2.8 现场统一管理协议</w:t>
      </w:r>
      <w:bookmarkEnd w:id="170"/>
    </w:p>
    <w:p w14:paraId="6A6C8EEC">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发包人应与承包人、由发包人直接发包的专业工程的承包人签订施工现场统一管理协议，明确各方的权利义务。施工现场统一管理协议作为专用合同条款的附件。</w:t>
      </w:r>
      <w:bookmarkStart w:id="171" w:name="_Toc351203518"/>
    </w:p>
    <w:p w14:paraId="743794EB">
      <w:pPr>
        <w:adjustRightInd w:val="0"/>
        <w:snapToGrid w:val="0"/>
        <w:spacing w:line="500" w:lineRule="exact"/>
        <w:ind w:firstLine="495" w:firstLineChars="176"/>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w:t>
      </w:r>
      <w:bookmarkStart w:id="172" w:name="_Toc296346546"/>
      <w:bookmarkStart w:id="173" w:name="_Toc337558746"/>
      <w:bookmarkStart w:id="174" w:name="_Toc296503045"/>
      <w:r>
        <w:rPr>
          <w:rFonts w:hint="eastAsia" w:ascii="宋体" w:hAnsi="宋体" w:eastAsia="宋体" w:cs="宋体"/>
          <w:b/>
          <w:color w:val="auto"/>
          <w:sz w:val="28"/>
          <w:szCs w:val="28"/>
          <w:highlight w:val="none"/>
        </w:rPr>
        <w:t>. 承包人</w:t>
      </w:r>
      <w:bookmarkEnd w:id="171"/>
      <w:bookmarkEnd w:id="172"/>
      <w:bookmarkEnd w:id="173"/>
      <w:bookmarkEnd w:id="174"/>
      <w:bookmarkStart w:id="175" w:name="_Toc351203519"/>
    </w:p>
    <w:p w14:paraId="4E67D270">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3</w:t>
      </w:r>
      <w:bookmarkStart w:id="176" w:name="_Toc296503046"/>
      <w:bookmarkStart w:id="177" w:name="_Toc296346547"/>
      <w:bookmarkStart w:id="178" w:name="_Toc337558747"/>
      <w:r>
        <w:rPr>
          <w:rFonts w:hint="eastAsia" w:ascii="宋体" w:hAnsi="宋体" w:eastAsia="宋体" w:cs="宋体"/>
          <w:b/>
          <w:color w:val="auto"/>
          <w:sz w:val="28"/>
          <w:szCs w:val="28"/>
          <w:highlight w:val="none"/>
        </w:rPr>
        <w:t>.1 承包人的一般义务</w:t>
      </w:r>
      <w:bookmarkEnd w:id="175"/>
    </w:p>
    <w:bookmarkEnd w:id="176"/>
    <w:bookmarkEnd w:id="177"/>
    <w:bookmarkEnd w:id="178"/>
    <w:p w14:paraId="455BFEF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承包人在履行合同过程中应遵守法律和工程建设标准规范，并履行以下义务：</w:t>
      </w:r>
    </w:p>
    <w:p w14:paraId="42580623">
      <w:pPr>
        <w:numPr>
          <w:ilvl w:val="0"/>
          <w:numId w:val="5"/>
        </w:num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办理法律规定应由承包人办理的许可和批准，并将办理结果书面报送发包人留存；</w:t>
      </w:r>
    </w:p>
    <w:p w14:paraId="756DFE1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（2）按法律规定和合同约定完成工程，并在保修期内承担保修义务；</w:t>
      </w:r>
    </w:p>
    <w:p w14:paraId="3C5E4D91">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（3）按法律规定和合同约定采取施工安全和环境保护措施，办理工伤保险，确保工程及人员、材料、设备和设施的安全；</w:t>
      </w:r>
    </w:p>
    <w:p w14:paraId="4223FC6A">
      <w:pPr>
        <w:autoSpaceDE w:val="0"/>
        <w:autoSpaceDN w:val="0"/>
        <w:adjustRightInd w:val="0"/>
        <w:snapToGrid w:val="0"/>
        <w:spacing w:line="500" w:lineRule="exact"/>
        <w:ind w:firstLine="536" w:firstLineChars="200"/>
        <w:jc w:val="left"/>
        <w:rPr>
          <w:rFonts w:hint="eastAsia" w:ascii="宋体" w:hAnsi="宋体" w:eastAsia="宋体" w:cs="宋体"/>
          <w:color w:val="auto"/>
          <w:spacing w:val="-6"/>
          <w:kern w:val="0"/>
          <w:sz w:val="28"/>
          <w:szCs w:val="28"/>
          <w:highlight w:val="none"/>
        </w:rPr>
      </w:pPr>
      <w:r>
        <w:rPr>
          <w:rFonts w:hint="eastAsia" w:ascii="宋体" w:hAnsi="宋体" w:eastAsia="宋体" w:cs="宋体"/>
          <w:color w:val="auto"/>
          <w:spacing w:val="-6"/>
          <w:kern w:val="0"/>
          <w:sz w:val="28"/>
          <w:szCs w:val="28"/>
          <w:highlight w:val="none"/>
        </w:rPr>
        <w:t>（4）按合同约定的工作内容和施工进度要求，编制施工组织设计和施工措施计划，并对所有施工作业和施工方法的完备性和安全可靠性负责；</w:t>
      </w:r>
    </w:p>
    <w:p w14:paraId="3F780F6F">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B055A80">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（6）按照第6.3款〔环境保护〕约定负责施工场地及其周边环境与生态的保护工作；</w:t>
      </w:r>
    </w:p>
    <w:p w14:paraId="25ECDBD7">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（7）按第6.1款〔安全文明施工〕约定采取施工安全措施，确保工程及其人员、材料、设备和设施的安全，防止因工程施工造成的人身伤害和财产损失；</w:t>
      </w:r>
    </w:p>
    <w:p w14:paraId="3A8022EF">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（8）将发包人按合同约定支付的各项价款专用于合同工程，且应及时支付其雇用人员工资，并及时向分包人支付合同价款；</w:t>
      </w:r>
    </w:p>
    <w:p w14:paraId="1598527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（9）按照法律规定和合同约定编制竣工资料，完成竣工资料立卷及归档，并按专用合同条款约定的竣工资料的套数、内容、时间等要求移交发包人；</w:t>
      </w:r>
    </w:p>
    <w:p w14:paraId="2D1A9C1C">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（10）应履行的其他义务。</w:t>
      </w:r>
      <w:bookmarkStart w:id="179" w:name="_Toc351203520"/>
    </w:p>
    <w:p w14:paraId="22F9DA96">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3</w:t>
      </w:r>
      <w:bookmarkStart w:id="180" w:name="_Toc337558748"/>
      <w:bookmarkStart w:id="181" w:name="_Toc296346548"/>
      <w:bookmarkStart w:id="182" w:name="_Toc296503047"/>
      <w:r>
        <w:rPr>
          <w:rFonts w:hint="eastAsia" w:ascii="宋体" w:hAnsi="宋体" w:eastAsia="宋体" w:cs="宋体"/>
          <w:b/>
          <w:color w:val="auto"/>
          <w:sz w:val="28"/>
          <w:szCs w:val="28"/>
          <w:highlight w:val="none"/>
        </w:rPr>
        <w:t xml:space="preserve">.2 </w:t>
      </w:r>
      <w:bookmarkEnd w:id="179"/>
      <w:r>
        <w:rPr>
          <w:rFonts w:hint="eastAsia" w:ascii="宋体" w:hAnsi="宋体" w:eastAsia="宋体" w:cs="宋体"/>
          <w:b/>
          <w:color w:val="auto"/>
          <w:sz w:val="28"/>
          <w:szCs w:val="28"/>
          <w:highlight w:val="none"/>
        </w:rPr>
        <w:t>项目经理</w:t>
      </w:r>
    </w:p>
    <w:bookmarkEnd w:id="180"/>
    <w:bookmarkEnd w:id="181"/>
    <w:bookmarkEnd w:id="182"/>
    <w:p w14:paraId="391B0D57">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390416A9">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经理应常驻施工现场，且每月在施工现场时间不得少于专用合同条款约定的天数。项目经理不得同时担任其他项目的项目经理。项目经理确需离开施工现场时，应事先通知发包人，并取得发包人的书面同意。项目经理的通知中应当载明临时代行其职责的人员的注册执业资格、管理经验等资料，该人员应具备履行相应职责的能力。</w:t>
      </w:r>
    </w:p>
    <w:p w14:paraId="2C39D18E">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承包人违反上述约定的，应按照专用合同条款的约定，承担违约责任。</w:t>
      </w:r>
    </w:p>
    <w:p w14:paraId="711EF06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3.2.2 项目经理按合同约定组织工程实施。在紧急情况下为确保施工安全和人员安全，在无法与发包人代表及时取得联系时，项目经理有权采取必要的措施保证与工程有关的人身、财产和工程的安全，但应在48小时内向发包人代表提交书面报告。</w:t>
      </w:r>
    </w:p>
    <w:p w14:paraId="31BE20EF">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3.2.3 承包人需要更换项目经理的，应提前14天书面通知发包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4A22D07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024A478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3.2.5 项目经理因特殊情况授权其下属人员履行其某项工作职责的，该下属人员应具备履行相应职责的能力，并应提前7天将上述人员的姓名和授权范围书面通知发包人，并征得发包人书面同意。</w:t>
      </w:r>
      <w:bookmarkStart w:id="183" w:name="_Toc351203521"/>
    </w:p>
    <w:p w14:paraId="062A9FED">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3</w:t>
      </w:r>
      <w:bookmarkStart w:id="184" w:name="_Toc296346549"/>
      <w:bookmarkStart w:id="185" w:name="_Toc296503048"/>
      <w:bookmarkStart w:id="186" w:name="_Toc337558749"/>
      <w:r>
        <w:rPr>
          <w:rFonts w:hint="eastAsia" w:ascii="宋体" w:hAnsi="宋体" w:eastAsia="宋体" w:cs="宋体"/>
          <w:b/>
          <w:color w:val="auto"/>
          <w:sz w:val="28"/>
          <w:szCs w:val="28"/>
          <w:highlight w:val="none"/>
        </w:rPr>
        <w:t xml:space="preserve">.3 </w:t>
      </w:r>
      <w:bookmarkEnd w:id="184"/>
      <w:bookmarkEnd w:id="185"/>
      <w:r>
        <w:rPr>
          <w:rFonts w:hint="eastAsia" w:ascii="宋体" w:hAnsi="宋体" w:eastAsia="宋体" w:cs="宋体"/>
          <w:b/>
          <w:color w:val="auto"/>
          <w:sz w:val="28"/>
          <w:szCs w:val="28"/>
          <w:highlight w:val="none"/>
        </w:rPr>
        <w:t>承包人人员</w:t>
      </w:r>
      <w:bookmarkEnd w:id="183"/>
    </w:p>
    <w:bookmarkEnd w:id="186"/>
    <w:p w14:paraId="089305C8">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3.3.1 除专用合同条款另有约定外，承包人应在接到开工通知后7天内，向发包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27CB818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3.3.2 承包人派驻到施工现场的主要施工管理人员应相对稳定。施工过程中如有变动，承包人应及时向发包人提交施工现场人员变动情况的报告。承包人更换主要施工管理人员时，应提前7天书面通知发包人，并征得发包人书面同意。通知中应当载明继任人员的注册执业资格、管理经验等资料。</w:t>
      </w:r>
    </w:p>
    <w:p w14:paraId="3C0F4CB9">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特殊工种作业人员均应持有相应的资格证明，发包人可以随时检查。</w:t>
      </w:r>
    </w:p>
    <w:p w14:paraId="65D1F52F">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302B342">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3.3.4 除专用合同条款另有约定外，承包人的主要施工管理人员离开施工现场每月累计不超过5天的，应报发包人同意；离开施工现场每月累计超过5天的，应通知发包人，并征得发包人书面同意。主要施工管理人员离开施工现场前应指定一名有经验的人员临时代行其职责，该人员应具备履行相应职责的资格和能力，且应征得发包人的同意。</w:t>
      </w:r>
    </w:p>
    <w:p w14:paraId="30AE22D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3.3.5 承包人擅自更换主要施工管理人员，或前述人员未经发包人同意擅自离开施工现场的，应按照专用合同条款约定承担违约责任。</w:t>
      </w:r>
      <w:bookmarkStart w:id="187" w:name="_Toc351203522"/>
    </w:p>
    <w:p w14:paraId="2B6B4B54">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3</w:t>
      </w:r>
      <w:bookmarkStart w:id="188" w:name="_Toc296503050"/>
      <w:bookmarkStart w:id="189" w:name="_Toc296346551"/>
      <w:bookmarkStart w:id="190" w:name="_Toc337558750"/>
      <w:r>
        <w:rPr>
          <w:rFonts w:hint="eastAsia" w:ascii="宋体" w:hAnsi="宋体" w:eastAsia="宋体" w:cs="宋体"/>
          <w:b/>
          <w:color w:val="auto"/>
          <w:sz w:val="28"/>
          <w:szCs w:val="28"/>
          <w:highlight w:val="none"/>
        </w:rPr>
        <w:t>.4 承包人现场查勘</w:t>
      </w:r>
      <w:bookmarkEnd w:id="187"/>
    </w:p>
    <w:bookmarkEnd w:id="188"/>
    <w:bookmarkEnd w:id="189"/>
    <w:bookmarkEnd w:id="190"/>
    <w:p w14:paraId="5F6FE192">
      <w:pPr>
        <w:autoSpaceDE w:val="0"/>
        <w:autoSpaceDN w:val="0"/>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承包人应对基于发包人按照第2.4.3项〔提供基础资料〕提交的基础资料所做出的解释和推断负责，但因基础资料存在错误、遗漏导致承包人解释或推断失实的，由发包人承担责任。</w:t>
      </w:r>
    </w:p>
    <w:p w14:paraId="46E0C88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bookmarkStart w:id="191" w:name="_Toc351203523"/>
    </w:p>
    <w:p w14:paraId="75416C6E">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3</w:t>
      </w:r>
      <w:bookmarkStart w:id="192" w:name="_Toc296503051"/>
      <w:bookmarkStart w:id="193" w:name="_Toc337558751"/>
      <w:bookmarkStart w:id="194" w:name="_Toc296346552"/>
      <w:r>
        <w:rPr>
          <w:rFonts w:hint="eastAsia" w:ascii="宋体" w:hAnsi="宋体" w:eastAsia="宋体" w:cs="宋体"/>
          <w:b/>
          <w:color w:val="auto"/>
          <w:sz w:val="28"/>
          <w:szCs w:val="28"/>
          <w:highlight w:val="none"/>
        </w:rPr>
        <w:t>.5 分包</w:t>
      </w:r>
      <w:bookmarkEnd w:id="191"/>
    </w:p>
    <w:bookmarkEnd w:id="192"/>
    <w:bookmarkEnd w:id="193"/>
    <w:bookmarkEnd w:id="194"/>
    <w:p w14:paraId="48741CFE">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3.5.1 分包的一般约定</w:t>
      </w:r>
    </w:p>
    <w:p w14:paraId="55FE5225">
      <w:pPr>
        <w:adjustRightInd w:val="0"/>
        <w:snapToGrid w:val="0"/>
        <w:spacing w:line="500" w:lineRule="exact"/>
        <w:ind w:firstLine="536" w:firstLineChars="200"/>
        <w:jc w:val="left"/>
        <w:rPr>
          <w:rFonts w:hint="eastAsia" w:ascii="宋体" w:hAnsi="宋体" w:eastAsia="宋体" w:cs="宋体"/>
          <w:color w:val="auto"/>
          <w:spacing w:val="-6"/>
          <w:kern w:val="0"/>
          <w:sz w:val="28"/>
          <w:szCs w:val="28"/>
          <w:highlight w:val="none"/>
        </w:rPr>
      </w:pPr>
      <w:r>
        <w:rPr>
          <w:rFonts w:hint="eastAsia" w:ascii="宋体" w:hAnsi="宋体" w:eastAsia="宋体" w:cs="宋体"/>
          <w:color w:val="auto"/>
          <w:spacing w:val="-6"/>
          <w:kern w:val="0"/>
          <w:sz w:val="28"/>
          <w:szCs w:val="28"/>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022223B8">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承包人不得以劳务分包的名义转包或违法分包工程。</w:t>
      </w:r>
    </w:p>
    <w:p w14:paraId="5D7A58DB">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3.5.2 分包的确定</w:t>
      </w:r>
    </w:p>
    <w:p w14:paraId="357A21FF">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发包人提交分包合同副本。</w:t>
      </w:r>
    </w:p>
    <w:p w14:paraId="55F81E10">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3.5.3 分包管理</w:t>
      </w:r>
    </w:p>
    <w:p w14:paraId="353FE5B8">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承包人应向发包人提交分包人的主要施工管理人员表，并对分包人的施工人员进行实名制管理，包括但不限于进出场管理、登记造册以及各种证照的办理。</w:t>
      </w:r>
    </w:p>
    <w:p w14:paraId="5C3C6BD2">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3.5.4 分包合同价款</w:t>
      </w:r>
    </w:p>
    <w:p w14:paraId="460554E9">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（1）除本项第（2）目约定的情况或专用合同条款另有约定外，分包合同价款由承包人与分包人结算，未经承包人同意，发包人不得向分包人支付分包工程价款；</w:t>
      </w:r>
    </w:p>
    <w:p w14:paraId="513F2EE9">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（2）生效法律文书要求发包人向分包人支付分包合同价款的，发包人有权从应付承包人工程款中扣除该部分款项。</w:t>
      </w:r>
    </w:p>
    <w:p w14:paraId="58324154">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3.5.5 分包合同权益的转让</w:t>
      </w:r>
    </w:p>
    <w:p w14:paraId="27E947AC">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95" w:name="_Toc351203524"/>
    </w:p>
    <w:p w14:paraId="7419BAF6">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3.6 工程照管与成品、半成品保护</w:t>
      </w:r>
      <w:bookmarkEnd w:id="195"/>
    </w:p>
    <w:p w14:paraId="2B99367B">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（1）除专用合同条款另有约定外，自发包人向承包人移交施工现场之日起，承包人应负责照管工程及工程相关的材料、工程设备，直到颁发工程接收证书之日止。</w:t>
      </w:r>
    </w:p>
    <w:p w14:paraId="3AF15C23">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（2）在承包人负责照管期间，因承包人原因造成工程、材料、工程设备损坏的，由承包人负责修复或更换，并承担由此增加的费用和（或）延误的工期。</w:t>
      </w:r>
    </w:p>
    <w:p w14:paraId="47ED8492">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（3）对合同内分期完成的成品和半成品，在工程接收证书颁发前，由承包人承担保护责任。因承包人原因造成成品或半成品损坏的，由承包人负责修复或更换，并承担由此增加的费用和（或）延误的工期。</w:t>
      </w:r>
      <w:bookmarkStart w:id="196" w:name="_Toc351203525"/>
    </w:p>
    <w:p w14:paraId="14D1DDD7">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3</w:t>
      </w:r>
      <w:bookmarkStart w:id="197" w:name="_Toc337558752"/>
      <w:bookmarkStart w:id="198" w:name="_Toc296503052"/>
      <w:bookmarkStart w:id="199" w:name="_Toc296346553"/>
      <w:r>
        <w:rPr>
          <w:rFonts w:hint="eastAsia" w:ascii="宋体" w:hAnsi="宋体" w:eastAsia="宋体" w:cs="宋体"/>
          <w:b/>
          <w:color w:val="auto"/>
          <w:sz w:val="28"/>
          <w:szCs w:val="28"/>
          <w:highlight w:val="none"/>
        </w:rPr>
        <w:t>.7 履约担保</w:t>
      </w:r>
      <w:bookmarkEnd w:id="196"/>
    </w:p>
    <w:bookmarkEnd w:id="197"/>
    <w:bookmarkEnd w:id="198"/>
    <w:bookmarkEnd w:id="199"/>
    <w:p w14:paraId="37E96D5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69DDB137">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因承包人原因导致工期延长的，继续提供履约担保所增加的费用由承包人承担；非因承包人原因导致工期延长的，继续提供履约担保所增加的费用由发包人承担。</w:t>
      </w:r>
      <w:bookmarkStart w:id="200" w:name="_Toc351203526"/>
    </w:p>
    <w:p w14:paraId="07A6E75E">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3.8 联合体</w:t>
      </w:r>
      <w:bookmarkEnd w:id="200"/>
    </w:p>
    <w:p w14:paraId="0226A050">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3.8.1 联合体各方应共同与发包人签订合同协议书。联合体各方应为履行合同向发包人承担连带责任。</w:t>
      </w:r>
    </w:p>
    <w:p w14:paraId="331AFC7C">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3.8.2 联合体协议经发包人确认后作为合同附件。在履行合同过程中，未经发包人同意，不得修改联合体协议。</w:t>
      </w:r>
    </w:p>
    <w:p w14:paraId="3A968BFF">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3.8.3 联合体牵头人负责与发包人联系，并接受指示，负责组织联合体各成员全面履行合同。</w:t>
      </w:r>
      <w:bookmarkStart w:id="201" w:name="_Toc351203527"/>
    </w:p>
    <w:bookmarkEnd w:id="201"/>
    <w:p w14:paraId="55144343">
      <w:pPr>
        <w:autoSpaceDE w:val="0"/>
        <w:autoSpaceDN w:val="0"/>
        <w:adjustRightInd w:val="0"/>
        <w:snapToGrid w:val="0"/>
        <w:spacing w:line="500" w:lineRule="exact"/>
        <w:ind w:firstLine="562" w:firstLineChars="200"/>
        <w:jc w:val="left"/>
        <w:rPr>
          <w:rFonts w:hint="eastAsia" w:ascii="宋体" w:hAnsi="宋体" w:eastAsia="宋体" w:cs="宋体"/>
          <w:b/>
          <w:color w:val="auto"/>
          <w:sz w:val="28"/>
          <w:szCs w:val="28"/>
          <w:highlight w:val="none"/>
        </w:rPr>
      </w:pPr>
      <w:bookmarkStart w:id="202" w:name="_Toc351203532"/>
      <w:r>
        <w:rPr>
          <w:rFonts w:hint="eastAsia" w:ascii="宋体" w:hAnsi="宋体" w:eastAsia="宋体" w:cs="宋体"/>
          <w:b/>
          <w:color w:val="auto"/>
          <w:sz w:val="28"/>
          <w:szCs w:val="28"/>
          <w:highlight w:val="none"/>
        </w:rPr>
        <w:t>5</w:t>
      </w:r>
      <w:bookmarkStart w:id="203" w:name="_Toc337558758"/>
      <w:r>
        <w:rPr>
          <w:rFonts w:hint="eastAsia" w:ascii="宋体" w:hAnsi="宋体" w:eastAsia="宋体" w:cs="宋体"/>
          <w:b/>
          <w:color w:val="auto"/>
          <w:sz w:val="28"/>
          <w:szCs w:val="28"/>
          <w:highlight w:val="none"/>
        </w:rPr>
        <w:t>. 工程质量</w:t>
      </w:r>
      <w:bookmarkEnd w:id="202"/>
      <w:bookmarkEnd w:id="203"/>
      <w:bookmarkStart w:id="204" w:name="_Toc351203533"/>
    </w:p>
    <w:p w14:paraId="1C0F52D2">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5</w:t>
      </w:r>
      <w:bookmarkStart w:id="205" w:name="_Toc337558759"/>
      <w:r>
        <w:rPr>
          <w:rFonts w:hint="eastAsia" w:ascii="宋体" w:hAnsi="宋体" w:eastAsia="宋体" w:cs="宋体"/>
          <w:b/>
          <w:color w:val="auto"/>
          <w:sz w:val="28"/>
          <w:szCs w:val="28"/>
          <w:highlight w:val="none"/>
        </w:rPr>
        <w:t>.1质量要求</w:t>
      </w:r>
      <w:bookmarkEnd w:id="204"/>
    </w:p>
    <w:bookmarkEnd w:id="205"/>
    <w:p w14:paraId="7B6129B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5.1.1 工程质量标准必须符合现行国家有关工程施工质量验收规范和标准的要求。有关工程质量的特殊标准或要求由合同当事人在专用合同条款中约定。</w:t>
      </w:r>
    </w:p>
    <w:p w14:paraId="44DF30E2">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5.1.2 因发包人原因造成工程质量未达到合同约定标准的，由发包人承担由此增加的费用和（或）延误的工期，并支付承包人合理的利润。</w:t>
      </w:r>
    </w:p>
    <w:p w14:paraId="62592E8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5.1.3 因承包人原因造成工程质量未达到合同约定标准的，发包人有权要求承包人返工直至工程质量达到合同约定的标准为止，并由承包人承担由此增加的费用和（或）延误的工期。</w:t>
      </w:r>
      <w:bookmarkStart w:id="206" w:name="_Toc351203534"/>
    </w:p>
    <w:p w14:paraId="5EDFBD8C">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5</w:t>
      </w:r>
      <w:bookmarkStart w:id="207" w:name="_Toc337558760"/>
      <w:r>
        <w:rPr>
          <w:rFonts w:hint="eastAsia" w:ascii="宋体" w:hAnsi="宋体" w:eastAsia="宋体" w:cs="宋体"/>
          <w:b/>
          <w:color w:val="auto"/>
          <w:sz w:val="28"/>
          <w:szCs w:val="28"/>
          <w:highlight w:val="none"/>
        </w:rPr>
        <w:t>.2质量保证措施</w:t>
      </w:r>
      <w:bookmarkEnd w:id="206"/>
    </w:p>
    <w:bookmarkEnd w:id="207"/>
    <w:p w14:paraId="033FE9C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5.2.1 发包人的质量管理</w:t>
      </w:r>
    </w:p>
    <w:p w14:paraId="55D6A9E9">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发包人应按照法律规定及合同约定完成与工程质量有关的各项工作。</w:t>
      </w:r>
    </w:p>
    <w:p w14:paraId="75EDA099">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5.2.2 承包人的质量管理</w:t>
      </w:r>
    </w:p>
    <w:p w14:paraId="4E2DADCC">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按照第7.1款〔施工组织设计〕约定向发包人提交工程质量保证体系及措施文件，建立完善的质量检查制度，并提交相应的工程质量文件。对于发包人违反法律规定和合同约定的错误指示，承包人有权拒绝实施。</w:t>
      </w:r>
    </w:p>
    <w:p w14:paraId="5E42511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承包人应对施工人员进行质量教育和技术培训，定期考核施工人员的劳动技能，严格执行施工规范和操作规程。</w:t>
      </w:r>
    </w:p>
    <w:p w14:paraId="0342FBD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应按照法律规定和发包人的要求，对材料、工程设备以及工程的所有部位及其施工工艺进行全过程的质量检查和检验，并作详细记录，编制工程质量报表，报送发包人审查。此外，承包人还应按照法律规定和发包人的要求，进行施工现场取样试验、工程复核测量和设备性能检测，提供试验样品、提交试验报告和测量成果以及其他工作。</w:t>
      </w:r>
    </w:p>
    <w:p w14:paraId="7C7529CD">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5.2.3 发包人的质量检查和检验</w:t>
      </w:r>
    </w:p>
    <w:p w14:paraId="6506D25F">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按照法律规定和发包人授权对工程的所有部位及其施工工艺、材料和工程设备进行检查和检验。承包人应为发包人的检查和检验提供方便，包括发包人到施工现场，或制造、加工地点，或合同约定的其他地方进行察看和查阅施工原始记录。发包人为此进行的检查和检验，不免除或减轻承包人按照合同约定应当承担的责任。</w:t>
      </w:r>
    </w:p>
    <w:p w14:paraId="39D1E939">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的检查和检验不应影响施工正常进行。发包人的检查和检验影响施工正常进行的，且经检查检验不合格的，影响正常施工的费用由承包人承担，工期不予顺延；经检查检验合格的，由此增加的费用和（或）延误的工期由发包人承担。</w:t>
      </w:r>
      <w:bookmarkStart w:id="208" w:name="_Toc351203535"/>
    </w:p>
    <w:p w14:paraId="3A4DA133">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5</w:t>
      </w:r>
      <w:bookmarkStart w:id="209" w:name="_Toc337558761"/>
      <w:r>
        <w:rPr>
          <w:rFonts w:hint="eastAsia" w:ascii="宋体" w:hAnsi="宋体" w:eastAsia="宋体" w:cs="宋体"/>
          <w:b/>
          <w:color w:val="auto"/>
          <w:sz w:val="28"/>
          <w:szCs w:val="28"/>
          <w:highlight w:val="none"/>
        </w:rPr>
        <w:t>.3 隐蔽工程检查</w:t>
      </w:r>
      <w:bookmarkEnd w:id="208"/>
    </w:p>
    <w:bookmarkEnd w:id="209"/>
    <w:p w14:paraId="034C8232">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5.3.1承包人自检</w:t>
      </w:r>
    </w:p>
    <w:p w14:paraId="03185223">
      <w:pPr>
        <w:adjustRightInd w:val="0"/>
        <w:snapToGrid w:val="0"/>
        <w:spacing w:line="500" w:lineRule="exact"/>
        <w:ind w:firstLine="536" w:firstLineChars="200"/>
        <w:jc w:val="left"/>
        <w:rPr>
          <w:rFonts w:hint="eastAsia" w:ascii="宋体" w:hAnsi="宋体" w:eastAsia="宋体" w:cs="宋体"/>
          <w:color w:val="auto"/>
          <w:spacing w:val="-6"/>
          <w:kern w:val="0"/>
          <w:sz w:val="28"/>
          <w:szCs w:val="28"/>
          <w:highlight w:val="none"/>
        </w:rPr>
      </w:pPr>
      <w:r>
        <w:rPr>
          <w:rFonts w:hint="eastAsia" w:ascii="宋体" w:hAnsi="宋体" w:eastAsia="宋体" w:cs="宋体"/>
          <w:color w:val="auto"/>
          <w:spacing w:val="-6"/>
          <w:kern w:val="0"/>
          <w:sz w:val="28"/>
          <w:szCs w:val="28"/>
          <w:highlight w:val="none"/>
        </w:rPr>
        <w:t>承包人应当对工程隐蔽部位进行自检，并经自检确认是否具备覆盖条件。</w:t>
      </w:r>
    </w:p>
    <w:p w14:paraId="1EF571C1">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5.3.2检查程序</w:t>
      </w:r>
    </w:p>
    <w:p w14:paraId="09F99062">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工程隐蔽部位经承包人自检确认具备覆盖条件的，承包人应在共同检查前48小时书面通知发包人检查，通知中应载明隐蔽检查的内容、时间和地点，并应附有自检记录和必要的检查资料。</w:t>
      </w:r>
    </w:p>
    <w:p w14:paraId="081D23AA">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应按时到场并对隐蔽工程及其施工工艺、材料和工程设备进行检查。经发包人检查确认质量符合隐蔽要求，并在验收记录上签字后，承包人才能进行覆盖。经发包人检查质量不合格的，承包人应在发包人指示的时间内完成修复，并由发包人重新检查，由此增加的费用和（或）延误的工期由承包人承担。</w:t>
      </w:r>
    </w:p>
    <w:p w14:paraId="30CF7659">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发包人不能按时进行检查的，应在检查前24小时向承包人提交书面延期要求，但延期不能超过48小时，由此导致工期延误的，工期应予以顺延。发包人未按时进行检查，也未提出延期要求的，视为隐蔽工程检查合格，承包人可自行完成覆盖工作，并作相应记录报送发包人，发包人应签字确认。发包人事后对检查记录有疑问的，可按第5.3.3项〔重新检查〕的约定重新检查。</w:t>
      </w:r>
    </w:p>
    <w:p w14:paraId="303FC8F3">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5.3.3 重新检查</w:t>
      </w:r>
    </w:p>
    <w:p w14:paraId="5A4CBC9A">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覆盖工程隐蔽部位后，发包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5F9EC311">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5.3.4 承包人私自覆盖</w:t>
      </w:r>
    </w:p>
    <w:p w14:paraId="49C8ADB4">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承包人未通知发包人到场检查，私自将工程隐蔽部位覆盖的，发包人有权指示承包人钻孔探测或揭开检查，无论工程隐蔽部位质量是否合格，由此增加的费用和（或）延误的工期均由承包人承担。</w:t>
      </w:r>
      <w:bookmarkStart w:id="210" w:name="_Toc351203536"/>
    </w:p>
    <w:p w14:paraId="49C8587C">
      <w:pPr>
        <w:adjustRightInd w:val="0"/>
        <w:snapToGrid w:val="0"/>
        <w:spacing w:line="500" w:lineRule="exact"/>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5</w:t>
      </w:r>
      <w:bookmarkStart w:id="211" w:name="_Toc337558762"/>
      <w:r>
        <w:rPr>
          <w:rFonts w:hint="eastAsia" w:ascii="宋体" w:hAnsi="宋体" w:eastAsia="宋体" w:cs="宋体"/>
          <w:b/>
          <w:color w:val="auto"/>
          <w:sz w:val="28"/>
          <w:szCs w:val="28"/>
          <w:highlight w:val="none"/>
        </w:rPr>
        <w:t>.4不合格工程的处理</w:t>
      </w:r>
      <w:bookmarkEnd w:id="210"/>
    </w:p>
    <w:bookmarkEnd w:id="211"/>
    <w:p w14:paraId="08EB062E">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4D68FF4F">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5.4.2 因发包人原因造成工程不合格的，由此增加的费用和（或）延误的工期由发包人承担，并支付承包人合理的利润。</w:t>
      </w:r>
      <w:bookmarkStart w:id="212" w:name="_Toc351203537"/>
    </w:p>
    <w:p w14:paraId="7AD2DEA3">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5.5 质量争议检测</w:t>
      </w:r>
      <w:bookmarkEnd w:id="212"/>
    </w:p>
    <w:p w14:paraId="36E5773D">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合同当事人对工程质量有争议的，由双方协商确定的工程质量检测机构鉴定，由此产生的费用及因此造成的损失，由责任方承担。</w:t>
      </w:r>
    </w:p>
    <w:p w14:paraId="39376ECF">
      <w:pPr>
        <w:autoSpaceDE w:val="0"/>
        <w:autoSpaceDN w:val="0"/>
        <w:adjustRightInd w:val="0"/>
        <w:snapToGrid w:val="0"/>
        <w:spacing w:line="50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合同当事人均有责任的，由双方根据其责任分别承担。合同当事人无法达成一致的，按照第4.4款〔商定或确定〕执行。</w:t>
      </w:r>
      <w:bookmarkStart w:id="213" w:name="_Toc351203538"/>
    </w:p>
    <w:p w14:paraId="14CECE12">
      <w:pPr>
        <w:autoSpaceDE w:val="0"/>
        <w:autoSpaceDN w:val="0"/>
        <w:adjustRightInd w:val="0"/>
        <w:snapToGrid w:val="0"/>
        <w:spacing w:line="500" w:lineRule="exact"/>
        <w:ind w:firstLine="498" w:firstLineChars="177"/>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6</w:t>
      </w:r>
      <w:bookmarkStart w:id="214" w:name="_Toc337558763"/>
      <w:r>
        <w:rPr>
          <w:rFonts w:hint="eastAsia" w:ascii="宋体" w:hAnsi="宋体" w:eastAsia="宋体" w:cs="宋体"/>
          <w:b/>
          <w:color w:val="auto"/>
          <w:sz w:val="28"/>
          <w:szCs w:val="28"/>
          <w:highlight w:val="none"/>
        </w:rPr>
        <w:t>. 安全文明施工与环境保护</w:t>
      </w:r>
      <w:bookmarkEnd w:id="213"/>
      <w:bookmarkEnd w:id="214"/>
      <w:bookmarkStart w:id="215" w:name="_Toc351203539"/>
    </w:p>
    <w:p w14:paraId="3B6BBAE1">
      <w:pPr>
        <w:autoSpaceDE w:val="0"/>
        <w:autoSpaceDN w:val="0"/>
        <w:adjustRightInd w:val="0"/>
        <w:snapToGrid w:val="0"/>
        <w:spacing w:line="500" w:lineRule="exact"/>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 xml:space="preserve">    6</w:t>
      </w:r>
      <w:bookmarkStart w:id="216" w:name="_Toc337558764"/>
      <w:r>
        <w:rPr>
          <w:rFonts w:hint="eastAsia" w:ascii="宋体" w:hAnsi="宋体" w:eastAsia="宋体" w:cs="宋体"/>
          <w:b/>
          <w:color w:val="auto"/>
          <w:sz w:val="28"/>
          <w:szCs w:val="28"/>
          <w:highlight w:val="none"/>
        </w:rPr>
        <w:t>.1安全文明施工</w:t>
      </w:r>
      <w:bookmarkEnd w:id="215"/>
    </w:p>
    <w:bookmarkEnd w:id="216"/>
    <w:p w14:paraId="7954B9B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6.1.1安全生产要求</w:t>
      </w:r>
    </w:p>
    <w:p w14:paraId="249B78E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强令承包人违章作业、冒险施工的任何指示。</w:t>
      </w:r>
    </w:p>
    <w:p w14:paraId="347ECCB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在施工过程中，如遇到突发的地质变动、事先未知的地下施工障碍等影响施工安全的紧急情况，承包人应及时报告发包人，发包人应当及时下令停工并报</w:t>
      </w:r>
      <w:r>
        <w:rPr>
          <w:rFonts w:hint="eastAsia" w:ascii="宋体" w:hAnsi="宋体" w:eastAsia="宋体" w:cs="宋体"/>
          <w:color w:val="auto"/>
          <w:kern w:val="0"/>
          <w:sz w:val="28"/>
          <w:szCs w:val="28"/>
          <w:highlight w:val="none"/>
        </w:rPr>
        <w:t>政府有关行政管理部门</w:t>
      </w:r>
      <w:r>
        <w:rPr>
          <w:rFonts w:hint="eastAsia" w:ascii="宋体" w:hAnsi="宋体" w:eastAsia="宋体" w:cs="宋体"/>
          <w:color w:val="auto"/>
          <w:sz w:val="28"/>
          <w:szCs w:val="28"/>
          <w:highlight w:val="none"/>
        </w:rPr>
        <w:t>采取应急措施。</w:t>
      </w:r>
    </w:p>
    <w:p w14:paraId="40A0310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因安全生产需要暂停施工的，按照第7.8款〔暂停施工〕的约定执行。</w:t>
      </w:r>
    </w:p>
    <w:p w14:paraId="3AED1AF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6.1.2 安全生产保证措施</w:t>
      </w:r>
    </w:p>
    <w:p w14:paraId="44069E9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承包人应当按照有关</w:t>
      </w:r>
      <w:r>
        <w:rPr>
          <w:rFonts w:hint="eastAsia" w:ascii="宋体" w:hAnsi="宋体" w:eastAsia="宋体" w:cs="宋体"/>
          <w:color w:val="auto"/>
          <w:kern w:val="0"/>
          <w:sz w:val="28"/>
          <w:szCs w:val="28"/>
          <w:highlight w:val="none"/>
        </w:rPr>
        <w:t>规定编制安全技术措施或者专项施工方案，</w:t>
      </w:r>
      <w:r>
        <w:rPr>
          <w:rFonts w:hint="eastAsia" w:ascii="宋体" w:hAnsi="宋体" w:eastAsia="宋体" w:cs="宋体"/>
          <w:color w:val="auto"/>
          <w:sz w:val="28"/>
          <w:szCs w:val="28"/>
          <w:highlight w:val="none"/>
        </w:rPr>
        <w:t>建立安全生产责任制度、治安保卫制度及安全生产教育培训制度，并</w:t>
      </w:r>
      <w:r>
        <w:rPr>
          <w:rFonts w:hint="eastAsia" w:ascii="宋体" w:hAnsi="宋体" w:eastAsia="宋体" w:cs="宋体"/>
          <w:color w:val="auto"/>
          <w:kern w:val="0"/>
          <w:sz w:val="28"/>
          <w:szCs w:val="28"/>
          <w:highlight w:val="none"/>
        </w:rPr>
        <w:t>按安全生产法律规定及合同约定履行安全职责，如实</w:t>
      </w:r>
      <w:r>
        <w:rPr>
          <w:rFonts w:hint="eastAsia" w:ascii="宋体" w:hAnsi="宋体" w:eastAsia="宋体" w:cs="宋体"/>
          <w:color w:val="auto"/>
          <w:sz w:val="28"/>
          <w:szCs w:val="28"/>
          <w:highlight w:val="none"/>
        </w:rPr>
        <w:t>编制工程安全生产的有关记录，</w:t>
      </w:r>
      <w:r>
        <w:rPr>
          <w:rFonts w:hint="eastAsia" w:ascii="宋体" w:hAnsi="宋体" w:eastAsia="宋体" w:cs="宋体"/>
          <w:color w:val="auto"/>
          <w:kern w:val="0"/>
          <w:sz w:val="28"/>
          <w:szCs w:val="28"/>
          <w:highlight w:val="none"/>
        </w:rPr>
        <w:t>接受发包人及政府安全监督部门的检查与监督。</w:t>
      </w:r>
    </w:p>
    <w:p w14:paraId="5AD4FEA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6.1.3特别安全生产事项</w:t>
      </w:r>
    </w:p>
    <w:p w14:paraId="7678FA2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650736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承包人在动力设备、输电线路、地下管道、密封防震车间、易燃易爆地段以及临街交通要道附近施工时，施工开始前应向发包人提出安全防护措施，经发包人认可后实施。 </w:t>
      </w:r>
    </w:p>
    <w:p w14:paraId="0EF22DD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实施爆破作业，在放射、毒害性环境中施工（含储存、运输、使用）及使用毒害性、腐蚀性物品施工时，承包人应在施工前7天以书面通知发包人，并报送相应的安全防护措施，经发包人认可后实施。</w:t>
      </w:r>
    </w:p>
    <w:p w14:paraId="2B186CD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需单独编制危险性较大分部分项专项工程施工方案的，及要求进行专家论证的超过一定规模的危险性较大的分部分项工程，承包人应及时编制和组织论证。</w:t>
      </w:r>
    </w:p>
    <w:p w14:paraId="15EAF43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6.1.4 治安保卫</w:t>
      </w:r>
    </w:p>
    <w:p w14:paraId="1A54B88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除专用合同条款另有约定外，发包人应与当地公安部门协商，在现场建立治安管理机构或联防组织，统一管理施工场地的治安保卫事项，履行</w:t>
      </w:r>
    </w:p>
    <w:p w14:paraId="7B1AF74B">
      <w:pPr>
        <w:adjustRightInd w:val="0"/>
        <w:snapToGrid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合同工程的治安保卫职责。</w:t>
      </w:r>
    </w:p>
    <w:p w14:paraId="6C65991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发包人和承包人除应协助现场治安管理机构或联防组织维护施工场地的社会治安外，还应做好包括生活区在内的各自管辖区的治安保卫工作。</w:t>
      </w:r>
    </w:p>
    <w:p w14:paraId="5020B54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36316ACE">
      <w:pPr>
        <w:adjustRightInd w:val="0"/>
        <w:snapToGrid w:val="0"/>
        <w:spacing w:line="50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6.1.5 文明施工</w:t>
      </w:r>
    </w:p>
    <w:p w14:paraId="1770F0A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6395D5AD">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C40AA7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6.1.6 安全文明施工费</w:t>
      </w:r>
    </w:p>
    <w:p w14:paraId="6BD9A00E">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安全文明施工费由发包人承担，发包人不得以任何形式扣减该部分费用。因基准日期后合同所适用的法律或政府有关规定发生变化，增加的安全文明施工费由发包人承担。</w:t>
      </w:r>
    </w:p>
    <w:p w14:paraId="6D9C0310">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C4C3ED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78FA873F">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31EEB413">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6.1.7 紧急情况处理</w:t>
      </w:r>
    </w:p>
    <w:p w14:paraId="2A980C26">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在工程实施期间或缺陷责任期内发生危及工程安全的事件，发包人通知承包人进行抢救，承包人声明无能力或不愿立即执行的，发包人有权雇佣其他人员进行抢救。此类抢救按合同约定属于承包人义务的，由此增加的费用和（或）延误的工期由承包人承担。</w:t>
      </w:r>
    </w:p>
    <w:p w14:paraId="6754266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6.1.8 事故处理</w:t>
      </w:r>
    </w:p>
    <w:p w14:paraId="4CBA7BF7">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程施工过程中发生事故的，承包人应立即通知发包人，发包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4B29FF7">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6.1.9 安全生产责任</w:t>
      </w:r>
    </w:p>
    <w:p w14:paraId="3C84E42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6.1.9.1 发包人的安全责任</w:t>
      </w:r>
    </w:p>
    <w:p w14:paraId="4443ACA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发包人应负责赔偿以下各种情况造成的损失：</w:t>
      </w:r>
    </w:p>
    <w:p w14:paraId="7ADDB1C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（1）工程或工程的任何部分对土地的占用所造成的第三者财产损失；</w:t>
      </w:r>
    </w:p>
    <w:p w14:paraId="5BCD981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（2）由于发包人原因在施工场地及其毗邻地带造成的第三者人身伤亡和财产损失；</w:t>
      </w:r>
    </w:p>
    <w:p w14:paraId="7A1ACB7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（3）由于发包人原因对承包人造成的人员人身伤亡和财产损失；</w:t>
      </w:r>
    </w:p>
    <w:p w14:paraId="4A3D0DE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（4）由于发包人原因造成的发包人自身人员的人身伤害以及财产损失。</w:t>
      </w:r>
    </w:p>
    <w:p w14:paraId="11B738F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6.1.9.2 承包人的安全责任</w:t>
      </w:r>
    </w:p>
    <w:p w14:paraId="435FEC0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由于承包人原因在施工场地内及其毗邻地带造成的发包人以及第三者人员伤亡和财产损失，由承包人负责赔偿。</w:t>
      </w:r>
      <w:bookmarkStart w:id="217" w:name="_Toc351203540"/>
    </w:p>
    <w:p w14:paraId="63DCEDE2">
      <w:pPr>
        <w:adjustRightInd w:val="0"/>
        <w:snapToGrid w:val="0"/>
        <w:spacing w:line="500" w:lineRule="exact"/>
        <w:ind w:firstLine="562" w:firstLineChars="200"/>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6</w:t>
      </w:r>
      <w:bookmarkStart w:id="218" w:name="_Toc337558765"/>
      <w:r>
        <w:rPr>
          <w:rFonts w:hint="eastAsia" w:ascii="宋体" w:hAnsi="宋体" w:eastAsia="宋体" w:cs="宋体"/>
          <w:b/>
          <w:color w:val="auto"/>
          <w:sz w:val="28"/>
          <w:szCs w:val="28"/>
          <w:highlight w:val="none"/>
        </w:rPr>
        <w:t>.2 职业健康</w:t>
      </w:r>
      <w:bookmarkEnd w:id="217"/>
    </w:p>
    <w:bookmarkEnd w:id="218"/>
    <w:p w14:paraId="47E8B97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6.2.1 劳动保护</w:t>
      </w:r>
    </w:p>
    <w:p w14:paraId="2F1F14CD">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041AB00D">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96F7FF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768555D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6.2.2 生活条件</w:t>
      </w:r>
    </w:p>
    <w:p w14:paraId="5B04B98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bookmarkStart w:id="219" w:name="_Toc351203541"/>
    </w:p>
    <w:p w14:paraId="06438B34">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6</w:t>
      </w:r>
      <w:bookmarkStart w:id="220" w:name="_Toc337558766"/>
      <w:r>
        <w:rPr>
          <w:rFonts w:hint="eastAsia" w:ascii="宋体" w:hAnsi="宋体" w:eastAsia="宋体" w:cs="宋体"/>
          <w:b/>
          <w:color w:val="auto"/>
          <w:sz w:val="28"/>
          <w:szCs w:val="28"/>
          <w:highlight w:val="none"/>
        </w:rPr>
        <w:t>.3 环境保护</w:t>
      </w:r>
      <w:bookmarkEnd w:id="219"/>
    </w:p>
    <w:bookmarkEnd w:id="220"/>
    <w:p w14:paraId="037C6E0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2341A998">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承包人应当承担因其原因引起的环境污染侵权损害赔偿责任，因上述环境污染引起纠纷而导致暂停施工的，由此增加的费用和（或）延误的工期由承包人承担。</w:t>
      </w:r>
      <w:bookmarkStart w:id="221" w:name="_Toc351203542"/>
    </w:p>
    <w:p w14:paraId="0A661A10">
      <w:pPr>
        <w:autoSpaceDE w:val="0"/>
        <w:autoSpaceDN w:val="0"/>
        <w:adjustRightInd w:val="0"/>
        <w:snapToGrid w:val="0"/>
        <w:spacing w:line="500" w:lineRule="exact"/>
        <w:ind w:firstLine="498" w:firstLineChars="177"/>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7</w:t>
      </w:r>
      <w:bookmarkStart w:id="222" w:name="_Toc337558767"/>
      <w:r>
        <w:rPr>
          <w:rFonts w:hint="eastAsia" w:ascii="宋体" w:hAnsi="宋体" w:eastAsia="宋体" w:cs="宋体"/>
          <w:b/>
          <w:color w:val="auto"/>
          <w:sz w:val="28"/>
          <w:szCs w:val="28"/>
          <w:highlight w:val="none"/>
        </w:rPr>
        <w:t>. 工期和进度</w:t>
      </w:r>
      <w:bookmarkEnd w:id="221"/>
      <w:bookmarkEnd w:id="222"/>
      <w:bookmarkStart w:id="223" w:name="_Toc351203543"/>
    </w:p>
    <w:p w14:paraId="43219982">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7</w:t>
      </w:r>
      <w:bookmarkStart w:id="224" w:name="_Toc337558768"/>
      <w:bookmarkStart w:id="225" w:name="_Toc296503066"/>
      <w:bookmarkStart w:id="226" w:name="_Toc296346567"/>
      <w:r>
        <w:rPr>
          <w:rFonts w:hint="eastAsia" w:ascii="宋体" w:hAnsi="宋体" w:eastAsia="宋体" w:cs="宋体"/>
          <w:b/>
          <w:color w:val="auto"/>
          <w:sz w:val="28"/>
          <w:szCs w:val="28"/>
          <w:highlight w:val="none"/>
        </w:rPr>
        <w:t>.1施工组织设计</w:t>
      </w:r>
      <w:bookmarkEnd w:id="223"/>
    </w:p>
    <w:bookmarkEnd w:id="224"/>
    <w:p w14:paraId="4064FB51">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 xml:space="preserve">7.1.1 </w:t>
      </w:r>
      <w:r>
        <w:rPr>
          <w:rFonts w:hint="eastAsia" w:ascii="宋体" w:hAnsi="宋体" w:eastAsia="宋体" w:cs="宋体"/>
          <w:color w:val="auto"/>
          <w:kern w:val="0"/>
          <w:sz w:val="28"/>
          <w:szCs w:val="28"/>
          <w:highlight w:val="none"/>
        </w:rPr>
        <w:t>施工组织设计的内容</w:t>
      </w:r>
    </w:p>
    <w:p w14:paraId="384D632C">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施工组织设计应包含以下内容：</w:t>
      </w:r>
    </w:p>
    <w:p w14:paraId="4DE288B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（1）施工方案； </w:t>
      </w:r>
    </w:p>
    <w:p w14:paraId="772EE6A1">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（2）施工现场平面布置图；</w:t>
      </w:r>
    </w:p>
    <w:p w14:paraId="54123BCE">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（3）施工进度计划和保证措施； </w:t>
      </w:r>
    </w:p>
    <w:p w14:paraId="5BDAA919">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（4）劳动力及材料供应计划；</w:t>
      </w:r>
    </w:p>
    <w:p w14:paraId="673B413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（5）施工机械设备的选用；</w:t>
      </w:r>
    </w:p>
    <w:p w14:paraId="7CE9225F">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（6）质量保证体系及措施；</w:t>
      </w:r>
    </w:p>
    <w:p w14:paraId="4C01456D">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（7）安全生产、文明施工措施；</w:t>
      </w:r>
    </w:p>
    <w:p w14:paraId="4D93BDF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（8）环境保护、成本控制措施；</w:t>
      </w:r>
    </w:p>
    <w:p w14:paraId="765F7B47">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（9）合同当事人约定的其他内容。</w:t>
      </w:r>
    </w:p>
    <w:p w14:paraId="35B802B0">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 xml:space="preserve">7.1.2 </w:t>
      </w:r>
      <w:r>
        <w:rPr>
          <w:rFonts w:hint="eastAsia" w:ascii="宋体" w:hAnsi="宋体" w:eastAsia="宋体" w:cs="宋体"/>
          <w:color w:val="auto"/>
          <w:kern w:val="0"/>
          <w:sz w:val="28"/>
          <w:szCs w:val="28"/>
          <w:highlight w:val="none"/>
        </w:rPr>
        <w:t>施工组织设计的提交和修改</w:t>
      </w:r>
    </w:p>
    <w:p w14:paraId="6C8F5991">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承包人应在合同签订后14天内，但至迟不得晚于第7.3.2项〔开工通知〕载明的开工日期前7天，向发包人提交详细的施工组织设计，并报送发包人。除专用合同条款另有约定外，发包人应在发包人收到施工组织设计后7天内确认或提出修改意见。对发包人提出的合理意见和要求，承包人应自费修改完善。根据工程实际情况需要修改施工组织设计的，承包人应向发包人提交修改后的施工组织设计。</w:t>
      </w:r>
    </w:p>
    <w:p w14:paraId="0982AA3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施工进度计划的编制和修改按照第7.2款〔施工进度计划〕执行。</w:t>
      </w:r>
      <w:bookmarkStart w:id="227" w:name="_Toc351203544"/>
    </w:p>
    <w:p w14:paraId="0F5E95D1">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7</w:t>
      </w:r>
      <w:bookmarkStart w:id="228" w:name="_Toc337558769"/>
      <w:r>
        <w:rPr>
          <w:rFonts w:hint="eastAsia" w:ascii="宋体" w:hAnsi="宋体" w:eastAsia="宋体" w:cs="宋体"/>
          <w:b/>
          <w:color w:val="auto"/>
          <w:sz w:val="28"/>
          <w:szCs w:val="28"/>
          <w:highlight w:val="none"/>
        </w:rPr>
        <w:t>.2 施工进度计划</w:t>
      </w:r>
      <w:bookmarkEnd w:id="227"/>
    </w:p>
    <w:bookmarkEnd w:id="228"/>
    <w:p w14:paraId="5B1D09E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7.2.1 施工进度计划的编制</w:t>
      </w:r>
    </w:p>
    <w:p w14:paraId="25E8CC1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有权按照施工进度计划检查工程进度情况。</w:t>
      </w:r>
    </w:p>
    <w:p w14:paraId="778AE1DC">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7.2.2 施工进度计划的修订</w:t>
      </w:r>
    </w:p>
    <w:p w14:paraId="0289292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施工进度计划不符合合同要求或与工程的实际进度不一致的，承包人应向发包人提交修订的施工进度计划，并附具有关措施和相关资料，报送发包人。除专用合同条款另有约定外，发包人应在收到修订的施工进度计划后7天内完成审核和批准或提出修改意见。发包人对承包人提交的施工进度计划的确认，不能减轻或免除承包人根据法律规定和合同约定应承担的任何责任或义务。</w:t>
      </w:r>
      <w:bookmarkStart w:id="229" w:name="_Toc351203545"/>
    </w:p>
    <w:p w14:paraId="0605FB28">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7</w:t>
      </w:r>
      <w:bookmarkStart w:id="230" w:name="_Toc337558770"/>
      <w:r>
        <w:rPr>
          <w:rFonts w:hint="eastAsia" w:ascii="宋体" w:hAnsi="宋体" w:eastAsia="宋体" w:cs="宋体"/>
          <w:b/>
          <w:color w:val="auto"/>
          <w:sz w:val="28"/>
          <w:szCs w:val="28"/>
          <w:highlight w:val="none"/>
        </w:rPr>
        <w:t>.3 开工</w:t>
      </w:r>
      <w:bookmarkEnd w:id="229"/>
    </w:p>
    <w:p w14:paraId="7E66FDF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7.3.1 开工准备</w:t>
      </w:r>
    </w:p>
    <w:p w14:paraId="4E048D3C">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承包人应按照第7.1款〔施工组织设计〕约定的期限，向发包人提交工程开工报审表，报发包人批准后执行。开工报审表应详细说明按施工进度计划正常施工所需的施工道路、临时设施、材料、工程设备、施工设备、施工人员等落实情况以及工程的进度安排。</w:t>
      </w:r>
    </w:p>
    <w:p w14:paraId="2766415C">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除专用合同条款另有约定外，合同当事人应按约定完成开工准备工作。</w:t>
      </w:r>
    </w:p>
    <w:p w14:paraId="5E89C648">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7.3.2 开工通知</w:t>
      </w:r>
    </w:p>
    <w:bookmarkEnd w:id="230"/>
    <w:p w14:paraId="015AA02D">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发包人应按照法律规定获得工程施工所需的许可。经发包人同意后，发包人发出的开工通知应符合法律规定。发包人应在计划开工日期7天前向承包人发出开工通知，工期自开工通知中载明的开工日期起算。</w:t>
      </w:r>
    </w:p>
    <w:p w14:paraId="721302CE">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因发包人原因造成未能在计划开工日期之日起90天内发出开工通知的，承包人有权提出价格调整要求，或者解除合同。发包人应当承担由此增加的费用和（或）延误的工期，并向承包人支付合理利润。</w:t>
      </w:r>
      <w:bookmarkStart w:id="231" w:name="_Toc351203546"/>
    </w:p>
    <w:p w14:paraId="761091A8">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7.4测量放线</w:t>
      </w:r>
      <w:bookmarkEnd w:id="231"/>
    </w:p>
    <w:p w14:paraId="3A1F0F90">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7.4.1 除专用合同条款另有约定外，发包人应在至迟不得晚于第7.3.2项〔开工通知〕载明的开工日期前7天通过发包人向承包人提供测量基准点、基准线和水准点及其书面资料。发包人应对其提供的测量基准点、基准线和水准点及其书面资料的真实性、准确性和完整性负责。</w:t>
      </w:r>
    </w:p>
    <w:p w14:paraId="60A9576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承包人发现发包人提供的测量基准点、基准线和水准点及其书面资料存在错误或疏漏的，应及时报告发包人，并会同发包人和承包人予以核实。发包人应就如何处理和是否继续施工作出决定，并通知承包人。</w:t>
      </w:r>
    </w:p>
    <w:p w14:paraId="600B868D">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48EB111E">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施工过程中对施工现场内水准点等测量标志物的保护工作由承包人负责。</w:t>
      </w:r>
      <w:bookmarkStart w:id="232" w:name="_Toc351203547"/>
    </w:p>
    <w:p w14:paraId="62E93595">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7</w:t>
      </w:r>
      <w:bookmarkEnd w:id="225"/>
      <w:bookmarkEnd w:id="226"/>
      <w:bookmarkStart w:id="233" w:name="_Toc296503073"/>
      <w:bookmarkStart w:id="234" w:name="_Toc296346574"/>
      <w:bookmarkStart w:id="235" w:name="_Toc337558772"/>
      <w:r>
        <w:rPr>
          <w:rFonts w:hint="eastAsia" w:ascii="宋体" w:hAnsi="宋体" w:eastAsia="宋体" w:cs="宋体"/>
          <w:b/>
          <w:color w:val="auto"/>
          <w:sz w:val="28"/>
          <w:szCs w:val="28"/>
          <w:highlight w:val="none"/>
        </w:rPr>
        <w:t>.5 工期延误</w:t>
      </w:r>
      <w:bookmarkEnd w:id="232"/>
    </w:p>
    <w:bookmarkEnd w:id="233"/>
    <w:bookmarkEnd w:id="234"/>
    <w:bookmarkEnd w:id="235"/>
    <w:p w14:paraId="6B877607">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7.5.1 因发包人原因导致工期延误</w:t>
      </w:r>
    </w:p>
    <w:p w14:paraId="5DE369C9">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在合同履行过程中，因下列情况导致工期延误和（或）费用增加的，由发包人承担由此延误的工期和（或）增加的费用，且发包人应支付承包人合理的利润： </w:t>
      </w:r>
    </w:p>
    <w:p w14:paraId="36690A8A">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（1）发包人未能按合同约定提供图纸或所提供图纸不符合合同约定的；</w:t>
      </w:r>
    </w:p>
    <w:p w14:paraId="2705F9AF">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（2）发包人未能按合同约定提供施工现场、施工条件、基础资料、许可、批准等开工条件的；</w:t>
      </w:r>
    </w:p>
    <w:p w14:paraId="05FE10F1">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（3）发包人提供的测量基准点、基准线和水准点及其书面资料存在错误或疏漏的；</w:t>
      </w:r>
    </w:p>
    <w:p w14:paraId="7D13B791">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（4）发包人未能在计划开工日期之日起7天内同意下达开工通知的；</w:t>
      </w:r>
    </w:p>
    <w:p w14:paraId="2536DA95">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（5）发包人未能按合同约定日期支付工程预付款、进度款或竣工结算款的；</w:t>
      </w:r>
    </w:p>
    <w:p w14:paraId="0A4632AA">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（6）发包人未按合同约定发出指示、批准等文件的；</w:t>
      </w:r>
    </w:p>
    <w:p w14:paraId="16AB3D83">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（7）专用合同条款中约定的其他情形。</w:t>
      </w:r>
    </w:p>
    <w:p w14:paraId="5F4A2BBB">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B9CB3CF">
      <w:pPr>
        <w:autoSpaceDE w:val="0"/>
        <w:autoSpaceDN w:val="0"/>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7.5.2 因承包人原因导致工期延误</w:t>
      </w:r>
    </w:p>
    <w:p w14:paraId="193846A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bookmarkStart w:id="236" w:name="_Toc296346577"/>
      <w:bookmarkStart w:id="237" w:name="_Toc296503076"/>
      <w:r>
        <w:rPr>
          <w:rFonts w:hint="eastAsia" w:ascii="宋体" w:hAnsi="宋体" w:eastAsia="宋体" w:cs="宋体"/>
          <w:color w:val="auto"/>
          <w:kern w:val="0"/>
          <w:sz w:val="28"/>
          <w:szCs w:val="28"/>
          <w:highlight w:val="none"/>
        </w:rPr>
        <w:t>因</w:t>
      </w:r>
      <w:bookmarkEnd w:id="236"/>
      <w:bookmarkEnd w:id="237"/>
      <w:r>
        <w:rPr>
          <w:rFonts w:hint="eastAsia" w:ascii="宋体" w:hAnsi="宋体" w:eastAsia="宋体" w:cs="宋体"/>
          <w:color w:val="auto"/>
          <w:kern w:val="0"/>
          <w:sz w:val="28"/>
          <w:szCs w:val="28"/>
          <w:highlight w:val="none"/>
        </w:rPr>
        <w:t>承包人原因造成工期延误的，可以在专用合同条款中约定逾期竣工违约金的计算方法和逾期竣工违约金的上限。承包人支付逾期竣工违约金后，不免除承包人继续完成工程及修补缺陷的义务。</w:t>
      </w:r>
      <w:bookmarkStart w:id="238" w:name="_Toc351203548"/>
    </w:p>
    <w:p w14:paraId="38D9D0BD">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7</w:t>
      </w:r>
      <w:bookmarkStart w:id="239" w:name="_Toc296346575"/>
      <w:bookmarkStart w:id="240" w:name="_Toc296503074"/>
      <w:bookmarkStart w:id="241" w:name="_Toc337558773"/>
      <w:bookmarkStart w:id="242" w:name="_Toc296346578"/>
      <w:bookmarkStart w:id="243" w:name="_Toc296503077"/>
      <w:r>
        <w:rPr>
          <w:rFonts w:hint="eastAsia" w:ascii="宋体" w:hAnsi="宋体" w:eastAsia="宋体" w:cs="宋体"/>
          <w:b/>
          <w:color w:val="auto"/>
          <w:sz w:val="28"/>
          <w:szCs w:val="28"/>
          <w:highlight w:val="none"/>
        </w:rPr>
        <w:t>.6 不利物质条件</w:t>
      </w:r>
      <w:bookmarkEnd w:id="238"/>
    </w:p>
    <w:bookmarkEnd w:id="239"/>
    <w:bookmarkEnd w:id="240"/>
    <w:bookmarkEnd w:id="241"/>
    <w:p w14:paraId="2359BC9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584000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遇到不利物质条件时，应采取克服不利物质条件的合理措施继续施工，并及时通知发包人。通知应载明不利物质条件的内容以及承包人认为不可预见的理由。经发包人同意后应当及时发出指示，指示构成变更的，按第10条〔变更〕约定执行。承包人因采取合理措施而增加的费用和（或）延误的工期由发包人承担。</w:t>
      </w:r>
      <w:bookmarkStart w:id="244" w:name="_Toc351203549"/>
    </w:p>
    <w:p w14:paraId="5FD602E1">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7</w:t>
      </w:r>
      <w:bookmarkStart w:id="245" w:name="_Toc296503075"/>
      <w:bookmarkStart w:id="246" w:name="_Toc337558774"/>
      <w:bookmarkStart w:id="247" w:name="_Toc296346576"/>
      <w:r>
        <w:rPr>
          <w:rFonts w:hint="eastAsia" w:ascii="宋体" w:hAnsi="宋体" w:eastAsia="宋体" w:cs="宋体"/>
          <w:b/>
          <w:color w:val="auto"/>
          <w:sz w:val="28"/>
          <w:szCs w:val="28"/>
          <w:highlight w:val="none"/>
        </w:rPr>
        <w:t>.7 异常恶劣的气候条件</w:t>
      </w:r>
      <w:bookmarkEnd w:id="244"/>
    </w:p>
    <w:bookmarkEnd w:id="245"/>
    <w:bookmarkEnd w:id="246"/>
    <w:bookmarkEnd w:id="247"/>
    <w:p w14:paraId="21F2B7E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2AD80E48">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应采取克服异常恶劣的气候条件的合理措施继续施工，并及时通知发包人。经发包人同意后应当及时发出指示，指示构成变更的，按第10条〔变更〕约定办理。承包人因采取合理措施而增加的费用和（或）延误的工期由发包人承担。</w:t>
      </w:r>
      <w:bookmarkStart w:id="248" w:name="_Toc351203550"/>
    </w:p>
    <w:p w14:paraId="6B1BC95E">
      <w:pPr>
        <w:autoSpaceDE w:val="0"/>
        <w:autoSpaceDN w:val="0"/>
        <w:adjustRightInd w:val="0"/>
        <w:snapToGrid w:val="0"/>
        <w:spacing w:line="5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7</w:t>
      </w:r>
      <w:bookmarkStart w:id="249" w:name="_Toc337558775"/>
      <w:r>
        <w:rPr>
          <w:rFonts w:hint="eastAsia" w:ascii="宋体" w:hAnsi="宋体" w:eastAsia="宋体" w:cs="宋体"/>
          <w:b/>
          <w:bCs/>
          <w:color w:val="auto"/>
          <w:sz w:val="28"/>
          <w:szCs w:val="28"/>
          <w:highlight w:val="none"/>
        </w:rPr>
        <w:t>.8 暂停施工</w:t>
      </w:r>
      <w:bookmarkEnd w:id="248"/>
    </w:p>
    <w:bookmarkEnd w:id="242"/>
    <w:bookmarkEnd w:id="243"/>
    <w:bookmarkEnd w:id="249"/>
    <w:p w14:paraId="0817779A">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7.8.1发包人原因引起的暂停施工</w:t>
      </w:r>
    </w:p>
    <w:p w14:paraId="75EA6E17">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因发包人原因引起暂停施工的，经发包人同意后，应及时下达暂停施工指示。情况紧急且发包人未及时下达暂停施工指示的，按照第7.8.4项〔紧急情况下的暂停施工〕执行。</w:t>
      </w:r>
    </w:p>
    <w:p w14:paraId="3508BBE9">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因发包人原因引起的暂停施工，发包人应承担由此增加的费用和（或）延误的工期，并支付承包人合理的利润。</w:t>
      </w:r>
    </w:p>
    <w:p w14:paraId="21054BB1">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7.8.2 承包人原因引起的暂停施工</w:t>
      </w:r>
    </w:p>
    <w:p w14:paraId="1BB52B1D">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因承包人原因引起的暂停施工，承包人应承担由此增加的费用和（或）延误的工期，且承包人在收到发包人复工指示后84天内仍未复工的，视为第16.2.1项〔承包人违约的情形〕第（7）目约定的承包人无法继续履行合同的情形。</w:t>
      </w:r>
    </w:p>
    <w:p w14:paraId="72148DBD">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7.8.3 指示暂停施工</w:t>
      </w:r>
    </w:p>
    <w:p w14:paraId="1AE226D0">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发包人认为有必要时，可向承包人作出暂停施工的指示，承包人应按发包人指示暂停施工。</w:t>
      </w:r>
    </w:p>
    <w:p w14:paraId="7E786A7C">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7.8.4 紧急情况下的暂停施工</w:t>
      </w:r>
    </w:p>
    <w:p w14:paraId="65C7A39F">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因紧急情况需暂停施工，且发包人未及时下达暂停施工指示的，承包人可先暂停施工，并及时通知发包人。发包人应在接到通知后24小时内发出指示，逾期未发出指示，视为同意承包人暂停施工。发包人不同意承包人暂停施工的，应说明理由，承包人对发包人的答复有异议，按照第20条〔争议解决〕约定处理。</w:t>
      </w:r>
    </w:p>
    <w:p w14:paraId="0095FDD2">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7.8.5 暂停施工后的复工</w:t>
      </w:r>
    </w:p>
    <w:p w14:paraId="65EFB83F">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暂停施工后，发包人和承包人应采取有效措施积极消除暂停施工的影响。在工程复工前，发包人和承包人确定因暂停施工造成的损失，并确定工程复工条件。当工程具备复工条件时，经发包人批准后向承包人发出复工通知，承包人应按照复工通知要求复工。</w:t>
      </w:r>
    </w:p>
    <w:p w14:paraId="6B3CFF04">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承包人无故拖延和拒绝复工的，承包人承担由此增加的费用和（或）延误的工期；因发包人原因无法按时复工的，按照第7.5.1项〔因发包人原因导致工期延误〕约定办理。</w:t>
      </w:r>
    </w:p>
    <w:p w14:paraId="40E112C4">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7.8.6 暂停施工持续56天以上</w:t>
      </w:r>
    </w:p>
    <w:p w14:paraId="23D01486">
      <w:pPr>
        <w:adjustRightInd w:val="0"/>
        <w:snapToGrid w:val="0"/>
        <w:spacing w:line="500" w:lineRule="exact"/>
        <w:ind w:firstLine="546" w:firstLineChars="195"/>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4CE0EBA0">
      <w:pPr>
        <w:adjustRightInd w:val="0"/>
        <w:snapToGrid w:val="0"/>
        <w:spacing w:line="500" w:lineRule="exact"/>
        <w:ind w:firstLine="546" w:firstLineChars="195"/>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30353B3F">
      <w:pPr>
        <w:adjustRightInd w:val="0"/>
        <w:snapToGrid w:val="0"/>
        <w:spacing w:line="500" w:lineRule="exact"/>
        <w:ind w:left="16" w:firstLine="546" w:firstLineChars="195"/>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7.8.7 暂停施工期间的工程照管</w:t>
      </w:r>
    </w:p>
    <w:p w14:paraId="188F99FE">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暂停施工期间，承包人应负责妥善照管工程并提供安全保障，由此增加的费用由责任方承担。</w:t>
      </w:r>
    </w:p>
    <w:p w14:paraId="508D7C2E">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7.8.8 暂停施工的措施</w:t>
      </w:r>
    </w:p>
    <w:p w14:paraId="5C8DE9A0">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暂停施工期间，发包人和承包人均应采取必要的措施确保工程质量及安全，防止因暂停施工扩大损失。</w:t>
      </w:r>
      <w:bookmarkStart w:id="250" w:name="_Toc351203551"/>
    </w:p>
    <w:p w14:paraId="0067B059">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7.9提前竣工</w:t>
      </w:r>
      <w:bookmarkEnd w:id="250"/>
    </w:p>
    <w:p w14:paraId="599D3E78">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7.9.1 发包人要求承包人提前竣工的，发包人应向承包人下达提前竣工指示，承包人应向发包人提交提前竣工建议书，提前竣工建议书应包括实施的方案、缩短的时间、增加的合同价格等内容。发包人接受该提前竣工建议书的，发包人和承包人协商采取加快工程进度的措施，并修订施工进度计划，由此增加的费用由发包人承担。承包人认为提前竣工指示无法执行的，应向发包人提出书面异议，发包人应在收到异议后7天内予以答复。任何情况下，发包人不得压缩合理工期。</w:t>
      </w:r>
    </w:p>
    <w:p w14:paraId="4C7418DB">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7.9.2 发包人要求承包人提前竣工，或承包人提出提前竣工的建议能够给发包人带来效益的，合同当事人可以在专用合同条款中约定提前竣工的奖励。</w:t>
      </w:r>
      <w:bookmarkStart w:id="251" w:name="_Toc351203552"/>
    </w:p>
    <w:p w14:paraId="516E7FA8">
      <w:pPr>
        <w:adjustRightInd w:val="0"/>
        <w:snapToGrid w:val="0"/>
        <w:spacing w:line="500" w:lineRule="exact"/>
        <w:ind w:firstLine="565" w:firstLineChars="201"/>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8</w:t>
      </w:r>
      <w:bookmarkStart w:id="252" w:name="_Toc337558776"/>
      <w:bookmarkStart w:id="253" w:name="_Toc296346559"/>
      <w:bookmarkStart w:id="254" w:name="_Toc296503058"/>
      <w:r>
        <w:rPr>
          <w:rFonts w:hint="eastAsia" w:ascii="宋体" w:hAnsi="宋体" w:eastAsia="宋体" w:cs="宋体"/>
          <w:b/>
          <w:color w:val="auto"/>
          <w:sz w:val="28"/>
          <w:szCs w:val="28"/>
          <w:highlight w:val="none"/>
        </w:rPr>
        <w:t>. 材料与设备</w:t>
      </w:r>
      <w:bookmarkEnd w:id="251"/>
      <w:bookmarkEnd w:id="252"/>
      <w:bookmarkEnd w:id="253"/>
      <w:bookmarkEnd w:id="254"/>
      <w:bookmarkStart w:id="255" w:name="_Toc351203553"/>
    </w:p>
    <w:p w14:paraId="7037F3AC">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8</w:t>
      </w:r>
      <w:bookmarkStart w:id="256" w:name="_Toc296346560"/>
      <w:bookmarkStart w:id="257" w:name="_Toc296503059"/>
      <w:bookmarkStart w:id="258" w:name="_Toc337558777"/>
      <w:bookmarkStart w:id="259" w:name="_Toc468936960"/>
      <w:r>
        <w:rPr>
          <w:rFonts w:hint="eastAsia" w:ascii="宋体" w:hAnsi="宋体" w:eastAsia="宋体" w:cs="宋体"/>
          <w:b/>
          <w:color w:val="auto"/>
          <w:sz w:val="28"/>
          <w:szCs w:val="28"/>
          <w:highlight w:val="none"/>
        </w:rPr>
        <w:t>.1发包人供应材料与工程设备</w:t>
      </w:r>
      <w:bookmarkEnd w:id="255"/>
    </w:p>
    <w:bookmarkEnd w:id="256"/>
    <w:bookmarkEnd w:id="257"/>
    <w:bookmarkEnd w:id="258"/>
    <w:p w14:paraId="1510058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发包人自行供应材料、工程设备的，应在签订合同时在专用合同条款的附件《发包人供应材料设备一览表》中明确材料、工程设备的品种、规格、型号、数量、单价、质量等级和送达地点。</w:t>
      </w:r>
    </w:p>
    <w:p w14:paraId="297F23D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承包人应提前30天通过以书面形式通知发包人供应材料与工程设备进场。承包人按照第7.2.2项〔施工进度计划的修订〕约定修订施工进度计划时，需同时提交经修订后的发包人供应材料与工程设备的进场计划。</w:t>
      </w:r>
      <w:bookmarkStart w:id="260" w:name="_Toc351203554"/>
    </w:p>
    <w:p w14:paraId="590E3E6B">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8</w:t>
      </w:r>
      <w:bookmarkStart w:id="261" w:name="_Toc296346561"/>
      <w:bookmarkStart w:id="262" w:name="_Toc296503060"/>
      <w:bookmarkStart w:id="263" w:name="_Toc337558778"/>
      <w:r>
        <w:rPr>
          <w:rFonts w:hint="eastAsia" w:ascii="宋体" w:hAnsi="宋体" w:eastAsia="宋体" w:cs="宋体"/>
          <w:b/>
          <w:color w:val="auto"/>
          <w:sz w:val="28"/>
          <w:szCs w:val="28"/>
          <w:highlight w:val="none"/>
        </w:rPr>
        <w:t>.2承包人采购材料与工程设备</w:t>
      </w:r>
      <w:bookmarkEnd w:id="260"/>
    </w:p>
    <w:bookmarkEnd w:id="261"/>
    <w:bookmarkEnd w:id="262"/>
    <w:bookmarkEnd w:id="263"/>
    <w:p w14:paraId="27BBF2DE">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bookmarkStart w:id="264" w:name="_Toc351203555"/>
    </w:p>
    <w:p w14:paraId="4C42B1E8">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8</w:t>
      </w:r>
      <w:bookmarkStart w:id="265" w:name="_Toc296503061"/>
      <w:bookmarkStart w:id="266" w:name="_Toc296346562"/>
      <w:bookmarkStart w:id="267" w:name="_Toc337558779"/>
      <w:r>
        <w:rPr>
          <w:rFonts w:hint="eastAsia" w:ascii="宋体" w:hAnsi="宋体" w:eastAsia="宋体" w:cs="宋体"/>
          <w:b/>
          <w:color w:val="auto"/>
          <w:sz w:val="28"/>
          <w:szCs w:val="28"/>
          <w:highlight w:val="none"/>
        </w:rPr>
        <w:t>.3材料与工程设备的接收与拒收</w:t>
      </w:r>
      <w:bookmarkEnd w:id="264"/>
    </w:p>
    <w:bookmarkEnd w:id="265"/>
    <w:bookmarkEnd w:id="266"/>
    <w:bookmarkEnd w:id="267"/>
    <w:p w14:paraId="20D27A3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8.3.1 发包人应按《发包人供应材料设备一览表》约定的内容提供材料和工程设备，并向承包人提供产品合格证明及出厂证明，对其质量负责。发包人应提前24小时以书面形式通知承包人材料和工程设备到货时间，承包人负责材料和工程设备的清点、检验和接收。</w:t>
      </w:r>
    </w:p>
    <w:p w14:paraId="11FA227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发包人提供的材料和工程设备的规格、数量或质量不符合合同约定的，或因发包人原因导致交货日期延误或交货地点变更等情况的，按照第16.1款〔发包人违约〕约定办理。</w:t>
      </w:r>
    </w:p>
    <w:p w14:paraId="2BAC7A27">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8.3.2 承包人采购的材料和工程设备，应保证产品质量合格，承包人应在材料和工程设备到货前24小时通知发包人检验。承</w:t>
      </w:r>
      <w:bookmarkStart w:id="268" w:name="_Toc250655469"/>
      <w:r>
        <w:rPr>
          <w:rFonts w:hint="eastAsia" w:ascii="宋体" w:hAnsi="宋体" w:eastAsia="宋体" w:cs="宋体"/>
          <w:color w:val="auto"/>
          <w:kern w:val="0"/>
          <w:sz w:val="28"/>
          <w:szCs w:val="28"/>
          <w:highlight w:val="none"/>
        </w:rPr>
        <w:t>包人进行永久设备、材料的制造和生产的，应符合相关质量标准，并向发包人提交材料的样本以及有关资料，并应在使用该材料或工程设备之前获得发包人同意。</w:t>
      </w:r>
    </w:p>
    <w:bookmarkEnd w:id="268"/>
    <w:p w14:paraId="7D8E4E45">
      <w:pPr>
        <w:autoSpaceDE w:val="0"/>
        <w:autoSpaceDN w:val="0"/>
        <w:adjustRightInd w:val="0"/>
        <w:snapToGrid w:val="0"/>
        <w:spacing w:line="500" w:lineRule="exact"/>
        <w:ind w:firstLine="420" w:firstLineChars="15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承包人采购的材料和工程设备不符合设计或有关标准要求时，承包人应在发包人要求的合理期限内将不符合设计或有关标准要求的材料、工程设备运出施工现场，并重新采购符合要求的材料、工程设备，由此增加的费用和（或）延误的工期，由承包人承担。</w:t>
      </w:r>
      <w:bookmarkStart w:id="269" w:name="_Toc351203556"/>
    </w:p>
    <w:p w14:paraId="7CDA464F">
      <w:pPr>
        <w:autoSpaceDE w:val="0"/>
        <w:autoSpaceDN w:val="0"/>
        <w:adjustRightInd w:val="0"/>
        <w:snapToGrid w:val="0"/>
        <w:spacing w:line="500" w:lineRule="exact"/>
        <w:ind w:firstLine="531" w:firstLineChars="189"/>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8</w:t>
      </w:r>
      <w:bookmarkStart w:id="270" w:name="_Toc296503062"/>
      <w:bookmarkStart w:id="271" w:name="_Toc337558780"/>
      <w:bookmarkStart w:id="272" w:name="_Toc296346563"/>
      <w:r>
        <w:rPr>
          <w:rFonts w:hint="eastAsia" w:ascii="宋体" w:hAnsi="宋体" w:eastAsia="宋体" w:cs="宋体"/>
          <w:b/>
          <w:color w:val="auto"/>
          <w:sz w:val="28"/>
          <w:szCs w:val="28"/>
          <w:highlight w:val="none"/>
        </w:rPr>
        <w:t>.4 材料与工程设备的保管与使用</w:t>
      </w:r>
      <w:bookmarkEnd w:id="269"/>
    </w:p>
    <w:bookmarkEnd w:id="270"/>
    <w:bookmarkEnd w:id="271"/>
    <w:bookmarkEnd w:id="272"/>
    <w:p w14:paraId="08C759FE">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8.4.1 发包人供应</w:t>
      </w:r>
      <w:r>
        <w:rPr>
          <w:rFonts w:hint="eastAsia" w:ascii="宋体" w:hAnsi="宋体" w:eastAsia="宋体" w:cs="宋体"/>
          <w:color w:val="auto"/>
          <w:sz w:val="28"/>
          <w:szCs w:val="28"/>
          <w:highlight w:val="none"/>
        </w:rPr>
        <w:t>材料与</w:t>
      </w:r>
      <w:r>
        <w:rPr>
          <w:rFonts w:hint="eastAsia" w:ascii="宋体" w:hAnsi="宋体" w:eastAsia="宋体" w:cs="宋体"/>
          <w:color w:val="auto"/>
          <w:kern w:val="0"/>
          <w:sz w:val="28"/>
          <w:szCs w:val="28"/>
          <w:highlight w:val="none"/>
        </w:rPr>
        <w:t>工程</w:t>
      </w:r>
      <w:r>
        <w:rPr>
          <w:rFonts w:hint="eastAsia" w:ascii="宋体" w:hAnsi="宋体" w:eastAsia="宋体" w:cs="宋体"/>
          <w:color w:val="auto"/>
          <w:sz w:val="28"/>
          <w:szCs w:val="28"/>
          <w:highlight w:val="none"/>
        </w:rPr>
        <w:t>设备的保管与使用</w:t>
      </w:r>
    </w:p>
    <w:p w14:paraId="5290AC9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发包人未通知承包人清点的，承包人不负责材料和工程设备的保管，由此导致丢失毁损的由发包人负责。</w:t>
      </w:r>
    </w:p>
    <w:p w14:paraId="73D83F28">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发包人供应的材料和工程设备使用前，由承包人负责检验，检验费用由发包人承担，不合格的不得使用。</w:t>
      </w:r>
    </w:p>
    <w:p w14:paraId="4291EE8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8.4.2 承包人采购</w:t>
      </w:r>
      <w:r>
        <w:rPr>
          <w:rFonts w:hint="eastAsia" w:ascii="宋体" w:hAnsi="宋体" w:eastAsia="宋体" w:cs="宋体"/>
          <w:color w:val="auto"/>
          <w:sz w:val="28"/>
          <w:szCs w:val="28"/>
          <w:highlight w:val="none"/>
        </w:rPr>
        <w:t>材料与</w:t>
      </w:r>
      <w:r>
        <w:rPr>
          <w:rFonts w:hint="eastAsia" w:ascii="宋体" w:hAnsi="宋体" w:eastAsia="宋体" w:cs="宋体"/>
          <w:color w:val="auto"/>
          <w:kern w:val="0"/>
          <w:sz w:val="28"/>
          <w:szCs w:val="28"/>
          <w:highlight w:val="none"/>
        </w:rPr>
        <w:t>工程</w:t>
      </w:r>
      <w:r>
        <w:rPr>
          <w:rFonts w:hint="eastAsia" w:ascii="宋体" w:hAnsi="宋体" w:eastAsia="宋体" w:cs="宋体"/>
          <w:color w:val="auto"/>
          <w:sz w:val="28"/>
          <w:szCs w:val="28"/>
          <w:highlight w:val="none"/>
        </w:rPr>
        <w:t>设备的保管与使用</w:t>
      </w:r>
    </w:p>
    <w:p w14:paraId="235DEBB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采购的材料和工程设备由承包人妥善保管，保管费用由承包人承担。法律规定材料和工程设备使用前必须进行检验或试验的，承包人应按发包人的要求进行检验或试验，检验或试验费用由承包人承担，不合格的不得使用。</w:t>
      </w:r>
    </w:p>
    <w:p w14:paraId="2564E570">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发包人发现承包人使用不符合设计或有关标准要求的材料和工程设备时，有权要求承包人进行修复、拆除或重新采购，由此增加的费用和（或）延误的工期，由承包人承担。</w:t>
      </w:r>
      <w:bookmarkStart w:id="273" w:name="_Toc351203557"/>
    </w:p>
    <w:p w14:paraId="7EA4EE96">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8.5 禁止使用不合格的材料和工程设备</w:t>
      </w:r>
      <w:bookmarkEnd w:id="273"/>
    </w:p>
    <w:p w14:paraId="179FFE1E">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8.5.1 发包人有权拒绝承包人提供的不合格材料或工程设备，并要求承包人立即进行更换。发包人应在更换后再次进行检查和检验，由此增加的费用和（或）延误的工期由承包人承担。</w:t>
      </w:r>
    </w:p>
    <w:p w14:paraId="119981AC">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8.5.2 发包人发现承包人使用了不合格的材料和工程设备，承包人应按照发包人的指示立即改正，并禁止在工程中继续使用不合格的材料和工程设备。</w:t>
      </w:r>
    </w:p>
    <w:p w14:paraId="7CCA0C88">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8.5.3 发包人提供的材料或工程设备不符合合同要求的，承包人有权拒绝，并可要求发包人更换，由此增加的费用和（或）延误的工期由发包人承担，并支付承包人合理的利润。</w:t>
      </w:r>
      <w:bookmarkStart w:id="274" w:name="_Toc351203558"/>
    </w:p>
    <w:p w14:paraId="4237AEBF">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8.6 样品</w:t>
      </w:r>
      <w:bookmarkEnd w:id="274"/>
    </w:p>
    <w:p w14:paraId="293497BC">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8.6.1</w:t>
      </w:r>
      <w:r>
        <w:rPr>
          <w:rFonts w:hint="eastAsia" w:ascii="宋体" w:hAnsi="宋体" w:eastAsia="宋体" w:cs="宋体"/>
          <w:color w:val="auto"/>
          <w:kern w:val="0"/>
          <w:sz w:val="28"/>
          <w:szCs w:val="28"/>
          <w:highlight w:val="none"/>
        </w:rPr>
        <w:tab/>
      </w:r>
      <w:r>
        <w:rPr>
          <w:rFonts w:hint="eastAsia" w:ascii="宋体" w:hAnsi="宋体" w:eastAsia="宋体" w:cs="宋体"/>
          <w:color w:val="auto"/>
          <w:kern w:val="0"/>
          <w:sz w:val="28"/>
          <w:szCs w:val="28"/>
          <w:highlight w:val="none"/>
        </w:rPr>
        <w:t>样品的报送与封存</w:t>
      </w:r>
    </w:p>
    <w:p w14:paraId="56EDD152">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需要承包人报送样品的材料或工程设备，样品的种类、名称、规格、数量等要求均应在专用合同条款中约定。样品的报送程序如下：</w:t>
      </w:r>
    </w:p>
    <w:p w14:paraId="2E650EC7">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承包人应在计划采购前28天向发包人报送样品。承包人报送的样品均应来自供应材料的实际生产地，且提供的样品的规格、数量足以表明材料或工程设备的质量、型号、颜色、表面处理、质地、误差和其他要求的特征。</w:t>
      </w:r>
    </w:p>
    <w:p w14:paraId="7B80A8BF">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承包人每次报送样品时应随附申报单，申报单应载明报送样品的相关数据和资料，并标明每件样品对应的图纸号，预留发包人批复意见栏。发包人应在收到承包人报送的样品后7天向承包人回复经发包人签认的样品审批意见。</w:t>
      </w:r>
    </w:p>
    <w:p w14:paraId="190B6DDE">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（3）经发包人审批确认的样品应按约定的方法封样，封存的样品作为检验工程相关部分的标准之一。承包人在施工过程中不得使用与样品不符的材料或工程设备。</w:t>
      </w:r>
    </w:p>
    <w:p w14:paraId="300578B9">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发包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4D2DEC6C">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8.6.2 样品的保管</w:t>
      </w:r>
    </w:p>
    <w:p w14:paraId="687AD72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经批准的样品应由发包人负责封存于现场，承包人应在现场为保存样品提供适当和固定的场所并保持适当和良好的存储环境条件。</w:t>
      </w:r>
      <w:bookmarkStart w:id="275" w:name="_Toc351203559"/>
    </w:p>
    <w:p w14:paraId="695A72FA">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8.7 材料与工程设备的替代</w:t>
      </w:r>
      <w:bookmarkEnd w:id="275"/>
    </w:p>
    <w:p w14:paraId="314BAB2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8.7.1 出现下列情况需要使用替代材料和工程设备的，承包人应按照第8.7.2项约定的程序执行：</w:t>
      </w:r>
    </w:p>
    <w:p w14:paraId="296C79CF">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（1）基准日期后生效的法律规定禁止使用的；</w:t>
      </w:r>
    </w:p>
    <w:p w14:paraId="69EE45D0">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（2）发包人要求使用替代品的；</w:t>
      </w:r>
    </w:p>
    <w:p w14:paraId="04A89609">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（3）因其他原因必须使用替代品的。</w:t>
      </w:r>
    </w:p>
    <w:p w14:paraId="6BBBDC5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8.7.2 承包人应在使用替代材料和工程设备28天前书面通知发包人，并附下列文件：</w:t>
      </w:r>
    </w:p>
    <w:p w14:paraId="775A6518">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（1）被替代的材料和工程设备的名称、数量、规格、型号、品牌、性能、价格及其他相关资料；</w:t>
      </w:r>
    </w:p>
    <w:p w14:paraId="4F224FB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（2）替代品的名称、数量、规格、型号、品牌、性能、价格及其他相关资料；</w:t>
      </w:r>
    </w:p>
    <w:p w14:paraId="7677607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（3）替代品与被替代产品之间的差异以及使用替代品可能对工程产生的影响；</w:t>
      </w:r>
    </w:p>
    <w:p w14:paraId="0BB29510">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（4）替代品与被替代产品的价格差异；</w:t>
      </w:r>
    </w:p>
    <w:p w14:paraId="03CAD9A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（5）使用替代品的理由和原因说明；</w:t>
      </w:r>
    </w:p>
    <w:p w14:paraId="1C21742D">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（6）发包人要求的其他文件。</w:t>
      </w:r>
    </w:p>
    <w:p w14:paraId="46F9D9F1">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发包人应在收到通知后14天内向承包人发出经发包人签认的书面指示；</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逾期发出书面指示的，视为发包人同意使用替代品。</w:t>
      </w:r>
    </w:p>
    <w:p w14:paraId="5AB04B8D">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bookmarkStart w:id="276" w:name="_Toc351203560"/>
    </w:p>
    <w:p w14:paraId="11358E61">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8.8 施工设备和临时设施</w:t>
      </w:r>
      <w:bookmarkEnd w:id="276"/>
    </w:p>
    <w:p w14:paraId="4051F22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8.8.1 承包人提供的施工设备和临时设施</w:t>
      </w:r>
    </w:p>
    <w:p w14:paraId="69499CB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承包人应按合同进度计划的要求，及时配置施工设备和修建临时设施。进入施工场地的承包人设备需经</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核查后才能投入使用。承包人更换合同约定的承包人设备的，应报</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批准。</w:t>
      </w:r>
    </w:p>
    <w:p w14:paraId="11F0753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除专用合同条款另有约定外，承包人应自行承担修建临时设施的费用，需要临时占地的，应由发包人办理申请手续并承担相应费用。</w:t>
      </w:r>
    </w:p>
    <w:p w14:paraId="7DE408B7">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8.8.2发包人提供的施工设备和临时设施</w:t>
      </w:r>
    </w:p>
    <w:p w14:paraId="1A87F9E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发包人提供的施工设备或临时设施在专用合同条款中约定。</w:t>
      </w:r>
    </w:p>
    <w:p w14:paraId="7A2334D2">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8.8.3要求承包人增加或更换施工设备</w:t>
      </w:r>
    </w:p>
    <w:p w14:paraId="7168C841">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承包人使用的施工设备不能满足合同进度计划和（或）质量要求时，</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有权要求承包人增加或更换施工设备，承包人应及时增加或更换，由此增加的费用和（或）延误的工期由承包人承担。</w:t>
      </w:r>
      <w:bookmarkStart w:id="277" w:name="_Toc351203561"/>
    </w:p>
    <w:p w14:paraId="7405E0E2">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8</w:t>
      </w:r>
      <w:bookmarkStart w:id="278" w:name="_Toc296346564"/>
      <w:bookmarkStart w:id="279" w:name="_Toc337558781"/>
      <w:bookmarkStart w:id="280" w:name="_Toc296503063"/>
      <w:r>
        <w:rPr>
          <w:rFonts w:hint="eastAsia" w:ascii="宋体" w:hAnsi="宋体" w:eastAsia="宋体" w:cs="宋体"/>
          <w:b/>
          <w:color w:val="auto"/>
          <w:sz w:val="28"/>
          <w:szCs w:val="28"/>
          <w:highlight w:val="none"/>
        </w:rPr>
        <w:t>.9 材料与设备专用</w:t>
      </w:r>
      <w:bookmarkEnd w:id="277"/>
      <w:r>
        <w:rPr>
          <w:rFonts w:hint="eastAsia" w:ascii="宋体" w:hAnsi="宋体" w:eastAsia="宋体" w:cs="宋体"/>
          <w:b/>
          <w:color w:val="auto"/>
          <w:sz w:val="28"/>
          <w:szCs w:val="28"/>
          <w:highlight w:val="none"/>
        </w:rPr>
        <w:t>要求</w:t>
      </w:r>
    </w:p>
    <w:bookmarkEnd w:id="278"/>
    <w:bookmarkEnd w:id="279"/>
    <w:bookmarkEnd w:id="280"/>
    <w:p w14:paraId="4655AF2B">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59"/>
      <w:r>
        <w:rPr>
          <w:rFonts w:hint="eastAsia" w:ascii="宋体" w:hAnsi="宋体" w:eastAsia="宋体" w:cs="宋体"/>
          <w:color w:val="auto"/>
          <w:kern w:val="0"/>
          <w:sz w:val="28"/>
          <w:szCs w:val="28"/>
          <w:highlight w:val="none"/>
        </w:rPr>
        <w:t>经发包人批准，承包人可以根据施工进度计划撤走闲置的施工设备和其他物品。</w:t>
      </w:r>
      <w:bookmarkStart w:id="281" w:name="_Toc351203562"/>
    </w:p>
    <w:p w14:paraId="44F87265">
      <w:pPr>
        <w:adjustRightInd w:val="0"/>
        <w:snapToGrid w:val="0"/>
        <w:spacing w:line="500" w:lineRule="exact"/>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9</w:t>
      </w:r>
      <w:bookmarkStart w:id="282" w:name="_Toc337558782"/>
      <w:bookmarkStart w:id="283" w:name="_Toc296503083"/>
      <w:bookmarkStart w:id="284" w:name="_Toc296346584"/>
      <w:r>
        <w:rPr>
          <w:rFonts w:hint="eastAsia" w:ascii="宋体" w:hAnsi="宋体" w:eastAsia="宋体" w:cs="宋体"/>
          <w:b/>
          <w:color w:val="auto"/>
          <w:sz w:val="28"/>
          <w:szCs w:val="28"/>
          <w:highlight w:val="none"/>
        </w:rPr>
        <w:t>. 试验与检验</w:t>
      </w:r>
      <w:bookmarkEnd w:id="281"/>
      <w:bookmarkEnd w:id="282"/>
      <w:bookmarkStart w:id="285" w:name="_Toc351203563"/>
    </w:p>
    <w:p w14:paraId="2F2A2791">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9</w:t>
      </w:r>
      <w:bookmarkStart w:id="286" w:name="_Toc337558783"/>
      <w:r>
        <w:rPr>
          <w:rFonts w:hint="eastAsia" w:ascii="宋体" w:hAnsi="宋体" w:eastAsia="宋体" w:cs="宋体"/>
          <w:b/>
          <w:color w:val="auto"/>
          <w:sz w:val="28"/>
          <w:szCs w:val="28"/>
          <w:highlight w:val="none"/>
        </w:rPr>
        <w:t>.1试验设备与试验人员</w:t>
      </w:r>
      <w:bookmarkEnd w:id="285"/>
    </w:p>
    <w:bookmarkEnd w:id="286"/>
    <w:p w14:paraId="20E9C4B1">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9.1.1 承包人根据合同约定或</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指示进行的现场材料试验，应由承包人提供试验场所、试验人员、试验设备以及其他必要的试验条件。</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在必要时可以使用承包人提供的试验场所、试验设备以及其他试验条件，进行以工程质量检查为目的的材料复核试验，承包人应予以协助。</w:t>
      </w:r>
    </w:p>
    <w:p w14:paraId="53E86EEE">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9.1.2 承包人应按专用合同条款的约定提供试验设备、取样装置、试验场所和试验条件，并向</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提交相应进场计划表。</w:t>
      </w:r>
    </w:p>
    <w:p w14:paraId="0C31564E">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承包人配置的试验设备要符合相应试验规程的要求并经过具有资质的检测单位检测，且在正式使用该试验设备前，需要经过</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与承包人共同校定。</w:t>
      </w:r>
    </w:p>
    <w:p w14:paraId="47940BD3">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9.1.3 承包人应向</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提交试验人员的名单及其岗位、资格等证明资料，试验人员必须能够熟练进行相应的检测试验，承包人对试验人员的试验程序和试验结果的正确性负责。</w:t>
      </w:r>
      <w:bookmarkStart w:id="287" w:name="_Toc351203564"/>
    </w:p>
    <w:p w14:paraId="5ED4F17C">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9</w:t>
      </w:r>
      <w:bookmarkStart w:id="288" w:name="_Toc337558784"/>
      <w:r>
        <w:rPr>
          <w:rFonts w:hint="eastAsia" w:ascii="宋体" w:hAnsi="宋体" w:eastAsia="宋体" w:cs="宋体"/>
          <w:b/>
          <w:color w:val="auto"/>
          <w:sz w:val="28"/>
          <w:szCs w:val="28"/>
          <w:highlight w:val="none"/>
        </w:rPr>
        <w:t>.2取样</w:t>
      </w:r>
      <w:bookmarkEnd w:id="287"/>
    </w:p>
    <w:bookmarkEnd w:id="288"/>
    <w:p w14:paraId="0A4581C6">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试验属于自检性质的，承包人可以单独取样。试验属于</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抽检性质的，可由</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取样，也可由承包人的试验人员在</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的监督下取样。</w:t>
      </w:r>
      <w:bookmarkStart w:id="289" w:name="_Toc351203565"/>
    </w:p>
    <w:p w14:paraId="63B8C37E">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9</w:t>
      </w:r>
      <w:bookmarkStart w:id="290" w:name="_Toc337558785"/>
      <w:r>
        <w:rPr>
          <w:rFonts w:hint="eastAsia" w:ascii="宋体" w:hAnsi="宋体" w:eastAsia="宋体" w:cs="宋体"/>
          <w:b/>
          <w:color w:val="auto"/>
          <w:sz w:val="28"/>
          <w:szCs w:val="28"/>
          <w:highlight w:val="none"/>
        </w:rPr>
        <w:t>.3材料、工程设备和工程的试验和检验</w:t>
      </w:r>
      <w:bookmarkEnd w:id="289"/>
    </w:p>
    <w:bookmarkEnd w:id="290"/>
    <w:p w14:paraId="6415A221">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9.3.1承包人应按合同约定进行材料、工程设备和工程的试验和检验，并为</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对上述材料、工程设备和工程的质量检查提供必要的试验资料和原始记录。按合同约定应由</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与承包人共同进行试验和检验的，由承包人负责提供必要的试验资料和原始记录。</w:t>
      </w:r>
    </w:p>
    <w:p w14:paraId="4D28FBE5">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9.3.2试验属于自检性质的，承包人可以单独进行试验。试验属于</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抽检性质的，</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可以单独进行试验，也可由承包人与</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共同进行。承包人对由</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单独进行的试验结果有异议的，可以申请重新共同进行试验。约定共同进行试验的，</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未按照约定参加试验的，承包人可自行试验，并将试验结果报送</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应承认该试验结果。</w:t>
      </w:r>
    </w:p>
    <w:p w14:paraId="08A3B388">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9.3.3</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对承包人的试验和检验结果有异议的，或为查清承包人试验和检验成果的可靠性要求承包人重新试验和检验的，可由</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bookmarkStart w:id="291" w:name="_Toc351203566"/>
    </w:p>
    <w:p w14:paraId="4C70ABBB">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9</w:t>
      </w:r>
      <w:bookmarkStart w:id="292" w:name="_Toc337558786"/>
      <w:r>
        <w:rPr>
          <w:rFonts w:hint="eastAsia" w:ascii="宋体" w:hAnsi="宋体" w:eastAsia="宋体" w:cs="宋体"/>
          <w:b/>
          <w:color w:val="auto"/>
          <w:sz w:val="28"/>
          <w:szCs w:val="28"/>
          <w:highlight w:val="none"/>
        </w:rPr>
        <w:t>.4现场工艺试验</w:t>
      </w:r>
      <w:bookmarkEnd w:id="291"/>
    </w:p>
    <w:bookmarkEnd w:id="292"/>
    <w:p w14:paraId="77D0CDE5">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承包人应按合同约定或</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指示进行现场工艺试验。对大型的现场工艺试验，</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认为必要时，承包人应根据</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提出的工艺试验要求，编制工艺试验措施计划，报送</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审查。</w:t>
      </w:r>
      <w:bookmarkStart w:id="293" w:name="_Toc351203567"/>
    </w:p>
    <w:p w14:paraId="29DF3BF4">
      <w:pPr>
        <w:adjustRightInd w:val="0"/>
        <w:snapToGrid w:val="0"/>
        <w:spacing w:line="500" w:lineRule="exact"/>
        <w:ind w:firstLine="495" w:firstLineChars="176"/>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bookmarkStart w:id="294" w:name="_Toc337558787"/>
      <w:r>
        <w:rPr>
          <w:rFonts w:hint="eastAsia" w:ascii="宋体" w:hAnsi="宋体" w:eastAsia="宋体" w:cs="宋体"/>
          <w:b/>
          <w:color w:val="auto"/>
          <w:sz w:val="28"/>
          <w:szCs w:val="28"/>
          <w:highlight w:val="none"/>
        </w:rPr>
        <w:t>0. 变更</w:t>
      </w:r>
      <w:bookmarkEnd w:id="283"/>
      <w:bookmarkEnd w:id="284"/>
      <w:bookmarkEnd w:id="293"/>
      <w:bookmarkEnd w:id="294"/>
      <w:bookmarkStart w:id="295" w:name="_Toc351203568"/>
    </w:p>
    <w:p w14:paraId="5299F1F7">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w:t>
      </w:r>
      <w:bookmarkStart w:id="296" w:name="_Toc296503084"/>
      <w:bookmarkStart w:id="297" w:name="_Toc296346585"/>
      <w:bookmarkStart w:id="298" w:name="_Toc337558788"/>
      <w:r>
        <w:rPr>
          <w:rFonts w:hint="eastAsia" w:ascii="宋体" w:hAnsi="宋体" w:eastAsia="宋体" w:cs="宋体"/>
          <w:b/>
          <w:color w:val="auto"/>
          <w:sz w:val="28"/>
          <w:szCs w:val="28"/>
          <w:highlight w:val="none"/>
        </w:rPr>
        <w:t>0.1变更的范围</w:t>
      </w:r>
      <w:bookmarkEnd w:id="295"/>
    </w:p>
    <w:bookmarkEnd w:id="296"/>
    <w:bookmarkEnd w:id="297"/>
    <w:bookmarkEnd w:id="298"/>
    <w:p w14:paraId="5BA0C2E8">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除专用合同条款另有约定外，合同履行过程中发生以下情形的，应按照本条约定进行变更：</w:t>
      </w:r>
    </w:p>
    <w:p w14:paraId="6F88621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（1）增加或减少合同中任何工作，或追加额外的工作；</w:t>
      </w:r>
    </w:p>
    <w:p w14:paraId="6F7E85A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（2）取消合同中任何工作，但转由他人实施的工作除外；</w:t>
      </w:r>
    </w:p>
    <w:p w14:paraId="6F50F8D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（3）改变合同中任何工作的质量标准或其他特性；</w:t>
      </w:r>
    </w:p>
    <w:p w14:paraId="046F53ED">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（4）改变工程的基线、标高、位置和尺寸；</w:t>
      </w:r>
    </w:p>
    <w:p w14:paraId="0910829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（5）改变工程的时间安排或实施顺序。</w:t>
      </w:r>
      <w:bookmarkStart w:id="299" w:name="_Toc351203569"/>
    </w:p>
    <w:p w14:paraId="12F694D6">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w:t>
      </w:r>
      <w:bookmarkStart w:id="300" w:name="_Toc296346586"/>
      <w:bookmarkStart w:id="301" w:name="_Toc296503085"/>
      <w:bookmarkStart w:id="302" w:name="_Toc337558789"/>
      <w:r>
        <w:rPr>
          <w:rFonts w:hint="eastAsia" w:ascii="宋体" w:hAnsi="宋体" w:eastAsia="宋体" w:cs="宋体"/>
          <w:b/>
          <w:color w:val="auto"/>
          <w:sz w:val="28"/>
          <w:szCs w:val="28"/>
          <w:highlight w:val="none"/>
        </w:rPr>
        <w:t>0.2 变更权</w:t>
      </w:r>
      <w:bookmarkEnd w:id="299"/>
    </w:p>
    <w:bookmarkEnd w:id="300"/>
    <w:bookmarkEnd w:id="301"/>
    <w:bookmarkEnd w:id="302"/>
    <w:p w14:paraId="5AD478BF">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发包人可以提出变更。变更指示均通过</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发出，</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发出变更指示前应征得发包人同意。承包人收到经发包人签认的变更指示后，方可实施变更。未经许可，承包人不得擅自对工程的任何部分进行变更。</w:t>
      </w:r>
    </w:p>
    <w:p w14:paraId="467158E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涉及设计变更的，应由设计人提供变更后的图纸和说明。如变更超过原设计标准或批准的建设规模时，发包人应及时办理规划、设计变更等审批手续。</w:t>
      </w:r>
      <w:bookmarkStart w:id="303" w:name="_Toc351203570"/>
    </w:p>
    <w:p w14:paraId="4C2AC8C5">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w:t>
      </w:r>
      <w:bookmarkStart w:id="304" w:name="_Toc296346587"/>
      <w:bookmarkStart w:id="305" w:name="_Toc337558790"/>
      <w:bookmarkStart w:id="306" w:name="_Toc296503086"/>
      <w:r>
        <w:rPr>
          <w:rFonts w:hint="eastAsia" w:ascii="宋体" w:hAnsi="宋体" w:eastAsia="宋体" w:cs="宋体"/>
          <w:b/>
          <w:color w:val="auto"/>
          <w:sz w:val="28"/>
          <w:szCs w:val="28"/>
          <w:highlight w:val="none"/>
        </w:rPr>
        <w:t>0.3 变更程序</w:t>
      </w:r>
      <w:bookmarkEnd w:id="303"/>
    </w:p>
    <w:bookmarkEnd w:id="304"/>
    <w:bookmarkEnd w:id="305"/>
    <w:bookmarkEnd w:id="306"/>
    <w:p w14:paraId="3CD3F7E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color w:val="auto"/>
          <w:kern w:val="0"/>
          <w:sz w:val="28"/>
          <w:szCs w:val="28"/>
          <w:highlight w:val="none"/>
        </w:rPr>
        <w:t>.3.1 发包人提出变更</w:t>
      </w:r>
    </w:p>
    <w:p w14:paraId="61863761">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发包人提出变更的，向承包人发出变更指示，变更指示应说明计划变更的工程范围和变更的内容。</w:t>
      </w:r>
    </w:p>
    <w:p w14:paraId="7A9034B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color w:val="auto"/>
          <w:kern w:val="0"/>
          <w:sz w:val="28"/>
          <w:szCs w:val="28"/>
          <w:highlight w:val="none"/>
        </w:rPr>
        <w:t xml:space="preserve">.3.2 </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提出变更建议</w:t>
      </w:r>
    </w:p>
    <w:p w14:paraId="3BB8D03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提出变更建议的，需要向发包人以书面形式提出变更计划，说明计划变更工程范围和变更的内容、理由，以及实施该变更对合同价格和工期的影响。发包人同意变更的，由</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向承包人发出变更指示。</w:t>
      </w:r>
    </w:p>
    <w:p w14:paraId="10F3C14C">
      <w:pPr>
        <w:autoSpaceDE w:val="0"/>
        <w:autoSpaceDN w:val="0"/>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10.3.3 变更执行</w:t>
      </w:r>
    </w:p>
    <w:p w14:paraId="79D9852E">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承包人收到</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bookmarkStart w:id="307" w:name="_Toc351203571"/>
    </w:p>
    <w:p w14:paraId="18985911">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w:t>
      </w:r>
      <w:bookmarkStart w:id="308" w:name="_Toc296503087"/>
      <w:bookmarkStart w:id="309" w:name="_Toc337558791"/>
      <w:bookmarkStart w:id="310" w:name="_Toc296346588"/>
      <w:r>
        <w:rPr>
          <w:rFonts w:hint="eastAsia" w:ascii="宋体" w:hAnsi="宋体" w:eastAsia="宋体" w:cs="宋体"/>
          <w:b/>
          <w:color w:val="auto"/>
          <w:sz w:val="28"/>
          <w:szCs w:val="28"/>
          <w:highlight w:val="none"/>
        </w:rPr>
        <w:t>0.4 变更估价</w:t>
      </w:r>
      <w:bookmarkEnd w:id="307"/>
    </w:p>
    <w:bookmarkEnd w:id="308"/>
    <w:bookmarkEnd w:id="309"/>
    <w:bookmarkEnd w:id="310"/>
    <w:p w14:paraId="485B58A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10.4.1 变更估价原则</w:t>
      </w:r>
    </w:p>
    <w:p w14:paraId="08930B5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除专用合同条款另有约定外，变更估价按照本款约定处理：</w:t>
      </w:r>
    </w:p>
    <w:p w14:paraId="140BCCD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（1）已标价工程量清单或预算书有相同项目的，按照相同项目单价认定；</w:t>
      </w:r>
    </w:p>
    <w:p w14:paraId="2512C5E9">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（2）已标价工程量清单或预算书中无相同项目，但有类似项目的，参照类似项目的单价认定；</w:t>
      </w:r>
    </w:p>
    <w:p w14:paraId="6B39B5ED">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4DFDBDF0">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10.4.2 变更估价程序</w:t>
      </w:r>
    </w:p>
    <w:p w14:paraId="180FEE89">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承包人应在收到变更指示后14天内，向</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提交变更估价申请。发包人应在承包人提交变更估价申请后14天内审批完毕。发包人逾期未完成审批或未提出异议的，视为认可承包人提交的变更估价申请。</w:t>
      </w:r>
    </w:p>
    <w:p w14:paraId="6367A1E0">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因变更引起的价格调整应计入最近一期的进度款中支付。</w:t>
      </w:r>
      <w:bookmarkStart w:id="311" w:name="_Toc351203572"/>
    </w:p>
    <w:p w14:paraId="07063E4A">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w:t>
      </w:r>
      <w:bookmarkStart w:id="312" w:name="_Toc337558792"/>
      <w:bookmarkStart w:id="313" w:name="_Toc296503094"/>
      <w:bookmarkStart w:id="314" w:name="_Toc296346595"/>
      <w:r>
        <w:rPr>
          <w:rFonts w:hint="eastAsia" w:ascii="宋体" w:hAnsi="宋体" w:eastAsia="宋体" w:cs="宋体"/>
          <w:b/>
          <w:color w:val="auto"/>
          <w:sz w:val="28"/>
          <w:szCs w:val="28"/>
          <w:highlight w:val="none"/>
        </w:rPr>
        <w:t>0.5 承包人的合理化建议</w:t>
      </w:r>
      <w:bookmarkEnd w:id="311"/>
    </w:p>
    <w:bookmarkEnd w:id="312"/>
    <w:bookmarkEnd w:id="313"/>
    <w:bookmarkEnd w:id="314"/>
    <w:p w14:paraId="6B4529A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承包人提出合理化建议的，应向</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提交合理化建议说明，说明建议的内容和理由，以及实施该建议对合同价格和工期的影响。</w:t>
      </w:r>
    </w:p>
    <w:p w14:paraId="55459281">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应在收到承包人提交的合理化建议后7天内审查完毕并报送发包人，发现其中存在技术上的缺陷，应通知承包人修改。发包人应在收到</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报送的合理化建议后7天内审批完毕。合理化建议经发包人批准的，</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应及时发出变更指示，由此引起的合同价格调整按照第10.4款〔变更估价〕约定执行。发包人不同意变更的，</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应书面通知承包人。</w:t>
      </w:r>
    </w:p>
    <w:p w14:paraId="117F50A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合理化建议降低了合同价格或者提高了工程经济效益的，发包人可对承包人给予奖励，奖励的方法和金额在专用合同条款中约定。</w:t>
      </w:r>
      <w:bookmarkStart w:id="315" w:name="_Toc351203573"/>
    </w:p>
    <w:p w14:paraId="1A681E40">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w:t>
      </w:r>
      <w:bookmarkStart w:id="316" w:name="_Toc337558793"/>
      <w:r>
        <w:rPr>
          <w:rFonts w:hint="eastAsia" w:ascii="宋体" w:hAnsi="宋体" w:eastAsia="宋体" w:cs="宋体"/>
          <w:b/>
          <w:color w:val="auto"/>
          <w:sz w:val="28"/>
          <w:szCs w:val="28"/>
          <w:highlight w:val="none"/>
        </w:rPr>
        <w:t>0.6 变更引起的工期调整</w:t>
      </w:r>
      <w:bookmarkEnd w:id="315"/>
      <w:r>
        <w:rPr>
          <w:rFonts w:hint="eastAsia" w:ascii="宋体" w:hAnsi="宋体" w:eastAsia="宋体" w:cs="宋体"/>
          <w:b/>
          <w:color w:val="auto"/>
          <w:sz w:val="28"/>
          <w:szCs w:val="28"/>
          <w:highlight w:val="none"/>
        </w:rPr>
        <w:t xml:space="preserve"> </w:t>
      </w:r>
      <w:bookmarkEnd w:id="316"/>
      <w:r>
        <w:rPr>
          <w:rFonts w:hint="eastAsia" w:ascii="宋体" w:hAnsi="宋体" w:eastAsia="宋体" w:cs="宋体"/>
          <w:b/>
          <w:color w:val="auto"/>
          <w:sz w:val="28"/>
          <w:szCs w:val="28"/>
          <w:highlight w:val="none"/>
        </w:rPr>
        <w:t xml:space="preserve">  </w:t>
      </w:r>
    </w:p>
    <w:p w14:paraId="03CCB60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因变更引起工期变化的，合同当事人均可要求调整合同工期，由合同当事人按照第4.4款〔商定或确定〕并参考工程所在地的工期定额标准确定增减工期天数。</w:t>
      </w:r>
      <w:bookmarkStart w:id="317" w:name="_Toc351203574"/>
    </w:p>
    <w:p w14:paraId="53081D69">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10.7 暂估价</w:t>
      </w:r>
      <w:bookmarkEnd w:id="317"/>
    </w:p>
    <w:p w14:paraId="1F946CB2">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暂估价专业分包工程、服务、材料和工程设备的明细由合同当事人在专用合同条款中约定。</w:t>
      </w:r>
    </w:p>
    <w:p w14:paraId="529896B3">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10.7.1</w:t>
      </w:r>
      <w:r>
        <w:rPr>
          <w:rFonts w:hint="eastAsia" w:ascii="宋体" w:hAnsi="宋体" w:eastAsia="宋体" w:cs="宋体"/>
          <w:color w:val="auto"/>
          <w:kern w:val="0"/>
          <w:sz w:val="28"/>
          <w:szCs w:val="28"/>
          <w:highlight w:val="none"/>
        </w:rPr>
        <w:t xml:space="preserve"> 依法必须招标的暂估价项目</w:t>
      </w:r>
    </w:p>
    <w:p w14:paraId="135DD54A">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对于依法必须招标的暂估价项目，采取以下第1种方式确定。合同当事人也可以在专用合同条款中选择其他招标方式。</w:t>
      </w:r>
    </w:p>
    <w:p w14:paraId="4DE6712A">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第1种方式：对于依法必须招标的暂估价项目，由承包人招标，对该暂估价项目的确认和批准按照以下约定执行：</w:t>
      </w:r>
    </w:p>
    <w:p w14:paraId="5A52E389">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承包人应当根据施工进度计划，在招标工作启动前14天将招标方案报送发包人审查，发包人应当在收到承包人报送的招标方案后7天内批准或提出修改意见。承包人应当按照经过发包人批准的招标方案开展招标工作；</w:t>
      </w:r>
    </w:p>
    <w:p w14:paraId="4A7CDE1C">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（2）承包人应当根据施工进度计划，提前14天将招标文件报送发包人审批，发包人应当在收到承包人报送的相关文件后7天内完成审批或提出修改意见；发包人有权确定招标控制价并按照法律规定参加评标；</w:t>
      </w:r>
    </w:p>
    <w:p w14:paraId="626A036A">
      <w:pPr>
        <w:adjustRightInd w:val="0"/>
        <w:snapToGrid w:val="0"/>
        <w:spacing w:line="50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7A57A1B9">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6FFFF71E">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10.7.2</w:t>
      </w:r>
      <w:r>
        <w:rPr>
          <w:rFonts w:hint="eastAsia" w:ascii="宋体" w:hAnsi="宋体" w:eastAsia="宋体" w:cs="宋体"/>
          <w:color w:val="auto"/>
          <w:kern w:val="0"/>
          <w:sz w:val="28"/>
          <w:szCs w:val="28"/>
          <w:highlight w:val="none"/>
        </w:rPr>
        <w:t>不属于依法必须招标的暂估价项目</w:t>
      </w:r>
    </w:p>
    <w:p w14:paraId="14084537">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除专用合同条款另有约定外，对于不属于依法必须招标的暂估价项目，采取以下第1种方式确定： </w:t>
      </w:r>
    </w:p>
    <w:p w14:paraId="6683B859">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第1种方式：对于不属于依法必须招标的暂估价项目，按本项约定确认和批准：</w:t>
      </w:r>
    </w:p>
    <w:p w14:paraId="6AC9D6EE">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（1）承包人应根据施工进度计划，在签订暂估价项目的采购合同、分包合同前28天向</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提出书面申请。发包人应当在收到申请后14天内给予批准或提出修改意见，发包人逾期未予批准或提出修改意见的，视为该书面申请已获得同意；</w:t>
      </w:r>
    </w:p>
    <w:p w14:paraId="338D5BA2">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（2）发包人认为承包人确定的供应商、分包人无法满足工程质量或合同要求的，发包人可以要求承包人重新确定暂估价项目的供应商、分包人;</w:t>
      </w:r>
    </w:p>
    <w:p w14:paraId="29D64F63">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（3）承包人应当在签订暂估价合同后7天内，将暂估价合同副本报送发包人留存。</w:t>
      </w:r>
    </w:p>
    <w:p w14:paraId="5E8B206D">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第2种方式：承包人按照第10.7.1项〔依法必须招标的暂估价项目〕约定的第1种方式确定暂估价项目。</w:t>
      </w:r>
    </w:p>
    <w:p w14:paraId="4A8EB723">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第3种方式：</w:t>
      </w:r>
      <w:r>
        <w:rPr>
          <w:rFonts w:hint="eastAsia" w:ascii="宋体" w:hAnsi="宋体" w:eastAsia="宋体" w:cs="宋体"/>
          <w:color w:val="auto"/>
          <w:kern w:val="0"/>
          <w:sz w:val="28"/>
          <w:szCs w:val="28"/>
          <w:highlight w:val="none"/>
        </w:rPr>
        <w:t>承包人直接实施的暂估价项目</w:t>
      </w:r>
    </w:p>
    <w:p w14:paraId="39752F3D">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承包人具备实施暂估价项目的资格和条件的，经发包人和承包人协商一致后，可由承包人自行实施暂估价项目，合同当事人可以在专用合同条款约定具体事项。</w:t>
      </w:r>
    </w:p>
    <w:p w14:paraId="7F02B000">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bookmarkStart w:id="318" w:name="_Toc351203575"/>
    </w:p>
    <w:p w14:paraId="36035620">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w:t>
      </w:r>
      <w:bookmarkStart w:id="319" w:name="_Toc337558794"/>
      <w:bookmarkStart w:id="320" w:name="_Toc296503090"/>
      <w:bookmarkStart w:id="321" w:name="_Toc322522561"/>
      <w:bookmarkStart w:id="322" w:name="_Toc296346591"/>
      <w:r>
        <w:rPr>
          <w:rFonts w:hint="eastAsia" w:ascii="宋体" w:hAnsi="宋体" w:eastAsia="宋体" w:cs="宋体"/>
          <w:b/>
          <w:color w:val="auto"/>
          <w:sz w:val="28"/>
          <w:szCs w:val="28"/>
          <w:highlight w:val="none"/>
        </w:rPr>
        <w:t>0.8 暂列金额</w:t>
      </w:r>
      <w:bookmarkEnd w:id="318"/>
    </w:p>
    <w:bookmarkEnd w:id="319"/>
    <w:p w14:paraId="2209C98E">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暂列金额应按照发包人的要求使用，合同当事人可以在专用合同条款中协商确定有关事项。</w:t>
      </w:r>
      <w:bookmarkEnd w:id="320"/>
      <w:bookmarkEnd w:id="321"/>
      <w:bookmarkEnd w:id="322"/>
      <w:bookmarkStart w:id="323" w:name="_Toc351203576"/>
    </w:p>
    <w:p w14:paraId="337D36F5">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w:t>
      </w:r>
      <w:bookmarkStart w:id="324" w:name="_Toc296503091"/>
      <w:bookmarkStart w:id="325" w:name="_Toc337558796"/>
      <w:bookmarkStart w:id="326" w:name="_Toc296346592"/>
      <w:r>
        <w:rPr>
          <w:rFonts w:hint="eastAsia" w:ascii="宋体" w:hAnsi="宋体" w:eastAsia="宋体" w:cs="宋体"/>
          <w:b/>
          <w:color w:val="auto"/>
          <w:sz w:val="28"/>
          <w:szCs w:val="28"/>
          <w:highlight w:val="none"/>
        </w:rPr>
        <w:t>0.9 计日工</w:t>
      </w:r>
      <w:bookmarkEnd w:id="323"/>
      <w:r>
        <w:rPr>
          <w:rFonts w:hint="eastAsia" w:ascii="宋体" w:hAnsi="宋体" w:eastAsia="宋体" w:cs="宋体"/>
          <w:b/>
          <w:color w:val="auto"/>
          <w:sz w:val="28"/>
          <w:szCs w:val="28"/>
          <w:highlight w:val="none"/>
        </w:rPr>
        <w:t xml:space="preserve"> </w:t>
      </w:r>
      <w:bookmarkEnd w:id="324"/>
      <w:bookmarkEnd w:id="325"/>
      <w:bookmarkEnd w:id="326"/>
    </w:p>
    <w:p w14:paraId="0E17ACF8">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需要采用计日工方式的，经发包人同意后，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7085947A">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采用计日工计价的任何一项工作，承包人应在该项工作实施过程中，每天提交以下报表和有关凭证报送</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审查：</w:t>
      </w:r>
    </w:p>
    <w:p w14:paraId="77CA87EF">
      <w:pPr>
        <w:adjustRightInd w:val="0"/>
        <w:snapToGrid w:val="0"/>
        <w:spacing w:line="500" w:lineRule="exact"/>
        <w:ind w:firstLine="420" w:firstLineChars="15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（1）工作名称、内容和数量；</w:t>
      </w:r>
    </w:p>
    <w:p w14:paraId="3962A2E9">
      <w:pPr>
        <w:adjustRightInd w:val="0"/>
        <w:snapToGrid w:val="0"/>
        <w:spacing w:line="500" w:lineRule="exact"/>
        <w:ind w:firstLine="420" w:firstLineChars="15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（2）投入该工作的所有人员的姓名、专业、工种、级别和耗用工时；</w:t>
      </w:r>
    </w:p>
    <w:p w14:paraId="2305DE5E">
      <w:pPr>
        <w:adjustRightInd w:val="0"/>
        <w:snapToGrid w:val="0"/>
        <w:spacing w:line="500" w:lineRule="exact"/>
        <w:ind w:firstLine="420" w:firstLineChars="15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（3）投入该工作的材料类别和数量；</w:t>
      </w:r>
    </w:p>
    <w:p w14:paraId="0A60DC5F">
      <w:pPr>
        <w:adjustRightInd w:val="0"/>
        <w:snapToGrid w:val="0"/>
        <w:spacing w:line="500" w:lineRule="exact"/>
        <w:ind w:firstLine="420" w:firstLineChars="15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（4）投入该工作的施工设备型号、台数和耗用台时；</w:t>
      </w:r>
    </w:p>
    <w:p w14:paraId="0DF911DC">
      <w:pPr>
        <w:adjustRightInd w:val="0"/>
        <w:snapToGrid w:val="0"/>
        <w:spacing w:line="500" w:lineRule="exact"/>
        <w:ind w:firstLine="420" w:firstLineChars="15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（5）其他有关资料和凭证。</w:t>
      </w:r>
    </w:p>
    <w:p w14:paraId="5912995A">
      <w:pPr>
        <w:adjustRightInd w:val="0"/>
        <w:snapToGrid w:val="0"/>
        <w:spacing w:line="500" w:lineRule="exact"/>
        <w:ind w:firstLine="420" w:firstLineChars="15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计日工由承包人汇总后，列入最近一期进度付款申请单，经发包人批准后列入进度付款。</w:t>
      </w:r>
      <w:bookmarkStart w:id="327" w:name="_Toc351203577"/>
    </w:p>
    <w:p w14:paraId="26F2802E">
      <w:pPr>
        <w:adjustRightInd w:val="0"/>
        <w:snapToGrid w:val="0"/>
        <w:spacing w:line="500" w:lineRule="exact"/>
        <w:ind w:firstLine="498" w:firstLineChars="177"/>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11. 价格调整</w:t>
      </w:r>
      <w:bookmarkEnd w:id="327"/>
      <w:bookmarkStart w:id="328" w:name="_Toc351203578"/>
      <w:bookmarkStart w:id="329" w:name="_Toc296503092"/>
      <w:bookmarkStart w:id="330" w:name="_Toc296346593"/>
      <w:bookmarkStart w:id="331" w:name="_Toc337558797"/>
    </w:p>
    <w:p w14:paraId="3ED3BDDA">
      <w:pPr>
        <w:adjustRightInd w:val="0"/>
        <w:snapToGrid w:val="0"/>
        <w:spacing w:line="500" w:lineRule="exact"/>
        <w:ind w:firstLine="531" w:firstLineChars="189"/>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11.1市场价格波动引起的调整</w:t>
      </w:r>
      <w:bookmarkEnd w:id="328"/>
    </w:p>
    <w:bookmarkEnd w:id="329"/>
    <w:bookmarkEnd w:id="330"/>
    <w:bookmarkEnd w:id="331"/>
    <w:p w14:paraId="582D4ABB">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除专用合同条款另有约定外，市场价格波动超过合同当事人约定的范围，合同价格应当调整。合同当事人可以在专用合同条款中约定选择以下一种方式对合同价格进行调整：</w:t>
      </w:r>
    </w:p>
    <w:p w14:paraId="5486BE8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第1种方式：采用价格指数进行价格调整。</w:t>
      </w:r>
    </w:p>
    <w:p w14:paraId="373CFA06">
      <w:pPr>
        <w:tabs>
          <w:tab w:val="left" w:pos="0"/>
          <w:tab w:val="left" w:pos="360"/>
          <w:tab w:val="left" w:pos="540"/>
        </w:tabs>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（1）价格调整公式</w:t>
      </w:r>
    </w:p>
    <w:p w14:paraId="48DA82FD">
      <w:pPr>
        <w:tabs>
          <w:tab w:val="left" w:pos="0"/>
          <w:tab w:val="left" w:pos="360"/>
          <w:tab w:val="left" w:pos="540"/>
        </w:tabs>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因人工、材料和设备等价格波动影响合同价格时，根据专用合同条款中约定的数据，按以下公式计算差额并调整合同价格：</w:t>
      </w:r>
    </w:p>
    <w:p w14:paraId="72E20735">
      <w:pPr>
        <w:tabs>
          <w:tab w:val="left" w:pos="0"/>
          <w:tab w:val="left" w:pos="360"/>
          <w:tab w:val="left" w:pos="540"/>
        </w:tabs>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position w:val="-30"/>
          <w:sz w:val="28"/>
          <w:szCs w:val="28"/>
          <w:highlight w:val="none"/>
        </w:rPr>
        <w:object>
          <v:shape id="_x0000_i1025" o:spt="75" type="#_x0000_t75" style="height:43.8pt;width:360pt;" o:ole="t" filled="f" o:preferrelative="t" stroked="f" coordsize="21600,21600">
            <v:path/>
            <v:fill on="f" focussize="0,0"/>
            <v:stroke on="f" joinstyle="miter"/>
            <v:imagedata r:id="rId30" o:title=""/>
            <o:lock v:ext="edit" aspectratio="t"/>
            <w10:wrap type="none"/>
            <w10:anchorlock/>
          </v:shape>
          <o:OLEObject Type="Embed" ProgID="Equations" ShapeID="_x0000_i1025" DrawAspect="Content" ObjectID="_1468075725" r:id="rId29">
            <o:LockedField>false</o:LockedField>
          </o:OLEObject>
        </w:object>
      </w:r>
    </w:p>
    <w:p w14:paraId="5B89B901">
      <w:pPr>
        <w:tabs>
          <w:tab w:val="left" w:pos="0"/>
          <w:tab w:val="left" w:pos="360"/>
          <w:tab w:val="left" w:pos="540"/>
        </w:tabs>
        <w:adjustRightInd w:val="0"/>
        <w:snapToGrid w:val="0"/>
        <w:spacing w:line="500" w:lineRule="exact"/>
        <w:ind w:firstLine="6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公式中：ΔP——需调整的价格差额；</w:t>
      </w:r>
    </w:p>
    <w:p w14:paraId="44CE4EC6">
      <w:pPr>
        <w:tabs>
          <w:tab w:val="left" w:pos="0"/>
          <w:tab w:val="left" w:pos="360"/>
          <w:tab w:val="left" w:pos="540"/>
        </w:tabs>
        <w:adjustRightInd w:val="0"/>
        <w:snapToGrid w:val="0"/>
        <w:spacing w:line="500" w:lineRule="exact"/>
        <w:ind w:firstLine="1680" w:firstLineChars="600"/>
        <w:rPr>
          <w:rFonts w:hint="eastAsia" w:ascii="宋体" w:hAnsi="宋体" w:eastAsia="宋体" w:cs="宋体"/>
          <w:color w:val="auto"/>
          <w:sz w:val="28"/>
          <w:szCs w:val="28"/>
          <w:highlight w:val="none"/>
        </w:rPr>
      </w:pPr>
      <w:r>
        <w:rPr>
          <w:rFonts w:hint="eastAsia" w:ascii="宋体" w:hAnsi="宋体" w:eastAsia="宋体" w:cs="宋体"/>
          <w:color w:val="auto"/>
          <w:position w:val="-6"/>
          <w:sz w:val="28"/>
          <w:szCs w:val="28"/>
          <w:highlight w:val="none"/>
        </w:rPr>
        <w:object>
          <v:shape id="_x0000_i1026" o:spt="75" type="#_x0000_t75" style="height:18pt;width:18pt;" o:ole="t" filled="f" o:preferrelative="t" stroked="f" coordsize="21600,21600">
            <v:path/>
            <v:fill on="f" focussize="0,0"/>
            <v:stroke on="f" joinstyle="miter"/>
            <v:imagedata r:id="rId32" o:title=""/>
            <o:lock v:ext="edit" aspectratio="t"/>
            <w10:wrap type="none"/>
            <w10:anchorlock/>
          </v:shape>
          <o:OLEObject Type="Embed" ProgID="Equations" ShapeID="_x0000_i1026" DrawAspect="Content" ObjectID="_1468075726" r:id="rId31">
            <o:LockedField>false</o:LockedField>
          </o:OLEObject>
        </w:object>
      </w:r>
      <w:r>
        <w:rPr>
          <w:rFonts w:hint="eastAsia" w:ascii="宋体" w:hAnsi="宋体" w:eastAsia="宋体" w:cs="宋体"/>
          <w:color w:val="auto"/>
          <w:sz w:val="28"/>
          <w:szCs w:val="28"/>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0466E199">
      <w:pPr>
        <w:tabs>
          <w:tab w:val="left" w:pos="0"/>
          <w:tab w:val="left" w:pos="360"/>
          <w:tab w:val="left" w:pos="540"/>
        </w:tabs>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A——定值权重（即不调部分的权重）；</w:t>
      </w:r>
    </w:p>
    <w:p w14:paraId="28A0657F">
      <w:pPr>
        <w:tabs>
          <w:tab w:val="left" w:pos="0"/>
          <w:tab w:val="left" w:pos="360"/>
          <w:tab w:val="left" w:pos="540"/>
        </w:tabs>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position w:val="-10"/>
          <w:sz w:val="28"/>
          <w:szCs w:val="28"/>
          <w:highlight w:val="none"/>
        </w:rPr>
        <w:object>
          <v:shape id="_x0000_i1027" o:spt="75" type="#_x0000_t75" style="height:21pt;width:100.8pt;" o:ole="t" filled="f" o:preferrelative="t" stroked="f" coordsize="21600,21600">
            <v:path/>
            <v:fill on="f" focussize="0,0"/>
            <v:stroke on="f" joinstyle="miter"/>
            <v:imagedata r:id="rId34" o:title=""/>
            <o:lock v:ext="edit" aspectratio="t"/>
            <w10:wrap type="none"/>
            <w10:anchorlock/>
          </v:shape>
          <o:OLEObject Type="Embed" ProgID="Equations" ShapeID="_x0000_i1027" DrawAspect="Content" ObjectID="_1468075727" r:id="rId33">
            <o:LockedField>false</o:LockedField>
          </o:OLEObject>
        </w:object>
      </w:r>
      <w:r>
        <w:rPr>
          <w:rFonts w:hint="eastAsia" w:ascii="宋体" w:hAnsi="宋体" w:eastAsia="宋体" w:cs="宋体"/>
          <w:color w:val="auto"/>
          <w:sz w:val="28"/>
          <w:szCs w:val="28"/>
          <w:highlight w:val="none"/>
        </w:rPr>
        <w:t>——各可调因子的变值权重（即可调部分的权重），为各可调因子在签约合同价中所占的比例；</w:t>
      </w:r>
    </w:p>
    <w:p w14:paraId="4830BBCC">
      <w:pPr>
        <w:tabs>
          <w:tab w:val="left" w:pos="0"/>
          <w:tab w:val="left" w:pos="360"/>
          <w:tab w:val="left" w:pos="540"/>
        </w:tabs>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position w:val="-10"/>
          <w:sz w:val="28"/>
          <w:szCs w:val="28"/>
          <w:highlight w:val="none"/>
        </w:rPr>
        <w:object>
          <v:shape id="_x0000_i1028" o:spt="75" type="#_x0000_t75" style="height:20.4pt;width:102pt;" o:ole="t" filled="f" o:preferrelative="t" stroked="f" coordsize="21600,21600">
            <v:path/>
            <v:fill on="f" focussize="0,0"/>
            <v:stroke on="f" joinstyle="miter"/>
            <v:imagedata r:id="rId36" o:title=""/>
            <o:lock v:ext="edit" aspectratio="t"/>
            <w10:wrap type="none"/>
            <w10:anchorlock/>
          </v:shape>
          <o:OLEObject Type="Embed" ProgID="Equations" ShapeID="_x0000_i1028" DrawAspect="Content" ObjectID="_1468075728" r:id="rId35">
            <o:LockedField>false</o:LockedField>
          </o:OLEObject>
        </w:object>
      </w:r>
      <w:r>
        <w:rPr>
          <w:rFonts w:hint="eastAsia" w:ascii="宋体" w:hAnsi="宋体" w:eastAsia="宋体" w:cs="宋体"/>
          <w:color w:val="auto"/>
          <w:sz w:val="28"/>
          <w:szCs w:val="28"/>
          <w:highlight w:val="none"/>
        </w:rPr>
        <w:t>——各可调因子的现行价格指数，指约定的付款证书相关周期最后一天的前42天的各可调因子的价格指数；</w:t>
      </w:r>
    </w:p>
    <w:p w14:paraId="434A94C5">
      <w:pPr>
        <w:tabs>
          <w:tab w:val="left" w:pos="0"/>
          <w:tab w:val="left" w:pos="360"/>
          <w:tab w:val="left" w:pos="540"/>
        </w:tabs>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position w:val="-10"/>
          <w:sz w:val="28"/>
          <w:szCs w:val="28"/>
          <w:highlight w:val="none"/>
        </w:rPr>
        <w:object>
          <v:shape id="_x0000_i1029" o:spt="75" type="#_x0000_t75" style="height:19.8pt;width:108pt;" o:ole="t" filled="f" o:preferrelative="t" stroked="f" coordsize="21600,21600">
            <v:path/>
            <v:fill on="f" focussize="0,0"/>
            <v:stroke on="f" joinstyle="miter"/>
            <v:imagedata r:id="rId38" o:title=""/>
            <o:lock v:ext="edit" aspectratio="t"/>
            <w10:wrap type="none"/>
            <w10:anchorlock/>
          </v:shape>
          <o:OLEObject Type="Embed" ProgID="Equations" ShapeID="_x0000_i1029" DrawAspect="Content" ObjectID="_1468075729" r:id="rId37">
            <o:LockedField>false</o:LockedField>
          </o:OLEObject>
        </w:object>
      </w:r>
      <w:r>
        <w:rPr>
          <w:rFonts w:hint="eastAsia" w:ascii="宋体" w:hAnsi="宋体" w:eastAsia="宋体" w:cs="宋体"/>
          <w:color w:val="auto"/>
          <w:sz w:val="28"/>
          <w:szCs w:val="28"/>
          <w:highlight w:val="none"/>
        </w:rPr>
        <w:t>——各可调因子的基本价格指数，指基准日期的各可调因子的价格指数。</w:t>
      </w:r>
    </w:p>
    <w:p w14:paraId="57BD7A3F">
      <w:pPr>
        <w:tabs>
          <w:tab w:val="left" w:pos="0"/>
          <w:tab w:val="left" w:pos="360"/>
          <w:tab w:val="left" w:pos="540"/>
        </w:tabs>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76350468">
      <w:pPr>
        <w:tabs>
          <w:tab w:val="left" w:pos="0"/>
          <w:tab w:val="left" w:pos="360"/>
          <w:tab w:val="left" w:pos="540"/>
        </w:tabs>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（2）暂时确定调整差额</w:t>
      </w:r>
    </w:p>
    <w:p w14:paraId="066A0CEC">
      <w:pPr>
        <w:tabs>
          <w:tab w:val="left" w:pos="0"/>
          <w:tab w:val="left" w:pos="360"/>
          <w:tab w:val="left" w:pos="540"/>
        </w:tabs>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在计算调整差额时无现行价格指数的，合同当事人同意暂用前次价格指数计算。实际价格指数有调整的，合同当事人进行相应调整。</w:t>
      </w:r>
    </w:p>
    <w:p w14:paraId="2306A868">
      <w:pPr>
        <w:tabs>
          <w:tab w:val="left" w:pos="0"/>
          <w:tab w:val="left" w:pos="360"/>
          <w:tab w:val="left" w:pos="540"/>
        </w:tabs>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（3）权重的调整</w:t>
      </w:r>
    </w:p>
    <w:p w14:paraId="5D8B6DF7">
      <w:pPr>
        <w:tabs>
          <w:tab w:val="left" w:pos="0"/>
          <w:tab w:val="left" w:pos="360"/>
          <w:tab w:val="left" w:pos="540"/>
        </w:tabs>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因变更导致合同约定的权重不合理时，按照第4.4款〔商定或确定〕执行。</w:t>
      </w:r>
    </w:p>
    <w:p w14:paraId="3CCB332B">
      <w:pPr>
        <w:tabs>
          <w:tab w:val="left" w:pos="0"/>
          <w:tab w:val="left" w:pos="360"/>
          <w:tab w:val="left" w:pos="540"/>
        </w:tabs>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（4）因承包人原因工期延误后的价格调整</w:t>
      </w:r>
    </w:p>
    <w:p w14:paraId="7E2C506C">
      <w:pPr>
        <w:tabs>
          <w:tab w:val="left" w:pos="0"/>
          <w:tab w:val="left" w:pos="360"/>
          <w:tab w:val="left" w:pos="540"/>
        </w:tabs>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0F38092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第2种方式：采用造价信息进行价格调整。</w:t>
      </w:r>
    </w:p>
    <w:p w14:paraId="7F6C6DA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31CD0F3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346D63E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（2）材料、工程设备价格变化的价款调整按照发包人提供的基准价格，按以下风险范围规定执行:</w:t>
      </w:r>
    </w:p>
    <w:p w14:paraId="6C030C6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108F92F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0AFE53F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③承包人在已标价工程量清单或预算书中载明材料单价等于基准价格的：除专用合同条款另有约定外，合同履行期间材料单价涨跌幅以基准价格为基础超过±5%时，其超过部分据实调整。</w:t>
      </w:r>
    </w:p>
    <w:p w14:paraId="5EC394D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2403958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16EE928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（3）施工机械台班单价或施工机械使用费发生变化超过省级或行业建设主管部门或其授权的工程造价管理机构规定的范围时，按规定调整合同价格。</w:t>
      </w:r>
    </w:p>
    <w:p w14:paraId="63BD4A3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第3种方式：专用合同条款约定的其他方式。</w:t>
      </w:r>
      <w:bookmarkStart w:id="332" w:name="_Toc351203579"/>
      <w:bookmarkStart w:id="333" w:name="_Toc296503093"/>
      <w:bookmarkStart w:id="334" w:name="_Toc296346594"/>
      <w:bookmarkStart w:id="335" w:name="_Toc337558798"/>
    </w:p>
    <w:p w14:paraId="21107E9F">
      <w:pPr>
        <w:adjustRightInd w:val="0"/>
        <w:snapToGrid w:val="0"/>
        <w:spacing w:line="5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11.2 法律变化引起的调整</w:t>
      </w:r>
      <w:bookmarkEnd w:id="332"/>
    </w:p>
    <w:bookmarkEnd w:id="333"/>
    <w:bookmarkEnd w:id="334"/>
    <w:bookmarkEnd w:id="335"/>
    <w:p w14:paraId="1F9498E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65CE5BE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因法律变化引起的合同价格和工期调整，合同当事人无法达成一致的，由总监理工程师按第4.4款〔商定或确定〕的约定处理。</w:t>
      </w:r>
    </w:p>
    <w:p w14:paraId="5D289350">
      <w:pPr>
        <w:adjustRightInd w:val="0"/>
        <w:snapToGrid w:val="0"/>
        <w:spacing w:line="50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因承包人原因造成工期延误，在工期延误期间出现法律变化的，由此增加的费用和（或）延误的工期由承包人承担。</w:t>
      </w:r>
      <w:bookmarkStart w:id="336" w:name="_Toc351203580"/>
      <w:bookmarkStart w:id="337" w:name="_Toc337558799"/>
      <w:bookmarkStart w:id="338" w:name="_Toc296503096"/>
      <w:bookmarkStart w:id="339" w:name="_Toc296346597"/>
    </w:p>
    <w:p w14:paraId="18CB963B">
      <w:pPr>
        <w:adjustRightInd w:val="0"/>
        <w:snapToGrid w:val="0"/>
        <w:spacing w:line="500" w:lineRule="exact"/>
        <w:ind w:firstLine="495" w:firstLineChars="176"/>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12. 合同价格、计量与支付</w:t>
      </w:r>
      <w:bookmarkEnd w:id="336"/>
      <w:bookmarkEnd w:id="337"/>
      <w:bookmarkStart w:id="340" w:name="_Toc351203581"/>
      <w:bookmarkStart w:id="341" w:name="_Toc337558800"/>
    </w:p>
    <w:p w14:paraId="6565A608">
      <w:pPr>
        <w:adjustRightInd w:val="0"/>
        <w:snapToGrid w:val="0"/>
        <w:spacing w:line="5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12.1 合同价</w:t>
      </w:r>
      <w:bookmarkEnd w:id="338"/>
      <w:bookmarkEnd w:id="339"/>
      <w:r>
        <w:rPr>
          <w:rFonts w:hint="eastAsia" w:ascii="宋体" w:hAnsi="宋体" w:eastAsia="宋体" w:cs="宋体"/>
          <w:b/>
          <w:color w:val="auto"/>
          <w:sz w:val="28"/>
          <w:szCs w:val="28"/>
          <w:highlight w:val="none"/>
        </w:rPr>
        <w:t>格形式</w:t>
      </w:r>
      <w:bookmarkEnd w:id="340"/>
    </w:p>
    <w:bookmarkEnd w:id="341"/>
    <w:p w14:paraId="0E5D8B1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发包人和承包人应在合同协议书中选择下列一种合同价格形式： </w:t>
      </w:r>
    </w:p>
    <w:p w14:paraId="1AE0CF6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1、单价合同</w:t>
      </w:r>
    </w:p>
    <w:p w14:paraId="32D76D6C">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单价合同是指合同当事人约定以工程量清单及其综合单价进行合同价格计算、调整和确认的建设工程施工合同，</w:t>
      </w:r>
      <w:r>
        <w:rPr>
          <w:rFonts w:hint="eastAsia" w:ascii="宋体" w:hAnsi="宋体" w:eastAsia="宋体" w:cs="宋体"/>
          <w:color w:val="auto"/>
          <w:sz w:val="28"/>
          <w:szCs w:val="28"/>
          <w:highlight w:val="none"/>
        </w:rPr>
        <w:t>在约定的范围内合同单价不作调整</w:t>
      </w:r>
      <w:r>
        <w:rPr>
          <w:rFonts w:hint="eastAsia" w:ascii="宋体" w:hAnsi="宋体" w:eastAsia="宋体" w:cs="宋体"/>
          <w:color w:val="auto"/>
          <w:kern w:val="0"/>
          <w:sz w:val="28"/>
          <w:szCs w:val="28"/>
          <w:highlight w:val="none"/>
        </w:rPr>
        <w:t>。合同当事人应在专用合同条款中约定综合单价包含的风险范围和风险费用的计算方法</w:t>
      </w:r>
      <w:r>
        <w:rPr>
          <w:rFonts w:hint="eastAsia" w:ascii="宋体" w:hAnsi="宋体" w:eastAsia="宋体" w:cs="宋体"/>
          <w:color w:val="auto"/>
          <w:sz w:val="28"/>
          <w:szCs w:val="28"/>
          <w:highlight w:val="none"/>
        </w:rPr>
        <w:t>，</w:t>
      </w:r>
      <w:r>
        <w:rPr>
          <w:rFonts w:hint="eastAsia" w:ascii="宋体" w:hAnsi="宋体" w:eastAsia="宋体" w:cs="宋体"/>
          <w:color w:val="auto"/>
          <w:kern w:val="0"/>
          <w:sz w:val="28"/>
          <w:szCs w:val="28"/>
          <w:highlight w:val="none"/>
        </w:rPr>
        <w:t>并约定风险范围以外的合同价格的调整方法，其中因市场价格波动引起的调整按第11.1款〔市场价格波动引起的调整〕约定执行。</w:t>
      </w:r>
    </w:p>
    <w:p w14:paraId="67F3B7F7">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2、总价合同</w:t>
      </w:r>
    </w:p>
    <w:p w14:paraId="0A1A8EB1">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总价合同是指合同当事人约定以施工图、已标价工程量清单或预算书及有关条件进行合同价格计算、调整和确认的建设工程施工合同，</w:t>
      </w:r>
      <w:r>
        <w:rPr>
          <w:rFonts w:hint="eastAsia" w:ascii="宋体" w:hAnsi="宋体" w:eastAsia="宋体" w:cs="宋体"/>
          <w:color w:val="auto"/>
          <w:sz w:val="28"/>
          <w:szCs w:val="28"/>
          <w:highlight w:val="none"/>
        </w:rPr>
        <w:t>在约定的范围内合同总价不作调整</w:t>
      </w:r>
      <w:r>
        <w:rPr>
          <w:rFonts w:hint="eastAsia" w:ascii="宋体" w:hAnsi="宋体" w:eastAsia="宋体" w:cs="宋体"/>
          <w:color w:val="auto"/>
          <w:kern w:val="0"/>
          <w:sz w:val="28"/>
          <w:szCs w:val="28"/>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20270968">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3、其它价格形式</w:t>
      </w:r>
    </w:p>
    <w:p w14:paraId="1D17480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合同当事人可在专用合同条款中约定其他合同价格形式。</w:t>
      </w:r>
      <w:bookmarkStart w:id="342" w:name="_Toc296346598"/>
      <w:bookmarkStart w:id="343" w:name="_Toc296503097"/>
      <w:bookmarkStart w:id="344" w:name="_Toc351203582"/>
      <w:bookmarkStart w:id="345" w:name="_Toc337558801"/>
    </w:p>
    <w:p w14:paraId="7CB55DFA">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12.2 预</w:t>
      </w:r>
      <w:bookmarkEnd w:id="342"/>
      <w:bookmarkEnd w:id="343"/>
      <w:bookmarkStart w:id="346" w:name="_Toc296346601"/>
      <w:bookmarkStart w:id="347" w:name="_Toc296503100"/>
      <w:r>
        <w:rPr>
          <w:rFonts w:hint="eastAsia" w:ascii="宋体" w:hAnsi="宋体" w:eastAsia="宋体" w:cs="宋体"/>
          <w:b/>
          <w:color w:val="auto"/>
          <w:sz w:val="28"/>
          <w:szCs w:val="28"/>
          <w:highlight w:val="none"/>
        </w:rPr>
        <w:t>付款</w:t>
      </w:r>
      <w:bookmarkEnd w:id="344"/>
    </w:p>
    <w:bookmarkEnd w:id="345"/>
    <w:bookmarkEnd w:id="346"/>
    <w:bookmarkEnd w:id="347"/>
    <w:p w14:paraId="33BC2881">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12.2.</w:t>
      </w:r>
      <w:r>
        <w:rPr>
          <w:rFonts w:hint="eastAsia" w:ascii="宋体" w:hAnsi="宋体" w:eastAsia="宋体" w:cs="宋体"/>
          <w:color w:val="auto"/>
          <w:kern w:val="0"/>
          <w:sz w:val="28"/>
          <w:szCs w:val="28"/>
          <w:highlight w:val="none"/>
        </w:rPr>
        <w:t>1预付款的支付</w:t>
      </w:r>
    </w:p>
    <w:p w14:paraId="739A3C59">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预付款的支付按照专用合同条款约定执行，但至迟应在开工通知载明的开工日期7天前支付。预付款应当用于材料、工程设备、施工设备的采购及修建临时工程、组织施工队伍进场等。</w:t>
      </w:r>
    </w:p>
    <w:p w14:paraId="7D73AD37">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除专用合同条款另有约定外，预付款在进度付款中同比例扣回。在颁发工程接收证书前，提前解除合同的，尚未扣完的预付款应与合同价款一并结算。</w:t>
      </w:r>
    </w:p>
    <w:p w14:paraId="667478F8">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发包人逾期支付预付款超过7天的，承包人有权向发包人发出要求预付的催告通知，发包人收到通知后7天内仍未支付的，承包人有权暂停施工，并按第16.1.1项〔发包人违约的情形〕执行。</w:t>
      </w:r>
    </w:p>
    <w:p w14:paraId="2751667C">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12.2.2 预付款担保</w:t>
      </w:r>
    </w:p>
    <w:p w14:paraId="79F60B82">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2EB58523">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发包人在工程款中逐期扣回预付款后，预付款担保额度应相应减少，但剩余的预付款担保金额不得低于未被扣回的预付款金额。</w:t>
      </w:r>
      <w:bookmarkStart w:id="348" w:name="_Toc351203583"/>
      <w:bookmarkStart w:id="349" w:name="_Toc337558802"/>
    </w:p>
    <w:p w14:paraId="54348ADF">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12.3 计量</w:t>
      </w:r>
      <w:bookmarkEnd w:id="348"/>
    </w:p>
    <w:bookmarkEnd w:id="349"/>
    <w:p w14:paraId="2AC3B28B">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12.3.1 计量原则</w:t>
      </w:r>
    </w:p>
    <w:p w14:paraId="693F2F79">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工程量计量按照合同约定的工程量计算规则、图纸及变更指示等进行计量。工程量计算规则应以相关的国家标准、行业标准等为依据，由合同当事人在专用合同条款中约定。</w:t>
      </w:r>
    </w:p>
    <w:p w14:paraId="71EC2297">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12.3.2 计量周期</w:t>
      </w:r>
    </w:p>
    <w:p w14:paraId="56667421">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除专用合同条款另有约定外，工程量的计量按月进行。</w:t>
      </w:r>
    </w:p>
    <w:p w14:paraId="06ADC4C8">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12.3.3 单价合同的计量</w:t>
      </w:r>
    </w:p>
    <w:p w14:paraId="4A3842D0">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除专用合同条款另有约定外，单价合同的计量按照本项约定执行：</w:t>
      </w:r>
    </w:p>
    <w:p w14:paraId="6321952E">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（1）承包人应于每月25日向</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报送上月20日至当月19日已完成的工程量报告，并附具进度付款申请单、已完成工程量报表和有关资料。</w:t>
      </w:r>
    </w:p>
    <w:p w14:paraId="2CD18277">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应在收到承包人提交的工程量报告后7天内完成对承包人提交的工程量报表的审核并报送发包人，以确定当月实际完成的工程量。</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对工程量有异议的，有权要求承包人进行共同复核或抽样复测。承包人应协助</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进行复核或抽样复测，并按</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要求提供补充计量资料。承包人未按</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要求参加复核或抽样复测的，</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复核或修正的工程量视为承包人实际完成的工程量。</w:t>
      </w:r>
    </w:p>
    <w:p w14:paraId="788DFA72">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未在收到承包人提交的工程量报表后的7天内完成审核的，承包人报送的工程量报告中的工程量视为承包人实际完成的工程量，据此计算工程价款。</w:t>
      </w:r>
    </w:p>
    <w:p w14:paraId="3FE3B2F1">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12.3.4 总价合同的计量</w:t>
      </w:r>
    </w:p>
    <w:p w14:paraId="1B47EA04">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除专用合同条款另有约定外，按月计量支付的总价合同，按照本项约定执行：</w:t>
      </w:r>
    </w:p>
    <w:p w14:paraId="75634C5C">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（1）承包人应于每月25日向</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报送上月20日至当月19日已完成的工程量报告，并附具进度付款申请单、已完成工程量报表和有关资料。</w:t>
      </w:r>
    </w:p>
    <w:p w14:paraId="6E876087">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应在收到承包人提交的工程量报告后7天内完成对承包人提交的工程量报表的审核并报送发包人，以确定当月实际完成的工程量。</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对工程量有异议的，有权要求承包人进行共同复核或抽样复测。承包人应协助</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进行复核或抽样复测并按</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要求提供补充计量资料。承包人未按</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要求参加复核或抽样复测的，</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审核或修正的工程量视为承包人实际完成的工程量。</w:t>
      </w:r>
    </w:p>
    <w:p w14:paraId="763AA04E">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未在收到承包人提交的工程量报表后的7天内完成复核的，承包人提交的工程量报告中的工程量视为承包人实际完成的工程量。</w:t>
      </w:r>
    </w:p>
    <w:p w14:paraId="74E1BA7C">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12.3.5 总价合同采用支付分解表计量支付的，可以按照第12.3.4项〔总价合同的计量〕约定进行计量，但合同价款按照支付分解表进行支付。</w:t>
      </w:r>
    </w:p>
    <w:p w14:paraId="482257E1">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12.3.6 其他价格形式合同的计量</w:t>
      </w:r>
    </w:p>
    <w:p w14:paraId="7DA6E920">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合同当事人可在专用合同条款中约定其他价格形式合同的计量方式和程序。</w:t>
      </w:r>
      <w:bookmarkStart w:id="350" w:name="_Toc296346602"/>
      <w:bookmarkStart w:id="351" w:name="_Toc296503101"/>
      <w:bookmarkStart w:id="352" w:name="_Toc351203584"/>
      <w:bookmarkStart w:id="353" w:name="_Toc337558803"/>
    </w:p>
    <w:p w14:paraId="531ADBBD">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12.4 工程进度款支</w:t>
      </w:r>
      <w:bookmarkEnd w:id="350"/>
      <w:bookmarkEnd w:id="351"/>
      <w:r>
        <w:rPr>
          <w:rFonts w:hint="eastAsia" w:ascii="宋体" w:hAnsi="宋体" w:eastAsia="宋体" w:cs="宋体"/>
          <w:b/>
          <w:color w:val="auto"/>
          <w:sz w:val="28"/>
          <w:szCs w:val="28"/>
          <w:highlight w:val="none"/>
        </w:rPr>
        <w:t>付</w:t>
      </w:r>
      <w:bookmarkEnd w:id="352"/>
    </w:p>
    <w:bookmarkEnd w:id="353"/>
    <w:p w14:paraId="7342AEC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12.4</w:t>
      </w:r>
      <w:r>
        <w:rPr>
          <w:rFonts w:hint="eastAsia" w:ascii="宋体" w:hAnsi="宋体" w:eastAsia="宋体" w:cs="宋体"/>
          <w:color w:val="auto"/>
          <w:kern w:val="0"/>
          <w:sz w:val="28"/>
          <w:szCs w:val="28"/>
          <w:highlight w:val="none"/>
        </w:rPr>
        <w:t>.1 付款周期</w:t>
      </w:r>
    </w:p>
    <w:p w14:paraId="78F17236">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除专用合同条款另有约定外，付款周期应按照第12.3.2项〔计量周期〕的约定与计量周期保持一致。</w:t>
      </w:r>
    </w:p>
    <w:p w14:paraId="17E484A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12.4</w:t>
      </w:r>
      <w:r>
        <w:rPr>
          <w:rFonts w:hint="eastAsia" w:ascii="宋体" w:hAnsi="宋体" w:eastAsia="宋体" w:cs="宋体"/>
          <w:color w:val="auto"/>
          <w:kern w:val="0"/>
          <w:sz w:val="28"/>
          <w:szCs w:val="28"/>
          <w:highlight w:val="none"/>
        </w:rPr>
        <w:t>.2 进度付款申请单的编制</w:t>
      </w:r>
    </w:p>
    <w:p w14:paraId="598CA3B1">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除专用合同条款另有约定外，进度付款申请单应包括下列内容：</w:t>
      </w:r>
    </w:p>
    <w:p w14:paraId="2075F01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（1）截至本次付款周期已完成工作对应的金额；</w:t>
      </w:r>
    </w:p>
    <w:p w14:paraId="35DD2CF2">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（2）根据第10条〔变更〕应增加和扣减的变更金额；</w:t>
      </w:r>
    </w:p>
    <w:p w14:paraId="1EA969D1">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（3）根据第12.2款〔预付款〕约定应支付的预付款和扣减的返还预付款；</w:t>
      </w:r>
    </w:p>
    <w:p w14:paraId="2450973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（4）根据第15.3款〔质量保证金〕约定应扣减的质量保证金；</w:t>
      </w:r>
    </w:p>
    <w:p w14:paraId="3C2D7011">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（5）根据第19条〔索赔〕应增加和扣减的索赔金额；</w:t>
      </w:r>
    </w:p>
    <w:p w14:paraId="73D46458">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（6）对已签发的进度款支付证书中出现错误的修正，应在本次进度付款中支付或扣除的金额；</w:t>
      </w:r>
    </w:p>
    <w:p w14:paraId="5AC1C69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（7）根据合同约定应增加和扣减的其他金额。</w:t>
      </w:r>
    </w:p>
    <w:p w14:paraId="71F68AE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12.4.3 进度付款申请单的提交</w:t>
      </w:r>
    </w:p>
    <w:p w14:paraId="2E88B92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（1）单价合同进度付款申请单的提交</w:t>
      </w:r>
    </w:p>
    <w:p w14:paraId="285C1CA9">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单价合同的进度付款申请单，按照第12.3.3项〔单价合同的计量〕约定的时间按月向</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提交，并附上已完成工程量报表和有关资料。单价合同中的总价项目按月进行支付分解，并汇总列入当期进度付款申请单。</w:t>
      </w:r>
    </w:p>
    <w:p w14:paraId="75B9F7CF">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（2）总价合同进度付款申请单的提交</w:t>
      </w:r>
    </w:p>
    <w:p w14:paraId="20922BD9">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总价合同按月计量支付的，承包人按照第12.3.4项〔总价合同的计量〕约定的时间按月向</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提交进度付款申请单，并附上已完成工程量报表和有关资料。</w:t>
      </w:r>
    </w:p>
    <w:p w14:paraId="122C57F1">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总价合同按支付分解表支付的，承包人应按照第12.4.6项〔支付分解表〕及第12.4.2项〔进度付款申请单的编制〕的约定向</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提交进度付款申请单。</w:t>
      </w:r>
    </w:p>
    <w:p w14:paraId="5492C56F">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（3）其他价格形式合同的进度付款申请单的提交</w:t>
      </w:r>
    </w:p>
    <w:p w14:paraId="56BE6CDE">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合同当事人可在专用合同条款中约定其他价格形式合同的进度付款申请单的编制和提交程序。</w:t>
      </w:r>
    </w:p>
    <w:p w14:paraId="4555668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12.4</w:t>
      </w:r>
      <w:r>
        <w:rPr>
          <w:rFonts w:hint="eastAsia" w:ascii="宋体" w:hAnsi="宋体" w:eastAsia="宋体" w:cs="宋体"/>
          <w:color w:val="auto"/>
          <w:kern w:val="0"/>
          <w:sz w:val="28"/>
          <w:szCs w:val="28"/>
          <w:highlight w:val="none"/>
        </w:rPr>
        <w:t>.4 进度款审核和支付</w:t>
      </w:r>
    </w:p>
    <w:p w14:paraId="5D13B571">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（1）除专用合同条款另有约定外，</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1E53D740">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发包人对承包人的进度付款申请单有异议的，有权要求承包人修正和提供补充资料，承包人应提交修正后的进度付款申请单。</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应在收到承包人修正后的进度付款申请单及相关资料后7天内完成审查并报送发包人，发包人应在收到报送的进度付款申请单及相关资料后7天内，向承包人签发无异议部分的临时进度款支付证书。存在争议的部分，按照第20条〔争议解决〕的约定处理。</w:t>
      </w:r>
    </w:p>
    <w:p w14:paraId="6151F7C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125E2C6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（3）发包人签发进度款支付证书或临时进度款支付证书，不表明发包人已同意、批准或接受了承包人完成的相应部分的工作。</w:t>
      </w:r>
    </w:p>
    <w:p w14:paraId="4A554D4F">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12.4.5 进度付款的修正</w:t>
      </w:r>
    </w:p>
    <w:p w14:paraId="0E4F80CF">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在对已签发的进度款支付证书进行阶段汇总和复核中发现错误、遗漏或重复的，发包人和承包人均有权提出修正申请。经发包人和承包人同意的修正，应在下期进度付款中支付或扣除。</w:t>
      </w:r>
    </w:p>
    <w:p w14:paraId="0605027E">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12.4.6 支付分解表</w:t>
      </w:r>
    </w:p>
    <w:p w14:paraId="5BA6A58E">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1、支付分解表的编制要求</w:t>
      </w:r>
    </w:p>
    <w:p w14:paraId="151BBDCE">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（1）支付分解表中所列的每期付款金额，应为第12.4.2项〔进度付款申请单的编制〕第（1）目的估算金额；</w:t>
      </w:r>
    </w:p>
    <w:p w14:paraId="16B1D401">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（2）实际进度与施工进度计划不一致的，合同当事人可按照第4.4款〔商定或确定〕修改支付分解表；</w:t>
      </w:r>
    </w:p>
    <w:p w14:paraId="2FC79B5F">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（3）不采用支付分解表的，承包人应向发包人提交按季度编制的支付估算分解表，用于支付参考。</w:t>
      </w:r>
    </w:p>
    <w:p w14:paraId="7DA0D403">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2、总价合同支付分解表的编制与审批</w:t>
      </w:r>
    </w:p>
    <w:p w14:paraId="3511323A">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除专用合同条款另有约定外，承包人应根据第7.2款〔施工进度计划〕约定的施工进度计划、签约合同价和工程量等因素对总价合同按月进行分解，编制支付分解表。承包人应当在收到发包人批准的施工进度计划后7天内，将支付分解表及编制支付分解表的支持性资料报送</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w:t>
      </w:r>
    </w:p>
    <w:p w14:paraId="50D7EB75">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（2）发包人应在收到经</w:t>
      </w:r>
      <w:r>
        <w:rPr>
          <w:rFonts w:hint="eastAsia" w:ascii="宋体" w:hAnsi="宋体" w:eastAsia="宋体" w:cs="宋体"/>
          <w:color w:val="auto"/>
          <w:kern w:val="0"/>
          <w:sz w:val="28"/>
          <w:szCs w:val="28"/>
          <w:highlight w:val="none"/>
          <w:lang w:val="en-US" w:eastAsia="zh-CN"/>
        </w:rPr>
        <w:t>承包人</w:t>
      </w:r>
      <w:r>
        <w:rPr>
          <w:rFonts w:hint="eastAsia" w:ascii="宋体" w:hAnsi="宋体" w:eastAsia="宋体" w:cs="宋体"/>
          <w:color w:val="auto"/>
          <w:kern w:val="0"/>
          <w:sz w:val="28"/>
          <w:szCs w:val="28"/>
          <w:highlight w:val="none"/>
        </w:rPr>
        <w:t>审核的支付分解表后7天内完成审批，经发包人批准的支付分解表为有约束力的支付分解表。</w:t>
      </w:r>
    </w:p>
    <w:p w14:paraId="2C030AD5">
      <w:pPr>
        <w:adjustRightInd w:val="0"/>
        <w:snapToGrid w:val="0"/>
        <w:spacing w:line="50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（3）发包人逾期未完成支付分解表审批的，也未及时要求承包人进行修正和提供补充资料的，则承包人提交的支付分解表视为已经获得发包人批准。</w:t>
      </w:r>
    </w:p>
    <w:p w14:paraId="157EC15A">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3、单价合同的总价项目支付分解表的编制与审批</w:t>
      </w:r>
    </w:p>
    <w:p w14:paraId="5D22A41E">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bookmarkStart w:id="354" w:name="_Toc351203585"/>
    </w:p>
    <w:p w14:paraId="75AC0412">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12.5 支付账户</w:t>
      </w:r>
      <w:bookmarkEnd w:id="354"/>
    </w:p>
    <w:p w14:paraId="1A8F6A0A">
      <w:pPr>
        <w:adjustRightInd w:val="0"/>
        <w:snapToGrid w:val="0"/>
        <w:spacing w:line="500" w:lineRule="exact"/>
        <w:ind w:firstLine="529" w:firstLineChars="189"/>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发包人应将合同价款支付至合同协议书中约定的承包人账户。</w:t>
      </w:r>
      <w:bookmarkStart w:id="355" w:name="_Toc296346607"/>
      <w:bookmarkStart w:id="356" w:name="_Toc337558804"/>
      <w:bookmarkStart w:id="357" w:name="_Toc351203586"/>
      <w:bookmarkStart w:id="358" w:name="_Toc322522574"/>
      <w:bookmarkStart w:id="359" w:name="_Toc296503106"/>
    </w:p>
    <w:p w14:paraId="767E129A">
      <w:pPr>
        <w:adjustRightInd w:val="0"/>
        <w:snapToGrid w:val="0"/>
        <w:spacing w:line="500" w:lineRule="exact"/>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13. 验收和工程试车</w:t>
      </w:r>
      <w:bookmarkEnd w:id="355"/>
      <w:bookmarkEnd w:id="356"/>
      <w:bookmarkEnd w:id="357"/>
      <w:bookmarkEnd w:id="358"/>
      <w:bookmarkEnd w:id="359"/>
      <w:bookmarkStart w:id="360" w:name="_Toc351203587"/>
      <w:bookmarkStart w:id="361" w:name="_Toc337558805"/>
      <w:bookmarkStart w:id="362" w:name="_Toc296346611"/>
      <w:bookmarkStart w:id="363" w:name="_Toc296503110"/>
    </w:p>
    <w:p w14:paraId="1CFD2627">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13.1分部分项工程验收</w:t>
      </w:r>
      <w:bookmarkEnd w:id="360"/>
    </w:p>
    <w:bookmarkEnd w:id="361"/>
    <w:p w14:paraId="455311B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13.1.1 分部分项工程质量应符合国家有关工程施工验收规范、标准及合同约定，承包人应按照施工组织设计的要求完成分部分项工程施工。</w:t>
      </w:r>
    </w:p>
    <w:p w14:paraId="330D393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13.1.2 除专用合同条款另有约定外，分部分项工程经承包人自检合格并具备验收条件的，承包人应提前48小时通知</w:t>
      </w:r>
      <w:r>
        <w:rPr>
          <w:rFonts w:hint="eastAsia" w:ascii="宋体" w:hAnsi="宋体" w:eastAsia="宋体" w:cs="宋体"/>
          <w:color w:val="auto"/>
          <w:sz w:val="28"/>
          <w:szCs w:val="28"/>
          <w:highlight w:val="none"/>
          <w:lang w:eastAsia="zh-CN"/>
        </w:rPr>
        <w:t>发包人</w:t>
      </w:r>
      <w:r>
        <w:rPr>
          <w:rFonts w:hint="eastAsia" w:ascii="宋体" w:hAnsi="宋体" w:eastAsia="宋体" w:cs="宋体"/>
          <w:color w:val="auto"/>
          <w:sz w:val="28"/>
          <w:szCs w:val="28"/>
          <w:highlight w:val="none"/>
        </w:rPr>
        <w:t>进行验收。</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不能按时进行验收的，应在验收前24小时向承包人提交书面延期要求，但延期不能超过48小时。</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未按时进行验收，也未提出延期要求的，承包人有权自行验收，</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应认可验收结果。</w:t>
      </w:r>
      <w:r>
        <w:rPr>
          <w:rFonts w:hint="eastAsia" w:ascii="宋体" w:hAnsi="宋体" w:eastAsia="宋体" w:cs="宋体"/>
          <w:color w:val="auto"/>
          <w:sz w:val="28"/>
          <w:szCs w:val="28"/>
          <w:highlight w:val="none"/>
        </w:rPr>
        <w:t>分部分项工程未经验收的，不得进入下一道工序施工。</w:t>
      </w:r>
    </w:p>
    <w:p w14:paraId="7D6DCAA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分部分项工程的验收资料应当作为竣工资料的组成部分。</w:t>
      </w:r>
      <w:bookmarkStart w:id="364" w:name="_Toc351203588"/>
      <w:bookmarkStart w:id="365" w:name="_Toc337558806"/>
    </w:p>
    <w:p w14:paraId="3FB63554">
      <w:pPr>
        <w:adjustRightInd w:val="0"/>
        <w:snapToGrid w:val="0"/>
        <w:spacing w:line="5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13.2 竣工验收</w:t>
      </w:r>
      <w:bookmarkEnd w:id="364"/>
    </w:p>
    <w:bookmarkEnd w:id="362"/>
    <w:bookmarkEnd w:id="363"/>
    <w:bookmarkEnd w:id="365"/>
    <w:p w14:paraId="2DC6E3BC">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13.2.1竣工验收条件</w:t>
      </w:r>
    </w:p>
    <w:p w14:paraId="006FE8BD">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工程具备以下条件的，承包人可以申请竣工验收：</w:t>
      </w:r>
    </w:p>
    <w:p w14:paraId="697573FA">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（1）除发包人同意的甩项工作和缺陷修补工作外，合同范围内的全部工程以及有关工作，包括合同要求的试验、试运行以及检验均已完成，并符合合同要求；</w:t>
      </w:r>
    </w:p>
    <w:p w14:paraId="5969F036">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（2）已按合同约定编制了甩项工作和缺陷修补工作清单以及相应的施工计划；</w:t>
      </w:r>
    </w:p>
    <w:p w14:paraId="5593E969">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（3）已按合同约定的内容和份数备齐竣工资料。</w:t>
      </w:r>
    </w:p>
    <w:p w14:paraId="2EB45DF7">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13.2.2竣工验收程序</w:t>
      </w:r>
    </w:p>
    <w:p w14:paraId="5DDD0FE9">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除专用合同条款另有约定外，承包人申请竣工验收的，应当按照以下程序进行：</w:t>
      </w:r>
    </w:p>
    <w:p w14:paraId="51F19E16">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（1）承包人向</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报送竣工验收申请报告，</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应在收到竣工验收申请报告后。</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审查后认为尚不具备验收条件的，应通知承包人在竣工验收前承包人还需完成的工作内容，承包人应在完成</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通知的全部工作内容后，再次提交竣工验收申请报告。</w:t>
      </w:r>
    </w:p>
    <w:p w14:paraId="341CF1AB">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审查后认为已具备竣工验收条件的，发包人应在收到经</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审核的竣工验收申请报告后28天内审批完毕并组织承包人、设计人等相关单位完成竣工验收。</w:t>
      </w:r>
    </w:p>
    <w:p w14:paraId="0A6732DB">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（3）竣工验收合格的，发包人应在验收合格后14天内向承包人签发工程接收证书。发包人无正当理由逾期不颁发工程接收证书的，自验收合格后第15天起视为已颁发工程接收证书。</w:t>
      </w:r>
    </w:p>
    <w:p w14:paraId="34015828">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（4）竣工验收不合格的，</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3977F887">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679B4D93">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3454FE68">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13.2.3竣工日期</w:t>
      </w:r>
    </w:p>
    <w:p w14:paraId="1BD4755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工程经竣工验收合格的，以承包人提交竣工验收申请报告之日为实际竣工日期，并在工程接收证书中载明；因发包人原因，未在</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收到承包人提交的竣工验收申请报告42天内完成竣工验收，或完成竣工验收不予签发工程接收证书的，以提交竣工验</w:t>
      </w:r>
      <w:bookmarkStart w:id="366" w:name="#go14"/>
      <w:bookmarkEnd w:id="366"/>
      <w:r>
        <w:rPr>
          <w:rFonts w:hint="eastAsia" w:ascii="宋体" w:hAnsi="宋体" w:eastAsia="宋体" w:cs="宋体"/>
          <w:color w:val="auto"/>
          <w:kern w:val="0"/>
          <w:sz w:val="28"/>
          <w:szCs w:val="28"/>
          <w:highlight w:val="none"/>
        </w:rPr>
        <w:t>收申请报告的日期为实际竣工日期；工程未经竣工验收，发包人擅自使用的，以转移占有工程之日为实际竣工日期。</w:t>
      </w:r>
    </w:p>
    <w:p w14:paraId="4E7FCE63">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13.2.4 拒绝接收全部或部分工程</w:t>
      </w:r>
    </w:p>
    <w:p w14:paraId="4F45274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A9DE8F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13.2.5 移交、接收全部与部分工程</w:t>
      </w:r>
    </w:p>
    <w:p w14:paraId="04819ADD">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除专用合同条款另有约定外，合同当事人应当在颁发工程接收证书后7天内完成工程的移交。</w:t>
      </w:r>
    </w:p>
    <w:p w14:paraId="48162BD0">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001CFF3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承包人无正当理由不移交工程的，承包人应承担工程照管、成品保护、保管等与工程有关的各项费用，合同当事人可以在专用合同条款中另行约定承包人无正当理由不移交工程的违约责任。</w:t>
      </w:r>
      <w:bookmarkStart w:id="367" w:name="_Toc351203589"/>
      <w:bookmarkStart w:id="368" w:name="_Toc296503111"/>
      <w:bookmarkStart w:id="369" w:name="_Toc337558807"/>
      <w:bookmarkStart w:id="370" w:name="_Toc296346612"/>
    </w:p>
    <w:p w14:paraId="5FAFD422">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13.3 工程试车</w:t>
      </w:r>
      <w:bookmarkEnd w:id="367"/>
    </w:p>
    <w:bookmarkEnd w:id="368"/>
    <w:bookmarkEnd w:id="369"/>
    <w:bookmarkEnd w:id="370"/>
    <w:p w14:paraId="0992FF35">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13.3.1试车程序</w:t>
      </w:r>
    </w:p>
    <w:p w14:paraId="6D9DE60E">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工程需要试车的，除专用合同条款另有约定外，试车内容应与承包人承包范围相一致，试车费用由承包人承担。工程试车应按如下程序进行：</w:t>
      </w:r>
    </w:p>
    <w:p w14:paraId="3D2E34F0">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（1）具备单机无负荷试车条件，承包人组织试车，并在试车前48小时书面通知</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，通知中应载明试车内容、时间、地点。承包人准备试车记录，发包人根据承包人要求为试车提供必要条件。试车合格的，</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在试车记录上签字。</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在试车合格后不在试车记录上签字，自试车结束满24小时后视为</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已经认可试车记录，承包人可继续施工或办理竣工验收手续。</w:t>
      </w:r>
    </w:p>
    <w:p w14:paraId="5DA4AEC7">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不能按时参加试车，应在试车前24小时以书面形式向承包人提出延期要求，但延期不能超过48小时，由此导致工期延误的，工期应予以顺延。</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未能在前述期限内提出延期要求，又不参加试车的，视为认可试车记录。</w:t>
      </w:r>
    </w:p>
    <w:p w14:paraId="030DD393">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77D09A2C">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13.3.2 试车中的责任</w:t>
      </w:r>
    </w:p>
    <w:p w14:paraId="612AF688">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要求重新安装和试车，并承担重新安装和试车的费用，工期不予顺延。</w:t>
      </w:r>
    </w:p>
    <w:p w14:paraId="4B28E23F">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C2BE4A4">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13.3.3 投料试车</w:t>
      </w:r>
    </w:p>
    <w:p w14:paraId="23DF9F6E">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如需进行投料试车的，发包人应在工程竣工验收后组织投料试车。发包人要求在工程竣工验收前进行或需要承包人配合时，应征得承包人同意，并在专用合同条款中约定有关事项。</w:t>
      </w:r>
    </w:p>
    <w:p w14:paraId="78EE5C5E">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bookmarkStart w:id="371" w:name="_Toc351203590"/>
      <w:bookmarkStart w:id="372" w:name="_Toc337558808"/>
    </w:p>
    <w:p w14:paraId="009CF6A2">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13.4 提前交付单位工程的验收</w:t>
      </w:r>
      <w:bookmarkEnd w:id="371"/>
    </w:p>
    <w:bookmarkEnd w:id="372"/>
    <w:p w14:paraId="46CAA110">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13.4.1 发包人需要在工程竣工前使用单位工程的，或承包人提出提前交付已经竣工的单位工程且经发包人同意的，可进行单位工程验收，验收的程序按照第13.2款〔竣工验收〕的约定进行。</w:t>
      </w:r>
    </w:p>
    <w:p w14:paraId="2B41F02B">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验收合格后，由</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向承包人出具经发包人签认的单位工程接收证书。已签发单位工程接收证书的单位工程由发包人负责照管。单位工程的验收成果和结论作为整体工程竣工验收申请报告的附件。</w:t>
      </w:r>
    </w:p>
    <w:p w14:paraId="2F8A8FB9">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13.4.2 发包人要求在工程竣工前交付单位工程，由此导致承包人费用增加和（或）工期延误的，由发包人承担由此增加的费用和（或）延误的工期，并支付承包人合理的利润。</w:t>
      </w:r>
      <w:bookmarkStart w:id="373" w:name="_Toc351203591"/>
    </w:p>
    <w:p w14:paraId="5E2E15A0">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13.5 施工期运行</w:t>
      </w:r>
      <w:bookmarkEnd w:id="373"/>
    </w:p>
    <w:p w14:paraId="69A4DF14">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497638F2">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13.5.2 在施工期运行中发现工程或工程设备损坏或存在缺陷的，由承包人按第15.2款〔缺陷责任期〕约定进行修复。</w:t>
      </w:r>
      <w:bookmarkStart w:id="374" w:name="_Toc296503112"/>
      <w:bookmarkStart w:id="375" w:name="_Toc296346613"/>
      <w:bookmarkStart w:id="376" w:name="_Toc351203592"/>
      <w:bookmarkStart w:id="377" w:name="_Toc337558809"/>
    </w:p>
    <w:p w14:paraId="0312BCBD">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13.6 竣工退</w:t>
      </w:r>
      <w:bookmarkEnd w:id="374"/>
      <w:bookmarkEnd w:id="375"/>
      <w:r>
        <w:rPr>
          <w:rFonts w:hint="eastAsia" w:ascii="宋体" w:hAnsi="宋体" w:eastAsia="宋体" w:cs="宋体"/>
          <w:b/>
          <w:color w:val="auto"/>
          <w:sz w:val="28"/>
          <w:szCs w:val="28"/>
          <w:highlight w:val="none"/>
        </w:rPr>
        <w:t>场</w:t>
      </w:r>
      <w:bookmarkEnd w:id="376"/>
    </w:p>
    <w:bookmarkEnd w:id="377"/>
    <w:p w14:paraId="4492C620">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13.6.1 竣工退场</w:t>
      </w:r>
    </w:p>
    <w:p w14:paraId="10142166">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颁发工程接收证书后，承包人应按以下要求对施工现场进行清理：</w:t>
      </w:r>
    </w:p>
    <w:p w14:paraId="6E511FE4">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（1）施工现场内残留的垃圾已全部清除出场；</w:t>
      </w:r>
    </w:p>
    <w:p w14:paraId="553B2216">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（2）临时工程已拆除，场地已进行清理、平整或复原；</w:t>
      </w:r>
    </w:p>
    <w:p w14:paraId="7CACB42B">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（3）按合同约定应撤离的人员、承包人施工设备和剩余的材料，包括废弃的施工设备和材料，已按计划撤离施工现场；</w:t>
      </w:r>
    </w:p>
    <w:p w14:paraId="4802F0C0">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（4）施工现场周边及其附近道路、河道的施工堆积物，已全部清理；</w:t>
      </w:r>
    </w:p>
    <w:p w14:paraId="077FDCF1">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（5）施工现场其他场地清理工作已全部完成。</w:t>
      </w:r>
    </w:p>
    <w:p w14:paraId="3408527B">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97541D3">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13.6.2 地表还原</w:t>
      </w:r>
    </w:p>
    <w:p w14:paraId="75D46ABC">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承包人应按发包人要求恢复临时占地及清理场地，承包人未按发包人的要求恢复临时占地，或者场地清理未达到合同约定要求的，发包人有权委托其他人恢复或清理，所发生的费用由承包人承担。</w:t>
      </w:r>
      <w:bookmarkStart w:id="378" w:name="_Toc337558810"/>
      <w:bookmarkStart w:id="379" w:name="_Toc351203593"/>
      <w:bookmarkStart w:id="380" w:name="_Toc296346614"/>
      <w:bookmarkStart w:id="381" w:name="_Toc296503113"/>
    </w:p>
    <w:p w14:paraId="23521413">
      <w:pPr>
        <w:adjustRightInd w:val="0"/>
        <w:snapToGrid w:val="0"/>
        <w:spacing w:line="500" w:lineRule="exact"/>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14. 竣工结算</w:t>
      </w:r>
      <w:bookmarkEnd w:id="378"/>
      <w:bookmarkEnd w:id="379"/>
      <w:bookmarkStart w:id="382" w:name="_Toc351203594"/>
      <w:bookmarkStart w:id="383" w:name="_Toc337558811"/>
    </w:p>
    <w:p w14:paraId="0000A9C6">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14.1 竣工结算申请</w:t>
      </w:r>
      <w:bookmarkEnd w:id="382"/>
    </w:p>
    <w:bookmarkEnd w:id="383"/>
    <w:p w14:paraId="0DB7DB23">
      <w:pPr>
        <w:autoSpaceDE w:val="0"/>
        <w:autoSpaceDN w:val="0"/>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除专用合同条款另有约定外，</w:t>
      </w:r>
      <w:r>
        <w:rPr>
          <w:rFonts w:hint="eastAsia" w:ascii="宋体" w:hAnsi="宋体" w:eastAsia="宋体" w:cs="宋体"/>
          <w:color w:val="auto"/>
          <w:sz w:val="28"/>
          <w:szCs w:val="28"/>
          <w:highlight w:val="none"/>
        </w:rPr>
        <w:t>承包人应在工程竣工验收合格后28天内向发包人和</w:t>
      </w:r>
      <w:r>
        <w:rPr>
          <w:rFonts w:hint="eastAsia" w:ascii="宋体" w:hAnsi="宋体" w:eastAsia="宋体" w:cs="宋体"/>
          <w:color w:val="auto"/>
          <w:sz w:val="28"/>
          <w:szCs w:val="28"/>
          <w:highlight w:val="none"/>
          <w:lang w:eastAsia="zh-CN"/>
        </w:rPr>
        <w:t>发包人</w:t>
      </w:r>
      <w:r>
        <w:rPr>
          <w:rFonts w:hint="eastAsia" w:ascii="宋体" w:hAnsi="宋体" w:eastAsia="宋体" w:cs="宋体"/>
          <w:color w:val="auto"/>
          <w:sz w:val="28"/>
          <w:szCs w:val="28"/>
          <w:highlight w:val="none"/>
        </w:rPr>
        <w:t>提交竣工结算申请单，并提交完整的结算资料，有关竣工结算申请单的资料清单和份数等要求由合同当事人在专用合同条款中约定。</w:t>
      </w:r>
    </w:p>
    <w:p w14:paraId="6472496F">
      <w:pPr>
        <w:autoSpaceDE w:val="0"/>
        <w:autoSpaceDN w:val="0"/>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除专用合同条款另有约定外，竣工结算申请单应包括以下内容：</w:t>
      </w:r>
    </w:p>
    <w:p w14:paraId="2E941FE4">
      <w:pPr>
        <w:autoSpaceDE w:val="0"/>
        <w:autoSpaceDN w:val="0"/>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（1）竣工结算合同价格；</w:t>
      </w:r>
    </w:p>
    <w:p w14:paraId="0A9DF64C">
      <w:pPr>
        <w:autoSpaceDE w:val="0"/>
        <w:autoSpaceDN w:val="0"/>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（2）发包人已支付承包人的款项；</w:t>
      </w:r>
    </w:p>
    <w:p w14:paraId="72197E87">
      <w:pPr>
        <w:autoSpaceDE w:val="0"/>
        <w:autoSpaceDN w:val="0"/>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（3）应扣留的质量保证金； </w:t>
      </w:r>
    </w:p>
    <w:p w14:paraId="5CEE6EC7">
      <w:pPr>
        <w:autoSpaceDE w:val="0"/>
        <w:autoSpaceDN w:val="0"/>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（4）发包人应支付承包人的合同价款。</w:t>
      </w:r>
      <w:bookmarkStart w:id="384" w:name="_Toc351203595"/>
      <w:bookmarkStart w:id="385" w:name="_Toc337558812"/>
    </w:p>
    <w:p w14:paraId="08CB2AA2">
      <w:pPr>
        <w:autoSpaceDE w:val="0"/>
        <w:autoSpaceDN w:val="0"/>
        <w:adjustRightInd w:val="0"/>
        <w:snapToGrid w:val="0"/>
        <w:spacing w:line="500" w:lineRule="exact"/>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14.2 竣工结算审核</w:t>
      </w:r>
      <w:bookmarkEnd w:id="384"/>
    </w:p>
    <w:bookmarkEnd w:id="385"/>
    <w:p w14:paraId="5E17211D">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（1）除专用合同条款另有约定外，</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应在收到竣工结算申请单后14天内完成核查并报送发包人。发包人应在收到</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提交的经审核的竣工结算申请单后14天内完成审批，并由</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向承包人签发经发包人签认的竣工付款证书。</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或</w:t>
      </w:r>
      <w:r>
        <w:rPr>
          <w:rFonts w:hint="eastAsia" w:ascii="宋体" w:hAnsi="宋体" w:eastAsia="宋体" w:cs="宋体"/>
          <w:color w:val="auto"/>
          <w:sz w:val="28"/>
          <w:szCs w:val="28"/>
          <w:highlight w:val="none"/>
        </w:rPr>
        <w:t>发包人对竣工</w:t>
      </w:r>
      <w:r>
        <w:rPr>
          <w:rFonts w:hint="eastAsia" w:ascii="宋体" w:hAnsi="宋体" w:eastAsia="宋体" w:cs="宋体"/>
          <w:color w:val="auto"/>
          <w:kern w:val="0"/>
          <w:sz w:val="28"/>
          <w:szCs w:val="28"/>
          <w:highlight w:val="none"/>
        </w:rPr>
        <w:t>结算</w:t>
      </w:r>
      <w:r>
        <w:rPr>
          <w:rFonts w:hint="eastAsia" w:ascii="宋体" w:hAnsi="宋体" w:eastAsia="宋体" w:cs="宋体"/>
          <w:color w:val="auto"/>
          <w:sz w:val="28"/>
          <w:szCs w:val="28"/>
          <w:highlight w:val="none"/>
        </w:rPr>
        <w:t>申请单有异议的，有权要求承包人进行修正和提供补充资料，承包人应提交修正后的竣工</w:t>
      </w:r>
      <w:r>
        <w:rPr>
          <w:rFonts w:hint="eastAsia" w:ascii="宋体" w:hAnsi="宋体" w:eastAsia="宋体" w:cs="宋体"/>
          <w:color w:val="auto"/>
          <w:kern w:val="0"/>
          <w:sz w:val="28"/>
          <w:szCs w:val="28"/>
          <w:highlight w:val="none"/>
        </w:rPr>
        <w:t>结算</w:t>
      </w:r>
      <w:r>
        <w:rPr>
          <w:rFonts w:hint="eastAsia" w:ascii="宋体" w:hAnsi="宋体" w:eastAsia="宋体" w:cs="宋体"/>
          <w:color w:val="auto"/>
          <w:sz w:val="28"/>
          <w:szCs w:val="28"/>
          <w:highlight w:val="none"/>
        </w:rPr>
        <w:t>申请单。</w:t>
      </w:r>
    </w:p>
    <w:p w14:paraId="0BB8BF21">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2B24B4FC">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6C27B0E2">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bookmarkStart w:id="386" w:name="_Toc351203596"/>
      <w:bookmarkStart w:id="387" w:name="_Toc337558813"/>
    </w:p>
    <w:p w14:paraId="347991D8">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14.3 甩项竣工协议</w:t>
      </w:r>
      <w:bookmarkEnd w:id="386"/>
    </w:p>
    <w:bookmarkEnd w:id="387"/>
    <w:p w14:paraId="1CBEA60B">
      <w:pPr>
        <w:autoSpaceDE w:val="0"/>
        <w:autoSpaceDN w:val="0"/>
        <w:adjustRightInd w:val="0"/>
        <w:snapToGrid w:val="0"/>
        <w:spacing w:line="500" w:lineRule="exact"/>
        <w:ind w:firstLine="548" w:firstLineChars="196"/>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bookmarkStart w:id="388" w:name="_Toc351203597"/>
      <w:bookmarkStart w:id="389" w:name="_Toc337558814"/>
    </w:p>
    <w:p w14:paraId="2CFED0E7">
      <w:pPr>
        <w:autoSpaceDE w:val="0"/>
        <w:autoSpaceDN w:val="0"/>
        <w:adjustRightInd w:val="0"/>
        <w:snapToGrid w:val="0"/>
        <w:spacing w:line="500" w:lineRule="exact"/>
        <w:ind w:firstLine="551" w:firstLineChars="196"/>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14.4 最终结清</w:t>
      </w:r>
      <w:bookmarkEnd w:id="388"/>
    </w:p>
    <w:bookmarkEnd w:id="389"/>
    <w:p w14:paraId="69845D0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14.4.1 最终结清申请单</w:t>
      </w:r>
    </w:p>
    <w:p w14:paraId="2B34D30E">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（1）除专用合同条款另有约定外，承包人应在缺陷责任期终止证书颁发后7天内，按专用合同条款约定的份数向发包人提交最终结清申请单，并提供相关证明材料。</w:t>
      </w:r>
    </w:p>
    <w:p w14:paraId="74E6F1C9">
      <w:pPr>
        <w:autoSpaceDE w:val="0"/>
        <w:autoSpaceDN w:val="0"/>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除专用合同条款另有约定外，</w:t>
      </w:r>
      <w:r>
        <w:rPr>
          <w:rFonts w:hint="eastAsia" w:ascii="宋体" w:hAnsi="宋体" w:eastAsia="宋体" w:cs="宋体"/>
          <w:color w:val="auto"/>
          <w:kern w:val="0"/>
          <w:sz w:val="28"/>
          <w:szCs w:val="28"/>
          <w:highlight w:val="none"/>
        </w:rPr>
        <w:t>最终结清申请单</w:t>
      </w:r>
      <w:r>
        <w:rPr>
          <w:rFonts w:hint="eastAsia" w:ascii="宋体" w:hAnsi="宋体" w:eastAsia="宋体" w:cs="宋体"/>
          <w:color w:val="auto"/>
          <w:sz w:val="28"/>
          <w:szCs w:val="28"/>
          <w:highlight w:val="none"/>
        </w:rPr>
        <w:t>应列明质量保证金、应扣除的质量保证金、缺陷责任期内发生的增减费用。</w:t>
      </w:r>
    </w:p>
    <w:p w14:paraId="705BCB9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（2）发包人对最终结清申请单内容有异议的，有权要求承包人进行修正和提供补充资料，承包人应向发包人提交修正后的最终结清申请单。</w:t>
      </w:r>
    </w:p>
    <w:p w14:paraId="341ABD51">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14.4.2 最终结清证书和支付</w:t>
      </w:r>
    </w:p>
    <w:p w14:paraId="18994651">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5A4ED00F">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DBC6D4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（3）承包人对发包人颁发的最终结清证书有异议的，按第20条〔争议解决〕的约定办理。</w:t>
      </w:r>
      <w:bookmarkStart w:id="390" w:name="_Toc337558815"/>
      <w:bookmarkStart w:id="391" w:name="_Toc351203598"/>
    </w:p>
    <w:p w14:paraId="5E8F29D6">
      <w:pPr>
        <w:autoSpaceDE w:val="0"/>
        <w:autoSpaceDN w:val="0"/>
        <w:adjustRightInd w:val="0"/>
        <w:snapToGrid w:val="0"/>
        <w:spacing w:line="500" w:lineRule="exact"/>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15. 缺陷责任与保修</w:t>
      </w:r>
      <w:bookmarkEnd w:id="380"/>
      <w:bookmarkEnd w:id="381"/>
      <w:bookmarkEnd w:id="390"/>
      <w:bookmarkEnd w:id="391"/>
      <w:bookmarkStart w:id="392" w:name="_Toc351203599"/>
      <w:bookmarkStart w:id="393" w:name="_Toc337558816"/>
      <w:bookmarkStart w:id="394" w:name="_Toc296346615"/>
      <w:bookmarkStart w:id="395" w:name="_Toc296503114"/>
    </w:p>
    <w:p w14:paraId="09793B6C">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15.1 工程保修的原则</w:t>
      </w:r>
      <w:bookmarkEnd w:id="392"/>
    </w:p>
    <w:bookmarkEnd w:id="393"/>
    <w:p w14:paraId="14367A7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在工程移交发包人后，因承包人原因产生的质量缺陷，承包人应承担质量缺陷责任和保修义务。缺陷责任期届满，承包人仍应按合同约定的工程各部位保修年限承担保修义务。</w:t>
      </w:r>
      <w:bookmarkStart w:id="396" w:name="_Toc351203600"/>
      <w:bookmarkStart w:id="397" w:name="_Toc337558817"/>
    </w:p>
    <w:p w14:paraId="6B18EDFD">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15.2 缺陷责任期</w:t>
      </w:r>
      <w:bookmarkEnd w:id="394"/>
      <w:bookmarkEnd w:id="395"/>
      <w:bookmarkEnd w:id="396"/>
    </w:p>
    <w:bookmarkEnd w:id="397"/>
    <w:p w14:paraId="705F5DD2">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15.2.1 缺陷责任期自实际竣工日期起计算，合同当事人应在专用合同条款约定缺陷责任期的具体期限，但该期限最长不超过24个月。</w:t>
      </w:r>
    </w:p>
    <w:p w14:paraId="68E8640E">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602C214F">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15.2.2 工程竣工验收合格后，因承包人原因导致的缺陷或损坏致使工程、单位工程或某项主要设备不能按原定目的使用的，则发包人有权要求承</w:t>
      </w:r>
      <w:r>
        <w:rPr>
          <w:rFonts w:hint="eastAsia" w:ascii="宋体" w:hAnsi="宋体" w:eastAsia="宋体" w:cs="宋体"/>
          <w:bCs/>
          <w:color w:val="auto"/>
          <w:sz w:val="28"/>
          <w:szCs w:val="28"/>
          <w:highlight w:val="none"/>
        </w:rPr>
        <w:t>包人延长缺陷责任期，</w:t>
      </w:r>
      <w:r>
        <w:rPr>
          <w:rFonts w:hint="eastAsia" w:ascii="宋体" w:hAnsi="宋体" w:eastAsia="宋体" w:cs="宋体"/>
          <w:color w:val="auto"/>
          <w:kern w:val="0"/>
          <w:sz w:val="28"/>
          <w:szCs w:val="28"/>
          <w:highlight w:val="none"/>
        </w:rPr>
        <w:t>并应在原缺陷责任期届满前发出延长通知，</w:t>
      </w:r>
      <w:r>
        <w:rPr>
          <w:rFonts w:hint="eastAsia" w:ascii="宋体" w:hAnsi="宋体" w:eastAsia="宋体" w:cs="宋体"/>
          <w:bCs/>
          <w:color w:val="auto"/>
          <w:sz w:val="28"/>
          <w:szCs w:val="28"/>
          <w:highlight w:val="none"/>
        </w:rPr>
        <w:t>但缺陷责任期最长</w:t>
      </w:r>
      <w:r>
        <w:rPr>
          <w:rFonts w:hint="eastAsia" w:ascii="宋体" w:hAnsi="宋体" w:eastAsia="宋体" w:cs="宋体"/>
          <w:color w:val="auto"/>
          <w:kern w:val="0"/>
          <w:sz w:val="28"/>
          <w:szCs w:val="28"/>
          <w:highlight w:val="none"/>
        </w:rPr>
        <w:t>不能超过24个月。</w:t>
      </w:r>
    </w:p>
    <w:p w14:paraId="31CCC0A0">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15.2.3 任何一项缺陷或损坏修复后，经检查证明其影响了工程或工程设备的使用性能，承包人应重新进行合同约定的试验和试运行，试验和试运行的全部费用应由责任方承担。</w:t>
      </w:r>
    </w:p>
    <w:p w14:paraId="220944B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bookmarkStart w:id="398" w:name="_Toc351203601"/>
      <w:bookmarkStart w:id="399" w:name="_Toc337558818"/>
      <w:bookmarkStart w:id="400" w:name="_Toc296346616"/>
      <w:bookmarkStart w:id="401" w:name="_Toc296503115"/>
    </w:p>
    <w:p w14:paraId="5B938721">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15.3 质量保证金</w:t>
      </w:r>
      <w:bookmarkEnd w:id="398"/>
    </w:p>
    <w:bookmarkEnd w:id="399"/>
    <w:p w14:paraId="5B4E7D9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经合同当事人协商一致扣留质量保证金的，应在专用合同条款中予以明确。</w:t>
      </w:r>
    </w:p>
    <w:p w14:paraId="63A0F7F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15.3.1 承包人提供质量保证金的方式</w:t>
      </w:r>
    </w:p>
    <w:p w14:paraId="1FF8CEC2">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承包人提供质量保证金有以下三种方式：</w:t>
      </w:r>
    </w:p>
    <w:p w14:paraId="5353B93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（1）质量保证金保函； </w:t>
      </w:r>
    </w:p>
    <w:p w14:paraId="5C70CF9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（2）相应比例的工程款；</w:t>
      </w:r>
    </w:p>
    <w:p w14:paraId="1485EC8D">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（3）双方约定的其他方式。</w:t>
      </w:r>
    </w:p>
    <w:p w14:paraId="18607A3F">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除专用合同条款另有约定外，质量保证金原则上采用上述第（1）种方式。</w:t>
      </w:r>
    </w:p>
    <w:p w14:paraId="263662B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15.3.2 质量保证金的扣留</w:t>
      </w:r>
    </w:p>
    <w:p w14:paraId="66A21209">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质量保证金的扣留有以下三种方式：</w:t>
      </w:r>
    </w:p>
    <w:p w14:paraId="7F4C8AA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（1）在支付工程进度款时逐次扣留，在此情形下，质量保证金的计算基数不包括预付款的支付、扣回以及价格调整的金额；</w:t>
      </w:r>
    </w:p>
    <w:p w14:paraId="2DF4564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bookmarkStart w:id="402" w:name="#go6"/>
      <w:bookmarkEnd w:id="402"/>
      <w:r>
        <w:rPr>
          <w:rFonts w:hint="eastAsia" w:ascii="宋体" w:hAnsi="宋体" w:eastAsia="宋体" w:cs="宋体"/>
          <w:color w:val="auto"/>
          <w:kern w:val="0"/>
          <w:sz w:val="28"/>
          <w:szCs w:val="28"/>
          <w:highlight w:val="none"/>
        </w:rPr>
        <w:t>竣工结算时一次性扣留质量保证金；</w:t>
      </w:r>
    </w:p>
    <w:p w14:paraId="72B14C9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（3）双方约定的其他扣留方式。</w:t>
      </w:r>
    </w:p>
    <w:p w14:paraId="53AB7FC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除专用合同条款另有约定外，质量保证金的扣留原则上采用上述第（1）种方式。</w:t>
      </w:r>
      <w:bookmarkStart w:id="403" w:name="#go4"/>
      <w:bookmarkEnd w:id="403"/>
    </w:p>
    <w:p w14:paraId="332D6B07">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发</w:t>
      </w:r>
      <w:r>
        <w:rPr>
          <w:rFonts w:hint="eastAsia" w:ascii="宋体" w:hAnsi="宋体" w:eastAsia="宋体" w:cs="宋体"/>
          <w:color w:val="auto"/>
          <w:kern w:val="0"/>
          <w:sz w:val="28"/>
          <w:szCs w:val="28"/>
          <w:highlight w:val="none"/>
        </w:rPr>
        <w:t>包人累计扣留的质量保证金不得超过结算合同价格的5%，如承包人在发包人签发竣工付款证书后28天内提交质量保证金保函，发包人应同时退还扣留的作为质量保证金的工程价款。</w:t>
      </w:r>
    </w:p>
    <w:p w14:paraId="4E50068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15.3.3 </w:t>
      </w:r>
      <w:r>
        <w:rPr>
          <w:rFonts w:hint="eastAsia" w:ascii="宋体" w:hAnsi="宋体" w:eastAsia="宋体" w:cs="宋体"/>
          <w:color w:val="auto"/>
          <w:sz w:val="28"/>
          <w:szCs w:val="28"/>
          <w:highlight w:val="none"/>
        </w:rPr>
        <w:t>质量保证金</w:t>
      </w:r>
      <w:r>
        <w:rPr>
          <w:rFonts w:hint="eastAsia" w:ascii="宋体" w:hAnsi="宋体" w:eastAsia="宋体" w:cs="宋体"/>
          <w:color w:val="auto"/>
          <w:kern w:val="0"/>
          <w:sz w:val="28"/>
          <w:szCs w:val="28"/>
          <w:highlight w:val="none"/>
        </w:rPr>
        <w:t>的退还</w:t>
      </w:r>
    </w:p>
    <w:p w14:paraId="6523B737">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发包人应按14.4款〔最终结清〕的约定退还质量保证金。</w:t>
      </w:r>
      <w:bookmarkStart w:id="404" w:name="_Toc351203602"/>
      <w:bookmarkStart w:id="405" w:name="_Toc337558819"/>
    </w:p>
    <w:p w14:paraId="35D12CCB">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15.4 保修</w:t>
      </w:r>
      <w:bookmarkEnd w:id="404"/>
    </w:p>
    <w:bookmarkEnd w:id="400"/>
    <w:bookmarkEnd w:id="401"/>
    <w:bookmarkEnd w:id="405"/>
    <w:p w14:paraId="65AAFC92">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15.4.1保修责任</w:t>
      </w:r>
    </w:p>
    <w:p w14:paraId="763D50F6">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70643E71">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发包人未经竣工验收擅自使用工程的，保修期自</w:t>
      </w:r>
      <w:r>
        <w:rPr>
          <w:rFonts w:hint="eastAsia" w:ascii="宋体" w:hAnsi="宋体" w:eastAsia="宋体" w:cs="宋体"/>
          <w:color w:val="auto"/>
          <w:kern w:val="0"/>
          <w:sz w:val="28"/>
          <w:szCs w:val="28"/>
          <w:highlight w:val="none"/>
        </w:rPr>
        <w:t>转移占有之日起算</w:t>
      </w:r>
      <w:r>
        <w:rPr>
          <w:rFonts w:hint="eastAsia" w:ascii="宋体" w:hAnsi="宋体" w:eastAsia="宋体" w:cs="宋体"/>
          <w:color w:val="auto"/>
          <w:sz w:val="28"/>
          <w:szCs w:val="28"/>
          <w:highlight w:val="none"/>
        </w:rPr>
        <w:t>。</w:t>
      </w:r>
    </w:p>
    <w:p w14:paraId="024B812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15.4.2 修复费用</w:t>
      </w:r>
    </w:p>
    <w:p w14:paraId="4F6434EF">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保修期内，修复的费用按照以下约定处理：</w:t>
      </w:r>
    </w:p>
    <w:p w14:paraId="6F52D1A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（1）保修期内，因承包人原因造成工程的缺陷、损坏，承包人应负责修复，并承担修复的费用以及因工程的缺陷、损坏造成的人身伤害和财产损失；</w:t>
      </w:r>
    </w:p>
    <w:p w14:paraId="0E8E6EB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（2）保修期内，因发包人使用不当造成工程的缺陷、损坏，可以委托承包人修复，但发包人应承担修复的费用，并支付承包人合理利润；</w:t>
      </w:r>
    </w:p>
    <w:p w14:paraId="0D94AB11">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（3）因其他原因造成工程的缺陷、损坏，可以委托承包人修复，发包人应承担修复的费用，并支付承包人合理的利润，因工程的缺陷、损坏造成的人身伤害和财产损失由责任方承担。</w:t>
      </w:r>
    </w:p>
    <w:p w14:paraId="1336D6CA">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15.4.3 修复通知</w:t>
      </w:r>
    </w:p>
    <w:p w14:paraId="14F1CF36">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0C3B4FBD">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15.4.4 未能修复</w:t>
      </w:r>
    </w:p>
    <w:p w14:paraId="3AF65E26">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0F79A530">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15.4.5 承包人出入权</w:t>
      </w:r>
    </w:p>
    <w:p w14:paraId="4E22803A">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bookmarkStart w:id="406" w:name="_Toc351203603"/>
      <w:bookmarkStart w:id="407" w:name="_Toc337558820"/>
    </w:p>
    <w:p w14:paraId="3E756CCB">
      <w:pPr>
        <w:adjustRightInd w:val="0"/>
        <w:snapToGrid w:val="0"/>
        <w:spacing w:line="500" w:lineRule="exact"/>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16. 违约</w:t>
      </w:r>
      <w:bookmarkEnd w:id="406"/>
      <w:bookmarkEnd w:id="407"/>
      <w:bookmarkStart w:id="408" w:name="_Toc296346630"/>
      <w:bookmarkStart w:id="409" w:name="_Toc296503129"/>
      <w:bookmarkStart w:id="410" w:name="_Toc351203604"/>
      <w:bookmarkStart w:id="411" w:name="_Toc337558821"/>
    </w:p>
    <w:p w14:paraId="24FC2135">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16.1 发</w:t>
      </w:r>
      <w:bookmarkEnd w:id="408"/>
      <w:bookmarkEnd w:id="409"/>
      <w:r>
        <w:rPr>
          <w:rFonts w:hint="eastAsia" w:ascii="宋体" w:hAnsi="宋体" w:eastAsia="宋体" w:cs="宋体"/>
          <w:b/>
          <w:color w:val="auto"/>
          <w:sz w:val="28"/>
          <w:szCs w:val="28"/>
          <w:highlight w:val="none"/>
        </w:rPr>
        <w:t>包人违约</w:t>
      </w:r>
      <w:bookmarkEnd w:id="410"/>
    </w:p>
    <w:bookmarkEnd w:id="411"/>
    <w:p w14:paraId="3374B03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16.1.1 发包人违约的情形</w:t>
      </w:r>
    </w:p>
    <w:p w14:paraId="56776EB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在合同履行过程中发生的下列情形，属于发包人违约：</w:t>
      </w:r>
    </w:p>
    <w:p w14:paraId="7A45A0A2">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（1）因发包人原因未能在计划开工日期前7天内下达开工通知的；</w:t>
      </w:r>
    </w:p>
    <w:p w14:paraId="1294C9D2">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（2）因发包人原因未能按合同约定支付合同价款的；</w:t>
      </w:r>
    </w:p>
    <w:p w14:paraId="31095A6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（3）发包人违反第10.1款〔变更的范围〕第（2）项约定，自行实施被取消的工作或转由他人实施的；</w:t>
      </w:r>
    </w:p>
    <w:p w14:paraId="2252D2A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（4）发包人提供的材料、工程设备的规格、数量或质量不符合合同约定，或因发包人原因导致交货日期延误或交货地点变更等情况的；</w:t>
      </w:r>
    </w:p>
    <w:p w14:paraId="4EC4D1B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（5）因发包人违反合同约定造成暂停施工的；</w:t>
      </w:r>
    </w:p>
    <w:p w14:paraId="0B024F8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（6）发包人无正当理由没有在约定期限内发出复工指示，导致承包人无法复工的；</w:t>
      </w:r>
    </w:p>
    <w:p w14:paraId="1DFC8CEC">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（7）发包人明确表示或者以其行为表明不履行合同主要义务的；</w:t>
      </w:r>
    </w:p>
    <w:p w14:paraId="448A9142">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（8）发包人未能按照合同约定履行其他义务的。</w:t>
      </w:r>
    </w:p>
    <w:p w14:paraId="280C9B9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w:t>
      </w:r>
    </w:p>
    <w:p w14:paraId="1776D0FC">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16.1.2 发包人违约的责任</w:t>
      </w:r>
    </w:p>
    <w:p w14:paraId="1C5C4417">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发包人应承担因其违约给承包人增加的费用和（或）延误的工期，并支付承包人合理的利润。此外，合同当事人可在专用合同条款中另行约定发包人违约责任的承担方式和计算方法。</w:t>
      </w:r>
    </w:p>
    <w:p w14:paraId="3BB4918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16.1.3 因发包人违约解除合同</w:t>
      </w:r>
    </w:p>
    <w:p w14:paraId="77699BD0">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5C48ABAA">
      <w:pPr>
        <w:autoSpaceDE w:val="0"/>
        <w:autoSpaceDN w:val="0"/>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16.1.4 因发包人违约解除合同后的付款</w:t>
      </w:r>
    </w:p>
    <w:p w14:paraId="60965C48">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承包人按照本款约定解除合同的，发包人应在解除合同后28天内支付下列款项，并解除履约担保：</w:t>
      </w:r>
    </w:p>
    <w:p w14:paraId="5EFFAFE5">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（1）合同解除前所完成工作的价款；</w:t>
      </w:r>
    </w:p>
    <w:p w14:paraId="10FBB954">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（2）承包人为工程施工订购并已付款的材料、工程设备和其他物品的价款；</w:t>
      </w:r>
    </w:p>
    <w:p w14:paraId="54A1561B">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（3）承包人撤离施工现场以及遣散承包人人员的款项；</w:t>
      </w:r>
    </w:p>
    <w:p w14:paraId="08AA2ADA">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（4）按照合同约定在合同解除前应支付的违约金；</w:t>
      </w:r>
    </w:p>
    <w:p w14:paraId="7565382B">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（5）按照合同约定应当支付给承包人的其他款项；</w:t>
      </w:r>
    </w:p>
    <w:p w14:paraId="69F540FD">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（6）按照合同约定应退还的质量保证金；</w:t>
      </w:r>
    </w:p>
    <w:p w14:paraId="328A0BA1">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（7）因解除合同给承包人造成的损失。</w:t>
      </w:r>
    </w:p>
    <w:p w14:paraId="7E996DE2">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合同当事人未能就解除合同后的结清达成一致的，按照第20条〔争议解决〕的约定处理。</w:t>
      </w:r>
    </w:p>
    <w:p w14:paraId="3B32ADEB">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承包人应妥善做好已完工程和与工程有关的已购材料、工程设备的保护和移交工作，并将施工设备和人员撤出施工现场，发包人应为承包人撤出提供必要条件。</w:t>
      </w:r>
      <w:bookmarkStart w:id="412" w:name="_Toc351203605"/>
      <w:bookmarkStart w:id="413" w:name="_Toc296503131"/>
      <w:bookmarkStart w:id="414" w:name="_Toc337558822"/>
      <w:bookmarkStart w:id="415" w:name="_Toc296346632"/>
    </w:p>
    <w:p w14:paraId="4CCF7836">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16.2 承包人违约</w:t>
      </w:r>
      <w:bookmarkEnd w:id="412"/>
    </w:p>
    <w:bookmarkEnd w:id="413"/>
    <w:bookmarkEnd w:id="414"/>
    <w:bookmarkEnd w:id="415"/>
    <w:p w14:paraId="0482CB7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16.2.1 承包人违约的情形</w:t>
      </w:r>
    </w:p>
    <w:p w14:paraId="335BB27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在合同履行过程中发生的下列情形，属于承包人违约：</w:t>
      </w:r>
    </w:p>
    <w:p w14:paraId="383CF30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（1）承包人违反合同约定进行转包或违法分包的；</w:t>
      </w:r>
    </w:p>
    <w:p w14:paraId="0B6BB9ED">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（2）承包人违反合同约定采购和使用不合格的材料和工程设备的；</w:t>
      </w:r>
    </w:p>
    <w:p w14:paraId="5A788DF2">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（3）因承包人原因导致工程质量不符合合同要求的； </w:t>
      </w:r>
    </w:p>
    <w:p w14:paraId="54A24B8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（4）承包人违反第8.9款〔材料与设备专用要求〕的约定，未经批准，私自将已按照合同约定进入施工现场的材料或设备撤离施工现场的；</w:t>
      </w:r>
    </w:p>
    <w:p w14:paraId="3718055F">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（5）承包人未能按施工进度计划及时完成合同约定的工作，造成工期延误的；</w:t>
      </w:r>
    </w:p>
    <w:p w14:paraId="06B5F3E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（6）承包人在缺陷责任期及保修期内，未能在合理期限对工程缺陷进行修复，或拒绝按发包人要求进行修复的；</w:t>
      </w:r>
    </w:p>
    <w:p w14:paraId="2EE1F87D">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（7）承包人明确表示或者以其行为表明不履行合同主要义务的；</w:t>
      </w:r>
    </w:p>
    <w:p w14:paraId="280C0AD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（8）承包人未能按照合同约定履行其他义务的。</w:t>
      </w:r>
    </w:p>
    <w:p w14:paraId="6CE8F97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承包人发生除本项第（7）目约定以外的其他违约情况时，</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可向承包人发出整改通知，要求其在指定的期限内改正。</w:t>
      </w:r>
    </w:p>
    <w:p w14:paraId="233A56A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16.2.2 承包人违约的责任</w:t>
      </w:r>
    </w:p>
    <w:p w14:paraId="188DC37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承包人应承担因其违约行为而增加的费用和（或）延误的工期。此外，合同当事人可在专用合同条款中另行约定承包人违约责任的承担方式和计算方法。</w:t>
      </w:r>
    </w:p>
    <w:p w14:paraId="6EB306D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16.2.3 因承包人违约解除合同</w:t>
      </w:r>
    </w:p>
    <w:p w14:paraId="2CB3E48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除专用合同条款另有约定外，出现第16.2.1项〔承包人违约的情形〕第（7）目约定的违约情况时，或</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41F2874A">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16.2.4因承包人违约解除合同后的处理</w:t>
      </w:r>
    </w:p>
    <w:p w14:paraId="06C29301">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因承包人原因导致合同解除的，则合同当事人应在合同解除后28天内完成估价、付款和清算，并按以下约定执行：</w:t>
      </w:r>
    </w:p>
    <w:p w14:paraId="65C47184">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（1）合同解除后，按第4.4款〔商定或确定〕商定或确定承包人实际完成工作对应的合同价款，以及承包人已提供的材料、工程设备、施工设备和临时工程等的价值；</w:t>
      </w:r>
    </w:p>
    <w:p w14:paraId="22122F48">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（2）合同解除后，承包人应支付的违约金；</w:t>
      </w:r>
    </w:p>
    <w:p w14:paraId="31065245">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（3）合同解除后，因解除合同给发包人造成的损失；</w:t>
      </w:r>
    </w:p>
    <w:p w14:paraId="38ED79BA">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（4）合同解除后，承包人应按照发包人要求完成现场的清理和撤离；</w:t>
      </w:r>
    </w:p>
    <w:p w14:paraId="621249B4">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（5）发包人和承包人应在合同解除后进行清算，出具最终结清付款证书，结清全部款项。</w:t>
      </w:r>
    </w:p>
    <w:p w14:paraId="0E6668CA">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2617271E">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16.2.5采购合同权益转让</w:t>
      </w:r>
    </w:p>
    <w:p w14:paraId="25A512A7">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bookmarkStart w:id="416" w:name="_Toc351203606"/>
    </w:p>
    <w:p w14:paraId="43657251">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16.3 第三人造成的违约</w:t>
      </w:r>
      <w:bookmarkEnd w:id="416"/>
    </w:p>
    <w:p w14:paraId="7F299EE8">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在履行合同过程中，一方当事人因第三人的原因造成违约的，应当向对方当事人承担违约责任。一方当事人和第三人之间的纠纷，依照法律规定或者按照约定解决。</w:t>
      </w:r>
      <w:bookmarkStart w:id="417" w:name="_Toc351203607"/>
      <w:bookmarkStart w:id="418" w:name="_Toc337558823"/>
      <w:bookmarkStart w:id="419" w:name="_Toc296503116"/>
      <w:bookmarkStart w:id="420" w:name="_Toc296346617"/>
    </w:p>
    <w:p w14:paraId="361A79C3">
      <w:pPr>
        <w:adjustRightInd w:val="0"/>
        <w:snapToGrid w:val="0"/>
        <w:spacing w:line="500" w:lineRule="exact"/>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17. 不可抗力</w:t>
      </w:r>
      <w:bookmarkEnd w:id="417"/>
      <w:r>
        <w:rPr>
          <w:rFonts w:hint="eastAsia" w:ascii="宋体" w:hAnsi="宋体" w:eastAsia="宋体" w:cs="宋体"/>
          <w:b/>
          <w:color w:val="auto"/>
          <w:sz w:val="28"/>
          <w:szCs w:val="28"/>
          <w:highlight w:val="none"/>
        </w:rPr>
        <w:t xml:space="preserve"> </w:t>
      </w:r>
      <w:bookmarkEnd w:id="418"/>
      <w:bookmarkEnd w:id="419"/>
      <w:bookmarkEnd w:id="420"/>
      <w:bookmarkStart w:id="421" w:name="_Toc351203608"/>
      <w:bookmarkStart w:id="422" w:name="_Toc296346618"/>
      <w:bookmarkStart w:id="423" w:name="_Toc296503117"/>
      <w:bookmarkStart w:id="424" w:name="_Toc337558824"/>
    </w:p>
    <w:p w14:paraId="0408235F">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17.1 不可抗力的确认</w:t>
      </w:r>
      <w:bookmarkEnd w:id="421"/>
    </w:p>
    <w:bookmarkEnd w:id="422"/>
    <w:bookmarkEnd w:id="423"/>
    <w:bookmarkEnd w:id="424"/>
    <w:p w14:paraId="00437B9C">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63C40248">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不可抗力发生后，发包人和承包人应收集证明不可抗力发生及不可抗力造成损失的证据，并及时认真统计所造成的损失。合同当事人对是否属于不可抗力或其损失的意见不一致的，由</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按第4.4款〔商定或确定〕的约定处理。发生争议时，按第20条〔争议解决〕的约定处理。</w:t>
      </w:r>
      <w:bookmarkStart w:id="425" w:name="_Toc351203609"/>
      <w:bookmarkStart w:id="426" w:name="_Toc337558825"/>
      <w:bookmarkStart w:id="427" w:name="_Toc296346619"/>
      <w:bookmarkStart w:id="428" w:name="_Toc296503118"/>
    </w:p>
    <w:p w14:paraId="6AE82854">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17.2 不可抗力的通知</w:t>
      </w:r>
      <w:bookmarkEnd w:id="425"/>
    </w:p>
    <w:bookmarkEnd w:id="426"/>
    <w:bookmarkEnd w:id="427"/>
    <w:bookmarkEnd w:id="428"/>
    <w:p w14:paraId="47A25DED">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合同一方当事人遇到不可抗力事件，使其履行合同义务受到阻碍时，应立即通知合同另一方当事人和</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，书面说明不可抗力和受阻碍的详细情况，并提供必要的证明。</w:t>
      </w:r>
    </w:p>
    <w:p w14:paraId="58A7B221">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不可抗力持续发生的，合同一方当事人应及时向合同另一方当事人和</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提交中间报告，说明不可抗力和履行合同受阻的情况，并于不可抗力事件结束后28天内提交最终报告及有关资料。</w:t>
      </w:r>
      <w:bookmarkStart w:id="429" w:name="_Toc351203610"/>
      <w:bookmarkStart w:id="430" w:name="_Toc337558826"/>
      <w:bookmarkStart w:id="431" w:name="_Toc296346620"/>
      <w:bookmarkStart w:id="432" w:name="_Toc296503119"/>
    </w:p>
    <w:p w14:paraId="08A770ED">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17.3 不可抗力后果的承担</w:t>
      </w:r>
      <w:bookmarkEnd w:id="429"/>
    </w:p>
    <w:bookmarkEnd w:id="430"/>
    <w:bookmarkEnd w:id="431"/>
    <w:bookmarkEnd w:id="432"/>
    <w:p w14:paraId="6366D39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17.3.1 不可抗力引起的后果及造成的损失由合同当事人按照法律规定及合同约定各自承担。不可抗力发生前已完成的工程应当按照合同约定进行计量支付。</w:t>
      </w:r>
    </w:p>
    <w:p w14:paraId="36B0571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17.3.2 不可抗力导致的人员伤亡、财产损失、费用增加和（或）工期延误等后果，由合同当事人按以下原则承担：</w:t>
      </w:r>
    </w:p>
    <w:p w14:paraId="358C4CAF">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（1）永久工程、已运至施工现场的材料和工程设备的损坏，以及因工程损坏造成的第三人人员伤亡和财产损失由发包人承担；</w:t>
      </w:r>
    </w:p>
    <w:p w14:paraId="7803C692">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（2）承包人施工设备的损坏由承包人承担；</w:t>
      </w:r>
    </w:p>
    <w:p w14:paraId="4D36429E">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（3）发包人和承包人承担各自人员伤亡和财产的损失；</w:t>
      </w:r>
    </w:p>
    <w:p w14:paraId="12D7AE9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5DFC938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（5）因不可抗力引起或将引起工期延误，发包人要求赶工的，由此增加的赶工费用由发包人承担；</w:t>
      </w:r>
    </w:p>
    <w:p w14:paraId="5D4050B9">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（6）承包人在停工期间按照发包人要求照管、清理和修复工程的费用由发包人承担。</w:t>
      </w:r>
    </w:p>
    <w:p w14:paraId="0C8C91AF">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不可抗力发生后，合同当事人均应采取措施尽量避免和减少损失的扩大，任何一方当事人没有采取有效措施导致损失扩大的，应对扩大的损失承担责任。</w:t>
      </w:r>
    </w:p>
    <w:p w14:paraId="79BFA398">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因合同一方迟延履行合同义务，在迟延履行期间遭遇不可抗力的，不免除其违约责任。</w:t>
      </w:r>
      <w:bookmarkStart w:id="433" w:name="_Toc351203611"/>
      <w:bookmarkStart w:id="434" w:name="_Toc337558827"/>
    </w:p>
    <w:p w14:paraId="46126302">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17.4 因不可抗力解除合同</w:t>
      </w:r>
      <w:bookmarkEnd w:id="433"/>
    </w:p>
    <w:bookmarkEnd w:id="434"/>
    <w:p w14:paraId="7F952410">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4A4C0742">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（1）合同解除前承包人已完成工作的价款；</w:t>
      </w:r>
    </w:p>
    <w:p w14:paraId="406E1E8E">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（2）承包人为工程订购的并已交付给承包人，或承包人有责任接受交付的材料、工程设备和其他物品的价款；</w:t>
      </w:r>
    </w:p>
    <w:p w14:paraId="210F8C63">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（3）发包人要求承包人退货或解除订货合同而产生的费用，或因不能退货或解除合同而产生的损失；</w:t>
      </w:r>
    </w:p>
    <w:p w14:paraId="607B8FB9">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（4）承包人撤离施工现场以及遣散承包人人员的费用；</w:t>
      </w:r>
    </w:p>
    <w:p w14:paraId="6A376F85">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（5）按照合同约定在合同解除前应支付给承包人的其他款项；</w:t>
      </w:r>
    </w:p>
    <w:p w14:paraId="7BBA8275">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（6）扣减承包人按照合同约定应向发包人支付的款项；</w:t>
      </w:r>
    </w:p>
    <w:p w14:paraId="6036767C">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（7）双方商定或确定的其他款项。</w:t>
      </w:r>
    </w:p>
    <w:p w14:paraId="11919A6D">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除专用合同条款另有约定外，合同解除后，发包人应在商定或确定上述款项后28天内完成上述款项的支付。</w:t>
      </w:r>
      <w:bookmarkStart w:id="435" w:name="_Toc296346621"/>
      <w:bookmarkStart w:id="436" w:name="_Toc296503120"/>
      <w:bookmarkStart w:id="437" w:name="_Toc337558828"/>
      <w:bookmarkStart w:id="438" w:name="_Toc351203612"/>
    </w:p>
    <w:p w14:paraId="1B1EAFDA">
      <w:pPr>
        <w:adjustRightInd w:val="0"/>
        <w:snapToGrid w:val="0"/>
        <w:spacing w:line="500" w:lineRule="exact"/>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18. 保险</w:t>
      </w:r>
      <w:bookmarkEnd w:id="435"/>
      <w:bookmarkEnd w:id="436"/>
      <w:bookmarkEnd w:id="437"/>
      <w:bookmarkEnd w:id="438"/>
      <w:bookmarkStart w:id="439" w:name="_Toc351203613"/>
      <w:bookmarkStart w:id="440" w:name="_Toc296503121"/>
      <w:bookmarkStart w:id="441" w:name="_Toc296346622"/>
      <w:bookmarkStart w:id="442" w:name="_Toc337558829"/>
    </w:p>
    <w:p w14:paraId="526059B9">
      <w:pPr>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18.1 工程保险</w:t>
      </w:r>
      <w:bookmarkEnd w:id="439"/>
    </w:p>
    <w:bookmarkEnd w:id="440"/>
    <w:bookmarkEnd w:id="441"/>
    <w:bookmarkEnd w:id="442"/>
    <w:p w14:paraId="1552B3A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除专用合同条款另有约定外，发包人应投保建筑工程一切险或安装工程一切险；发包人委托承包人投保的，因投保产生的保险费和其他相关费用由发包人承担。</w:t>
      </w:r>
      <w:bookmarkStart w:id="443" w:name="_Toc351203614"/>
      <w:bookmarkStart w:id="444" w:name="_Toc296346623"/>
      <w:bookmarkStart w:id="445" w:name="_Toc296503122"/>
      <w:bookmarkStart w:id="446" w:name="_Toc337558830"/>
    </w:p>
    <w:p w14:paraId="243AF11E">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18.2 工伤保险</w:t>
      </w:r>
      <w:bookmarkEnd w:id="443"/>
    </w:p>
    <w:bookmarkEnd w:id="444"/>
    <w:bookmarkEnd w:id="445"/>
    <w:bookmarkEnd w:id="446"/>
    <w:p w14:paraId="41C0308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18.2.1 发包人应依照法律规定参加工伤保险，并为在施工现场的全部员工办理工伤保险，缴纳工伤保险费，并要求发包人为履行合同聘请的第三方依法参加工伤保险。</w:t>
      </w:r>
    </w:p>
    <w:p w14:paraId="3EE2A849">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18.2.2 承包人应依照法律规定参加工伤保险，并为其履行合同的全部员工办理工伤保险，缴纳工伤保险费，并要求分包人及由承包人为履行合同聘请的第三方依法参加工伤保险。</w:t>
      </w:r>
      <w:bookmarkStart w:id="447" w:name="_Toc351203615"/>
      <w:bookmarkStart w:id="448" w:name="_Toc337558831"/>
      <w:bookmarkStart w:id="449" w:name="_Toc296503125"/>
      <w:bookmarkStart w:id="450" w:name="_Toc296346626"/>
    </w:p>
    <w:p w14:paraId="76F8D915">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18.3 其他保险</w:t>
      </w:r>
      <w:bookmarkEnd w:id="447"/>
    </w:p>
    <w:bookmarkEnd w:id="448"/>
    <w:bookmarkEnd w:id="449"/>
    <w:bookmarkEnd w:id="450"/>
    <w:p w14:paraId="6D3CA1A1">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发包人和承包人可以为其施工现场的全部人员办理意外伤害保险并支付保险费，包括其员工及为履行合同聘请的第三方的人员，具体事项由合同当事人在专用合同条款约定。</w:t>
      </w:r>
    </w:p>
    <w:p w14:paraId="02F3A433">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除专用合同条款另有约定外，承包人应为其施工设备等办理财产保险。</w:t>
      </w:r>
      <w:bookmarkStart w:id="451" w:name="_Toc351203616"/>
    </w:p>
    <w:p w14:paraId="193CF485">
      <w:pPr>
        <w:adjustRightInd w:val="0"/>
        <w:snapToGrid w:val="0"/>
        <w:spacing w:line="500" w:lineRule="exact"/>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18.4 持续保险</w:t>
      </w:r>
      <w:bookmarkEnd w:id="451"/>
    </w:p>
    <w:p w14:paraId="755A46ED">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合同当事人应与保险人保持联系，使保险人能够随时了解工程实施中的变动，并确保按保险合同条款要求持续保险。</w:t>
      </w:r>
      <w:bookmarkStart w:id="452" w:name="_Toc351203617"/>
      <w:bookmarkStart w:id="453" w:name="_Toc337558832"/>
      <w:bookmarkStart w:id="454" w:name="_Toc296346627"/>
      <w:bookmarkStart w:id="455" w:name="_Toc296503126"/>
    </w:p>
    <w:p w14:paraId="3771FF9A">
      <w:pPr>
        <w:adjustRightInd w:val="0"/>
        <w:snapToGrid w:val="0"/>
        <w:spacing w:line="500" w:lineRule="exact"/>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18.5 保险凭证</w:t>
      </w:r>
      <w:bookmarkEnd w:id="452"/>
    </w:p>
    <w:bookmarkEnd w:id="453"/>
    <w:bookmarkEnd w:id="454"/>
    <w:bookmarkEnd w:id="455"/>
    <w:p w14:paraId="50420A1C">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合同当事人应及时向另一方当事人提交其已投保的各项保险的凭证和保险单复印件。</w:t>
      </w:r>
      <w:bookmarkStart w:id="456" w:name="_Toc351203618"/>
      <w:bookmarkStart w:id="457" w:name="_Toc337558833"/>
      <w:bookmarkStart w:id="458" w:name="_Toc296503127"/>
      <w:bookmarkStart w:id="459" w:name="_Toc296346628"/>
    </w:p>
    <w:p w14:paraId="02C3835C">
      <w:pPr>
        <w:adjustRightInd w:val="0"/>
        <w:snapToGrid w:val="0"/>
        <w:spacing w:line="500" w:lineRule="exact"/>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18.6 未按约定投保的补救</w:t>
      </w:r>
      <w:bookmarkEnd w:id="456"/>
    </w:p>
    <w:bookmarkEnd w:id="457"/>
    <w:bookmarkEnd w:id="458"/>
    <w:bookmarkEnd w:id="459"/>
    <w:p w14:paraId="3D62A80E">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18.6.1发包人未按合同约定办理保险，或未能使保险持续有效的，则承包人可代为办理，所需费用由发包人承担。发包人未按合同约定办理保险，导致未能得到足额赔偿的，由发包人负责补足。</w:t>
      </w:r>
    </w:p>
    <w:p w14:paraId="72B388C4">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18.6.2承包人未按合同约定办理保险，或未能使保险持续有效的，则发包人可代为办理，所需费用由承包人承担。承包人未按合同约定办理保险，导致未能得到足额赔偿的，由承包人负责补足。</w:t>
      </w:r>
      <w:bookmarkStart w:id="460" w:name="_Toc351203619"/>
      <w:bookmarkStart w:id="461" w:name="_Toc337558834"/>
    </w:p>
    <w:p w14:paraId="2B842D2E">
      <w:pPr>
        <w:adjustRightInd w:val="0"/>
        <w:snapToGrid w:val="0"/>
        <w:spacing w:line="500" w:lineRule="exact"/>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18.7 通知义务</w:t>
      </w:r>
      <w:bookmarkEnd w:id="460"/>
    </w:p>
    <w:bookmarkEnd w:id="461"/>
    <w:p w14:paraId="20EEB738">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除专用合同条款另有约定外，发包人变更除工伤保险之外的保险合同时，应事先征得承包人同意，并通知</w:t>
      </w:r>
      <w:r>
        <w:rPr>
          <w:rFonts w:hint="eastAsia" w:ascii="宋体" w:hAnsi="宋体" w:eastAsia="宋体" w:cs="宋体"/>
          <w:color w:val="auto"/>
          <w:sz w:val="28"/>
          <w:szCs w:val="28"/>
          <w:highlight w:val="none"/>
          <w:lang w:eastAsia="zh-CN"/>
        </w:rPr>
        <w:t>发包人</w:t>
      </w:r>
      <w:r>
        <w:rPr>
          <w:rFonts w:hint="eastAsia" w:ascii="宋体" w:hAnsi="宋体" w:eastAsia="宋体" w:cs="宋体"/>
          <w:color w:val="auto"/>
          <w:sz w:val="28"/>
          <w:szCs w:val="28"/>
          <w:highlight w:val="none"/>
        </w:rPr>
        <w:t>；承包人变更除工伤保险之外的保险合同时，应事先征得发包人同意，并通知</w:t>
      </w:r>
      <w:r>
        <w:rPr>
          <w:rFonts w:hint="eastAsia" w:ascii="宋体" w:hAnsi="宋体" w:eastAsia="宋体" w:cs="宋体"/>
          <w:color w:val="auto"/>
          <w:sz w:val="28"/>
          <w:szCs w:val="28"/>
          <w:highlight w:val="none"/>
          <w:lang w:eastAsia="zh-CN"/>
        </w:rPr>
        <w:t>发包人</w:t>
      </w:r>
      <w:r>
        <w:rPr>
          <w:rFonts w:hint="eastAsia" w:ascii="宋体" w:hAnsi="宋体" w:eastAsia="宋体" w:cs="宋体"/>
          <w:color w:val="auto"/>
          <w:sz w:val="28"/>
          <w:szCs w:val="28"/>
          <w:highlight w:val="none"/>
        </w:rPr>
        <w:t>。</w:t>
      </w:r>
    </w:p>
    <w:p w14:paraId="1EC4C8AE">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保险事故发生时，投保人应按照保险合同规定的条件和期限及时向保险人报告。发包人和承包人应当在知道保险事故发生后及时通知对方。</w:t>
      </w:r>
      <w:bookmarkStart w:id="462" w:name="_Toc351203620"/>
      <w:bookmarkStart w:id="463" w:name="_Toc337558835"/>
      <w:bookmarkStart w:id="464" w:name="_Toc296503140"/>
      <w:bookmarkStart w:id="465" w:name="_Toc296346641"/>
    </w:p>
    <w:p w14:paraId="3B067EAB">
      <w:pPr>
        <w:adjustRightInd w:val="0"/>
        <w:snapToGrid w:val="0"/>
        <w:spacing w:line="500" w:lineRule="exact"/>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19. 索赔</w:t>
      </w:r>
      <w:bookmarkEnd w:id="462"/>
      <w:bookmarkEnd w:id="463"/>
      <w:bookmarkEnd w:id="464"/>
      <w:bookmarkEnd w:id="465"/>
      <w:bookmarkStart w:id="466" w:name="_Toc351203621"/>
      <w:bookmarkStart w:id="467" w:name="_Toc337558836"/>
      <w:bookmarkStart w:id="468" w:name="_Toc296346642"/>
      <w:bookmarkStart w:id="469" w:name="_Toc296503141"/>
    </w:p>
    <w:p w14:paraId="0CEC311F">
      <w:pPr>
        <w:adjustRightInd w:val="0"/>
        <w:snapToGrid w:val="0"/>
        <w:spacing w:line="500" w:lineRule="exact"/>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19.1 承包人的索赔</w:t>
      </w:r>
      <w:bookmarkEnd w:id="466"/>
    </w:p>
    <w:bookmarkEnd w:id="467"/>
    <w:bookmarkEnd w:id="468"/>
    <w:bookmarkEnd w:id="469"/>
    <w:p w14:paraId="3C7EFA09">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根据合同约定，承包人认为有权得到追加付款和（或）延长工期的，应按以下程序向发包人提出索赔：</w:t>
      </w:r>
    </w:p>
    <w:p w14:paraId="3E0CFAD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（1）承包人应在知道或应当知道索赔事件发生后28天内，向</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递交索赔意向通知书，并说明发生索赔事件的事由；承包人未在前述28天内发出索赔意向通知书的，丧失要求追加付款和（或）延长工期的权利；</w:t>
      </w:r>
    </w:p>
    <w:p w14:paraId="5C285F1F">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（2）承包人应在发出索赔意向通知书后28天内，向</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正式递交索赔报告；索赔报告应详细说明索赔理由以及要求追加的付款金额和（或）延长的工期，并附必要的记录和证明材料；</w:t>
      </w:r>
    </w:p>
    <w:p w14:paraId="55A82F78">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（3）索赔事件具有持续影响的，承包人应按合理时间间隔继续递交延续索赔通知，说明持续影响的实际情况和记录，列出累计的追加付款金额和（或）工期延长天数；</w:t>
      </w:r>
    </w:p>
    <w:p w14:paraId="449F769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（4）在索赔事件影响结束后28天内，承包人应向</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递交最终索赔报告，说明最终要求索赔的追加付款金额和（或）延长的工期，并附必要的记录和证明材料。</w:t>
      </w:r>
      <w:bookmarkStart w:id="470" w:name="_Toc351203622"/>
      <w:bookmarkStart w:id="471" w:name="_Toc296346643"/>
      <w:bookmarkStart w:id="472" w:name="_Toc296503142"/>
      <w:bookmarkStart w:id="473" w:name="_Toc337558837"/>
    </w:p>
    <w:p w14:paraId="15DB24E2">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19.2 对承包人索赔的处理</w:t>
      </w:r>
      <w:bookmarkEnd w:id="470"/>
    </w:p>
    <w:bookmarkEnd w:id="471"/>
    <w:bookmarkEnd w:id="472"/>
    <w:bookmarkEnd w:id="473"/>
    <w:p w14:paraId="085A82C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对承包人索赔的处理如下：</w:t>
      </w:r>
    </w:p>
    <w:p w14:paraId="16645E59">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对索赔报告存在异议的，有权要求承包人提交全部原始记录副本；</w:t>
      </w:r>
    </w:p>
    <w:p w14:paraId="7FD2F458">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（2）发包人应在</w:t>
      </w:r>
      <w:r>
        <w:rPr>
          <w:rFonts w:hint="eastAsia" w:ascii="宋体" w:hAnsi="宋体" w:eastAsia="宋体" w:cs="宋体"/>
          <w:color w:val="auto"/>
          <w:kern w:val="0"/>
          <w:sz w:val="28"/>
          <w:szCs w:val="28"/>
          <w:highlight w:val="none"/>
          <w:lang w:val="en-US" w:eastAsia="zh-CN"/>
        </w:rPr>
        <w:t>承包人</w:t>
      </w:r>
      <w:r>
        <w:rPr>
          <w:rFonts w:hint="eastAsia" w:ascii="宋体" w:hAnsi="宋体" w:eastAsia="宋体" w:cs="宋体"/>
          <w:color w:val="auto"/>
          <w:kern w:val="0"/>
          <w:sz w:val="28"/>
          <w:szCs w:val="28"/>
          <w:highlight w:val="none"/>
        </w:rPr>
        <w:t>收到索赔报告或有关索赔的进一步证明材料后的28天内，由</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向承包人出具经发包人签认的索赔处理结果。发包人逾期答复的，则视为认可承包人的索赔要求；</w:t>
      </w:r>
    </w:p>
    <w:p w14:paraId="0EE6B03D">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（3）承包人接受索赔处理结果的，索赔款项在当期进度款中进行支付；承包人不接受索赔处理结果的，按照第20条〔争议解决〕约定处理。</w:t>
      </w:r>
      <w:bookmarkStart w:id="474" w:name="_Toc351203623"/>
      <w:bookmarkStart w:id="475" w:name="_Toc296346644"/>
      <w:bookmarkStart w:id="476" w:name="_Toc296503143"/>
      <w:bookmarkStart w:id="477" w:name="_Toc337558838"/>
    </w:p>
    <w:p w14:paraId="035092E8">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19.3 发包人的索赔</w:t>
      </w:r>
      <w:bookmarkEnd w:id="474"/>
    </w:p>
    <w:bookmarkEnd w:id="475"/>
    <w:bookmarkEnd w:id="476"/>
    <w:bookmarkEnd w:id="477"/>
    <w:p w14:paraId="71BDF4F6">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根据合同约定，发包人认为有权得到赔付金额和（或）延长缺陷责任期的，</w:t>
      </w:r>
      <w:r>
        <w:rPr>
          <w:rFonts w:hint="eastAsia" w:ascii="宋体" w:hAnsi="宋体" w:eastAsia="宋体" w:cs="宋体"/>
          <w:color w:val="auto"/>
          <w:kern w:val="0"/>
          <w:sz w:val="28"/>
          <w:szCs w:val="28"/>
          <w:highlight w:val="none"/>
          <w:lang w:eastAsia="zh-CN"/>
        </w:rPr>
        <w:t>发包人</w:t>
      </w:r>
      <w:r>
        <w:rPr>
          <w:rFonts w:hint="eastAsia" w:ascii="宋体" w:hAnsi="宋体" w:eastAsia="宋体" w:cs="宋体"/>
          <w:color w:val="auto"/>
          <w:kern w:val="0"/>
          <w:sz w:val="28"/>
          <w:szCs w:val="28"/>
          <w:highlight w:val="none"/>
        </w:rPr>
        <w:t>应向承包人发出通知并附有详细的证明。</w:t>
      </w:r>
    </w:p>
    <w:p w14:paraId="5ACCC86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应在知道或应当知道索赔事件发生后28天内向承包人提出索赔意向通知书，发包人未在前述28天内发出索赔意向通知书的，丧失要求赔付金额和（或）延长缺陷责任期的权利。发包人应在发出索赔意向通知书后28天内，通过承包人正式递交索赔报告。</w:t>
      </w:r>
      <w:bookmarkStart w:id="478" w:name="_Toc351203624"/>
      <w:bookmarkStart w:id="479" w:name="_Toc296503144"/>
      <w:bookmarkStart w:id="480" w:name="_Toc296346645"/>
      <w:bookmarkStart w:id="481" w:name="_Toc337558839"/>
    </w:p>
    <w:p w14:paraId="68135983">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19.4 对发包人索赔的处理</w:t>
      </w:r>
      <w:bookmarkEnd w:id="478"/>
    </w:p>
    <w:bookmarkEnd w:id="479"/>
    <w:bookmarkEnd w:id="480"/>
    <w:bookmarkEnd w:id="481"/>
    <w:p w14:paraId="741017E5">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对发包人索赔的处理如下：</w:t>
      </w:r>
    </w:p>
    <w:p w14:paraId="230D4711">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（1）承包人收到发包人提交的索赔报告后，应及时审查索赔报告的内容、查验发包人证明材料；</w:t>
      </w:r>
    </w:p>
    <w:p w14:paraId="7640252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（2）承包人应在收到索赔报告或有关索赔的进一步证明材料后28天内，将索赔处理结果答复发包人。如果承包人未在上述期限内作出答复的，则视为对发包人索赔要求的认可；</w:t>
      </w:r>
    </w:p>
    <w:p w14:paraId="5A794913">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（3）承包人接受索赔处理结果的，发包人可从应支付给承包人的合同价款中扣除赔付的金额或延长缺陷责任期；发包人不接受索赔处理结果的，按第20条〔争议解决〕约定处理。</w:t>
      </w:r>
      <w:bookmarkStart w:id="482" w:name="_Toc351203625"/>
    </w:p>
    <w:p w14:paraId="2B781061">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19.5 提出索赔的期限</w:t>
      </w:r>
      <w:bookmarkEnd w:id="482"/>
    </w:p>
    <w:p w14:paraId="2CF057C6">
      <w:pPr>
        <w:adjustRightInd w:val="0"/>
        <w:snapToGrid w:val="0"/>
        <w:spacing w:line="50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（1）承包人按第14.2款〔竣工结算审核〕约定接收竣工付款证书后，应被视为已无权再提出在工程接收证书颁发前所发生的任何索赔。</w:t>
      </w:r>
    </w:p>
    <w:p w14:paraId="06D2DBDE">
      <w:pPr>
        <w:adjustRightInd w:val="0"/>
        <w:snapToGrid w:val="0"/>
        <w:spacing w:line="50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（2）承包人按第14.4款〔最终结清〕提交的最终结清申请单中，只限于提出工程接收证书颁发后发生的索赔。提出索赔的期限自接受最终结清证书时终止。</w:t>
      </w:r>
      <w:bookmarkStart w:id="483" w:name="_Toc351203626"/>
    </w:p>
    <w:p w14:paraId="7531E389">
      <w:pPr>
        <w:adjustRightInd w:val="0"/>
        <w:snapToGrid w:val="0"/>
        <w:spacing w:line="5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20</w:t>
      </w:r>
      <w:bookmarkStart w:id="484" w:name="_Toc296503146"/>
      <w:bookmarkStart w:id="485" w:name="_Toc337558840"/>
      <w:bookmarkStart w:id="486" w:name="_Toc296346647"/>
      <w:r>
        <w:rPr>
          <w:rFonts w:hint="eastAsia" w:ascii="宋体" w:hAnsi="宋体" w:eastAsia="宋体" w:cs="宋体"/>
          <w:b/>
          <w:color w:val="auto"/>
          <w:sz w:val="28"/>
          <w:szCs w:val="28"/>
          <w:highlight w:val="none"/>
        </w:rPr>
        <w:t>. 争议解决</w:t>
      </w:r>
      <w:bookmarkEnd w:id="483"/>
      <w:bookmarkEnd w:id="484"/>
      <w:bookmarkEnd w:id="485"/>
      <w:bookmarkEnd w:id="486"/>
      <w:bookmarkStart w:id="487" w:name="_Toc351203627"/>
      <w:bookmarkStart w:id="488" w:name="_Toc337558841"/>
      <w:bookmarkStart w:id="489" w:name="_Toc296346648"/>
      <w:bookmarkStart w:id="490" w:name="_Toc296503147"/>
    </w:p>
    <w:p w14:paraId="2CA12F4D">
      <w:pPr>
        <w:adjustRightInd w:val="0"/>
        <w:snapToGrid w:val="0"/>
        <w:spacing w:line="500" w:lineRule="exact"/>
        <w:ind w:firstLine="562" w:firstLineChars="200"/>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20.1 和解</w:t>
      </w:r>
      <w:bookmarkEnd w:id="487"/>
    </w:p>
    <w:bookmarkEnd w:id="488"/>
    <w:bookmarkEnd w:id="489"/>
    <w:bookmarkEnd w:id="490"/>
    <w:p w14:paraId="5BBB9B04">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合同当事人可以就争议自行和解，自行和解达成协议的经双方签字并盖章后作为合同补充文件，双方均应遵照执行。</w:t>
      </w:r>
      <w:bookmarkStart w:id="491" w:name="_Toc351203628"/>
    </w:p>
    <w:p w14:paraId="4F4EF05C">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20</w:t>
      </w:r>
      <w:bookmarkStart w:id="492" w:name="_Toc337558842"/>
      <w:bookmarkStart w:id="493" w:name="_Toc296503148"/>
      <w:bookmarkStart w:id="494" w:name="_Toc296346649"/>
      <w:r>
        <w:rPr>
          <w:rFonts w:hint="eastAsia" w:ascii="宋体" w:hAnsi="宋体" w:eastAsia="宋体" w:cs="宋体"/>
          <w:b/>
          <w:color w:val="auto"/>
          <w:sz w:val="28"/>
          <w:szCs w:val="28"/>
          <w:highlight w:val="none"/>
        </w:rPr>
        <w:t>.2 调解</w:t>
      </w:r>
      <w:bookmarkEnd w:id="491"/>
    </w:p>
    <w:bookmarkEnd w:id="492"/>
    <w:bookmarkEnd w:id="493"/>
    <w:bookmarkEnd w:id="494"/>
    <w:p w14:paraId="129E52F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合同当事人可以就争议请求建设行政主管部门、行业协会或其他第三方进行调解，调解达成协议的，经双方签字并盖章后作为合同补充文件，双方均应遵照执行。</w:t>
      </w:r>
      <w:bookmarkStart w:id="495" w:name="_Toc351203629"/>
      <w:bookmarkStart w:id="496" w:name="_Toc296503149"/>
      <w:bookmarkStart w:id="497" w:name="_Toc296346650"/>
      <w:bookmarkStart w:id="498" w:name="_Toc337558843"/>
    </w:p>
    <w:p w14:paraId="528A32BC">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20.3 争议评审</w:t>
      </w:r>
      <w:bookmarkEnd w:id="495"/>
    </w:p>
    <w:bookmarkEnd w:id="496"/>
    <w:bookmarkEnd w:id="497"/>
    <w:bookmarkEnd w:id="498"/>
    <w:p w14:paraId="07023181">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合同当事人在专用合同条款中约定采取争议评审方式解决争议以及评审规则，并按下列约定执行： </w:t>
      </w:r>
    </w:p>
    <w:p w14:paraId="1244A0D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20.3.1 争议评审小组的确定</w:t>
      </w:r>
    </w:p>
    <w:p w14:paraId="0635B1CA">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合同当事人可以共同选择一名或三名争议评审员，组成争议评审小组。除专用合同条款另有约定外，合同当事人应当自合同签订后28天内，或者争议发生后14天内，选定争议评审员。</w:t>
      </w:r>
    </w:p>
    <w:p w14:paraId="5494251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24B3F1DB">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除专用合同条款另有约定外，评审员报酬由发包人和承包人各承担一半。</w:t>
      </w:r>
    </w:p>
    <w:p w14:paraId="785BBB58">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20.3.2 争议评审小组的决定</w:t>
      </w:r>
    </w:p>
    <w:p w14:paraId="7BCCFD50">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4487E75F">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20.3.3 争议评审小组决定的效力</w:t>
      </w:r>
    </w:p>
    <w:p w14:paraId="268C8547">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争议评审小组作出的书面决定经合同当事人签字确认后，对双方具有约束力，双方应遵照执行。</w:t>
      </w:r>
    </w:p>
    <w:p w14:paraId="7FE71B8D">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任何一方当事人不接受争议评审小组决定或不履行争议评审小组决定的，双方可选择采用其他争议解决方式。</w:t>
      </w:r>
      <w:bookmarkStart w:id="499" w:name="_Toc351203630"/>
      <w:bookmarkStart w:id="500" w:name="_Toc296503150"/>
      <w:bookmarkStart w:id="501" w:name="_Toc337558844"/>
      <w:bookmarkStart w:id="502" w:name="_Toc296346651"/>
    </w:p>
    <w:p w14:paraId="625D5AC8">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20.4 仲裁或诉讼</w:t>
      </w:r>
      <w:bookmarkEnd w:id="499"/>
    </w:p>
    <w:bookmarkEnd w:id="500"/>
    <w:bookmarkEnd w:id="501"/>
    <w:bookmarkEnd w:id="502"/>
    <w:p w14:paraId="3FEB37AF">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因合同及合同有关事项产生的争议，合同当事人可以在专用合同条款中约定以下一种方式解决争议：</w:t>
      </w:r>
    </w:p>
    <w:p w14:paraId="66D53CF0">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（1）向约定的仲裁委员会申请仲裁；</w:t>
      </w:r>
    </w:p>
    <w:p w14:paraId="43B5F14C">
      <w:pPr>
        <w:autoSpaceDE w:val="0"/>
        <w:autoSpaceDN w:val="0"/>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（2）向有管辖权的人民法院起诉。</w:t>
      </w:r>
      <w:bookmarkStart w:id="503" w:name="_Toc351203631"/>
      <w:bookmarkStart w:id="504" w:name="_Toc296346653"/>
      <w:bookmarkStart w:id="505" w:name="_Toc296503152"/>
      <w:bookmarkStart w:id="506" w:name="_Toc337558845"/>
    </w:p>
    <w:p w14:paraId="79927B28">
      <w:pPr>
        <w:autoSpaceDE w:val="0"/>
        <w:autoSpaceDN w:val="0"/>
        <w:adjustRightInd w:val="0"/>
        <w:snapToGrid w:val="0"/>
        <w:spacing w:line="500" w:lineRule="exact"/>
        <w:ind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sz w:val="28"/>
          <w:szCs w:val="28"/>
          <w:highlight w:val="none"/>
        </w:rPr>
        <w:t>20.5 争议解决条款效力</w:t>
      </w:r>
      <w:bookmarkEnd w:id="503"/>
    </w:p>
    <w:bookmarkEnd w:id="504"/>
    <w:bookmarkEnd w:id="505"/>
    <w:bookmarkEnd w:id="506"/>
    <w:p w14:paraId="3B1F4378">
      <w:pPr>
        <w:autoSpaceDE w:val="0"/>
        <w:autoSpaceDN w:val="0"/>
        <w:adjustRightInd w:val="0"/>
        <w:snapToGrid w:val="0"/>
        <w:spacing w:line="500" w:lineRule="exact"/>
        <w:ind w:firstLine="560" w:firstLineChars="200"/>
        <w:jc w:val="left"/>
        <w:rPr>
          <w:rFonts w:hint="eastAsia" w:ascii="宋体" w:hAnsi="宋体" w:eastAsia="宋体" w:cs="宋体"/>
          <w:color w:val="auto"/>
          <w:sz w:val="44"/>
          <w:szCs w:val="44"/>
          <w:highlight w:val="none"/>
        </w:rPr>
      </w:pPr>
      <w:r>
        <w:rPr>
          <w:rFonts w:hint="eastAsia" w:ascii="宋体" w:hAnsi="宋体" w:eastAsia="宋体" w:cs="宋体"/>
          <w:color w:val="auto"/>
          <w:kern w:val="0"/>
          <w:sz w:val="28"/>
          <w:szCs w:val="28"/>
          <w:highlight w:val="none"/>
        </w:rPr>
        <w:t xml:space="preserve">合同有关争议解决的条款独立存在，合同的变更、解除、终止、无效或者被撤销均不影响其效力。 </w:t>
      </w:r>
      <w:bookmarkStart w:id="507" w:name="_Toc351203632"/>
    </w:p>
    <w:p w14:paraId="505AF178">
      <w:pPr>
        <w:numPr>
          <w:ilvl w:val="0"/>
          <w:numId w:val="6"/>
        </w:numPr>
        <w:autoSpaceDE w:val="0"/>
        <w:autoSpaceDN w:val="0"/>
        <w:adjustRightInd w:val="0"/>
        <w:snapToGrid w:val="0"/>
        <w:spacing w:line="500" w:lineRule="exact"/>
        <w:jc w:val="center"/>
        <w:rPr>
          <w:rFonts w:hint="eastAsia" w:ascii="宋体" w:hAnsi="宋体" w:eastAsia="宋体" w:cs="宋体"/>
          <w:b/>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44"/>
          <w:szCs w:val="44"/>
          <w:highlight w:val="none"/>
        </w:rPr>
        <w:t>专用合同条款</w:t>
      </w:r>
      <w:bookmarkEnd w:id="507"/>
      <w:bookmarkStart w:id="508" w:name="_Toc351203633"/>
    </w:p>
    <w:bookmarkEnd w:id="508"/>
    <w:p w14:paraId="47DCB3CF">
      <w:pPr>
        <w:spacing w:line="5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 一般约定</w:t>
      </w:r>
    </w:p>
    <w:p w14:paraId="03D10E67">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词语定义</w:t>
      </w:r>
    </w:p>
    <w:p w14:paraId="4097163F">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 合同</w:t>
      </w:r>
    </w:p>
    <w:p w14:paraId="00D6D30A">
      <w:pPr>
        <w:spacing w:line="360" w:lineRule="auto"/>
        <w:ind w:left="625" w:leftChars="284"/>
        <w:rPr>
          <w:rFonts w:hint="eastAsia" w:ascii="宋体" w:hAnsi="宋体" w:eastAsia="宋体" w:cs="宋体"/>
          <w:color w:val="auto"/>
          <w:highlight w:val="none"/>
        </w:rPr>
      </w:pPr>
      <w:r>
        <w:rPr>
          <w:rFonts w:hint="eastAsia" w:ascii="宋体" w:hAnsi="宋体" w:eastAsia="宋体" w:cs="宋体"/>
          <w:color w:val="auto"/>
          <w:sz w:val="28"/>
          <w:szCs w:val="28"/>
          <w:highlight w:val="none"/>
        </w:rPr>
        <w:t>1.1.1.10 其他合同文件包括：</w:t>
      </w:r>
      <w:r>
        <w:rPr>
          <w:rFonts w:hint="eastAsia" w:ascii="宋体" w:hAnsi="宋体" w:eastAsia="宋体" w:cs="宋体"/>
          <w:color w:val="auto"/>
          <w:sz w:val="28"/>
          <w:szCs w:val="28"/>
          <w:highlight w:val="none"/>
          <w:u w:val="single"/>
        </w:rPr>
        <w:t>相应的国家和自治区规定的法律法规技术标准规范。</w:t>
      </w:r>
    </w:p>
    <w:p w14:paraId="08F5F0F7">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1.1.2 合同当事人及其他相关方</w:t>
      </w:r>
    </w:p>
    <w:p w14:paraId="5C49AA03">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1.1.2.5 设计人：</w:t>
      </w:r>
    </w:p>
    <w:p w14:paraId="53142945">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64586202">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资质类别和等级：</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5F3875ED">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63B94063">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电子信箱：</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50C1B38">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通信地址：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70DF629A">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1.1.3 工程和设备</w:t>
      </w:r>
    </w:p>
    <w:p w14:paraId="38AEA2C9">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1.1.3.7 作为施工现场组成部分的其他场所包括</w:t>
      </w:r>
      <w:r>
        <w:rPr>
          <w:rFonts w:hint="eastAsia" w:ascii="宋体" w:hAnsi="宋体" w:eastAsia="宋体" w:cs="宋体"/>
          <w:color w:val="auto"/>
          <w:sz w:val="28"/>
          <w:szCs w:val="28"/>
          <w:highlight w:val="none"/>
          <w:lang w:val="en-US" w:eastAsia="zh-CN"/>
        </w:rPr>
        <w:t>:</w:t>
      </w:r>
      <w:r>
        <w:rPr>
          <w:rFonts w:hint="eastAsia" w:ascii="宋体" w:hAnsi="宋体" w:eastAsia="宋体" w:cs="宋体"/>
          <w:b/>
          <w:bCs/>
          <w:color w:val="auto"/>
          <w:sz w:val="28"/>
          <w:szCs w:val="28"/>
          <w:highlight w:val="none"/>
          <w:u w:val="single"/>
        </w:rPr>
        <w:t xml:space="preserve"> 按通用条款执行  </w:t>
      </w:r>
      <w:r>
        <w:rPr>
          <w:rFonts w:hint="eastAsia" w:ascii="宋体" w:hAnsi="宋体" w:eastAsia="宋体" w:cs="宋体"/>
          <w:color w:val="auto"/>
          <w:sz w:val="28"/>
          <w:szCs w:val="28"/>
          <w:highlight w:val="none"/>
        </w:rPr>
        <w:t>。</w:t>
      </w:r>
    </w:p>
    <w:p w14:paraId="1E41C22D">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1.1.3.9 永久占地包括：</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w:t>
      </w:r>
    </w:p>
    <w:p w14:paraId="4D05F01F">
      <w:pPr>
        <w:spacing w:line="500" w:lineRule="exact"/>
        <w:ind w:firstLine="560" w:firstLineChars="200"/>
        <w:jc w:val="left"/>
        <w:rPr>
          <w:rFonts w:hint="eastAsia" w:ascii="宋体" w:hAnsi="宋体" w:eastAsia="宋体" w:cs="宋体"/>
          <w:b/>
          <w:bCs/>
          <w:color w:val="auto"/>
          <w:sz w:val="28"/>
          <w:szCs w:val="28"/>
          <w:highlight w:val="none"/>
          <w:u w:val="single"/>
        </w:rPr>
      </w:pPr>
      <w:r>
        <w:rPr>
          <w:rFonts w:hint="eastAsia" w:ascii="宋体" w:hAnsi="宋体" w:eastAsia="宋体" w:cs="宋体"/>
          <w:color w:val="auto"/>
          <w:sz w:val="28"/>
          <w:szCs w:val="28"/>
          <w:highlight w:val="none"/>
        </w:rPr>
        <w:t>1.1.3.10 临时占地包括：</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w:t>
      </w:r>
      <w:r>
        <w:rPr>
          <w:rFonts w:hint="eastAsia" w:ascii="宋体" w:hAnsi="宋体" w:eastAsia="宋体" w:cs="宋体"/>
          <w:b/>
          <w:bCs/>
          <w:color w:val="auto"/>
          <w:sz w:val="28"/>
          <w:szCs w:val="28"/>
          <w:highlight w:val="none"/>
          <w:u w:val="single"/>
        </w:rPr>
        <w:t xml:space="preserve">。 </w:t>
      </w:r>
    </w:p>
    <w:p w14:paraId="5A5CA1C6">
      <w:pPr>
        <w:spacing w:line="500" w:lineRule="exact"/>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1.3法律</w:t>
      </w:r>
    </w:p>
    <w:p w14:paraId="417CB21E">
      <w:pPr>
        <w:spacing w:line="500" w:lineRule="exact"/>
        <w:ind w:firstLine="560" w:firstLineChars="200"/>
        <w:jc w:val="left"/>
        <w:rPr>
          <w:rFonts w:hint="eastAsia" w:ascii="宋体" w:hAnsi="宋体" w:eastAsia="宋体" w:cs="宋体"/>
          <w:b/>
          <w:bCs/>
          <w:color w:val="auto"/>
          <w:sz w:val="28"/>
          <w:szCs w:val="28"/>
          <w:highlight w:val="none"/>
          <w:u w:val="single"/>
        </w:rPr>
      </w:pPr>
      <w:r>
        <w:rPr>
          <w:rFonts w:hint="eastAsia" w:ascii="宋体" w:hAnsi="宋体" w:eastAsia="宋体" w:cs="宋体"/>
          <w:color w:val="auto"/>
          <w:sz w:val="28"/>
          <w:szCs w:val="28"/>
          <w:highlight w:val="none"/>
        </w:rPr>
        <w:t xml:space="preserve">适用于合同的其他规范性文件： </w:t>
      </w:r>
      <w:r>
        <w:rPr>
          <w:rFonts w:hint="eastAsia" w:ascii="宋体" w:hAnsi="宋体" w:eastAsia="宋体" w:cs="宋体"/>
          <w:b/>
          <w:bCs/>
          <w:color w:val="auto"/>
          <w:sz w:val="28"/>
          <w:szCs w:val="28"/>
          <w:highlight w:val="none"/>
          <w:u w:val="single"/>
        </w:rPr>
        <w:t xml:space="preserve">适用于合同的其他规范性文件：《建筑法》、《合同法》、《安全生产法》、《建筑工程质量管理条例》等国家法规及自治区和地方的有关规定。 </w:t>
      </w:r>
    </w:p>
    <w:p w14:paraId="013EF331">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 标准和规范</w:t>
      </w:r>
    </w:p>
    <w:p w14:paraId="7EE423DE">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1.4.1 适用于工程的标准规范包括：</w:t>
      </w:r>
      <w:r>
        <w:rPr>
          <w:rFonts w:hint="eastAsia" w:ascii="宋体" w:hAnsi="宋体" w:eastAsia="宋体" w:cs="宋体"/>
          <w:b/>
          <w:bCs/>
          <w:color w:val="auto"/>
          <w:sz w:val="28"/>
          <w:szCs w:val="28"/>
          <w:highlight w:val="none"/>
          <w:u w:val="single"/>
        </w:rPr>
        <w:t xml:space="preserve"> 《建设工程工程量清单计价规范》GB50500- - 2013/ 《建筑法》、《建筑工程质量管理条例》《建筑工程质量管理体系》《安全生产法》《合同法》及自治区和地方有关规定。</w:t>
      </w:r>
    </w:p>
    <w:p w14:paraId="6DA319C1">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1.4.2 发包人提供国外标准、规范的名称：</w:t>
      </w:r>
      <w:r>
        <w:rPr>
          <w:rFonts w:hint="eastAsia" w:ascii="宋体" w:hAnsi="宋体" w:eastAsia="宋体" w:cs="宋体"/>
          <w:b/>
          <w:bCs/>
          <w:color w:val="auto"/>
          <w:sz w:val="28"/>
          <w:szCs w:val="28"/>
          <w:highlight w:val="none"/>
          <w:u w:val="single"/>
        </w:rPr>
        <w:t xml:space="preserve">      无      </w:t>
      </w:r>
      <w:r>
        <w:rPr>
          <w:rFonts w:hint="eastAsia" w:ascii="宋体" w:hAnsi="宋体" w:eastAsia="宋体" w:cs="宋体"/>
          <w:color w:val="auto"/>
          <w:sz w:val="28"/>
          <w:szCs w:val="28"/>
          <w:highlight w:val="none"/>
        </w:rPr>
        <w:t>；</w:t>
      </w:r>
    </w:p>
    <w:p w14:paraId="5F08B0E4">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发包人提供国外标准、规范的份数：</w:t>
      </w:r>
      <w:r>
        <w:rPr>
          <w:rFonts w:hint="eastAsia" w:ascii="宋体" w:hAnsi="宋体" w:eastAsia="宋体" w:cs="宋体"/>
          <w:b/>
          <w:bCs/>
          <w:color w:val="auto"/>
          <w:sz w:val="28"/>
          <w:szCs w:val="28"/>
          <w:highlight w:val="none"/>
          <w:u w:val="single"/>
        </w:rPr>
        <w:t xml:space="preserve">            无      </w:t>
      </w:r>
      <w:r>
        <w:rPr>
          <w:rFonts w:hint="eastAsia" w:ascii="宋体" w:hAnsi="宋体" w:eastAsia="宋体" w:cs="宋体"/>
          <w:color w:val="auto"/>
          <w:sz w:val="28"/>
          <w:szCs w:val="28"/>
          <w:highlight w:val="none"/>
        </w:rPr>
        <w:t>；</w:t>
      </w:r>
    </w:p>
    <w:p w14:paraId="0AD94D01">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发包人提供国外标准、规范的名称：</w:t>
      </w:r>
      <w:r>
        <w:rPr>
          <w:rFonts w:hint="eastAsia" w:ascii="宋体" w:hAnsi="宋体" w:eastAsia="宋体" w:cs="宋体"/>
          <w:b/>
          <w:bCs/>
          <w:color w:val="auto"/>
          <w:sz w:val="28"/>
          <w:szCs w:val="28"/>
          <w:highlight w:val="none"/>
          <w:u w:val="single"/>
        </w:rPr>
        <w:t xml:space="preserve">            无      </w:t>
      </w:r>
      <w:r>
        <w:rPr>
          <w:rFonts w:hint="eastAsia" w:ascii="宋体" w:hAnsi="宋体" w:eastAsia="宋体" w:cs="宋体"/>
          <w:color w:val="auto"/>
          <w:sz w:val="28"/>
          <w:szCs w:val="28"/>
          <w:highlight w:val="none"/>
        </w:rPr>
        <w:t>。</w:t>
      </w:r>
    </w:p>
    <w:p w14:paraId="24A9CAD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1.4.3 发包人对工程的技术标准和功能要求的特殊要求：</w:t>
      </w:r>
    </w:p>
    <w:p w14:paraId="512BC214">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 合同文件的优先顺序</w:t>
      </w:r>
    </w:p>
    <w:p w14:paraId="0C0BB87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合同文件组成及优先顺序为：</w:t>
      </w:r>
      <w:r>
        <w:rPr>
          <w:rFonts w:hint="eastAsia" w:ascii="宋体" w:hAnsi="宋体" w:eastAsia="宋体" w:cs="宋体"/>
          <w:b/>
          <w:bCs/>
          <w:color w:val="auto"/>
          <w:sz w:val="28"/>
          <w:szCs w:val="28"/>
          <w:highlight w:val="none"/>
          <w:u w:val="single"/>
        </w:rPr>
        <w:t xml:space="preserve"> 执行本合同通用条款 1.5  条</w:t>
      </w:r>
      <w:r>
        <w:rPr>
          <w:rFonts w:hint="eastAsia" w:ascii="宋体" w:hAnsi="宋体" w:eastAsia="宋体" w:cs="宋体"/>
          <w:color w:val="auto"/>
          <w:sz w:val="28"/>
          <w:szCs w:val="28"/>
          <w:highlight w:val="none"/>
        </w:rPr>
        <w:t>。</w:t>
      </w:r>
    </w:p>
    <w:p w14:paraId="0D772932">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 图纸和承包人文件</w:t>
      </w:r>
    </w:p>
    <w:p w14:paraId="747D76D6">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1.6.1 图纸的提供</w:t>
      </w:r>
    </w:p>
    <w:p w14:paraId="22975A3D">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发包人向承包人提供图纸的期限：</w:t>
      </w:r>
      <w:r>
        <w:rPr>
          <w:rFonts w:hint="eastAsia" w:ascii="宋体" w:hAnsi="宋体" w:eastAsia="宋体" w:cs="宋体"/>
          <w:b/>
          <w:bCs/>
          <w:color w:val="auto"/>
          <w:sz w:val="28"/>
          <w:szCs w:val="28"/>
          <w:highlight w:val="none"/>
          <w:u w:val="single"/>
        </w:rPr>
        <w:t xml:space="preserve"> 工程开工前 7 日 </w:t>
      </w:r>
      <w:r>
        <w:rPr>
          <w:rFonts w:hint="eastAsia" w:ascii="宋体" w:hAnsi="宋体" w:eastAsia="宋体" w:cs="宋体"/>
          <w:color w:val="auto"/>
          <w:sz w:val="28"/>
          <w:szCs w:val="28"/>
          <w:highlight w:val="none"/>
        </w:rPr>
        <w:t>；</w:t>
      </w:r>
    </w:p>
    <w:p w14:paraId="3919DF8E">
      <w:pPr>
        <w:pStyle w:val="10"/>
        <w:ind w:firstLine="560" w:firstLineChars="200"/>
        <w:rPr>
          <w:rFonts w:hint="eastAsia" w:ascii="宋体" w:hAnsi="宋体" w:eastAsia="宋体" w:cs="宋体"/>
          <w:b/>
          <w:bCs/>
          <w:color w:val="auto"/>
          <w:sz w:val="28"/>
          <w:szCs w:val="28"/>
          <w:highlight w:val="none"/>
          <w:u w:val="single"/>
          <w:lang w:val="en-US" w:eastAsia="zh-CN"/>
        </w:rPr>
      </w:pPr>
      <w:r>
        <w:rPr>
          <w:rFonts w:hint="eastAsia" w:ascii="宋体" w:hAnsi="宋体" w:eastAsia="宋体" w:cs="宋体"/>
          <w:color w:val="auto"/>
          <w:sz w:val="28"/>
          <w:szCs w:val="28"/>
          <w:highlight w:val="none"/>
        </w:rPr>
        <w:t>发包人向承包人提供图纸的数量：</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提供场地平整施工图贰套；</w:t>
      </w:r>
    </w:p>
    <w:p w14:paraId="5EE6078E">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发包人向承包人提供图纸的内容：</w:t>
      </w:r>
      <w:r>
        <w:rPr>
          <w:rFonts w:hint="eastAsia" w:ascii="宋体" w:hAnsi="宋体" w:eastAsia="宋体" w:cs="宋体"/>
          <w:b/>
          <w:bCs/>
          <w:color w:val="auto"/>
          <w:sz w:val="28"/>
          <w:szCs w:val="28"/>
          <w:highlight w:val="none"/>
          <w:u w:val="single"/>
        </w:rPr>
        <w:t xml:space="preserve">      施工图纸       </w:t>
      </w:r>
      <w:r>
        <w:rPr>
          <w:rFonts w:hint="eastAsia" w:ascii="宋体" w:hAnsi="宋体" w:eastAsia="宋体" w:cs="宋体"/>
          <w:color w:val="auto"/>
          <w:sz w:val="28"/>
          <w:szCs w:val="28"/>
          <w:highlight w:val="none"/>
        </w:rPr>
        <w:t>。</w:t>
      </w:r>
    </w:p>
    <w:p w14:paraId="35E1F8C0">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1.6.4 承包人文件需要由承包人提供的文件包括：</w:t>
      </w:r>
      <w:r>
        <w:rPr>
          <w:rFonts w:hint="eastAsia" w:ascii="宋体" w:hAnsi="宋体" w:eastAsia="宋体" w:cs="宋体"/>
          <w:b/>
          <w:bCs/>
          <w:color w:val="auto"/>
          <w:sz w:val="28"/>
          <w:szCs w:val="28"/>
          <w:highlight w:val="none"/>
          <w:u w:val="single"/>
        </w:rPr>
        <w:t xml:space="preserve"> 施工组织设计方案、施工进度计划，安全生产保证措施，文明施工保证措施，治安保卫措施，项目资金使用计划，应急处理预案，双方另行确定的进度报表及有关现场的经济签证、会议纪要、设计变更、图纸答疑等资料 </w:t>
      </w:r>
      <w:r>
        <w:rPr>
          <w:rFonts w:hint="eastAsia" w:ascii="宋体" w:hAnsi="宋体" w:eastAsia="宋体" w:cs="宋体"/>
          <w:color w:val="auto"/>
          <w:sz w:val="28"/>
          <w:szCs w:val="28"/>
          <w:highlight w:val="none"/>
        </w:rPr>
        <w:t>；</w:t>
      </w:r>
    </w:p>
    <w:p w14:paraId="1A9D20D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承包人提供的文件的期限为： </w:t>
      </w:r>
      <w:r>
        <w:rPr>
          <w:rFonts w:hint="eastAsia" w:ascii="宋体" w:hAnsi="宋体" w:eastAsia="宋体" w:cs="宋体"/>
          <w:b/>
          <w:bCs/>
          <w:color w:val="auto"/>
          <w:sz w:val="28"/>
          <w:szCs w:val="28"/>
          <w:highlight w:val="none"/>
          <w:u w:val="single"/>
        </w:rPr>
        <w:t>接到发包人要求后 7 个日历日向</w:t>
      </w:r>
      <w:r>
        <w:rPr>
          <w:rFonts w:hint="eastAsia" w:ascii="宋体" w:hAnsi="宋体" w:eastAsia="宋体" w:cs="宋体"/>
          <w:b/>
          <w:bCs/>
          <w:color w:val="auto"/>
          <w:sz w:val="28"/>
          <w:szCs w:val="28"/>
          <w:highlight w:val="none"/>
          <w:u w:val="single"/>
          <w:lang w:eastAsia="zh-CN"/>
        </w:rPr>
        <w:t>发包人</w:t>
      </w:r>
      <w:r>
        <w:rPr>
          <w:rFonts w:hint="eastAsia" w:ascii="宋体" w:hAnsi="宋体" w:eastAsia="宋体" w:cs="宋体"/>
          <w:b/>
          <w:bCs/>
          <w:color w:val="auto"/>
          <w:sz w:val="28"/>
          <w:szCs w:val="28"/>
          <w:highlight w:val="none"/>
          <w:u w:val="single"/>
        </w:rPr>
        <w:t>提供。</w:t>
      </w:r>
    </w:p>
    <w:p w14:paraId="75B40B56">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承包人提供的文件的数量为：</w:t>
      </w:r>
      <w:r>
        <w:rPr>
          <w:rFonts w:hint="eastAsia" w:ascii="宋体" w:hAnsi="宋体" w:eastAsia="宋体" w:cs="宋体"/>
          <w:b/>
          <w:bCs/>
          <w:color w:val="auto"/>
          <w:sz w:val="28"/>
          <w:szCs w:val="28"/>
          <w:highlight w:val="none"/>
          <w:u w:val="single"/>
        </w:rPr>
        <w:t xml:space="preserve"> 一般为一式四份，特殊文件另行要求</w:t>
      </w:r>
      <w:r>
        <w:rPr>
          <w:rFonts w:hint="eastAsia" w:ascii="宋体" w:hAnsi="宋体" w:eastAsia="宋体" w:cs="宋体"/>
          <w:color w:val="auto"/>
          <w:sz w:val="28"/>
          <w:szCs w:val="28"/>
          <w:highlight w:val="none"/>
        </w:rPr>
        <w:t xml:space="preserve"> ；</w:t>
      </w:r>
    </w:p>
    <w:p w14:paraId="63637B69">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承包人提供的文件的形式为：</w:t>
      </w:r>
      <w:r>
        <w:rPr>
          <w:rFonts w:hint="eastAsia" w:ascii="宋体" w:hAnsi="宋体" w:eastAsia="宋体" w:cs="宋体"/>
          <w:b/>
          <w:bCs/>
          <w:color w:val="auto"/>
          <w:sz w:val="28"/>
          <w:szCs w:val="28"/>
          <w:highlight w:val="none"/>
          <w:u w:val="single"/>
        </w:rPr>
        <w:t xml:space="preserve"> 书面和电子文件各四套 </w:t>
      </w:r>
      <w:r>
        <w:rPr>
          <w:rFonts w:hint="eastAsia" w:ascii="宋体" w:hAnsi="宋体" w:eastAsia="宋体" w:cs="宋体"/>
          <w:color w:val="auto"/>
          <w:sz w:val="28"/>
          <w:szCs w:val="28"/>
          <w:highlight w:val="none"/>
        </w:rPr>
        <w:t>；</w:t>
      </w:r>
    </w:p>
    <w:p w14:paraId="2A63133E">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发包人审批承包人文件的期限：</w:t>
      </w:r>
      <w:r>
        <w:rPr>
          <w:rFonts w:hint="eastAsia" w:ascii="宋体" w:hAnsi="宋体" w:eastAsia="宋体" w:cs="宋体"/>
          <w:b/>
          <w:bCs/>
          <w:color w:val="auto"/>
          <w:sz w:val="28"/>
          <w:szCs w:val="28"/>
          <w:highlight w:val="none"/>
          <w:u w:val="single"/>
        </w:rPr>
        <w:t xml:space="preserve"> 开工前 3日审批 </w:t>
      </w:r>
      <w:r>
        <w:rPr>
          <w:rFonts w:hint="eastAsia" w:ascii="宋体" w:hAnsi="宋体" w:eastAsia="宋体" w:cs="宋体"/>
          <w:color w:val="auto"/>
          <w:sz w:val="28"/>
          <w:szCs w:val="28"/>
          <w:highlight w:val="none"/>
        </w:rPr>
        <w:t>。</w:t>
      </w:r>
    </w:p>
    <w:p w14:paraId="6B49B600">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1.6.5 现场图纸准备</w:t>
      </w:r>
    </w:p>
    <w:p w14:paraId="538D3EE9">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关于现场图纸准备的约定：</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        </w:t>
      </w:r>
      <w:r>
        <w:rPr>
          <w:rFonts w:hint="eastAsia" w:ascii="宋体" w:hAnsi="宋体" w:eastAsia="宋体" w:cs="宋体"/>
          <w:b/>
          <w:bCs/>
          <w:color w:val="auto"/>
          <w:sz w:val="28"/>
          <w:szCs w:val="28"/>
          <w:highlight w:val="none"/>
          <w:u w:val="single"/>
        </w:rPr>
        <w:t>。</w:t>
      </w:r>
    </w:p>
    <w:p w14:paraId="5D2D13A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 联络</w:t>
      </w:r>
    </w:p>
    <w:p w14:paraId="61CBBC22">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1.7.1 发包人和承包人应当在</w:t>
      </w:r>
      <w:r>
        <w:rPr>
          <w:rFonts w:hint="eastAsia" w:ascii="宋体" w:hAnsi="宋体" w:eastAsia="宋体" w:cs="宋体"/>
          <w:b/>
          <w:bCs/>
          <w:color w:val="auto"/>
          <w:sz w:val="28"/>
          <w:szCs w:val="28"/>
          <w:highlight w:val="none"/>
          <w:u w:val="single"/>
        </w:rPr>
        <w:t xml:space="preserve">  3  </w:t>
      </w:r>
      <w:r>
        <w:rPr>
          <w:rFonts w:hint="eastAsia" w:ascii="宋体" w:hAnsi="宋体" w:eastAsia="宋体" w:cs="宋体"/>
          <w:color w:val="auto"/>
          <w:sz w:val="28"/>
          <w:szCs w:val="28"/>
          <w:highlight w:val="none"/>
        </w:rPr>
        <w:t xml:space="preserve"> 天内将与合同有关的通知、批准、证明、证书、指示、指令、要求、请求、同意、意见、确定和决定等书面函件送达对方当事人。</w:t>
      </w:r>
    </w:p>
    <w:p w14:paraId="51A3AA90">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1.7.2 发包人接收文件的地点：</w:t>
      </w:r>
      <w:r>
        <w:rPr>
          <w:rFonts w:hint="eastAsia" w:ascii="宋体" w:hAnsi="宋体" w:eastAsia="宋体" w:cs="宋体"/>
          <w:b/>
          <w:bCs/>
          <w:color w:val="auto"/>
          <w:sz w:val="28"/>
          <w:szCs w:val="28"/>
          <w:highlight w:val="none"/>
          <w:u w:val="single"/>
        </w:rPr>
        <w:t xml:space="preserve"> 发包人办公场地</w:t>
      </w:r>
      <w:r>
        <w:rPr>
          <w:rFonts w:hint="eastAsia" w:ascii="宋体" w:hAnsi="宋体" w:eastAsia="宋体" w:cs="宋体"/>
          <w:color w:val="auto"/>
          <w:sz w:val="28"/>
          <w:szCs w:val="28"/>
          <w:highlight w:val="none"/>
        </w:rPr>
        <w:t>；</w:t>
      </w:r>
    </w:p>
    <w:p w14:paraId="45F7B3EE">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发包人指定的接收人为：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55CCACCB">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承包人接收文件的地点：</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工地现场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9688271">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承包人指定的接收人为：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244F78A">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1.10 交通运输</w:t>
      </w:r>
    </w:p>
    <w:p w14:paraId="738B451B">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1.10.1 出入现场的权利</w:t>
      </w:r>
    </w:p>
    <w:p w14:paraId="43904F5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关于出入现场的权利的约定：</w:t>
      </w:r>
      <w:r>
        <w:rPr>
          <w:rFonts w:hint="eastAsia" w:ascii="宋体" w:hAnsi="宋体" w:eastAsia="宋体" w:cs="宋体"/>
          <w:b/>
          <w:bCs/>
          <w:color w:val="auto"/>
          <w:sz w:val="28"/>
          <w:szCs w:val="28"/>
          <w:highlight w:val="none"/>
          <w:u w:val="single"/>
        </w:rPr>
        <w:t xml:space="preserve"> 执行通用条款 1 1.10.1  条，但施工过程中产生土方、垃圾等外运的相关手续及费用由承包人自行解决，发包人不予协助，未经发包人同意，无关人员一律不得随意进入施工现场。</w:t>
      </w:r>
    </w:p>
    <w:p w14:paraId="2FC8C468">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1.10.3 场内交通</w:t>
      </w:r>
    </w:p>
    <w:p w14:paraId="5DDA869C">
      <w:pPr>
        <w:spacing w:line="500" w:lineRule="exact"/>
        <w:ind w:firstLine="560" w:firstLineChars="200"/>
        <w:jc w:val="left"/>
        <w:rPr>
          <w:rFonts w:hint="eastAsia" w:ascii="宋体" w:hAnsi="宋体" w:eastAsia="宋体" w:cs="宋体"/>
          <w:b/>
          <w:bCs/>
          <w:color w:val="auto"/>
          <w:sz w:val="28"/>
          <w:szCs w:val="28"/>
          <w:highlight w:val="none"/>
          <w:u w:val="single"/>
        </w:rPr>
      </w:pPr>
      <w:r>
        <w:rPr>
          <w:rFonts w:hint="eastAsia" w:ascii="宋体" w:hAnsi="宋体" w:eastAsia="宋体" w:cs="宋体"/>
          <w:color w:val="auto"/>
          <w:sz w:val="28"/>
          <w:szCs w:val="28"/>
          <w:highlight w:val="none"/>
        </w:rPr>
        <w:t xml:space="preserve">关于场外交通和场内交通的边界的约定： </w:t>
      </w:r>
      <w:r>
        <w:rPr>
          <w:rFonts w:hint="eastAsia" w:ascii="宋体" w:hAnsi="宋体" w:eastAsia="宋体" w:cs="宋体"/>
          <w:b/>
          <w:bCs/>
          <w:color w:val="auto"/>
          <w:sz w:val="28"/>
          <w:szCs w:val="28"/>
          <w:highlight w:val="none"/>
          <w:u w:val="single"/>
        </w:rPr>
        <w:t>承包人负责办理 通道等相关手续，但施工所需其它场内道路及设施因承包人的原因造成损毁或破损，由承包人负责赔偿或修缮，以满足施工需要，并承担场内外交通损毁的赔偿及相关修缮费用 。</w:t>
      </w:r>
    </w:p>
    <w:p w14:paraId="74732D38">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关于发包人向承包人免费提供满足工程施工需要的场内道路和交通设施的约定：</w:t>
      </w:r>
      <w:r>
        <w:rPr>
          <w:rFonts w:hint="eastAsia" w:ascii="宋体" w:hAnsi="宋体" w:eastAsia="宋体" w:cs="宋体"/>
          <w:b/>
          <w:bCs/>
          <w:color w:val="auto"/>
          <w:sz w:val="28"/>
          <w:szCs w:val="28"/>
          <w:highlight w:val="none"/>
          <w:u w:val="single"/>
        </w:rPr>
        <w:t xml:space="preserve"> 承包人自行解决场内施工。</w:t>
      </w:r>
    </w:p>
    <w:p w14:paraId="3D43E4A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1.10.4 超大件和超重件的运输</w:t>
      </w:r>
    </w:p>
    <w:p w14:paraId="476525D7">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运输超大件或超重件所需的道路和桥梁临时加固改造费用和其他有关费用由</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承包人 </w:t>
      </w:r>
      <w:r>
        <w:rPr>
          <w:rFonts w:hint="eastAsia" w:ascii="宋体" w:hAnsi="宋体" w:eastAsia="宋体" w:cs="宋体"/>
          <w:color w:val="auto"/>
          <w:sz w:val="28"/>
          <w:szCs w:val="28"/>
          <w:highlight w:val="none"/>
        </w:rPr>
        <w:t>承担。</w:t>
      </w:r>
    </w:p>
    <w:p w14:paraId="05D41BE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 知识产权</w:t>
      </w:r>
    </w:p>
    <w:p w14:paraId="5DF95E5A">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bCs/>
          <w:color w:val="auto"/>
          <w:sz w:val="28"/>
          <w:szCs w:val="28"/>
          <w:highlight w:val="none"/>
          <w:u w:val="single"/>
        </w:rPr>
        <w:t xml:space="preserve"> 发包人</w:t>
      </w:r>
      <w:r>
        <w:rPr>
          <w:rFonts w:hint="eastAsia" w:ascii="宋体" w:hAnsi="宋体" w:eastAsia="宋体" w:cs="宋体"/>
          <w:color w:val="auto"/>
          <w:sz w:val="28"/>
          <w:szCs w:val="28"/>
          <w:highlight w:val="none"/>
        </w:rPr>
        <w:t>。</w:t>
      </w:r>
    </w:p>
    <w:p w14:paraId="21978E68">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关于发包人提供的上述文件的使用限制的要求：</w:t>
      </w:r>
      <w:r>
        <w:rPr>
          <w:rFonts w:hint="eastAsia" w:ascii="宋体" w:hAnsi="宋体" w:eastAsia="宋体" w:cs="宋体"/>
          <w:b/>
          <w:bCs/>
          <w:color w:val="auto"/>
          <w:sz w:val="28"/>
          <w:szCs w:val="28"/>
          <w:highlight w:val="none"/>
          <w:u w:val="single"/>
        </w:rPr>
        <w:t xml:space="preserve"> 执行本合同通用条款1.11.1条 </w:t>
      </w:r>
      <w:r>
        <w:rPr>
          <w:rFonts w:hint="eastAsia" w:ascii="宋体" w:hAnsi="宋体" w:eastAsia="宋体" w:cs="宋体"/>
          <w:color w:val="auto"/>
          <w:sz w:val="28"/>
          <w:szCs w:val="28"/>
          <w:highlight w:val="none"/>
        </w:rPr>
        <w:t>。</w:t>
      </w:r>
    </w:p>
    <w:p w14:paraId="1F4C1FAD">
      <w:pPr>
        <w:spacing w:line="500" w:lineRule="exact"/>
        <w:ind w:firstLine="560" w:firstLineChars="200"/>
        <w:jc w:val="left"/>
        <w:rPr>
          <w:rFonts w:hint="eastAsia" w:ascii="宋体" w:hAnsi="宋体" w:eastAsia="宋体" w:cs="宋体"/>
          <w:b/>
          <w:bCs/>
          <w:color w:val="auto"/>
          <w:sz w:val="28"/>
          <w:szCs w:val="28"/>
          <w:highlight w:val="none"/>
          <w:u w:val="single"/>
        </w:rPr>
      </w:pPr>
      <w:r>
        <w:rPr>
          <w:rFonts w:hint="eastAsia" w:ascii="宋体" w:hAnsi="宋体" w:eastAsia="宋体" w:cs="宋体"/>
          <w:color w:val="auto"/>
          <w:sz w:val="28"/>
          <w:szCs w:val="28"/>
          <w:highlight w:val="none"/>
        </w:rPr>
        <w:t>1.11.2 关于承包人为实施工程所编制文件的著作权的归属：</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文件的著作权属发包人(除文件的署名权)。</w:t>
      </w:r>
    </w:p>
    <w:p w14:paraId="59ECD1E7">
      <w:pPr>
        <w:spacing w:line="500" w:lineRule="exact"/>
        <w:ind w:firstLine="560" w:firstLineChars="200"/>
        <w:jc w:val="left"/>
        <w:rPr>
          <w:rFonts w:hint="eastAsia" w:ascii="宋体" w:hAnsi="宋体" w:eastAsia="宋体" w:cs="宋体"/>
          <w:b/>
          <w:bCs/>
          <w:color w:val="auto"/>
          <w:sz w:val="28"/>
          <w:szCs w:val="28"/>
          <w:highlight w:val="none"/>
          <w:u w:val="single"/>
        </w:rPr>
      </w:pPr>
      <w:r>
        <w:rPr>
          <w:rFonts w:hint="eastAsia" w:ascii="宋体" w:hAnsi="宋体" w:eastAsia="宋体" w:cs="宋体"/>
          <w:color w:val="auto"/>
          <w:sz w:val="28"/>
          <w:szCs w:val="28"/>
          <w:highlight w:val="none"/>
        </w:rPr>
        <w:t>关于承包人提供的上述文件的使用限制的要求：</w:t>
      </w:r>
      <w:r>
        <w:rPr>
          <w:rFonts w:hint="eastAsia" w:ascii="宋体" w:hAnsi="宋体" w:eastAsia="宋体" w:cs="宋体"/>
          <w:b/>
          <w:bCs/>
          <w:color w:val="auto"/>
          <w:sz w:val="28"/>
          <w:szCs w:val="28"/>
          <w:highlight w:val="none"/>
          <w:u w:val="single"/>
        </w:rPr>
        <w:t xml:space="preserve"> 未经发包人书面同意，承包人不得擅自将上述文件使用于本合同以外的工程。</w:t>
      </w:r>
    </w:p>
    <w:p w14:paraId="74E738D8">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1.11.4 承包人在施工过程中所采用的专利、专有技术、技术秘密的使用费的承担方式： </w:t>
      </w:r>
      <w:r>
        <w:rPr>
          <w:rFonts w:hint="eastAsia" w:ascii="宋体" w:hAnsi="宋体" w:eastAsia="宋体" w:cs="宋体"/>
          <w:b/>
          <w:bCs/>
          <w:color w:val="auto"/>
          <w:sz w:val="28"/>
          <w:szCs w:val="28"/>
          <w:highlight w:val="none"/>
          <w:u w:val="single"/>
        </w:rPr>
        <w:t xml:space="preserve">在工程招投标和合同签订前已明确需要的专利、专用技术、技术秘密的使用费由承包人承 担，由于工程突发情况、项目变更等（非承包人原因的）引起的复杂工程、特殊专利、技术秘密的使用费由发包人承担，若因承包人原因引起的，则由承包人承担 </w:t>
      </w:r>
      <w:r>
        <w:rPr>
          <w:rFonts w:hint="eastAsia" w:ascii="宋体" w:hAnsi="宋体" w:eastAsia="宋体" w:cs="宋体"/>
          <w:color w:val="auto"/>
          <w:sz w:val="28"/>
          <w:szCs w:val="28"/>
          <w:highlight w:val="none"/>
        </w:rPr>
        <w:t>。</w:t>
      </w:r>
    </w:p>
    <w:p w14:paraId="25245AEB">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1.13 工程量清单错误的修正</w:t>
      </w:r>
    </w:p>
    <w:p w14:paraId="0AE35368">
      <w:pPr>
        <w:spacing w:line="500" w:lineRule="exact"/>
        <w:ind w:firstLine="560" w:firstLineChars="200"/>
        <w:jc w:val="left"/>
        <w:rPr>
          <w:rFonts w:hint="eastAsia" w:ascii="宋体" w:hAnsi="宋体" w:eastAsia="宋体" w:cs="宋体"/>
          <w:b/>
          <w:bCs/>
          <w:color w:val="auto"/>
          <w:sz w:val="28"/>
          <w:szCs w:val="28"/>
          <w:highlight w:val="none"/>
          <w:u w:val="single"/>
        </w:rPr>
      </w:pPr>
      <w:r>
        <w:rPr>
          <w:rFonts w:hint="eastAsia" w:ascii="宋体" w:hAnsi="宋体" w:eastAsia="宋体" w:cs="宋体"/>
          <w:color w:val="auto"/>
          <w:sz w:val="28"/>
          <w:szCs w:val="28"/>
          <w:highlight w:val="none"/>
        </w:rPr>
        <w:t>出现工程量清单错误时，是否调整合同价格：</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否</w:t>
      </w:r>
      <w:r>
        <w:rPr>
          <w:rFonts w:hint="eastAsia" w:ascii="宋体" w:hAnsi="宋体" w:eastAsia="宋体" w:cs="宋体"/>
          <w:b/>
          <w:bCs/>
          <w:color w:val="auto"/>
          <w:sz w:val="28"/>
          <w:szCs w:val="28"/>
          <w:highlight w:val="none"/>
          <w:u w:val="single"/>
        </w:rPr>
        <w:t xml:space="preserve"> 。</w:t>
      </w:r>
    </w:p>
    <w:p w14:paraId="0518D7D5">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允许调整合同价格的工程量偏差范围：</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无</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w:t>
      </w:r>
    </w:p>
    <w:p w14:paraId="2E53939E">
      <w:pPr>
        <w:spacing w:line="500" w:lineRule="exact"/>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2. 发包人</w:t>
      </w:r>
    </w:p>
    <w:p w14:paraId="090B2F67">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发包人代表</w:t>
      </w:r>
    </w:p>
    <w:p w14:paraId="044E12B6">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发包人代表</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2192EE89">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19C18376">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6AF31A09">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甲方代表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614342B1">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2151FDE9">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电子信箱：</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2CA4A3B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通信地址：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373E683D">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发包人对发包人代表的授权范围如下：</w:t>
      </w:r>
      <w:r>
        <w:rPr>
          <w:rFonts w:hint="eastAsia" w:ascii="宋体" w:hAnsi="宋体" w:eastAsia="宋体" w:cs="宋体"/>
          <w:b/>
          <w:bCs/>
          <w:color w:val="auto"/>
          <w:sz w:val="28"/>
          <w:szCs w:val="28"/>
          <w:highlight w:val="none"/>
          <w:u w:val="single"/>
        </w:rPr>
        <w:t xml:space="preserve"> 对工程进度、质量及工程合同的执行情况进行监督和检查，负责设计图纸问题解决、按发包人单位程序对设计变更、签证、工程进度款的审核和会签。</w:t>
      </w:r>
    </w:p>
    <w:p w14:paraId="33B04CBD">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 施工现场、施工条件和基础资料的提供</w:t>
      </w:r>
    </w:p>
    <w:p w14:paraId="1D82A4AA">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2.4.1 提供施工现场</w:t>
      </w:r>
    </w:p>
    <w:p w14:paraId="7151A27E">
      <w:pPr>
        <w:spacing w:line="500" w:lineRule="exact"/>
        <w:ind w:firstLine="560" w:firstLineChars="200"/>
        <w:jc w:val="left"/>
        <w:rPr>
          <w:rFonts w:hint="eastAsia" w:ascii="宋体" w:hAnsi="宋体" w:eastAsia="宋体" w:cs="宋体"/>
          <w:b/>
          <w:bCs/>
          <w:color w:val="auto"/>
          <w:sz w:val="28"/>
          <w:szCs w:val="28"/>
          <w:highlight w:val="none"/>
          <w:u w:val="single"/>
        </w:rPr>
      </w:pPr>
      <w:r>
        <w:rPr>
          <w:rFonts w:hint="eastAsia" w:ascii="宋体" w:hAnsi="宋体" w:eastAsia="宋体" w:cs="宋体"/>
          <w:color w:val="auto"/>
          <w:sz w:val="28"/>
          <w:szCs w:val="28"/>
          <w:highlight w:val="none"/>
        </w:rPr>
        <w:t xml:space="preserve">关于发包人移交施工现场的期限要求： </w:t>
      </w:r>
      <w:r>
        <w:rPr>
          <w:rFonts w:hint="eastAsia" w:ascii="宋体" w:hAnsi="宋体" w:eastAsia="宋体" w:cs="宋体"/>
          <w:b/>
          <w:bCs/>
          <w:color w:val="auto"/>
          <w:sz w:val="28"/>
          <w:szCs w:val="28"/>
          <w:highlight w:val="none"/>
          <w:u w:val="single"/>
        </w:rPr>
        <w:t>发包人需在开工前7日历日将施工现场移交至承包人 。</w:t>
      </w:r>
    </w:p>
    <w:p w14:paraId="1BD11DCA">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2.4.2 提供施工条件</w:t>
      </w:r>
    </w:p>
    <w:p w14:paraId="1771AF11">
      <w:pPr>
        <w:spacing w:line="500" w:lineRule="exact"/>
        <w:ind w:firstLine="560" w:firstLineChars="200"/>
        <w:jc w:val="left"/>
        <w:rPr>
          <w:rFonts w:hint="eastAsia" w:ascii="宋体" w:hAnsi="宋体" w:eastAsia="宋体" w:cs="宋体"/>
          <w:b/>
          <w:bCs/>
          <w:color w:val="auto"/>
          <w:sz w:val="28"/>
          <w:szCs w:val="28"/>
          <w:highlight w:val="none"/>
          <w:u w:val="single"/>
        </w:rPr>
      </w:pPr>
      <w:r>
        <w:rPr>
          <w:rFonts w:hint="eastAsia" w:ascii="宋体" w:hAnsi="宋体" w:eastAsia="宋体" w:cs="宋体"/>
          <w:color w:val="auto"/>
          <w:sz w:val="28"/>
          <w:szCs w:val="28"/>
          <w:highlight w:val="none"/>
        </w:rPr>
        <w:t xml:space="preserve">关于发包人应负责提供施工所需要的条件，包括： </w:t>
      </w:r>
      <w:r>
        <w:rPr>
          <w:rFonts w:hint="eastAsia" w:ascii="宋体" w:hAnsi="宋体" w:eastAsia="宋体" w:cs="宋体"/>
          <w:b/>
          <w:bCs/>
          <w:color w:val="auto"/>
          <w:sz w:val="28"/>
          <w:szCs w:val="28"/>
          <w:highlight w:val="none"/>
          <w:u w:val="single"/>
        </w:rPr>
        <w:t>水、电、路“三通一平” 。</w:t>
      </w:r>
    </w:p>
    <w:p w14:paraId="0F84A437">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 资金来源证明及支付担保</w:t>
      </w:r>
    </w:p>
    <w:p w14:paraId="1D995C78">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发包人提供资金来源证明的期限要求：</w:t>
      </w:r>
      <w:r>
        <w:rPr>
          <w:rFonts w:hint="eastAsia" w:ascii="宋体" w:hAnsi="宋体" w:eastAsia="宋体" w:cs="宋体"/>
          <w:b/>
          <w:bCs/>
          <w:color w:val="auto"/>
          <w:sz w:val="28"/>
          <w:szCs w:val="28"/>
          <w:highlight w:val="none"/>
          <w:u w:val="single"/>
        </w:rPr>
        <w:t xml:space="preserve">      无       </w:t>
      </w:r>
      <w:r>
        <w:rPr>
          <w:rFonts w:hint="eastAsia" w:ascii="宋体" w:hAnsi="宋体" w:eastAsia="宋体" w:cs="宋体"/>
          <w:color w:val="auto"/>
          <w:sz w:val="28"/>
          <w:szCs w:val="28"/>
          <w:highlight w:val="none"/>
        </w:rPr>
        <w:t>。</w:t>
      </w:r>
    </w:p>
    <w:p w14:paraId="55937579">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发包人是否提供支付担保：</w:t>
      </w:r>
      <w:r>
        <w:rPr>
          <w:rFonts w:hint="eastAsia" w:ascii="宋体" w:hAnsi="宋体" w:eastAsia="宋体" w:cs="宋体"/>
          <w:b/>
          <w:bCs/>
          <w:color w:val="auto"/>
          <w:sz w:val="28"/>
          <w:szCs w:val="28"/>
          <w:highlight w:val="none"/>
          <w:u w:val="single"/>
        </w:rPr>
        <w:t xml:space="preserve">                否       </w:t>
      </w:r>
      <w:r>
        <w:rPr>
          <w:rFonts w:hint="eastAsia" w:ascii="宋体" w:hAnsi="宋体" w:eastAsia="宋体" w:cs="宋体"/>
          <w:color w:val="auto"/>
          <w:sz w:val="28"/>
          <w:szCs w:val="28"/>
          <w:highlight w:val="none"/>
        </w:rPr>
        <w:t>。</w:t>
      </w:r>
    </w:p>
    <w:p w14:paraId="28331195">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发包人提供支付担保的形式：</w:t>
      </w:r>
      <w:r>
        <w:rPr>
          <w:rFonts w:hint="eastAsia" w:ascii="宋体" w:hAnsi="宋体" w:eastAsia="宋体" w:cs="宋体"/>
          <w:b/>
          <w:bCs/>
          <w:color w:val="auto"/>
          <w:sz w:val="28"/>
          <w:szCs w:val="28"/>
          <w:highlight w:val="none"/>
          <w:u w:val="single"/>
        </w:rPr>
        <w:t xml:space="preserve">              无       </w:t>
      </w:r>
      <w:r>
        <w:rPr>
          <w:rFonts w:hint="eastAsia" w:ascii="宋体" w:hAnsi="宋体" w:eastAsia="宋体" w:cs="宋体"/>
          <w:color w:val="auto"/>
          <w:sz w:val="28"/>
          <w:szCs w:val="28"/>
          <w:highlight w:val="none"/>
        </w:rPr>
        <w:t>。</w:t>
      </w:r>
    </w:p>
    <w:p w14:paraId="145C8A12">
      <w:pPr>
        <w:spacing w:line="5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 承包人</w:t>
      </w:r>
    </w:p>
    <w:p w14:paraId="4B993668">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 承包人的一般义务</w:t>
      </w:r>
    </w:p>
    <w:p w14:paraId="3FD86846">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（5）承包人提交的竣工资料的内容：</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eastAsia="zh-CN"/>
        </w:rPr>
        <w:t>按通用条款执行</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w:t>
      </w:r>
    </w:p>
    <w:p w14:paraId="21359A4F">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承包人需要提交的竣工资料套数：</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eastAsia="zh-CN"/>
        </w:rPr>
        <w:t>贰套</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w:t>
      </w:r>
    </w:p>
    <w:p w14:paraId="26AADB5B">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承包人提交的竣工资料的费用承担：</w:t>
      </w:r>
      <w:r>
        <w:rPr>
          <w:rFonts w:hint="eastAsia" w:ascii="宋体" w:hAnsi="宋体" w:eastAsia="宋体" w:cs="宋体"/>
          <w:b/>
          <w:bCs/>
          <w:color w:val="auto"/>
          <w:sz w:val="28"/>
          <w:szCs w:val="28"/>
          <w:highlight w:val="none"/>
          <w:u w:val="single"/>
        </w:rPr>
        <w:t xml:space="preserve"> 由承包人自行承担。</w:t>
      </w:r>
    </w:p>
    <w:p w14:paraId="2B751E01">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承包人提交的竣工资料移交时间：</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eastAsia="zh-CN"/>
        </w:rPr>
        <w:t>竣工验收后30日内</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w:t>
      </w:r>
    </w:p>
    <w:p w14:paraId="372351D4">
      <w:pPr>
        <w:pStyle w:val="10"/>
        <w:ind w:firstLine="560" w:firstLineChars="200"/>
        <w:rPr>
          <w:rFonts w:hint="eastAsia" w:ascii="宋体" w:hAnsi="宋体" w:eastAsia="宋体" w:cs="宋体"/>
          <w:b/>
          <w:bCs/>
          <w:color w:val="auto"/>
          <w:kern w:val="2"/>
          <w:sz w:val="28"/>
          <w:szCs w:val="28"/>
          <w:highlight w:val="none"/>
          <w:u w:val="single"/>
          <w:lang w:val="en-US" w:eastAsia="zh-CN" w:bidi="ar-SA"/>
        </w:rPr>
      </w:pPr>
      <w:r>
        <w:rPr>
          <w:rFonts w:hint="eastAsia" w:ascii="宋体" w:hAnsi="宋体" w:eastAsia="宋体" w:cs="宋体"/>
          <w:color w:val="auto"/>
          <w:sz w:val="28"/>
          <w:szCs w:val="28"/>
          <w:highlight w:val="none"/>
        </w:rPr>
        <w:t>承包人提交的竣工资料形式要求：</w:t>
      </w:r>
      <w:r>
        <w:rPr>
          <w:rFonts w:hint="eastAsia" w:ascii="宋体" w:hAnsi="宋体" w:eastAsia="宋体" w:cs="宋体"/>
          <w:b/>
          <w:bCs/>
          <w:color w:val="auto"/>
          <w:kern w:val="2"/>
          <w:sz w:val="28"/>
          <w:szCs w:val="28"/>
          <w:highlight w:val="none"/>
          <w:u w:val="single"/>
          <w:lang w:val="en-US" w:eastAsia="zh-CN" w:bidi="ar-SA"/>
        </w:rPr>
        <w:t>纸质版和电子版。</w:t>
      </w:r>
    </w:p>
    <w:p w14:paraId="4E024AA6">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（6）承包人应履行的其他义务：</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w:t>
      </w:r>
      <w:r>
        <w:rPr>
          <w:rFonts w:hint="eastAsia" w:ascii="宋体" w:hAnsi="宋体" w:eastAsia="宋体" w:cs="宋体"/>
          <w:color w:val="auto"/>
          <w:sz w:val="28"/>
          <w:szCs w:val="28"/>
          <w:highlight w:val="none"/>
        </w:rPr>
        <w:t>。</w:t>
      </w:r>
    </w:p>
    <w:p w14:paraId="7FFE5AB2">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 项目经理</w:t>
      </w:r>
    </w:p>
    <w:p w14:paraId="0F953D4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3.2.1 项目经理：</w:t>
      </w:r>
    </w:p>
    <w:p w14:paraId="74275F44">
      <w:pPr>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姓    名：</w:t>
      </w:r>
      <w:r>
        <w:rPr>
          <w:rFonts w:hint="eastAsia" w:ascii="宋体" w:hAnsi="宋体" w:eastAsia="宋体" w:cs="宋体"/>
          <w:color w:val="auto"/>
          <w:sz w:val="30"/>
          <w:szCs w:val="32"/>
          <w:highlight w:val="none"/>
          <w:u w:val="single"/>
        </w:rPr>
        <w:t></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w:t>
      </w:r>
    </w:p>
    <w:p w14:paraId="0EB02EC9">
      <w:pPr>
        <w:spacing w:line="360" w:lineRule="auto"/>
        <w:ind w:firstLine="600" w:firstLineChars="200"/>
        <w:rPr>
          <w:rFonts w:hint="eastAsia" w:ascii="宋体" w:hAnsi="宋体" w:eastAsia="宋体" w:cs="宋体"/>
          <w:color w:val="auto"/>
          <w:sz w:val="30"/>
          <w:szCs w:val="32"/>
          <w:highlight w:val="none"/>
          <w:lang w:val="en-US" w:eastAsia="zh-CN"/>
        </w:rPr>
      </w:pPr>
      <w:r>
        <w:rPr>
          <w:rFonts w:hint="eastAsia" w:ascii="宋体" w:hAnsi="宋体" w:eastAsia="宋体" w:cs="宋体"/>
          <w:color w:val="auto"/>
          <w:sz w:val="30"/>
          <w:szCs w:val="32"/>
          <w:highlight w:val="none"/>
        </w:rPr>
        <w:t>身份证号：</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rPr>
        <w:t>；</w:t>
      </w:r>
      <w:r>
        <w:rPr>
          <w:rFonts w:hint="eastAsia" w:ascii="宋体" w:hAnsi="宋体" w:eastAsia="宋体" w:cs="宋体"/>
          <w:color w:val="auto"/>
          <w:sz w:val="30"/>
          <w:szCs w:val="32"/>
          <w:highlight w:val="none"/>
          <w:lang w:val="en-US" w:eastAsia="zh-CN"/>
        </w:rPr>
        <w:t xml:space="preserve"> </w:t>
      </w:r>
    </w:p>
    <w:p w14:paraId="29E43325">
      <w:pPr>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建造师执业资格等级：</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rPr>
        <w:t>；</w:t>
      </w:r>
    </w:p>
    <w:p w14:paraId="751F91C6">
      <w:pPr>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建造师注册证书号：</w:t>
      </w:r>
      <w:r>
        <w:rPr>
          <w:rFonts w:hint="eastAsia" w:ascii="宋体" w:hAnsi="宋体" w:eastAsia="宋体" w:cs="宋体"/>
          <w:color w:val="auto"/>
          <w:sz w:val="30"/>
          <w:szCs w:val="32"/>
          <w:highlight w:val="none"/>
          <w:u w:val="single"/>
        </w:rPr>
        <w:t></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rPr>
        <w:t>；</w:t>
      </w:r>
    </w:p>
    <w:p w14:paraId="1D53B466">
      <w:pPr>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建造师执业印章号：</w:t>
      </w:r>
      <w:r>
        <w:rPr>
          <w:rFonts w:hint="eastAsia" w:ascii="宋体" w:hAnsi="宋体" w:eastAsia="宋体" w:cs="宋体"/>
          <w:color w:val="auto"/>
          <w:sz w:val="30"/>
          <w:szCs w:val="32"/>
          <w:highlight w:val="none"/>
          <w:u w:val="single"/>
        </w:rPr>
        <w:t> </w:t>
      </w:r>
      <w:r>
        <w:rPr>
          <w:rFonts w:hint="eastAsia" w:ascii="宋体" w:hAnsi="宋体" w:eastAsia="宋体" w:cs="宋体"/>
          <w:color w:val="auto"/>
          <w:sz w:val="30"/>
          <w:szCs w:val="32"/>
          <w:highlight w:val="none"/>
        </w:rPr>
        <w:t>；</w:t>
      </w:r>
    </w:p>
    <w:p w14:paraId="6304F151">
      <w:pPr>
        <w:spacing w:line="360" w:lineRule="auto"/>
        <w:ind w:firstLine="600" w:firstLineChars="2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安全生产考核合格证书号：</w:t>
      </w:r>
      <w:r>
        <w:rPr>
          <w:rFonts w:hint="eastAsia" w:ascii="宋体" w:hAnsi="宋体" w:eastAsia="宋体" w:cs="宋体"/>
          <w:color w:val="auto"/>
          <w:sz w:val="30"/>
          <w:szCs w:val="32"/>
          <w:highlight w:val="none"/>
          <w:u w:val="single"/>
          <w:lang w:val="en-US" w:eastAsia="zh-CN"/>
        </w:rPr>
        <w:t xml:space="preserve">                      </w:t>
      </w:r>
      <w:r>
        <w:rPr>
          <w:rFonts w:hint="eastAsia" w:ascii="宋体" w:hAnsi="宋体" w:eastAsia="宋体" w:cs="宋体"/>
          <w:color w:val="auto"/>
          <w:sz w:val="30"/>
          <w:szCs w:val="32"/>
          <w:highlight w:val="none"/>
        </w:rPr>
        <w:t>；</w:t>
      </w:r>
    </w:p>
    <w:p w14:paraId="2FE25727">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0153EEC2">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电子信箱：</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04A88514">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通信地址：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43821ACE">
      <w:pPr>
        <w:spacing w:line="500" w:lineRule="exact"/>
        <w:ind w:firstLine="560" w:firstLineChars="200"/>
        <w:jc w:val="left"/>
        <w:rPr>
          <w:rFonts w:hint="eastAsia" w:ascii="宋体" w:hAnsi="宋体" w:eastAsia="宋体" w:cs="宋体"/>
          <w:b/>
          <w:bCs/>
          <w:color w:val="auto"/>
          <w:sz w:val="28"/>
          <w:szCs w:val="28"/>
          <w:highlight w:val="none"/>
          <w:u w:val="single"/>
        </w:rPr>
      </w:pPr>
      <w:r>
        <w:rPr>
          <w:rFonts w:hint="eastAsia" w:ascii="宋体" w:hAnsi="宋体" w:eastAsia="宋体" w:cs="宋体"/>
          <w:color w:val="auto"/>
          <w:sz w:val="28"/>
          <w:szCs w:val="28"/>
          <w:highlight w:val="none"/>
        </w:rPr>
        <w:t>承包人对项目经理的授权范围如下</w:t>
      </w:r>
      <w:r>
        <w:rPr>
          <w:rFonts w:hint="eastAsia" w:ascii="宋体" w:hAnsi="宋体" w:eastAsia="宋体" w:cs="宋体"/>
          <w:b/>
          <w:bCs/>
          <w:color w:val="auto"/>
          <w:sz w:val="28"/>
          <w:szCs w:val="28"/>
          <w:highlight w:val="none"/>
          <w:u w:val="single"/>
        </w:rPr>
        <w:t>： 负责处理合同履行过程中与本项目有关的全部事宜。</w:t>
      </w:r>
    </w:p>
    <w:p w14:paraId="78839383">
      <w:pPr>
        <w:pStyle w:val="1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关于项目经理每月在施工现场的时间要求：</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kern w:val="2"/>
          <w:sz w:val="28"/>
          <w:szCs w:val="28"/>
          <w:highlight w:val="none"/>
          <w:u w:val="single"/>
          <w:lang w:val="en-US" w:eastAsia="zh-CN" w:bidi="ar-SA"/>
        </w:rPr>
        <w:t>15天</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p>
    <w:p w14:paraId="30A74E29">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承包人未提交劳动合同，以及没有为项目经理缴纳社会保险证明的违约责任：</w:t>
      </w:r>
      <w:r>
        <w:rPr>
          <w:rFonts w:hint="eastAsia" w:ascii="宋体" w:hAnsi="宋体" w:eastAsia="宋体" w:cs="宋体"/>
          <w:color w:val="auto"/>
          <w:sz w:val="28"/>
          <w:szCs w:val="28"/>
          <w:highlight w:val="none"/>
          <w:u w:val="single"/>
        </w:rPr>
        <w:t>承包人未提交上述文件的，项目经理无权履行职责，发包人有权要求更换项目经理，由此增加的费用和（或）延误的工期责任由承包人承担</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rPr>
        <w:t>。</w:t>
      </w:r>
    </w:p>
    <w:p w14:paraId="78694B93">
      <w:pPr>
        <w:pStyle w:val="10"/>
        <w:ind w:firstLine="560" w:firstLineChars="2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项目经理未经批准，擅自离开施工现场的违约责任：发包人将对承包人给予每次 3000 元人民币的违约金，发包人有权从工程进度款予以扣除。</w:t>
      </w:r>
    </w:p>
    <w:p w14:paraId="67DFA769">
      <w:pPr>
        <w:pStyle w:val="10"/>
        <w:ind w:firstLine="280" w:firstLineChars="1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3.2.3 承包人擅自更换项目经理的违约责任：承包人承担合同价款的5%的违约金，发包人有权从工程进度款予以扣除。</w:t>
      </w:r>
    </w:p>
    <w:p w14:paraId="128A1D28">
      <w:pPr>
        <w:pStyle w:val="1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    3.2.4 承包人无正当理由拒绝更换项目经理的违约责任：承包人承担合同价款的 5%的违约金，发包人有权从工程进度款予以扣除。</w:t>
      </w:r>
    </w:p>
    <w:p w14:paraId="1259E774">
      <w:pPr>
        <w:pStyle w:val="10"/>
        <w:ind w:firstLine="280" w:firstLineChars="1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 承包人人员</w:t>
      </w:r>
    </w:p>
    <w:p w14:paraId="02796E86">
      <w:pPr>
        <w:pStyle w:val="10"/>
        <w:ind w:firstLine="280" w:firstLineChars="1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3.3.1 承包人提交项目管理机构及施工现场管理人员安排报告的期限：承包人接到开工通知后7日内 。</w:t>
      </w:r>
    </w:p>
    <w:p w14:paraId="7762A127">
      <w:pPr>
        <w:pStyle w:val="10"/>
        <w:ind w:firstLine="280" w:firstLineChars="1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3.3.3 承包人无正当理由拒绝撤换主要施工管理人员的违约责任：发包人将对承包人给予 3000 元人民币的违约金，发包人有权从工程进度款予以扣除。</w:t>
      </w:r>
    </w:p>
    <w:p w14:paraId="7DC00578">
      <w:pPr>
        <w:pStyle w:val="1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3.3.4 承包人主要施工管理人员离开施工现场的批准要求：执行通用条款 。</w:t>
      </w:r>
    </w:p>
    <w:p w14:paraId="3A0538B1">
      <w:pPr>
        <w:pStyle w:val="1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3.3.5承包人擅自更换主要施工管理人员的违约责任：发包人将对承包人给予每人每次 5000 元人民币的违约金，发包人有权从工程进度款予以扣除。</w:t>
      </w:r>
    </w:p>
    <w:p w14:paraId="455ED61F">
      <w:pPr>
        <w:pStyle w:val="1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承包人主要施工管理人员擅自离开施工现场的违约责任：发包人将对承包人给予每人每次 1000 元人民币的违约金，发包人有权从工程进度款予以扣除。</w:t>
      </w:r>
    </w:p>
    <w:p w14:paraId="4F3A72A8">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 分包</w:t>
      </w:r>
    </w:p>
    <w:p w14:paraId="74E9D3DE">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3.5.1 分包的一般约定</w:t>
      </w:r>
    </w:p>
    <w:p w14:paraId="022C6101">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禁止分包的工程包括：</w:t>
      </w:r>
      <w:r>
        <w:rPr>
          <w:rFonts w:hint="eastAsia" w:ascii="宋体" w:hAnsi="宋体" w:eastAsia="宋体" w:cs="宋体"/>
          <w:b/>
          <w:bCs/>
          <w:color w:val="auto"/>
          <w:sz w:val="28"/>
          <w:szCs w:val="28"/>
          <w:highlight w:val="none"/>
          <w:u w:val="single"/>
        </w:rPr>
        <w:t xml:space="preserve"> 本工程不得以任何形式或名义进行分包 </w:t>
      </w:r>
      <w:r>
        <w:rPr>
          <w:rFonts w:hint="eastAsia" w:ascii="宋体" w:hAnsi="宋体" w:eastAsia="宋体" w:cs="宋体"/>
          <w:color w:val="auto"/>
          <w:sz w:val="28"/>
          <w:szCs w:val="28"/>
          <w:highlight w:val="none"/>
        </w:rPr>
        <w:t>。</w:t>
      </w:r>
    </w:p>
    <w:p w14:paraId="19A3368D">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主体结构、关键性工作的范围：</w:t>
      </w:r>
      <w:r>
        <w:rPr>
          <w:rFonts w:hint="eastAsia" w:ascii="宋体" w:hAnsi="宋体" w:eastAsia="宋体" w:cs="宋体"/>
          <w:b/>
          <w:bCs/>
          <w:color w:val="auto"/>
          <w:spacing w:val="-11"/>
          <w:sz w:val="28"/>
          <w:szCs w:val="28"/>
          <w:highlight w:val="none"/>
          <w:u w:val="single"/>
        </w:rPr>
        <w:t xml:space="preserve"> 施工图纸及招标清单中的所有内容 </w:t>
      </w:r>
      <w:r>
        <w:rPr>
          <w:rFonts w:hint="eastAsia" w:ascii="宋体" w:hAnsi="宋体" w:eastAsia="宋体" w:cs="宋体"/>
          <w:color w:val="auto"/>
          <w:sz w:val="28"/>
          <w:szCs w:val="28"/>
          <w:highlight w:val="none"/>
        </w:rPr>
        <w:t>。</w:t>
      </w:r>
    </w:p>
    <w:p w14:paraId="5A073C5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3.5.2 分包的确定</w:t>
      </w:r>
    </w:p>
    <w:p w14:paraId="2BA4E262">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允许分包的专业工程包括：</w:t>
      </w:r>
      <w:r>
        <w:rPr>
          <w:rFonts w:hint="eastAsia" w:ascii="宋体" w:hAnsi="宋体" w:eastAsia="宋体" w:cs="宋体"/>
          <w:b/>
          <w:bCs/>
          <w:color w:val="auto"/>
          <w:sz w:val="28"/>
          <w:szCs w:val="28"/>
          <w:highlight w:val="none"/>
          <w:u w:val="single"/>
        </w:rPr>
        <w:t xml:space="preserve"> 无 </w:t>
      </w:r>
      <w:r>
        <w:rPr>
          <w:rFonts w:hint="eastAsia" w:ascii="宋体" w:hAnsi="宋体" w:eastAsia="宋体" w:cs="宋体"/>
          <w:color w:val="auto"/>
          <w:sz w:val="28"/>
          <w:szCs w:val="28"/>
          <w:highlight w:val="none"/>
        </w:rPr>
        <w:t>。</w:t>
      </w:r>
    </w:p>
    <w:p w14:paraId="2F647605">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其他关于分包的约定：</w:t>
      </w:r>
      <w:r>
        <w:rPr>
          <w:rFonts w:hint="eastAsia" w:ascii="宋体" w:hAnsi="宋体" w:eastAsia="宋体" w:cs="宋体"/>
          <w:b/>
          <w:bCs/>
          <w:color w:val="auto"/>
          <w:sz w:val="28"/>
          <w:szCs w:val="28"/>
          <w:highlight w:val="none"/>
          <w:u w:val="single"/>
        </w:rPr>
        <w:t xml:space="preserve"> 无 </w:t>
      </w:r>
      <w:r>
        <w:rPr>
          <w:rFonts w:hint="eastAsia" w:ascii="宋体" w:hAnsi="宋体" w:eastAsia="宋体" w:cs="宋体"/>
          <w:color w:val="auto"/>
          <w:sz w:val="28"/>
          <w:szCs w:val="28"/>
          <w:highlight w:val="none"/>
        </w:rPr>
        <w:t>。</w:t>
      </w:r>
    </w:p>
    <w:p w14:paraId="1740A206">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3.5.4 分包合同价款</w:t>
      </w:r>
    </w:p>
    <w:p w14:paraId="036AEDAF">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关于分包合同价款支付的约定：</w:t>
      </w:r>
      <w:r>
        <w:rPr>
          <w:rFonts w:hint="eastAsia" w:ascii="宋体" w:hAnsi="宋体" w:eastAsia="宋体" w:cs="宋体"/>
          <w:b/>
          <w:bCs/>
          <w:color w:val="auto"/>
          <w:sz w:val="28"/>
          <w:szCs w:val="28"/>
          <w:highlight w:val="none"/>
          <w:u w:val="single"/>
        </w:rPr>
        <w:t xml:space="preserve"> 无</w:t>
      </w:r>
      <w:r>
        <w:rPr>
          <w:rFonts w:hint="eastAsia" w:ascii="宋体" w:hAnsi="宋体" w:eastAsia="宋体" w:cs="宋体"/>
          <w:color w:val="auto"/>
          <w:sz w:val="28"/>
          <w:szCs w:val="28"/>
          <w:highlight w:val="none"/>
        </w:rPr>
        <w:t>。</w:t>
      </w:r>
    </w:p>
    <w:p w14:paraId="03C52E19">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 工程照管与成品、半成品保护</w:t>
      </w:r>
    </w:p>
    <w:p w14:paraId="0D859CBD">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承包人负责照管工程及工程相关的材料、工程设备的起始时间</w:t>
      </w:r>
      <w:r>
        <w:rPr>
          <w:rFonts w:hint="eastAsia" w:ascii="宋体" w:hAnsi="宋体" w:eastAsia="宋体" w:cs="宋体"/>
          <w:b/>
          <w:bCs/>
          <w:color w:val="auto"/>
          <w:sz w:val="28"/>
          <w:szCs w:val="28"/>
          <w:highlight w:val="none"/>
          <w:u w:val="single"/>
        </w:rPr>
        <w:t xml:space="preserve">： 设备人员进场至验收交工前由承包人负责保修，无其他特殊要求，费用由承包人承担 </w:t>
      </w:r>
      <w:r>
        <w:rPr>
          <w:rFonts w:hint="eastAsia" w:ascii="宋体" w:hAnsi="宋体" w:eastAsia="宋体" w:cs="宋体"/>
          <w:color w:val="auto"/>
          <w:sz w:val="28"/>
          <w:szCs w:val="28"/>
          <w:highlight w:val="none"/>
        </w:rPr>
        <w:t>。</w:t>
      </w:r>
    </w:p>
    <w:p w14:paraId="7BC755E2">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 履约担保</w:t>
      </w:r>
    </w:p>
    <w:p w14:paraId="79AAEBB7">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是否提供履约担保：</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是</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w:t>
      </w:r>
    </w:p>
    <w:p w14:paraId="76655CB0">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承包人提供履约担保的形式、金额及期限的：</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eastAsia="zh-CN"/>
        </w:rPr>
        <w:t>合同价的</w:t>
      </w:r>
      <w:r>
        <w:rPr>
          <w:rFonts w:hint="eastAsia" w:ascii="宋体" w:hAnsi="宋体" w:eastAsia="宋体" w:cs="宋体"/>
          <w:b/>
          <w:bCs/>
          <w:color w:val="auto"/>
          <w:sz w:val="28"/>
          <w:szCs w:val="28"/>
          <w:highlight w:val="none"/>
          <w:u w:val="single"/>
          <w:lang w:val="en-US" w:eastAsia="zh-CN"/>
        </w:rPr>
        <w:t>5%</w:t>
      </w:r>
      <w:r>
        <w:rPr>
          <w:rFonts w:hint="eastAsia" w:ascii="宋体" w:hAnsi="宋体" w:eastAsia="宋体" w:cs="宋体"/>
          <w:b/>
          <w:bCs/>
          <w:color w:val="auto"/>
          <w:sz w:val="28"/>
          <w:szCs w:val="28"/>
          <w:highlight w:val="none"/>
          <w:u w:val="single"/>
          <w:lang w:eastAsia="zh-CN"/>
        </w:rPr>
        <w:t>。</w:t>
      </w:r>
      <w:r>
        <w:rPr>
          <w:rFonts w:hint="eastAsia" w:ascii="宋体" w:hAnsi="宋体" w:eastAsia="宋体" w:cs="宋体"/>
          <w:b/>
          <w:bCs/>
          <w:color w:val="auto"/>
          <w:sz w:val="28"/>
          <w:szCs w:val="28"/>
          <w:highlight w:val="none"/>
          <w:u w:val="single"/>
        </w:rPr>
        <w:t xml:space="preserve"> </w:t>
      </w:r>
    </w:p>
    <w:p w14:paraId="59DDDBBF">
      <w:pPr>
        <w:spacing w:line="500" w:lineRule="exact"/>
        <w:ind w:firstLine="562" w:firstLineChars="200"/>
        <w:jc w:val="lef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 xml:space="preserve">4. </w:t>
      </w:r>
      <w:r>
        <w:rPr>
          <w:rFonts w:hint="eastAsia" w:ascii="宋体" w:hAnsi="宋体" w:eastAsia="宋体" w:cs="宋体"/>
          <w:b/>
          <w:bCs/>
          <w:color w:val="auto"/>
          <w:sz w:val="28"/>
          <w:szCs w:val="28"/>
          <w:highlight w:val="none"/>
          <w:lang w:eastAsia="zh-CN"/>
        </w:rPr>
        <w:t>发包人</w:t>
      </w:r>
    </w:p>
    <w:p w14:paraId="52996246">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4.1 </w:t>
      </w:r>
      <w:r>
        <w:rPr>
          <w:rFonts w:hint="eastAsia" w:ascii="宋体" w:hAnsi="宋体" w:eastAsia="宋体" w:cs="宋体"/>
          <w:color w:val="auto"/>
          <w:sz w:val="28"/>
          <w:szCs w:val="28"/>
          <w:highlight w:val="none"/>
          <w:lang w:eastAsia="zh-CN"/>
        </w:rPr>
        <w:t>发包人</w:t>
      </w:r>
      <w:r>
        <w:rPr>
          <w:rFonts w:hint="eastAsia" w:ascii="宋体" w:hAnsi="宋体" w:eastAsia="宋体" w:cs="宋体"/>
          <w:color w:val="auto"/>
          <w:sz w:val="28"/>
          <w:szCs w:val="28"/>
          <w:highlight w:val="none"/>
        </w:rPr>
        <w:t>的一般规定</w:t>
      </w:r>
    </w:p>
    <w:p w14:paraId="7A5229F9">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w:t>
      </w:r>
      <w:r>
        <w:rPr>
          <w:rFonts w:hint="eastAsia" w:ascii="宋体" w:hAnsi="宋体" w:eastAsia="宋体" w:cs="宋体"/>
          <w:color w:val="auto"/>
          <w:sz w:val="28"/>
          <w:szCs w:val="28"/>
          <w:highlight w:val="none"/>
          <w:lang w:eastAsia="zh-CN"/>
        </w:rPr>
        <w:t>发包人</w:t>
      </w:r>
      <w:r>
        <w:rPr>
          <w:rFonts w:hint="eastAsia" w:ascii="宋体" w:hAnsi="宋体" w:eastAsia="宋体" w:cs="宋体"/>
          <w:color w:val="auto"/>
          <w:sz w:val="28"/>
          <w:szCs w:val="28"/>
          <w:highlight w:val="none"/>
        </w:rPr>
        <w:t>的监理内容：</w:t>
      </w:r>
      <w:r>
        <w:rPr>
          <w:rFonts w:hint="eastAsia" w:ascii="宋体" w:hAnsi="宋体" w:eastAsia="宋体" w:cs="宋体"/>
          <w:b/>
          <w:bCs/>
          <w:color w:val="auto"/>
          <w:sz w:val="28"/>
          <w:szCs w:val="28"/>
          <w:highlight w:val="none"/>
          <w:u w:val="single"/>
        </w:rPr>
        <w:t xml:space="preserve"> 按合同的授权内容执行</w:t>
      </w:r>
      <w:r>
        <w:rPr>
          <w:rFonts w:hint="eastAsia" w:ascii="宋体" w:hAnsi="宋体" w:eastAsia="宋体" w:cs="宋体"/>
          <w:color w:val="auto"/>
          <w:sz w:val="28"/>
          <w:szCs w:val="28"/>
          <w:highlight w:val="none"/>
        </w:rPr>
        <w:t>。</w:t>
      </w:r>
    </w:p>
    <w:p w14:paraId="5E29523B">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w:t>
      </w:r>
      <w:r>
        <w:rPr>
          <w:rFonts w:hint="eastAsia" w:ascii="宋体" w:hAnsi="宋体" w:eastAsia="宋体" w:cs="宋体"/>
          <w:color w:val="auto"/>
          <w:sz w:val="28"/>
          <w:szCs w:val="28"/>
          <w:highlight w:val="none"/>
          <w:lang w:eastAsia="zh-CN"/>
        </w:rPr>
        <w:t>发包人</w:t>
      </w:r>
      <w:r>
        <w:rPr>
          <w:rFonts w:hint="eastAsia" w:ascii="宋体" w:hAnsi="宋体" w:eastAsia="宋体" w:cs="宋体"/>
          <w:color w:val="auto"/>
          <w:sz w:val="28"/>
          <w:szCs w:val="28"/>
          <w:highlight w:val="none"/>
        </w:rPr>
        <w:t>的监理权限</w:t>
      </w:r>
      <w:r>
        <w:rPr>
          <w:rFonts w:hint="eastAsia" w:ascii="宋体" w:hAnsi="宋体" w:eastAsia="宋体" w:cs="宋体"/>
          <w:b/>
          <w:bCs/>
          <w:color w:val="auto"/>
          <w:sz w:val="28"/>
          <w:szCs w:val="28"/>
          <w:highlight w:val="none"/>
          <w:u w:val="single"/>
        </w:rPr>
        <w:t xml:space="preserve">： 对工程的质量、进度、文明施工及现场安全管理进行控制，监督协调，经济签证与设计变更的初步计量与审核等 </w:t>
      </w:r>
      <w:r>
        <w:rPr>
          <w:rFonts w:hint="eastAsia" w:ascii="宋体" w:hAnsi="宋体" w:eastAsia="宋体" w:cs="宋体"/>
          <w:color w:val="auto"/>
          <w:sz w:val="28"/>
          <w:szCs w:val="28"/>
          <w:highlight w:val="none"/>
        </w:rPr>
        <w:t>。</w:t>
      </w:r>
    </w:p>
    <w:p w14:paraId="75010D11">
      <w:pPr>
        <w:pStyle w:val="1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w:t>
      </w:r>
      <w:r>
        <w:rPr>
          <w:rFonts w:hint="eastAsia" w:ascii="宋体" w:hAnsi="宋体" w:eastAsia="宋体" w:cs="宋体"/>
          <w:color w:val="auto"/>
          <w:sz w:val="28"/>
          <w:szCs w:val="28"/>
          <w:highlight w:val="none"/>
          <w:lang w:eastAsia="zh-CN"/>
        </w:rPr>
        <w:t>发包人</w:t>
      </w:r>
      <w:r>
        <w:rPr>
          <w:rFonts w:hint="eastAsia" w:ascii="宋体" w:hAnsi="宋体" w:eastAsia="宋体" w:cs="宋体"/>
          <w:color w:val="auto"/>
          <w:sz w:val="28"/>
          <w:szCs w:val="28"/>
          <w:highlight w:val="none"/>
        </w:rPr>
        <w:t>在施工现场的办公场所、生活场所的提供和费用承担的约定：</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kern w:val="2"/>
          <w:sz w:val="28"/>
          <w:szCs w:val="28"/>
          <w:highlight w:val="none"/>
          <w:u w:val="single"/>
          <w:lang w:val="en-US" w:eastAsia="zh-CN" w:bidi="ar-SA"/>
        </w:rPr>
        <w:t>由承包人承担      。</w:t>
      </w:r>
    </w:p>
    <w:p w14:paraId="485903E4">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4.4 商定或确定</w:t>
      </w:r>
    </w:p>
    <w:p w14:paraId="45C7ABAF">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在发包人和承包人不能通过协商达成一致意见时，发包人对以下事项进行确定：</w:t>
      </w:r>
    </w:p>
    <w:p w14:paraId="701CD225">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
          <w:bCs/>
          <w:color w:val="auto"/>
          <w:sz w:val="28"/>
          <w:szCs w:val="28"/>
          <w:highlight w:val="none"/>
          <w:u w:val="single"/>
        </w:rPr>
        <w:t xml:space="preserve"> 对承包人的施工进度、质量、安全、造价的监督权</w:t>
      </w:r>
      <w:r>
        <w:rPr>
          <w:rFonts w:hint="eastAsia" w:ascii="宋体" w:hAnsi="宋体" w:eastAsia="宋体" w:cs="宋体"/>
          <w:color w:val="auto"/>
          <w:sz w:val="28"/>
          <w:szCs w:val="28"/>
          <w:highlight w:val="none"/>
        </w:rPr>
        <w:t>；</w:t>
      </w:r>
    </w:p>
    <w:p w14:paraId="46162210">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b/>
          <w:bCs/>
          <w:color w:val="auto"/>
          <w:sz w:val="28"/>
          <w:szCs w:val="28"/>
          <w:highlight w:val="none"/>
          <w:u w:val="single"/>
        </w:rPr>
        <w:t xml:space="preserve"> 对发包人和设计单位的建议权 </w:t>
      </w:r>
      <w:r>
        <w:rPr>
          <w:rFonts w:hint="eastAsia" w:ascii="宋体" w:hAnsi="宋体" w:eastAsia="宋体" w:cs="宋体"/>
          <w:color w:val="auto"/>
          <w:sz w:val="28"/>
          <w:szCs w:val="28"/>
          <w:highlight w:val="none"/>
        </w:rPr>
        <w:t>；</w:t>
      </w:r>
    </w:p>
    <w:p w14:paraId="7782CDAF">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b/>
          <w:bCs/>
          <w:color w:val="auto"/>
          <w:sz w:val="28"/>
          <w:szCs w:val="28"/>
          <w:highlight w:val="none"/>
          <w:u w:val="single"/>
        </w:rPr>
        <w:t xml:space="preserve"> 处于独立地方的组织协调权 </w:t>
      </w:r>
      <w:r>
        <w:rPr>
          <w:rFonts w:hint="eastAsia" w:ascii="宋体" w:hAnsi="宋体" w:eastAsia="宋体" w:cs="宋体"/>
          <w:color w:val="auto"/>
          <w:sz w:val="28"/>
          <w:szCs w:val="28"/>
          <w:highlight w:val="none"/>
        </w:rPr>
        <w:t>。</w:t>
      </w:r>
    </w:p>
    <w:p w14:paraId="2E747725">
      <w:pPr>
        <w:spacing w:line="5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  工程质量</w:t>
      </w:r>
    </w:p>
    <w:p w14:paraId="33D21018">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5.1 质量要求</w:t>
      </w:r>
    </w:p>
    <w:p w14:paraId="3456BB03">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5.1.1 特殊质量标准和要求：</w:t>
      </w:r>
      <w:r>
        <w:rPr>
          <w:rFonts w:hint="eastAsia" w:ascii="宋体" w:hAnsi="宋体" w:eastAsia="宋体" w:cs="宋体"/>
          <w:b/>
          <w:bCs/>
          <w:color w:val="auto"/>
          <w:sz w:val="28"/>
          <w:szCs w:val="28"/>
          <w:highlight w:val="none"/>
          <w:u w:val="single"/>
        </w:rPr>
        <w:t xml:space="preserve"> 工程质量标准必须符合现行国家有关工程施工质量验收规范和标准要求，符合国家《建筑工程质量验收标准及建筑工程质量统一验收标准》的合格等级，双方对工程质量存在争议的以</w:t>
      </w:r>
      <w:r>
        <w:rPr>
          <w:rFonts w:hint="eastAsia" w:ascii="宋体" w:hAnsi="宋体" w:eastAsia="宋体" w:cs="宋体"/>
          <w:b/>
          <w:bCs/>
          <w:color w:val="auto"/>
          <w:sz w:val="28"/>
          <w:szCs w:val="28"/>
          <w:highlight w:val="none"/>
          <w:u w:val="single"/>
          <w:lang w:val="en-US" w:eastAsia="zh-CN"/>
        </w:rPr>
        <w:t>当地</w:t>
      </w:r>
      <w:r>
        <w:rPr>
          <w:rFonts w:hint="eastAsia" w:ascii="宋体" w:hAnsi="宋体" w:eastAsia="宋体" w:cs="宋体"/>
          <w:b/>
          <w:bCs/>
          <w:color w:val="auto"/>
          <w:sz w:val="28"/>
          <w:szCs w:val="28"/>
          <w:highlight w:val="none"/>
          <w:u w:val="single"/>
        </w:rPr>
        <w:t xml:space="preserve">工程质量监督站出具的验收报告为确定依据 </w:t>
      </w:r>
      <w:r>
        <w:rPr>
          <w:rFonts w:hint="eastAsia" w:ascii="宋体" w:hAnsi="宋体" w:eastAsia="宋体" w:cs="宋体"/>
          <w:color w:val="auto"/>
          <w:sz w:val="28"/>
          <w:szCs w:val="28"/>
          <w:highlight w:val="none"/>
        </w:rPr>
        <w:t>。</w:t>
      </w:r>
    </w:p>
    <w:p w14:paraId="472FB252">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关于工程奖项的约定：</w:t>
      </w:r>
      <w:r>
        <w:rPr>
          <w:rFonts w:hint="eastAsia" w:ascii="宋体" w:hAnsi="宋体" w:eastAsia="宋体" w:cs="宋体"/>
          <w:b/>
          <w:bCs/>
          <w:color w:val="auto"/>
          <w:sz w:val="28"/>
          <w:szCs w:val="28"/>
          <w:highlight w:val="none"/>
          <w:u w:val="single"/>
        </w:rPr>
        <w:t xml:space="preserve">        无         </w:t>
      </w:r>
      <w:r>
        <w:rPr>
          <w:rFonts w:hint="eastAsia" w:ascii="宋体" w:hAnsi="宋体" w:eastAsia="宋体" w:cs="宋体"/>
          <w:color w:val="auto"/>
          <w:sz w:val="28"/>
          <w:szCs w:val="28"/>
          <w:highlight w:val="none"/>
        </w:rPr>
        <w:t>。</w:t>
      </w:r>
    </w:p>
    <w:p w14:paraId="17102BF3">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5.3 隐蔽工程检查</w:t>
      </w:r>
    </w:p>
    <w:p w14:paraId="7CD56A18">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5.3.2 承包人提前通知</w:t>
      </w:r>
      <w:r>
        <w:rPr>
          <w:rFonts w:hint="eastAsia" w:ascii="宋体" w:hAnsi="宋体" w:eastAsia="宋体" w:cs="宋体"/>
          <w:color w:val="auto"/>
          <w:sz w:val="28"/>
          <w:szCs w:val="28"/>
          <w:highlight w:val="none"/>
          <w:lang w:eastAsia="zh-CN"/>
        </w:rPr>
        <w:t>发包人</w:t>
      </w:r>
      <w:r>
        <w:rPr>
          <w:rFonts w:hint="eastAsia" w:ascii="宋体" w:hAnsi="宋体" w:eastAsia="宋体" w:cs="宋体"/>
          <w:color w:val="auto"/>
          <w:sz w:val="28"/>
          <w:szCs w:val="28"/>
          <w:highlight w:val="none"/>
        </w:rPr>
        <w:t>隐蔽工程检查的期限的约定：</w:t>
      </w:r>
      <w:r>
        <w:rPr>
          <w:rFonts w:hint="eastAsia" w:ascii="宋体" w:hAnsi="宋体" w:eastAsia="宋体" w:cs="宋体"/>
          <w:b/>
          <w:bCs/>
          <w:color w:val="auto"/>
          <w:sz w:val="28"/>
          <w:szCs w:val="28"/>
          <w:highlight w:val="none"/>
          <w:u w:val="single"/>
        </w:rPr>
        <w:t xml:space="preserve"> 承包人应在检查前48小时以书面形式通知</w:t>
      </w:r>
      <w:r>
        <w:rPr>
          <w:rFonts w:hint="eastAsia" w:ascii="宋体" w:hAnsi="宋体" w:eastAsia="宋体" w:cs="宋体"/>
          <w:b/>
          <w:bCs/>
          <w:color w:val="auto"/>
          <w:sz w:val="28"/>
          <w:szCs w:val="28"/>
          <w:highlight w:val="none"/>
          <w:u w:val="single"/>
          <w:lang w:eastAsia="zh-CN"/>
        </w:rPr>
        <w:t>发包人</w:t>
      </w:r>
      <w:r>
        <w:rPr>
          <w:rFonts w:hint="eastAsia" w:ascii="宋体" w:hAnsi="宋体" w:eastAsia="宋体" w:cs="宋体"/>
          <w:b/>
          <w:bCs/>
          <w:color w:val="auto"/>
          <w:sz w:val="28"/>
          <w:szCs w:val="28"/>
          <w:highlight w:val="none"/>
          <w:u w:val="single"/>
        </w:rPr>
        <w:t xml:space="preserve">检查 </w:t>
      </w:r>
      <w:r>
        <w:rPr>
          <w:rFonts w:hint="eastAsia" w:ascii="宋体" w:hAnsi="宋体" w:eastAsia="宋体" w:cs="宋体"/>
          <w:color w:val="auto"/>
          <w:sz w:val="28"/>
          <w:szCs w:val="28"/>
          <w:highlight w:val="none"/>
        </w:rPr>
        <w:t>。</w:t>
      </w:r>
    </w:p>
    <w:p w14:paraId="1C97B8C6">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发包人</w:t>
      </w:r>
      <w:r>
        <w:rPr>
          <w:rFonts w:hint="eastAsia" w:ascii="宋体" w:hAnsi="宋体" w:eastAsia="宋体" w:cs="宋体"/>
          <w:color w:val="auto"/>
          <w:sz w:val="28"/>
          <w:szCs w:val="28"/>
          <w:highlight w:val="none"/>
        </w:rPr>
        <w:t>不能按时进行检查时，应提前</w:t>
      </w:r>
      <w:r>
        <w:rPr>
          <w:rFonts w:hint="eastAsia" w:ascii="宋体" w:hAnsi="宋体" w:eastAsia="宋体" w:cs="宋体"/>
          <w:b/>
          <w:bCs/>
          <w:color w:val="auto"/>
          <w:sz w:val="28"/>
          <w:szCs w:val="28"/>
          <w:highlight w:val="none"/>
          <w:u w:val="single"/>
        </w:rPr>
        <w:t xml:space="preserve"> 24 </w:t>
      </w:r>
      <w:r>
        <w:rPr>
          <w:rFonts w:hint="eastAsia" w:ascii="宋体" w:hAnsi="宋体" w:eastAsia="宋体" w:cs="宋体"/>
          <w:color w:val="auto"/>
          <w:sz w:val="28"/>
          <w:szCs w:val="28"/>
          <w:highlight w:val="none"/>
        </w:rPr>
        <w:t>小时提交书面延期要求。</w:t>
      </w:r>
    </w:p>
    <w:p w14:paraId="4346AC75">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关于延期最长不得超过：</w:t>
      </w:r>
      <w:r>
        <w:rPr>
          <w:rFonts w:hint="eastAsia" w:ascii="宋体" w:hAnsi="宋体" w:eastAsia="宋体" w:cs="宋体"/>
          <w:b/>
          <w:bCs/>
          <w:color w:val="auto"/>
          <w:sz w:val="28"/>
          <w:szCs w:val="28"/>
          <w:highlight w:val="none"/>
          <w:u w:val="single"/>
          <w:lang w:val="en-US" w:eastAsia="zh-CN"/>
        </w:rPr>
        <w:t>48</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小时。</w:t>
      </w:r>
    </w:p>
    <w:p w14:paraId="2F7EADFC">
      <w:pPr>
        <w:spacing w:line="5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6. 安全文明施工与环境保护</w:t>
      </w:r>
    </w:p>
    <w:p w14:paraId="162B5C47">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 安全文明施工</w:t>
      </w:r>
    </w:p>
    <w:p w14:paraId="6E29BA8B">
      <w:pPr>
        <w:spacing w:line="500" w:lineRule="exact"/>
        <w:ind w:firstLine="560" w:firstLineChars="200"/>
        <w:jc w:val="left"/>
        <w:rPr>
          <w:rFonts w:hint="eastAsia" w:ascii="宋体" w:hAnsi="宋体" w:eastAsia="宋体" w:cs="宋体"/>
          <w:b/>
          <w:bCs/>
          <w:color w:val="auto"/>
          <w:sz w:val="28"/>
          <w:szCs w:val="28"/>
          <w:highlight w:val="none"/>
          <w:u w:val="single"/>
        </w:rPr>
      </w:pPr>
      <w:r>
        <w:rPr>
          <w:rFonts w:hint="eastAsia" w:ascii="宋体" w:hAnsi="宋体" w:eastAsia="宋体" w:cs="宋体"/>
          <w:color w:val="auto"/>
          <w:sz w:val="28"/>
          <w:szCs w:val="28"/>
          <w:highlight w:val="none"/>
        </w:rPr>
        <w:t>6.1.1 项目安全生产的达标目标及相应事项的约定：</w:t>
      </w:r>
      <w:r>
        <w:rPr>
          <w:rFonts w:hint="eastAsia" w:ascii="宋体" w:hAnsi="宋体" w:eastAsia="宋体" w:cs="宋体"/>
          <w:b/>
          <w:bCs/>
          <w:color w:val="auto"/>
          <w:sz w:val="28"/>
          <w:szCs w:val="28"/>
          <w:highlight w:val="none"/>
          <w:u w:val="single"/>
        </w:rPr>
        <w:t xml:space="preserve"> 要求执行《建设施工安全检查标准》 JGJ59-2011标准及《建设工程安全生产管理条例》要求。                                                         </w:t>
      </w:r>
    </w:p>
    <w:p w14:paraId="52A5FFC9">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6.1.4 关于治安保卫的特别约定：</w:t>
      </w:r>
      <w:r>
        <w:rPr>
          <w:rFonts w:hint="eastAsia" w:ascii="宋体" w:hAnsi="宋体" w:eastAsia="宋体" w:cs="宋体"/>
          <w:b/>
          <w:bCs/>
          <w:color w:val="auto"/>
          <w:sz w:val="28"/>
          <w:szCs w:val="28"/>
          <w:highlight w:val="none"/>
          <w:u w:val="single"/>
        </w:rPr>
        <w:t xml:space="preserve"> 执行本合同通用条款6.1.4条</w:t>
      </w:r>
      <w:r>
        <w:rPr>
          <w:rFonts w:hint="eastAsia" w:ascii="宋体" w:hAnsi="宋体" w:eastAsia="宋体" w:cs="宋体"/>
          <w:color w:val="auto"/>
          <w:sz w:val="28"/>
          <w:szCs w:val="28"/>
          <w:highlight w:val="none"/>
        </w:rPr>
        <w:t>。</w:t>
      </w:r>
    </w:p>
    <w:p w14:paraId="78B83B57">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关于编制施工场地治安管理计划的约定</w:t>
      </w:r>
      <w:r>
        <w:rPr>
          <w:rFonts w:hint="eastAsia" w:ascii="宋体" w:hAnsi="宋体" w:eastAsia="宋体" w:cs="宋体"/>
          <w:b/>
          <w:bCs/>
          <w:color w:val="auto"/>
          <w:sz w:val="28"/>
          <w:szCs w:val="28"/>
          <w:highlight w:val="none"/>
          <w:u w:val="single"/>
        </w:rPr>
        <w:t xml:space="preserve">： 执行通用条款，执行当地公安机关相关要求，制定相应的应急处突预案和措施 </w:t>
      </w:r>
      <w:r>
        <w:rPr>
          <w:rFonts w:hint="eastAsia" w:ascii="宋体" w:hAnsi="宋体" w:eastAsia="宋体" w:cs="宋体"/>
          <w:color w:val="auto"/>
          <w:sz w:val="28"/>
          <w:szCs w:val="28"/>
          <w:highlight w:val="none"/>
        </w:rPr>
        <w:t>。</w:t>
      </w:r>
    </w:p>
    <w:p w14:paraId="7BC13BE1">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6.1.5 文明施工</w:t>
      </w:r>
    </w:p>
    <w:p w14:paraId="072A6685">
      <w:pPr>
        <w:spacing w:line="500" w:lineRule="exact"/>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合同当事人对文明施工的要求：</w:t>
      </w:r>
      <w:r>
        <w:rPr>
          <w:rFonts w:hint="eastAsia" w:ascii="宋体" w:hAnsi="宋体" w:eastAsia="宋体" w:cs="宋体"/>
          <w:b/>
          <w:bCs/>
          <w:color w:val="auto"/>
          <w:sz w:val="28"/>
          <w:szCs w:val="28"/>
          <w:highlight w:val="none"/>
          <w:u w:val="single"/>
        </w:rPr>
        <w:t xml:space="preserve"> 达到《建设工程施工现场环境与卫生标准》JGJ 146-2013</w:t>
      </w:r>
      <w:r>
        <w:rPr>
          <w:rFonts w:hint="eastAsia" w:ascii="宋体" w:hAnsi="宋体" w:eastAsia="宋体" w:cs="宋体"/>
          <w:b/>
          <w:bCs/>
          <w:color w:val="auto"/>
          <w:sz w:val="28"/>
          <w:szCs w:val="28"/>
          <w:highlight w:val="none"/>
          <w:u w:val="single"/>
          <w:lang w:val="en-US" w:eastAsia="zh-CN"/>
        </w:rPr>
        <w:t>标准</w:t>
      </w:r>
      <w:r>
        <w:rPr>
          <w:rFonts w:hint="eastAsia" w:ascii="宋体" w:hAnsi="宋体" w:eastAsia="宋体" w:cs="宋体"/>
          <w:color w:val="auto"/>
          <w:sz w:val="28"/>
          <w:szCs w:val="28"/>
          <w:highlight w:val="none"/>
          <w:u w:val="single"/>
        </w:rPr>
        <w:t xml:space="preserve">。                                          </w:t>
      </w:r>
    </w:p>
    <w:p w14:paraId="0AF77F3A">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6.1.6 关于安全文明施工费支付比例和支付期限的约定：</w:t>
      </w:r>
      <w:r>
        <w:rPr>
          <w:rFonts w:hint="eastAsia" w:ascii="宋体" w:hAnsi="宋体" w:eastAsia="宋体" w:cs="宋体"/>
          <w:b/>
          <w:bCs/>
          <w:color w:val="auto"/>
          <w:sz w:val="28"/>
          <w:szCs w:val="28"/>
          <w:highlight w:val="none"/>
          <w:u w:val="single"/>
        </w:rPr>
        <w:t>跟随此合同约定</w:t>
      </w:r>
      <w:r>
        <w:rPr>
          <w:rFonts w:hint="eastAsia" w:ascii="宋体" w:hAnsi="宋体" w:eastAsia="宋体" w:cs="宋体"/>
          <w:b/>
          <w:bCs/>
          <w:color w:val="auto"/>
          <w:sz w:val="28"/>
          <w:szCs w:val="28"/>
          <w:highlight w:val="none"/>
          <w:u w:val="single"/>
          <w:lang w:val="en-US" w:eastAsia="zh-CN"/>
        </w:rPr>
        <w:t>工程</w:t>
      </w:r>
      <w:r>
        <w:rPr>
          <w:rFonts w:hint="eastAsia" w:ascii="宋体" w:hAnsi="宋体" w:eastAsia="宋体" w:cs="宋体"/>
          <w:b/>
          <w:bCs/>
          <w:color w:val="auto"/>
          <w:sz w:val="28"/>
          <w:szCs w:val="28"/>
          <w:highlight w:val="none"/>
          <w:u w:val="single"/>
        </w:rPr>
        <w:t xml:space="preserve">款比例同期拨付。                                </w:t>
      </w:r>
    </w:p>
    <w:p w14:paraId="00A9AC23">
      <w:pPr>
        <w:spacing w:line="5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7.  工期和进度</w:t>
      </w:r>
    </w:p>
    <w:p w14:paraId="1DA6A02D">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7.1 施工组织设计</w:t>
      </w:r>
    </w:p>
    <w:p w14:paraId="676780D3">
      <w:pPr>
        <w:pStyle w:val="1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7.1.1 合同当事人约定的施工组织设计应包括的其他内容： </w:t>
      </w:r>
      <w:r>
        <w:rPr>
          <w:rFonts w:hint="eastAsia" w:ascii="宋体" w:hAnsi="宋体" w:eastAsia="宋体" w:cs="宋体"/>
          <w:b/>
          <w:bCs/>
          <w:color w:val="auto"/>
          <w:sz w:val="28"/>
          <w:szCs w:val="28"/>
          <w:highlight w:val="none"/>
          <w:u w:val="single"/>
        </w:rPr>
        <w:t xml:space="preserve">执行本合同通用条款第 7.1.1 条，对于危险性较大的分部分项工程，承包人在施工组织设计中应依据《危险性较大的分部分项工程安全管理规定》等相关规定编制专项施工方案，并组织专家对专项方案进行论证。      </w:t>
      </w:r>
    </w:p>
    <w:p w14:paraId="2539F74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7.1.2 施工组织设计的提交和修改</w:t>
      </w:r>
    </w:p>
    <w:p w14:paraId="3F35C161">
      <w:pPr>
        <w:spacing w:line="500" w:lineRule="exact"/>
        <w:ind w:firstLine="560" w:firstLineChars="200"/>
        <w:jc w:val="left"/>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rPr>
        <w:t>承包人提交详细施工组织设计的期限的约定</w:t>
      </w:r>
      <w:r>
        <w:rPr>
          <w:rFonts w:hint="eastAsia" w:ascii="宋体" w:hAnsi="宋体" w:eastAsia="宋体" w:cs="宋体"/>
          <w:b/>
          <w:bCs/>
          <w:color w:val="auto"/>
          <w:sz w:val="28"/>
          <w:szCs w:val="28"/>
          <w:highlight w:val="none"/>
          <w:u w:val="single"/>
        </w:rPr>
        <w:t>： 合同签订后14日内，向</w:t>
      </w:r>
      <w:r>
        <w:rPr>
          <w:rFonts w:hint="eastAsia" w:ascii="宋体" w:hAnsi="宋体" w:eastAsia="宋体" w:cs="宋体"/>
          <w:b/>
          <w:bCs/>
          <w:color w:val="auto"/>
          <w:sz w:val="28"/>
          <w:szCs w:val="28"/>
          <w:highlight w:val="none"/>
          <w:u w:val="single"/>
          <w:lang w:eastAsia="zh-CN"/>
        </w:rPr>
        <w:t>发包人</w:t>
      </w:r>
      <w:r>
        <w:rPr>
          <w:rFonts w:hint="eastAsia" w:ascii="宋体" w:hAnsi="宋体" w:eastAsia="宋体" w:cs="宋体"/>
          <w:b/>
          <w:bCs/>
          <w:color w:val="auto"/>
          <w:sz w:val="28"/>
          <w:szCs w:val="28"/>
          <w:highlight w:val="none"/>
          <w:u w:val="single"/>
        </w:rPr>
        <w:t>提交详细的施工组织设计</w:t>
      </w:r>
      <w:r>
        <w:rPr>
          <w:rFonts w:hint="eastAsia" w:ascii="宋体" w:hAnsi="宋体" w:eastAsia="宋体" w:cs="宋体"/>
          <w:b/>
          <w:bCs/>
          <w:color w:val="auto"/>
          <w:sz w:val="28"/>
          <w:szCs w:val="28"/>
          <w:highlight w:val="none"/>
          <w:u w:val="none"/>
        </w:rPr>
        <w:t>。</w:t>
      </w:r>
    </w:p>
    <w:p w14:paraId="720F94A4">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发包人在收到详细的施工组织设计后确认或提出修改意见的期限：</w:t>
      </w:r>
      <w:r>
        <w:rPr>
          <w:rFonts w:hint="eastAsia" w:ascii="宋体" w:hAnsi="宋体" w:eastAsia="宋体" w:cs="宋体"/>
          <w:b/>
          <w:bCs/>
          <w:color w:val="auto"/>
          <w:spacing w:val="-6"/>
          <w:sz w:val="28"/>
          <w:szCs w:val="28"/>
          <w:highlight w:val="none"/>
          <w:u w:val="single"/>
        </w:rPr>
        <w:t>自发包人收到</w:t>
      </w:r>
      <w:r>
        <w:rPr>
          <w:rFonts w:hint="eastAsia" w:ascii="宋体" w:hAnsi="宋体" w:eastAsia="宋体" w:cs="宋体"/>
          <w:b/>
          <w:bCs/>
          <w:color w:val="auto"/>
          <w:spacing w:val="-6"/>
          <w:sz w:val="28"/>
          <w:szCs w:val="28"/>
          <w:highlight w:val="none"/>
          <w:u w:val="single"/>
          <w:lang w:val="en-US" w:eastAsia="zh-CN"/>
        </w:rPr>
        <w:t>承包人</w:t>
      </w:r>
      <w:r>
        <w:rPr>
          <w:rFonts w:hint="eastAsia" w:ascii="宋体" w:hAnsi="宋体" w:eastAsia="宋体" w:cs="宋体"/>
          <w:b/>
          <w:bCs/>
          <w:color w:val="auto"/>
          <w:spacing w:val="-6"/>
          <w:sz w:val="28"/>
          <w:szCs w:val="28"/>
          <w:highlight w:val="none"/>
          <w:u w:val="single"/>
        </w:rPr>
        <w:t>的详细施工组织设计7个日历日内</w:t>
      </w:r>
      <w:r>
        <w:rPr>
          <w:rFonts w:hint="eastAsia" w:ascii="宋体" w:hAnsi="宋体" w:eastAsia="宋体" w:cs="宋体"/>
          <w:color w:val="auto"/>
          <w:spacing w:val="-6"/>
          <w:sz w:val="28"/>
          <w:szCs w:val="28"/>
          <w:highlight w:val="none"/>
        </w:rPr>
        <w:t>。</w:t>
      </w:r>
    </w:p>
    <w:p w14:paraId="6FECBF85">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 施工进度计划</w:t>
      </w:r>
    </w:p>
    <w:p w14:paraId="5073F498">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7.2.2 施工进度计划的修订</w:t>
      </w:r>
    </w:p>
    <w:p w14:paraId="7450FD41">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发包人在收到修订的施工进度计划后确认或提出修改意见的期限：</w:t>
      </w:r>
      <w:r>
        <w:rPr>
          <w:rFonts w:hint="eastAsia" w:ascii="宋体" w:hAnsi="宋体" w:eastAsia="宋体" w:cs="宋体"/>
          <w:b/>
          <w:bCs/>
          <w:color w:val="auto"/>
          <w:sz w:val="28"/>
          <w:szCs w:val="28"/>
          <w:highlight w:val="none"/>
          <w:u w:val="single"/>
        </w:rPr>
        <w:t xml:space="preserve">收到修订的施工进度计划后7个日历日内完成审核和批准提出修改意见 </w:t>
      </w:r>
      <w:r>
        <w:rPr>
          <w:rFonts w:hint="eastAsia" w:ascii="宋体" w:hAnsi="宋体" w:eastAsia="宋体" w:cs="宋体"/>
          <w:color w:val="auto"/>
          <w:sz w:val="28"/>
          <w:szCs w:val="28"/>
          <w:highlight w:val="none"/>
        </w:rPr>
        <w:t>。</w:t>
      </w:r>
    </w:p>
    <w:p w14:paraId="4EE47CD8">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 开工</w:t>
      </w:r>
    </w:p>
    <w:p w14:paraId="1782435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7.3.1 开工准备</w:t>
      </w:r>
    </w:p>
    <w:p w14:paraId="43750C5B">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关于承包人提交工程开工报审表的期限</w:t>
      </w:r>
      <w:r>
        <w:rPr>
          <w:rFonts w:hint="eastAsia" w:ascii="宋体" w:hAnsi="宋体" w:eastAsia="宋体" w:cs="宋体"/>
          <w:b/>
          <w:bCs/>
          <w:color w:val="auto"/>
          <w:sz w:val="28"/>
          <w:szCs w:val="28"/>
          <w:highlight w:val="none"/>
          <w:u w:val="single"/>
        </w:rPr>
        <w:t>：执行本合同通用条款7.3.1条</w:t>
      </w:r>
      <w:r>
        <w:rPr>
          <w:rFonts w:hint="eastAsia" w:ascii="宋体" w:hAnsi="宋体" w:eastAsia="宋体" w:cs="宋体"/>
          <w:color w:val="auto"/>
          <w:sz w:val="28"/>
          <w:szCs w:val="28"/>
          <w:highlight w:val="none"/>
        </w:rPr>
        <w:t>。</w:t>
      </w:r>
    </w:p>
    <w:p w14:paraId="3D83035B">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关于发包人应完成的其他开工准备工作及期限：</w:t>
      </w:r>
      <w:r>
        <w:rPr>
          <w:rFonts w:hint="eastAsia" w:ascii="宋体" w:hAnsi="宋体" w:eastAsia="宋体" w:cs="宋体"/>
          <w:b/>
          <w:bCs/>
          <w:color w:val="auto"/>
          <w:sz w:val="28"/>
          <w:szCs w:val="28"/>
          <w:highlight w:val="none"/>
          <w:u w:val="single"/>
        </w:rPr>
        <w:t xml:space="preserve">     三天内      </w:t>
      </w:r>
    </w:p>
    <w:p w14:paraId="30D4C83A">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关于承包人应完成的其他开工准备工作及期限：</w:t>
      </w:r>
      <w:r>
        <w:rPr>
          <w:rFonts w:hint="eastAsia" w:ascii="宋体" w:hAnsi="宋体" w:eastAsia="宋体" w:cs="宋体"/>
          <w:b/>
          <w:bCs/>
          <w:color w:val="auto"/>
          <w:sz w:val="28"/>
          <w:szCs w:val="28"/>
          <w:highlight w:val="none"/>
          <w:u w:val="single"/>
        </w:rPr>
        <w:t xml:space="preserve">     三天内      </w:t>
      </w:r>
    </w:p>
    <w:p w14:paraId="230C5DC9">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7.3.2 开工通知</w:t>
      </w:r>
    </w:p>
    <w:p w14:paraId="2E732E43">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因发包人原因造成未能在计划开工日期之日起</w:t>
      </w:r>
      <w:r>
        <w:rPr>
          <w:rFonts w:hint="eastAsia" w:ascii="宋体" w:hAnsi="宋体" w:eastAsia="宋体" w:cs="宋体"/>
          <w:b/>
          <w:bCs/>
          <w:color w:val="auto"/>
          <w:sz w:val="28"/>
          <w:szCs w:val="28"/>
          <w:highlight w:val="none"/>
          <w:u w:val="single"/>
        </w:rPr>
        <w:t xml:space="preserve">  90 </w:t>
      </w:r>
      <w:r>
        <w:rPr>
          <w:rFonts w:hint="eastAsia" w:ascii="宋体" w:hAnsi="宋体" w:eastAsia="宋体" w:cs="宋体"/>
          <w:color w:val="auto"/>
          <w:sz w:val="28"/>
          <w:szCs w:val="28"/>
          <w:highlight w:val="none"/>
        </w:rPr>
        <w:t>天内发出开工通知的，承包人有权提出价格调整要求，或者解除合同。</w:t>
      </w:r>
    </w:p>
    <w:p w14:paraId="3CBCB7A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7.4 测量放线</w:t>
      </w:r>
    </w:p>
    <w:p w14:paraId="6B3E012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7.4.1 发包人向承包人提供测量基准点、基准线和水准点及其书面资料的期限</w:t>
      </w:r>
      <w:r>
        <w:rPr>
          <w:rFonts w:hint="eastAsia" w:ascii="宋体" w:hAnsi="宋体" w:eastAsia="宋体" w:cs="宋体"/>
          <w:b/>
          <w:bCs/>
          <w:color w:val="auto"/>
          <w:sz w:val="28"/>
          <w:szCs w:val="28"/>
          <w:highlight w:val="none"/>
          <w:u w:val="single"/>
        </w:rPr>
        <w:t xml:space="preserve">： 执行本合同通用条款7.4.1条 </w:t>
      </w:r>
      <w:r>
        <w:rPr>
          <w:rFonts w:hint="eastAsia" w:ascii="宋体" w:hAnsi="宋体" w:eastAsia="宋体" w:cs="宋体"/>
          <w:color w:val="auto"/>
          <w:sz w:val="28"/>
          <w:szCs w:val="28"/>
          <w:highlight w:val="none"/>
        </w:rPr>
        <w:t>。</w:t>
      </w:r>
    </w:p>
    <w:p w14:paraId="1FB3A28F">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7.5 工期延误</w:t>
      </w:r>
    </w:p>
    <w:p w14:paraId="5B3123DE">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7.5.1 因发包人原因导致工期延误</w:t>
      </w:r>
    </w:p>
    <w:p w14:paraId="08CEBAFD">
      <w:pPr>
        <w:spacing w:line="500" w:lineRule="exact"/>
        <w:ind w:firstLine="560" w:firstLineChars="200"/>
        <w:jc w:val="left"/>
        <w:rPr>
          <w:rFonts w:hint="eastAsia" w:ascii="宋体" w:hAnsi="宋体" w:eastAsia="宋体" w:cs="宋体"/>
          <w:b/>
          <w:bCs/>
          <w:color w:val="auto"/>
          <w:sz w:val="28"/>
          <w:szCs w:val="28"/>
          <w:highlight w:val="none"/>
          <w:u w:val="single"/>
        </w:rPr>
      </w:pPr>
      <w:r>
        <w:rPr>
          <w:rFonts w:hint="eastAsia" w:ascii="宋体" w:hAnsi="宋体" w:eastAsia="宋体" w:cs="宋体"/>
          <w:color w:val="auto"/>
          <w:sz w:val="28"/>
          <w:szCs w:val="28"/>
          <w:highlight w:val="none"/>
        </w:rPr>
        <w:t>（7）因发包人原因导致工期延误的其他情形：</w:t>
      </w:r>
      <w:r>
        <w:rPr>
          <w:rFonts w:hint="eastAsia" w:ascii="宋体" w:hAnsi="宋体" w:eastAsia="宋体" w:cs="宋体"/>
          <w:b/>
          <w:bCs/>
          <w:color w:val="auto"/>
          <w:sz w:val="28"/>
          <w:szCs w:val="28"/>
          <w:highlight w:val="none"/>
          <w:u w:val="single"/>
        </w:rPr>
        <w:t xml:space="preserve">       无         </w:t>
      </w:r>
    </w:p>
    <w:p w14:paraId="21E8A86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7.5.2 因承包人原因导致工期延误</w:t>
      </w:r>
    </w:p>
    <w:p w14:paraId="216DF877">
      <w:pPr>
        <w:spacing w:line="500" w:lineRule="exact"/>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因承包人原因造成工期延误，逾期竣工违约金的计算方法为：</w:t>
      </w:r>
      <w:r>
        <w:rPr>
          <w:rFonts w:hint="eastAsia" w:ascii="宋体" w:hAnsi="宋体" w:eastAsia="宋体" w:cs="宋体"/>
          <w:b/>
          <w:bCs/>
          <w:color w:val="auto"/>
          <w:sz w:val="28"/>
          <w:szCs w:val="28"/>
          <w:highlight w:val="none"/>
          <w:u w:val="single"/>
        </w:rPr>
        <w:t>每延误一天支付</w:t>
      </w:r>
      <w:r>
        <w:rPr>
          <w:rFonts w:hint="eastAsia" w:ascii="宋体" w:hAnsi="宋体" w:eastAsia="宋体" w:cs="宋体"/>
          <w:b/>
          <w:bCs/>
          <w:color w:val="auto"/>
          <w:sz w:val="28"/>
          <w:szCs w:val="28"/>
          <w:highlight w:val="none"/>
          <w:u w:val="single"/>
          <w:lang w:val="en-US" w:eastAsia="zh-CN"/>
        </w:rPr>
        <w:t>5000元</w:t>
      </w:r>
      <w:r>
        <w:rPr>
          <w:rFonts w:hint="eastAsia" w:ascii="宋体" w:hAnsi="宋体" w:eastAsia="宋体" w:cs="宋体"/>
          <w:b/>
          <w:bCs/>
          <w:color w:val="auto"/>
          <w:sz w:val="28"/>
          <w:szCs w:val="28"/>
          <w:highlight w:val="none"/>
          <w:u w:val="single"/>
        </w:rPr>
        <w:t>违约金</w:t>
      </w:r>
      <w:r>
        <w:rPr>
          <w:rFonts w:hint="eastAsia" w:ascii="宋体" w:hAnsi="宋体" w:eastAsia="宋体" w:cs="宋体"/>
          <w:color w:val="auto"/>
          <w:sz w:val="28"/>
          <w:szCs w:val="28"/>
          <w:highlight w:val="none"/>
          <w:u w:val="single"/>
        </w:rPr>
        <w:t xml:space="preserve">。                          </w:t>
      </w:r>
    </w:p>
    <w:p w14:paraId="388E25E7">
      <w:pPr>
        <w:pStyle w:val="1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因承包人原因造成工期延误，逾期竣工违约金的上限</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kern w:val="2"/>
          <w:sz w:val="28"/>
          <w:szCs w:val="28"/>
          <w:highlight w:val="none"/>
          <w:u w:val="single"/>
          <w:lang w:val="en-US" w:eastAsia="zh-CN" w:bidi="ar-SA"/>
        </w:rPr>
        <w:t>最高不超过合同总价款30%，若合同价款30%的违约责任仍不足以弥补发包人损失的，承包人还需另行赔偿。</w:t>
      </w:r>
      <w:r>
        <w:rPr>
          <w:rFonts w:hint="eastAsia" w:ascii="宋体" w:hAnsi="宋体" w:eastAsia="宋体" w:cs="宋体"/>
          <w:b/>
          <w:bCs/>
          <w:color w:val="auto"/>
          <w:sz w:val="28"/>
          <w:szCs w:val="28"/>
          <w:highlight w:val="none"/>
          <w:u w:val="single"/>
        </w:rPr>
        <w:t xml:space="preserve">                                            </w:t>
      </w:r>
    </w:p>
    <w:p w14:paraId="15C9B987">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7.6 不利物质条件</w:t>
      </w:r>
    </w:p>
    <w:p w14:paraId="4CE11AC7">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不利物质条件的其他情形和有关约定：</w:t>
      </w:r>
      <w:r>
        <w:rPr>
          <w:rFonts w:hint="eastAsia" w:ascii="宋体" w:hAnsi="宋体" w:eastAsia="宋体" w:cs="宋体"/>
          <w:b/>
          <w:bCs/>
          <w:color w:val="auto"/>
          <w:spacing w:val="-6"/>
          <w:sz w:val="28"/>
          <w:szCs w:val="28"/>
          <w:highlight w:val="none"/>
          <w:u w:val="single"/>
        </w:rPr>
        <w:t>执行本合同通用条款 7.6 条</w:t>
      </w:r>
      <w:r>
        <w:rPr>
          <w:rFonts w:hint="eastAsia" w:ascii="宋体" w:hAnsi="宋体" w:eastAsia="宋体" w:cs="宋体"/>
          <w:color w:val="auto"/>
          <w:spacing w:val="-6"/>
          <w:sz w:val="28"/>
          <w:szCs w:val="28"/>
          <w:highlight w:val="none"/>
        </w:rPr>
        <w:t>。</w:t>
      </w:r>
    </w:p>
    <w:p w14:paraId="6835FCD4">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7.7 异常恶劣的气候条件</w:t>
      </w:r>
    </w:p>
    <w:p w14:paraId="4EF9EA69">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发包人和承包人同意以下情形视为异常恶劣的气候条件：</w:t>
      </w:r>
    </w:p>
    <w:p w14:paraId="4BD24C58">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
          <w:bCs/>
          <w:color w:val="auto"/>
          <w:sz w:val="28"/>
          <w:szCs w:val="28"/>
          <w:highlight w:val="none"/>
          <w:u w:val="single"/>
        </w:rPr>
        <w:t xml:space="preserve"> 双方另行确定 </w:t>
      </w:r>
      <w:r>
        <w:rPr>
          <w:rFonts w:hint="eastAsia" w:ascii="宋体" w:hAnsi="宋体" w:eastAsia="宋体" w:cs="宋体"/>
          <w:color w:val="auto"/>
          <w:sz w:val="28"/>
          <w:szCs w:val="28"/>
          <w:highlight w:val="none"/>
          <w:u w:val="single"/>
        </w:rPr>
        <w:t xml:space="preserve">；                         </w:t>
      </w:r>
    </w:p>
    <w:p w14:paraId="64499837">
      <w:pPr>
        <w:spacing w:line="500" w:lineRule="exact"/>
        <w:ind w:firstLine="560" w:firstLineChars="200"/>
        <w:jc w:val="left"/>
        <w:rPr>
          <w:rFonts w:hint="eastAsia" w:ascii="宋体" w:hAnsi="宋体" w:eastAsia="宋体" w:cs="宋体"/>
          <w:b/>
          <w:bCs/>
          <w:color w:val="auto"/>
          <w:sz w:val="28"/>
          <w:szCs w:val="28"/>
          <w:highlight w:val="none"/>
          <w:u w:val="single"/>
        </w:rPr>
      </w:pPr>
      <w:r>
        <w:rPr>
          <w:rFonts w:hint="eastAsia" w:ascii="宋体" w:hAnsi="宋体" w:eastAsia="宋体" w:cs="宋体"/>
          <w:color w:val="auto"/>
          <w:sz w:val="28"/>
          <w:szCs w:val="28"/>
          <w:highlight w:val="none"/>
        </w:rPr>
        <w:t>（2）</w:t>
      </w:r>
      <w:r>
        <w:rPr>
          <w:rFonts w:hint="eastAsia" w:ascii="宋体" w:hAnsi="宋体" w:eastAsia="宋体" w:cs="宋体"/>
          <w:b/>
          <w:bCs/>
          <w:color w:val="auto"/>
          <w:sz w:val="28"/>
          <w:szCs w:val="28"/>
          <w:highlight w:val="none"/>
          <w:u w:val="single"/>
        </w:rPr>
        <w:t xml:space="preserve">       /                                 </w:t>
      </w:r>
    </w:p>
    <w:p w14:paraId="1FD70A0F">
      <w:pPr>
        <w:spacing w:line="500" w:lineRule="exact"/>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p>
    <w:p w14:paraId="62723751">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7.9 提前竣工的奖励</w:t>
      </w:r>
    </w:p>
    <w:p w14:paraId="1F0336CD">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7.9.2 提前竣工的奖励：</w:t>
      </w:r>
      <w:r>
        <w:rPr>
          <w:rFonts w:hint="eastAsia" w:ascii="宋体" w:hAnsi="宋体" w:eastAsia="宋体" w:cs="宋体"/>
          <w:b/>
          <w:bCs/>
          <w:color w:val="auto"/>
          <w:sz w:val="28"/>
          <w:szCs w:val="28"/>
          <w:highlight w:val="none"/>
          <w:u w:val="single"/>
        </w:rPr>
        <w:t xml:space="preserve">         无             </w:t>
      </w:r>
    </w:p>
    <w:p w14:paraId="769B8EC2">
      <w:pPr>
        <w:spacing w:line="5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8.  材料与设备</w:t>
      </w:r>
    </w:p>
    <w:p w14:paraId="7D3CF361">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8.4 材料与工程设备的保管与使用</w:t>
      </w:r>
    </w:p>
    <w:p w14:paraId="4844FC22">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8.4.1 发包人供应的材料设备的保管费用的承担：</w:t>
      </w:r>
      <w:r>
        <w:rPr>
          <w:rFonts w:hint="eastAsia" w:ascii="宋体" w:hAnsi="宋体" w:eastAsia="宋体" w:cs="宋体"/>
          <w:b/>
          <w:bCs/>
          <w:color w:val="auto"/>
          <w:sz w:val="28"/>
          <w:szCs w:val="28"/>
          <w:highlight w:val="none"/>
          <w:u w:val="single"/>
        </w:rPr>
        <w:t xml:space="preserve"> 招标时已明确的甲供材料，保管工作和费用由承包人承担，费用包含在此合同内</w:t>
      </w:r>
      <w:r>
        <w:rPr>
          <w:rFonts w:hint="eastAsia" w:ascii="宋体" w:hAnsi="宋体" w:eastAsia="宋体" w:cs="宋体"/>
          <w:color w:val="auto"/>
          <w:sz w:val="28"/>
          <w:szCs w:val="28"/>
          <w:highlight w:val="none"/>
        </w:rPr>
        <w:t>。</w:t>
      </w:r>
    </w:p>
    <w:p w14:paraId="0FA81BBA">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8.6 样品</w:t>
      </w:r>
    </w:p>
    <w:p w14:paraId="3CF0BF04">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8.6.1 样品的报送与封存需要承包人报送样品的材料或工程设备，样品的种类、名称、规格、数量要求：</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eastAsia="zh-CN"/>
        </w:rPr>
        <w:t>执行本合同通用条款</w:t>
      </w:r>
      <w:r>
        <w:rPr>
          <w:rFonts w:hint="eastAsia" w:ascii="宋体" w:hAnsi="宋体" w:eastAsia="宋体" w:cs="宋体"/>
          <w:b/>
          <w:bCs/>
          <w:color w:val="auto"/>
          <w:sz w:val="28"/>
          <w:szCs w:val="28"/>
          <w:highlight w:val="none"/>
          <w:u w:val="single"/>
        </w:rPr>
        <w:t>。</w:t>
      </w:r>
    </w:p>
    <w:p w14:paraId="091AA855">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8.8 施工设备和临时设施</w:t>
      </w:r>
    </w:p>
    <w:p w14:paraId="46CD2922">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8.8.1 承包人提供的施工设备和临时设施</w:t>
      </w:r>
    </w:p>
    <w:p w14:paraId="6B62E7F1">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关于修建临时设施费用承担的约定：</w:t>
      </w:r>
      <w:r>
        <w:rPr>
          <w:rFonts w:hint="eastAsia" w:ascii="宋体" w:hAnsi="宋体" w:eastAsia="宋体" w:cs="宋体"/>
          <w:b/>
          <w:bCs/>
          <w:color w:val="auto"/>
          <w:sz w:val="28"/>
          <w:szCs w:val="28"/>
          <w:highlight w:val="none"/>
          <w:u w:val="single"/>
        </w:rPr>
        <w:t xml:space="preserve">   由承包人承担</w:t>
      </w:r>
      <w:r>
        <w:rPr>
          <w:rFonts w:hint="eastAsia" w:ascii="宋体" w:hAnsi="宋体" w:eastAsia="宋体" w:cs="宋体"/>
          <w:color w:val="auto"/>
          <w:sz w:val="28"/>
          <w:szCs w:val="28"/>
          <w:highlight w:val="none"/>
          <w:u w:val="single"/>
        </w:rPr>
        <w:t xml:space="preserve">。        </w:t>
      </w:r>
    </w:p>
    <w:p w14:paraId="190846BB">
      <w:pPr>
        <w:spacing w:line="5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9. 试验与检验</w:t>
      </w:r>
    </w:p>
    <w:p w14:paraId="3BC97B0D">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9.1 试验设备与试验人员</w:t>
      </w:r>
    </w:p>
    <w:p w14:paraId="29226AA5">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9.1.2 试验设备</w:t>
      </w:r>
    </w:p>
    <w:p w14:paraId="4DB404B6">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施工现场需要配置的试验场所：</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w:t>
      </w:r>
      <w:r>
        <w:rPr>
          <w:rFonts w:hint="eastAsia" w:ascii="宋体" w:hAnsi="宋体" w:eastAsia="宋体" w:cs="宋体"/>
          <w:b/>
          <w:bCs/>
          <w:color w:val="auto"/>
          <w:sz w:val="28"/>
          <w:szCs w:val="28"/>
          <w:highlight w:val="none"/>
          <w:u w:val="single"/>
        </w:rPr>
        <w:t xml:space="preserve">                                           </w:t>
      </w:r>
    </w:p>
    <w:p w14:paraId="6CCC4506">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施工现场需要配备的试验设备：</w:t>
      </w:r>
      <w:r>
        <w:rPr>
          <w:rFonts w:hint="eastAsia" w:ascii="宋体" w:hAnsi="宋体" w:eastAsia="宋体" w:cs="宋体"/>
          <w:b/>
          <w:bCs/>
          <w:color w:val="auto"/>
          <w:sz w:val="28"/>
          <w:szCs w:val="28"/>
          <w:highlight w:val="none"/>
          <w:u w:val="single"/>
          <w:lang w:val="en-US" w:eastAsia="zh-CN"/>
        </w:rPr>
        <w:t>/</w:t>
      </w:r>
      <w:r>
        <w:rPr>
          <w:rFonts w:hint="eastAsia" w:ascii="宋体" w:hAnsi="宋体" w:eastAsia="宋体" w:cs="宋体"/>
          <w:b/>
          <w:bCs/>
          <w:color w:val="auto"/>
          <w:sz w:val="28"/>
          <w:szCs w:val="28"/>
          <w:highlight w:val="none"/>
          <w:u w:val="single"/>
        </w:rPr>
        <w:t xml:space="preserve">                                         </w:t>
      </w:r>
    </w:p>
    <w:p w14:paraId="04258580">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施工现场需要具备的其他试验条件：</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w:t>
      </w:r>
      <w:r>
        <w:rPr>
          <w:rFonts w:hint="eastAsia" w:ascii="宋体" w:hAnsi="宋体" w:eastAsia="宋体" w:cs="宋体"/>
          <w:b/>
          <w:bCs/>
          <w:color w:val="auto"/>
          <w:sz w:val="28"/>
          <w:szCs w:val="28"/>
          <w:highlight w:val="none"/>
          <w:u w:val="single"/>
        </w:rPr>
        <w:t xml:space="preserve">                         </w:t>
      </w:r>
    </w:p>
    <w:p w14:paraId="5C00E5E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9.4 现场工艺试验</w:t>
      </w:r>
    </w:p>
    <w:p w14:paraId="2A2E7722">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现场工艺试验的有关约定 ：</w:t>
      </w:r>
      <w:r>
        <w:rPr>
          <w:rFonts w:hint="eastAsia" w:ascii="宋体" w:hAnsi="宋体" w:eastAsia="宋体" w:cs="宋体"/>
          <w:b/>
          <w:bCs/>
          <w:color w:val="auto"/>
          <w:sz w:val="28"/>
          <w:szCs w:val="28"/>
          <w:highlight w:val="none"/>
          <w:u w:val="single"/>
        </w:rPr>
        <w:t xml:space="preserve"> 执行本合同通用条款中第 9.4 条</w:t>
      </w:r>
      <w:r>
        <w:rPr>
          <w:rFonts w:hint="eastAsia" w:ascii="宋体" w:hAnsi="宋体" w:eastAsia="宋体" w:cs="宋体"/>
          <w:color w:val="auto"/>
          <w:sz w:val="28"/>
          <w:szCs w:val="28"/>
          <w:highlight w:val="none"/>
        </w:rPr>
        <w:t>。</w:t>
      </w:r>
    </w:p>
    <w:p w14:paraId="4E994768">
      <w:pPr>
        <w:spacing w:line="5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10. 变更</w:t>
      </w:r>
    </w:p>
    <w:p w14:paraId="5E6717A9">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10.1 变更的范围</w:t>
      </w:r>
    </w:p>
    <w:p w14:paraId="2CC31FD4">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关于变更的范围的约定：</w:t>
      </w:r>
      <w:r>
        <w:rPr>
          <w:rFonts w:hint="eastAsia" w:ascii="宋体" w:hAnsi="宋体" w:eastAsia="宋体" w:cs="宋体"/>
          <w:b/>
          <w:bCs/>
          <w:color w:val="auto"/>
          <w:sz w:val="28"/>
          <w:szCs w:val="28"/>
          <w:highlight w:val="none"/>
          <w:u w:val="single"/>
        </w:rPr>
        <w:t xml:space="preserve"> 执行本合同通用条款中第 10.1条</w:t>
      </w:r>
      <w:r>
        <w:rPr>
          <w:rFonts w:hint="eastAsia" w:ascii="宋体" w:hAnsi="宋体" w:eastAsia="宋体" w:cs="宋体"/>
          <w:color w:val="auto"/>
          <w:sz w:val="28"/>
          <w:szCs w:val="28"/>
          <w:highlight w:val="none"/>
        </w:rPr>
        <w:t>。</w:t>
      </w:r>
    </w:p>
    <w:p w14:paraId="25DE9297">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10.4 变更估价</w:t>
      </w:r>
    </w:p>
    <w:p w14:paraId="5B5F39E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10.4.1 变更估价原则</w:t>
      </w:r>
    </w:p>
    <w:p w14:paraId="431C9EB3">
      <w:pPr>
        <w:pStyle w:val="9"/>
        <w:ind w:firstLine="56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8"/>
          <w:szCs w:val="28"/>
          <w:highlight w:val="none"/>
        </w:rPr>
        <w:t>关于变更估价的约定:</w:t>
      </w:r>
      <w:r>
        <w:rPr>
          <w:rFonts w:hint="eastAsia" w:ascii="宋体" w:hAnsi="宋体" w:eastAsia="宋体" w:cs="宋体"/>
          <w:b/>
          <w:bCs/>
          <w:color w:val="auto"/>
          <w:kern w:val="2"/>
          <w:sz w:val="28"/>
          <w:szCs w:val="28"/>
          <w:highlight w:val="none"/>
          <w:u w:val="single"/>
          <w:lang w:val="en-US" w:eastAsia="zh-CN" w:bidi="ar-SA"/>
        </w:rPr>
        <w:t>发包人、承包人和监理方共同商定，遵循市场价格及合同约定的清单单价为基准，确保变更估价的合理性和透明度。</w:t>
      </w:r>
    </w:p>
    <w:p w14:paraId="25EAED53">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10.5 承包人的合理化建议</w:t>
      </w:r>
    </w:p>
    <w:p w14:paraId="68DBA146">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审查承包人合理化建议的期限：</w:t>
      </w:r>
      <w:r>
        <w:rPr>
          <w:rFonts w:hint="eastAsia" w:ascii="宋体" w:hAnsi="宋体" w:eastAsia="宋体" w:cs="宋体"/>
          <w:b/>
          <w:bCs/>
          <w:color w:val="auto"/>
          <w:sz w:val="28"/>
          <w:szCs w:val="28"/>
          <w:highlight w:val="none"/>
          <w:u w:val="single"/>
        </w:rPr>
        <w:t xml:space="preserve"> 执行本合同通用条款中第10.5条。                                                    </w:t>
      </w:r>
    </w:p>
    <w:p w14:paraId="0175BD87">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发包人审批承包人合理化建议的期限：</w:t>
      </w:r>
      <w:r>
        <w:rPr>
          <w:rFonts w:hint="eastAsia" w:ascii="宋体" w:hAnsi="宋体" w:eastAsia="宋体" w:cs="宋体"/>
          <w:b/>
          <w:bCs/>
          <w:color w:val="auto"/>
          <w:sz w:val="28"/>
          <w:szCs w:val="28"/>
          <w:highlight w:val="none"/>
          <w:u w:val="single"/>
        </w:rPr>
        <w:t xml:space="preserve"> 执行本合同通用条款中第10.5条。                                                     </w:t>
      </w:r>
    </w:p>
    <w:p w14:paraId="395C3FD3">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承包人提出的合理化建议降低了合同价格或者提高了工程经济效益的奖励的方法和金额为：</w:t>
      </w:r>
      <w:r>
        <w:rPr>
          <w:rFonts w:hint="eastAsia" w:ascii="宋体" w:hAnsi="宋体" w:eastAsia="宋体" w:cs="宋体"/>
          <w:b/>
          <w:bCs/>
          <w:color w:val="auto"/>
          <w:sz w:val="28"/>
          <w:szCs w:val="28"/>
          <w:highlight w:val="none"/>
          <w:u w:val="single"/>
        </w:rPr>
        <w:t xml:space="preserve">              /                      </w:t>
      </w:r>
    </w:p>
    <w:p w14:paraId="0CBDD4CE">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10.7 暂估价</w:t>
      </w:r>
    </w:p>
    <w:p w14:paraId="2A225FB0">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暂估价材料和工程设备的明细详见附件 11：</w:t>
      </w:r>
      <w:r>
        <w:rPr>
          <w:rFonts w:hint="eastAsia" w:ascii="宋体" w:hAnsi="宋体" w:eastAsia="宋体" w:cs="宋体"/>
          <w:b/>
          <w:bCs/>
          <w:color w:val="auto"/>
          <w:sz w:val="28"/>
          <w:szCs w:val="28"/>
          <w:highlight w:val="none"/>
          <w:u w:val="single"/>
        </w:rPr>
        <w:t>《暂估价一览表》</w:t>
      </w:r>
      <w:r>
        <w:rPr>
          <w:rFonts w:hint="eastAsia" w:ascii="宋体" w:hAnsi="宋体" w:eastAsia="宋体" w:cs="宋体"/>
          <w:color w:val="auto"/>
          <w:sz w:val="28"/>
          <w:szCs w:val="28"/>
          <w:highlight w:val="none"/>
        </w:rPr>
        <w:t>。</w:t>
      </w:r>
    </w:p>
    <w:p w14:paraId="3CEA9D3A">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10.7.1 依法必须招标的暂估价项目</w:t>
      </w:r>
    </w:p>
    <w:p w14:paraId="02D23EC2">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对于依法必须招标的暂估价项目的确认和批准采取第</w:t>
      </w:r>
      <w:r>
        <w:rPr>
          <w:rFonts w:hint="eastAsia" w:ascii="宋体" w:hAnsi="宋体" w:eastAsia="宋体" w:cs="宋体"/>
          <w:b/>
          <w:bCs/>
          <w:color w:val="auto"/>
          <w:sz w:val="28"/>
          <w:szCs w:val="28"/>
          <w:highlight w:val="none"/>
          <w:u w:val="single"/>
        </w:rPr>
        <w:t xml:space="preserve"> / </w:t>
      </w:r>
      <w:r>
        <w:rPr>
          <w:rFonts w:hint="eastAsia" w:ascii="宋体" w:hAnsi="宋体" w:eastAsia="宋体" w:cs="宋体"/>
          <w:color w:val="auto"/>
          <w:sz w:val="28"/>
          <w:szCs w:val="28"/>
          <w:highlight w:val="none"/>
        </w:rPr>
        <w:t>种方式确定。</w:t>
      </w:r>
    </w:p>
    <w:p w14:paraId="04FC0566">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10.7.2 不属于依法必须招标的暂估价项目</w:t>
      </w:r>
    </w:p>
    <w:p w14:paraId="76A91D3A">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对于不属于依法必须招标的暂估价项目的确认和批准采取第</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种方式确定。</w:t>
      </w:r>
    </w:p>
    <w:p w14:paraId="0D9C12B1">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 3 种方式：承包人直接实施的暂估价项目</w:t>
      </w:r>
    </w:p>
    <w:p w14:paraId="3D040370">
      <w:pPr>
        <w:spacing w:line="500" w:lineRule="exact"/>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承包人直接实施的暂估价项目的约定：</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p>
    <w:p w14:paraId="2252C71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10.8 暂列金额</w:t>
      </w:r>
    </w:p>
    <w:p w14:paraId="76731995">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合同当事人关于暂列金额使用的约定：</w:t>
      </w:r>
      <w:r>
        <w:rPr>
          <w:rFonts w:hint="eastAsia" w:ascii="宋体" w:hAnsi="宋体" w:eastAsia="宋体" w:cs="宋体"/>
          <w:b/>
          <w:bCs/>
          <w:color w:val="auto"/>
          <w:sz w:val="28"/>
          <w:szCs w:val="28"/>
          <w:highlight w:val="none"/>
          <w:u w:val="single"/>
        </w:rPr>
        <w:t xml:space="preserve">            /            </w:t>
      </w:r>
    </w:p>
    <w:p w14:paraId="0C08DD60">
      <w:pPr>
        <w:spacing w:line="5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11.  价格调整</w:t>
      </w:r>
    </w:p>
    <w:p w14:paraId="5D538B5E">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 市场价格波动引起的调整</w:t>
      </w:r>
    </w:p>
    <w:p w14:paraId="5FDDA47D">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市场价格波动是否调整合同价格的约定：</w:t>
      </w:r>
      <w:r>
        <w:rPr>
          <w:rFonts w:hint="eastAsia" w:ascii="宋体" w:hAnsi="宋体" w:eastAsia="宋体" w:cs="宋体"/>
          <w:b/>
          <w:bCs/>
          <w:color w:val="auto"/>
          <w:sz w:val="28"/>
          <w:szCs w:val="28"/>
          <w:highlight w:val="none"/>
          <w:u w:val="single"/>
        </w:rPr>
        <w:t xml:space="preserve">  不予调整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CC4354D">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因市场价格波动调整合同价格，采用以下第</w:t>
      </w:r>
      <w:r>
        <w:rPr>
          <w:rFonts w:hint="eastAsia" w:ascii="宋体" w:hAnsi="宋体" w:eastAsia="宋体" w:cs="宋体"/>
          <w:b/>
          <w:bCs/>
          <w:color w:val="auto"/>
          <w:sz w:val="28"/>
          <w:szCs w:val="28"/>
          <w:highlight w:val="none"/>
          <w:u w:val="single"/>
        </w:rPr>
        <w:t xml:space="preserve"> / </w:t>
      </w:r>
      <w:r>
        <w:rPr>
          <w:rFonts w:hint="eastAsia" w:ascii="宋体" w:hAnsi="宋体" w:eastAsia="宋体" w:cs="宋体"/>
          <w:color w:val="auto"/>
          <w:sz w:val="28"/>
          <w:szCs w:val="28"/>
          <w:highlight w:val="none"/>
        </w:rPr>
        <w:t>种方式对合同价格进行调整：</w:t>
      </w:r>
    </w:p>
    <w:p w14:paraId="5EC07DF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 1 种方式：采用价格指数进行价格调整。</w:t>
      </w:r>
    </w:p>
    <w:p w14:paraId="45815DFE">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关于各可调因子、定值和变值权重，以及基本价格指数及其来源的约定：</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p>
    <w:p w14:paraId="6561C098">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 2 种方式：采用造价信息进行价格调整。</w:t>
      </w:r>
    </w:p>
    <w:p w14:paraId="43654BCA">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（2）关于基准价格的约定：</w:t>
      </w:r>
      <w:r>
        <w:rPr>
          <w:rFonts w:hint="eastAsia" w:ascii="宋体" w:hAnsi="宋体" w:eastAsia="宋体" w:cs="宋体"/>
          <w:b/>
          <w:bCs/>
          <w:color w:val="auto"/>
          <w:sz w:val="28"/>
          <w:szCs w:val="28"/>
          <w:highlight w:val="none"/>
          <w:u w:val="single"/>
        </w:rPr>
        <w:t xml:space="preserve">            /                </w:t>
      </w:r>
    </w:p>
    <w:p w14:paraId="7E816986">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%时，或材料单价跌幅以已标价工程量清单或预算书中载明材料单价为基础超过</w:t>
      </w:r>
      <w:r>
        <w:rPr>
          <w:rFonts w:hint="eastAsia" w:ascii="宋体" w:hAnsi="宋体" w:eastAsia="宋体" w:cs="宋体"/>
          <w:b/>
          <w:bCs/>
          <w:color w:val="auto"/>
          <w:sz w:val="28"/>
          <w:szCs w:val="28"/>
          <w:highlight w:val="none"/>
          <w:u w:val="single"/>
        </w:rPr>
        <w:t xml:space="preserve">  / </w:t>
      </w:r>
      <w:r>
        <w:rPr>
          <w:rFonts w:hint="eastAsia" w:ascii="宋体" w:hAnsi="宋体" w:eastAsia="宋体" w:cs="宋体"/>
          <w:color w:val="auto"/>
          <w:sz w:val="28"/>
          <w:szCs w:val="28"/>
          <w:highlight w:val="none"/>
        </w:rPr>
        <w:t>%时，其超过部分据实调整。</w:t>
      </w:r>
    </w:p>
    <w:p w14:paraId="69F201D6">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②承包人在已标价工程量清单或预算书中载明的材料单价高于基准价格的：专用合同条款合同履行期间材料单价跌幅以基准价格为基础超过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%时，材料单价涨幅以已标价工程量清单或预算书中载明材料单价为基础超过</w:t>
      </w:r>
      <w:r>
        <w:rPr>
          <w:rFonts w:hint="eastAsia" w:ascii="宋体" w:hAnsi="宋体" w:eastAsia="宋体" w:cs="宋体"/>
          <w:b/>
          <w:bCs/>
          <w:color w:val="auto"/>
          <w:sz w:val="28"/>
          <w:szCs w:val="28"/>
          <w:highlight w:val="none"/>
          <w:u w:val="single"/>
        </w:rPr>
        <w:t xml:space="preserve">  /  </w:t>
      </w:r>
      <w:r>
        <w:rPr>
          <w:rFonts w:hint="eastAsia" w:ascii="宋体" w:hAnsi="宋体" w:eastAsia="宋体" w:cs="宋体"/>
          <w:color w:val="auto"/>
          <w:sz w:val="28"/>
          <w:szCs w:val="28"/>
          <w:highlight w:val="none"/>
        </w:rPr>
        <w:t>%时，其超过部分据实调整。</w:t>
      </w:r>
    </w:p>
    <w:p w14:paraId="317FB8FF">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b/>
          <w:bCs/>
          <w:color w:val="auto"/>
          <w:sz w:val="28"/>
          <w:szCs w:val="28"/>
          <w:highlight w:val="none"/>
          <w:u w:val="single"/>
        </w:rPr>
        <w:t xml:space="preserve">  /  </w:t>
      </w:r>
      <w:r>
        <w:rPr>
          <w:rFonts w:hint="eastAsia" w:ascii="宋体" w:hAnsi="宋体" w:eastAsia="宋体" w:cs="宋体"/>
          <w:color w:val="auto"/>
          <w:sz w:val="28"/>
          <w:szCs w:val="28"/>
          <w:highlight w:val="none"/>
        </w:rPr>
        <w:t>%时，其超过部分据实调整。</w:t>
      </w:r>
    </w:p>
    <w:p w14:paraId="73A792D2">
      <w:pPr>
        <w:spacing w:line="500" w:lineRule="exact"/>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第 3 种方式：其他价格调整方式：</w:t>
      </w:r>
      <w:r>
        <w:rPr>
          <w:rFonts w:hint="eastAsia" w:ascii="宋体" w:hAnsi="宋体" w:eastAsia="宋体" w:cs="宋体"/>
          <w:color w:val="auto"/>
          <w:sz w:val="28"/>
          <w:szCs w:val="28"/>
          <w:highlight w:val="none"/>
          <w:u w:val="single"/>
        </w:rPr>
        <w:t xml:space="preserve">           无             </w:t>
      </w:r>
    </w:p>
    <w:p w14:paraId="2E7E60F0">
      <w:pPr>
        <w:spacing w:line="5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12.  合同价格、计量与支付</w:t>
      </w:r>
    </w:p>
    <w:p w14:paraId="658DAB87">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12.1 合同价格形式</w:t>
      </w:r>
    </w:p>
    <w:p w14:paraId="19F816BB">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1、单价合同。</w:t>
      </w:r>
    </w:p>
    <w:p w14:paraId="1416A34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综合单价包含的风险范围：</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p>
    <w:p w14:paraId="25B47E47">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风险费用的计算方法：</w:t>
      </w:r>
      <w:r>
        <w:rPr>
          <w:rFonts w:hint="eastAsia" w:ascii="宋体" w:hAnsi="宋体" w:eastAsia="宋体" w:cs="宋体"/>
          <w:b/>
          <w:bCs/>
          <w:color w:val="auto"/>
          <w:sz w:val="28"/>
          <w:szCs w:val="28"/>
          <w:highlight w:val="none"/>
          <w:u w:val="single"/>
        </w:rPr>
        <w:t xml:space="preserve">                /                     </w:t>
      </w:r>
    </w:p>
    <w:p w14:paraId="1041D86F">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风险范围以外合同价格的调整方法：</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p>
    <w:p w14:paraId="36C2FAAD">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2、总价合同。</w:t>
      </w:r>
    </w:p>
    <w:p w14:paraId="05425C23">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总价包含的风险范围：</w:t>
      </w:r>
      <w:r>
        <w:rPr>
          <w:rFonts w:hint="eastAsia" w:ascii="宋体" w:hAnsi="宋体" w:eastAsia="宋体" w:cs="宋体"/>
          <w:b/>
          <w:bCs/>
          <w:color w:val="auto"/>
          <w:sz w:val="28"/>
          <w:szCs w:val="28"/>
          <w:highlight w:val="none"/>
          <w:u w:val="single"/>
        </w:rPr>
        <w:t xml:space="preserve">           /                   </w:t>
      </w:r>
    </w:p>
    <w:p w14:paraId="5F7DB4FA">
      <w:pPr>
        <w:spacing w:line="500" w:lineRule="exact"/>
        <w:ind w:firstLine="560" w:firstLineChars="200"/>
        <w:jc w:val="left"/>
        <w:rPr>
          <w:rFonts w:hint="eastAsia" w:ascii="宋体" w:hAnsi="宋体" w:eastAsia="宋体" w:cs="宋体"/>
          <w:b/>
          <w:bCs/>
          <w:color w:val="auto"/>
          <w:sz w:val="28"/>
          <w:szCs w:val="28"/>
          <w:highlight w:val="none"/>
          <w:u w:val="single"/>
        </w:rPr>
      </w:pPr>
      <w:r>
        <w:rPr>
          <w:rFonts w:hint="eastAsia" w:ascii="宋体" w:hAnsi="宋体" w:eastAsia="宋体" w:cs="宋体"/>
          <w:color w:val="auto"/>
          <w:sz w:val="28"/>
          <w:szCs w:val="28"/>
          <w:highlight w:val="none"/>
        </w:rPr>
        <w:t>风险费用的计算方法：</w:t>
      </w:r>
      <w:r>
        <w:rPr>
          <w:rFonts w:hint="eastAsia" w:ascii="宋体" w:hAnsi="宋体" w:eastAsia="宋体" w:cs="宋体"/>
          <w:b/>
          <w:bCs/>
          <w:color w:val="auto"/>
          <w:sz w:val="28"/>
          <w:szCs w:val="28"/>
          <w:highlight w:val="none"/>
          <w:u w:val="single"/>
        </w:rPr>
        <w:t xml:space="preserve">            /                  </w:t>
      </w:r>
    </w:p>
    <w:p w14:paraId="4CC6EF67">
      <w:pPr>
        <w:spacing w:line="500" w:lineRule="exact"/>
        <w:ind w:firstLine="560" w:firstLineChars="200"/>
        <w:jc w:val="left"/>
        <w:rPr>
          <w:rFonts w:hint="eastAsia" w:ascii="宋体" w:hAnsi="宋体" w:eastAsia="宋体" w:cs="宋体"/>
          <w:b/>
          <w:bCs/>
          <w:color w:val="auto"/>
          <w:sz w:val="28"/>
          <w:szCs w:val="28"/>
          <w:highlight w:val="none"/>
          <w:u w:val="single"/>
        </w:rPr>
      </w:pPr>
      <w:r>
        <w:rPr>
          <w:rFonts w:hint="eastAsia" w:ascii="宋体" w:hAnsi="宋体" w:eastAsia="宋体" w:cs="宋体"/>
          <w:color w:val="auto"/>
          <w:sz w:val="28"/>
          <w:szCs w:val="28"/>
          <w:highlight w:val="none"/>
        </w:rPr>
        <w:t>风险范围以外合同价格的调整方法：</w:t>
      </w:r>
      <w:r>
        <w:rPr>
          <w:rFonts w:hint="eastAsia" w:ascii="宋体" w:hAnsi="宋体" w:eastAsia="宋体" w:cs="宋体"/>
          <w:b/>
          <w:bCs/>
          <w:color w:val="auto"/>
          <w:sz w:val="28"/>
          <w:szCs w:val="28"/>
          <w:highlight w:val="none"/>
          <w:u w:val="single"/>
        </w:rPr>
        <w:t xml:space="preserve">        /          </w:t>
      </w:r>
    </w:p>
    <w:p w14:paraId="169D0970">
      <w:pPr>
        <w:spacing w:line="500" w:lineRule="exact"/>
        <w:ind w:firstLine="560" w:firstLineChars="200"/>
        <w:jc w:val="left"/>
        <w:rPr>
          <w:rFonts w:hint="eastAsia" w:ascii="宋体" w:hAnsi="宋体" w:eastAsia="宋体" w:cs="宋体"/>
          <w:b/>
          <w:bCs/>
          <w:color w:val="auto"/>
          <w:sz w:val="28"/>
          <w:szCs w:val="28"/>
          <w:highlight w:val="none"/>
          <w:u w:val="single"/>
        </w:rPr>
      </w:pPr>
      <w:r>
        <w:rPr>
          <w:rFonts w:hint="eastAsia" w:ascii="宋体" w:hAnsi="宋体" w:eastAsia="宋体" w:cs="宋体"/>
          <w:color w:val="auto"/>
          <w:sz w:val="28"/>
          <w:szCs w:val="28"/>
          <w:highlight w:val="none"/>
        </w:rPr>
        <w:t>3、其他价格方式：</w:t>
      </w:r>
      <w:r>
        <w:rPr>
          <w:rFonts w:hint="eastAsia" w:ascii="宋体" w:hAnsi="宋体" w:eastAsia="宋体" w:cs="宋体"/>
          <w:b/>
          <w:bCs/>
          <w:color w:val="auto"/>
          <w:sz w:val="28"/>
          <w:szCs w:val="28"/>
          <w:highlight w:val="none"/>
          <w:u w:val="single"/>
        </w:rPr>
        <w:t xml:space="preserve">                      /           </w:t>
      </w:r>
    </w:p>
    <w:p w14:paraId="1EBDA987">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12.2 预付款</w:t>
      </w:r>
    </w:p>
    <w:p w14:paraId="12A5C696">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12.2.1 预付款的支付</w:t>
      </w:r>
    </w:p>
    <w:p w14:paraId="1E4C10D9">
      <w:pPr>
        <w:spacing w:line="360" w:lineRule="auto"/>
        <w:ind w:firstLine="560" w:firstLineChars="200"/>
        <w:jc w:val="left"/>
        <w:rPr>
          <w:rFonts w:hint="eastAsia" w:ascii="宋体" w:hAnsi="宋体" w:eastAsia="宋体" w:cs="宋体"/>
          <w:color w:val="auto"/>
          <w:sz w:val="24"/>
          <w:highlight w:val="none"/>
          <w:u w:val="single"/>
          <w:lang w:eastAsia="zh-CN"/>
        </w:rPr>
      </w:pPr>
      <w:r>
        <w:rPr>
          <w:rFonts w:hint="eastAsia" w:ascii="宋体" w:hAnsi="宋体" w:eastAsia="宋体" w:cs="宋体"/>
          <w:color w:val="auto"/>
          <w:sz w:val="28"/>
          <w:szCs w:val="28"/>
          <w:highlight w:val="none"/>
        </w:rPr>
        <w:t>预付款支付比例或金额：</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4"/>
          <w:highlight w:val="none"/>
          <w:u w:val="single"/>
          <w:lang w:eastAsia="zh-CN"/>
        </w:rPr>
        <w:t>合同签订后，发包人给承包人拨付合同价的30%工程款作为工程预付款。</w:t>
      </w:r>
    </w:p>
    <w:p w14:paraId="4BC49D08">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预付款支付期限：</w:t>
      </w:r>
      <w:r>
        <w:rPr>
          <w:rFonts w:hint="eastAsia" w:ascii="宋体" w:hAnsi="宋体" w:eastAsia="宋体" w:cs="宋体"/>
          <w:b/>
          <w:bCs/>
          <w:color w:val="auto"/>
          <w:sz w:val="28"/>
          <w:szCs w:val="28"/>
          <w:highlight w:val="none"/>
          <w:u w:val="single"/>
        </w:rPr>
        <w:t xml:space="preserve">                /                 </w:t>
      </w:r>
    </w:p>
    <w:p w14:paraId="65B7F65B">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预付款扣回的方式：</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w:t>
      </w:r>
      <w:r>
        <w:rPr>
          <w:rFonts w:hint="eastAsia" w:ascii="宋体" w:hAnsi="宋体" w:eastAsia="宋体" w:cs="宋体"/>
          <w:color w:val="auto"/>
          <w:sz w:val="28"/>
          <w:szCs w:val="28"/>
          <w:highlight w:val="none"/>
        </w:rPr>
        <w:t>。</w:t>
      </w:r>
    </w:p>
    <w:p w14:paraId="22FE2B74">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12.2.2 预付款担保</w:t>
      </w:r>
    </w:p>
    <w:p w14:paraId="393FB16F">
      <w:pPr>
        <w:spacing w:line="500" w:lineRule="exact"/>
        <w:ind w:firstLine="560" w:firstLineChars="200"/>
        <w:jc w:val="left"/>
        <w:rPr>
          <w:rFonts w:hint="eastAsia" w:ascii="宋体" w:hAnsi="宋体" w:eastAsia="宋体" w:cs="宋体"/>
          <w:b/>
          <w:bCs/>
          <w:color w:val="auto"/>
          <w:sz w:val="28"/>
          <w:szCs w:val="28"/>
          <w:highlight w:val="none"/>
          <w:u w:val="single"/>
          <w:lang w:val="en-US"/>
        </w:rPr>
      </w:pPr>
      <w:r>
        <w:rPr>
          <w:rFonts w:hint="eastAsia" w:ascii="宋体" w:hAnsi="宋体" w:eastAsia="宋体" w:cs="宋体"/>
          <w:color w:val="auto"/>
          <w:sz w:val="28"/>
          <w:szCs w:val="28"/>
          <w:highlight w:val="none"/>
        </w:rPr>
        <w:t>承包人提交预付款担保的期限：</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               </w:t>
      </w:r>
    </w:p>
    <w:p w14:paraId="06123C33">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预付款担保的形式为：</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p>
    <w:p w14:paraId="2275C84B">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 计量</w:t>
      </w:r>
    </w:p>
    <w:p w14:paraId="5D715424">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12.3.1 计量原则</w:t>
      </w:r>
    </w:p>
    <w:p w14:paraId="7200E9D0">
      <w:pPr>
        <w:spacing w:line="500" w:lineRule="exact"/>
        <w:ind w:firstLine="560" w:firstLineChars="200"/>
        <w:jc w:val="left"/>
        <w:rPr>
          <w:rFonts w:hint="eastAsia" w:ascii="宋体" w:hAnsi="宋体" w:eastAsia="宋体" w:cs="宋体"/>
          <w:b/>
          <w:bCs/>
          <w:color w:val="auto"/>
          <w:sz w:val="28"/>
          <w:szCs w:val="28"/>
          <w:highlight w:val="none"/>
          <w:u w:val="single"/>
        </w:rPr>
      </w:pPr>
      <w:r>
        <w:rPr>
          <w:rFonts w:hint="eastAsia" w:ascii="宋体" w:hAnsi="宋体" w:eastAsia="宋体" w:cs="宋体"/>
          <w:color w:val="auto"/>
          <w:sz w:val="28"/>
          <w:szCs w:val="28"/>
          <w:highlight w:val="none"/>
        </w:rPr>
        <w:t>工程量计算规则：</w:t>
      </w:r>
      <w:r>
        <w:rPr>
          <w:rFonts w:hint="eastAsia" w:ascii="宋体" w:hAnsi="宋体" w:eastAsia="宋体" w:cs="宋体"/>
          <w:b/>
          <w:bCs/>
          <w:color w:val="auto"/>
          <w:sz w:val="28"/>
          <w:szCs w:val="28"/>
          <w:highlight w:val="none"/>
          <w:u w:val="single"/>
        </w:rPr>
        <w:t xml:space="preserve"> 执行国家标准《建设工程工程量清单计价规范》</w:t>
      </w:r>
    </w:p>
    <w:p w14:paraId="7B026ADD">
      <w:pPr>
        <w:spacing w:line="500" w:lineRule="exact"/>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u w:val="single"/>
        </w:rPr>
        <w:t>（GB50500-2013 ）</w:t>
      </w:r>
      <w:r>
        <w:rPr>
          <w:rFonts w:hint="eastAsia" w:ascii="宋体" w:hAnsi="宋体" w:eastAsia="宋体" w:cs="宋体"/>
          <w:color w:val="auto"/>
          <w:sz w:val="28"/>
          <w:szCs w:val="28"/>
          <w:highlight w:val="none"/>
        </w:rPr>
        <w:t>。</w:t>
      </w:r>
    </w:p>
    <w:p w14:paraId="638FD1EE">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12.3.2 计量周期</w:t>
      </w:r>
    </w:p>
    <w:p w14:paraId="62E49799">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关于计量周期的约定：</w:t>
      </w:r>
      <w:r>
        <w:rPr>
          <w:rFonts w:hint="eastAsia" w:ascii="宋体" w:hAnsi="宋体" w:eastAsia="宋体" w:cs="宋体"/>
          <w:b/>
          <w:bCs/>
          <w:color w:val="auto"/>
          <w:sz w:val="28"/>
          <w:szCs w:val="28"/>
          <w:highlight w:val="none"/>
          <w:u w:val="single"/>
        </w:rPr>
        <w:t xml:space="preserve"> 执行本合同通用条款12.3.2条 </w:t>
      </w:r>
      <w:r>
        <w:rPr>
          <w:rFonts w:hint="eastAsia" w:ascii="宋体" w:hAnsi="宋体" w:eastAsia="宋体" w:cs="宋体"/>
          <w:color w:val="auto"/>
          <w:sz w:val="28"/>
          <w:szCs w:val="28"/>
          <w:highlight w:val="none"/>
        </w:rPr>
        <w:t>。</w:t>
      </w:r>
    </w:p>
    <w:p w14:paraId="0ECA7EF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12.3.3 单价合同的计量</w:t>
      </w:r>
    </w:p>
    <w:p w14:paraId="7B01198E">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关于单价合同计量的约定</w:t>
      </w:r>
      <w:r>
        <w:rPr>
          <w:rFonts w:hint="eastAsia" w:ascii="宋体" w:hAnsi="宋体" w:eastAsia="宋体" w:cs="宋体"/>
          <w:b/>
          <w:bCs/>
          <w:color w:val="auto"/>
          <w:sz w:val="28"/>
          <w:szCs w:val="28"/>
          <w:highlight w:val="none"/>
          <w:u w:val="single"/>
        </w:rPr>
        <w:t xml:space="preserve">： 执行本合同通用条款12.3.3条 </w:t>
      </w:r>
      <w:r>
        <w:rPr>
          <w:rFonts w:hint="eastAsia" w:ascii="宋体" w:hAnsi="宋体" w:eastAsia="宋体" w:cs="宋体"/>
          <w:color w:val="auto"/>
          <w:sz w:val="28"/>
          <w:szCs w:val="28"/>
          <w:highlight w:val="none"/>
        </w:rPr>
        <w:t>。</w:t>
      </w:r>
    </w:p>
    <w:p w14:paraId="3E2E4A7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12.3.4 总价合同的计量</w:t>
      </w:r>
    </w:p>
    <w:p w14:paraId="7AAB346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关于总价合同计量的约定：</w:t>
      </w:r>
      <w:r>
        <w:rPr>
          <w:rFonts w:hint="eastAsia" w:ascii="宋体" w:hAnsi="宋体" w:eastAsia="宋体" w:cs="宋体"/>
          <w:b/>
          <w:bCs/>
          <w:color w:val="auto"/>
          <w:sz w:val="28"/>
          <w:szCs w:val="28"/>
          <w:highlight w:val="none"/>
          <w:u w:val="single"/>
        </w:rPr>
        <w:t xml:space="preserve"> 执行本合同通用条款12.3.4条</w:t>
      </w:r>
      <w:r>
        <w:rPr>
          <w:rFonts w:hint="eastAsia" w:ascii="宋体" w:hAnsi="宋体" w:eastAsia="宋体" w:cs="宋体"/>
          <w:color w:val="auto"/>
          <w:sz w:val="28"/>
          <w:szCs w:val="28"/>
          <w:highlight w:val="none"/>
        </w:rPr>
        <w:t>。</w:t>
      </w:r>
    </w:p>
    <w:p w14:paraId="1B74ED80">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12.3.5 总价合同采用支付分解表计量支付的，是否适用第 12.3.4 项〔总价合同的计量〕约定进行计量：</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w:t>
      </w:r>
    </w:p>
    <w:p w14:paraId="2FB889BD">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12.3.6 其他价格形式合同的计量</w:t>
      </w:r>
    </w:p>
    <w:p w14:paraId="6ED717D1">
      <w:pPr>
        <w:spacing w:line="500" w:lineRule="exact"/>
        <w:ind w:firstLine="560" w:firstLineChars="200"/>
        <w:jc w:val="left"/>
        <w:rPr>
          <w:rFonts w:hint="eastAsia" w:ascii="宋体" w:hAnsi="宋体" w:eastAsia="宋体" w:cs="宋体"/>
          <w:b/>
          <w:bCs/>
          <w:color w:val="auto"/>
          <w:sz w:val="28"/>
          <w:szCs w:val="28"/>
          <w:highlight w:val="none"/>
          <w:u w:val="single"/>
        </w:rPr>
      </w:pPr>
      <w:r>
        <w:rPr>
          <w:rFonts w:hint="eastAsia" w:ascii="宋体" w:hAnsi="宋体" w:eastAsia="宋体" w:cs="宋体"/>
          <w:color w:val="auto"/>
          <w:sz w:val="28"/>
          <w:szCs w:val="28"/>
          <w:highlight w:val="none"/>
        </w:rPr>
        <w:t>其他价格形式的计量方式和程序：</w:t>
      </w:r>
      <w:r>
        <w:rPr>
          <w:rFonts w:hint="eastAsia" w:ascii="宋体" w:hAnsi="宋体" w:eastAsia="宋体" w:cs="宋体"/>
          <w:b/>
          <w:bCs/>
          <w:color w:val="auto"/>
          <w:sz w:val="28"/>
          <w:szCs w:val="28"/>
          <w:highlight w:val="none"/>
          <w:u w:val="single"/>
        </w:rPr>
        <w:t xml:space="preserve">              /           </w:t>
      </w:r>
    </w:p>
    <w:p w14:paraId="33EEA7E3">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12.4 工程进度款支付</w:t>
      </w:r>
    </w:p>
    <w:p w14:paraId="47BA79F8">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12.4.1 付款周期</w:t>
      </w:r>
    </w:p>
    <w:p w14:paraId="1F54C058">
      <w:pPr>
        <w:ind w:firstLine="560" w:firstLineChars="200"/>
        <w:rPr>
          <w:rFonts w:hint="eastAsia" w:ascii="宋体" w:hAnsi="宋体" w:eastAsia="宋体" w:cs="宋体"/>
          <w:b/>
          <w:bCs/>
          <w:color w:val="auto"/>
          <w:sz w:val="28"/>
          <w:szCs w:val="28"/>
          <w:highlight w:val="none"/>
          <w:u w:val="single"/>
        </w:rPr>
      </w:pPr>
      <w:r>
        <w:rPr>
          <w:rFonts w:hint="eastAsia" w:ascii="宋体" w:hAnsi="宋体" w:eastAsia="宋体" w:cs="宋体"/>
          <w:color w:val="auto"/>
          <w:sz w:val="28"/>
          <w:szCs w:val="28"/>
          <w:highlight w:val="none"/>
        </w:rPr>
        <w:t>关于付款周期的约定</w:t>
      </w:r>
      <w:r>
        <w:rPr>
          <w:rFonts w:hint="eastAsia" w:ascii="宋体" w:hAnsi="宋体" w:eastAsia="宋体" w:cs="宋体"/>
          <w:color w:val="auto"/>
          <w:sz w:val="28"/>
          <w:szCs w:val="28"/>
          <w:highlight w:val="none"/>
          <w:lang w:eastAsia="zh-CN"/>
        </w:rPr>
        <w:t>支付方式</w:t>
      </w:r>
      <w:r>
        <w:rPr>
          <w:rFonts w:hint="eastAsia" w:ascii="宋体" w:hAnsi="宋体" w:eastAsia="宋体" w:cs="宋体"/>
          <w:color w:val="auto"/>
          <w:sz w:val="28"/>
          <w:szCs w:val="28"/>
          <w:highlight w:val="none"/>
        </w:rPr>
        <w:t>：</w:t>
      </w:r>
      <w:r>
        <w:rPr>
          <w:rFonts w:hint="eastAsia" w:ascii="宋体" w:hAnsi="宋体" w:eastAsia="宋体" w:cs="宋体"/>
          <w:b/>
          <w:bCs/>
          <w:color w:val="auto"/>
          <w:sz w:val="28"/>
          <w:szCs w:val="28"/>
          <w:highlight w:val="none"/>
          <w:u w:val="single"/>
          <w:lang w:val="en-US" w:eastAsia="zh-CN"/>
        </w:rPr>
        <w:t>项目验收后，出具决算评审价，按照决算评审价拨付</w:t>
      </w:r>
      <w:r>
        <w:rPr>
          <w:rFonts w:hint="eastAsia" w:ascii="宋体" w:hAnsi="宋体" w:eastAsia="宋体" w:cs="宋体"/>
          <w:b/>
          <w:bCs/>
          <w:color w:val="auto"/>
          <w:sz w:val="28"/>
          <w:szCs w:val="28"/>
          <w:highlight w:val="none"/>
          <w:u w:val="single"/>
          <w:lang w:eastAsia="zh-CN"/>
        </w:rPr>
        <w:t>。</w:t>
      </w:r>
    </w:p>
    <w:p w14:paraId="5E0E7A07">
      <w:pPr>
        <w:spacing w:line="500" w:lineRule="exact"/>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13.  验收和工程试车</w:t>
      </w:r>
    </w:p>
    <w:p w14:paraId="163B5FE9">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13.1 分部分项工程验收</w:t>
      </w:r>
    </w:p>
    <w:p w14:paraId="39C0FF01">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13.1.2 </w:t>
      </w:r>
      <w:r>
        <w:rPr>
          <w:rFonts w:hint="eastAsia" w:ascii="宋体" w:hAnsi="宋体" w:eastAsia="宋体" w:cs="宋体"/>
          <w:color w:val="auto"/>
          <w:sz w:val="28"/>
          <w:szCs w:val="28"/>
          <w:highlight w:val="none"/>
          <w:lang w:eastAsia="zh-CN"/>
        </w:rPr>
        <w:t>发包人</w:t>
      </w:r>
      <w:r>
        <w:rPr>
          <w:rFonts w:hint="eastAsia" w:ascii="宋体" w:hAnsi="宋体" w:eastAsia="宋体" w:cs="宋体"/>
          <w:color w:val="auto"/>
          <w:sz w:val="28"/>
          <w:szCs w:val="28"/>
          <w:highlight w:val="none"/>
        </w:rPr>
        <w:t>不能按时进行验收时，应提前</w:t>
      </w:r>
      <w:r>
        <w:rPr>
          <w:rFonts w:hint="eastAsia" w:ascii="宋体" w:hAnsi="宋体" w:eastAsia="宋体" w:cs="宋体"/>
          <w:b/>
          <w:bCs/>
          <w:color w:val="auto"/>
          <w:sz w:val="28"/>
          <w:szCs w:val="28"/>
          <w:highlight w:val="none"/>
          <w:u w:val="single"/>
        </w:rPr>
        <w:t xml:space="preserve"> 24 </w:t>
      </w:r>
      <w:r>
        <w:rPr>
          <w:rFonts w:hint="eastAsia" w:ascii="宋体" w:hAnsi="宋体" w:eastAsia="宋体" w:cs="宋体"/>
          <w:color w:val="auto"/>
          <w:sz w:val="28"/>
          <w:szCs w:val="28"/>
          <w:highlight w:val="none"/>
        </w:rPr>
        <w:t>小时提交书面延期要求。</w:t>
      </w:r>
    </w:p>
    <w:p w14:paraId="7735688A">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关于延期最长不得超过：</w:t>
      </w:r>
      <w:r>
        <w:rPr>
          <w:rFonts w:hint="eastAsia" w:ascii="宋体" w:hAnsi="宋体" w:eastAsia="宋体" w:cs="宋体"/>
          <w:b/>
          <w:bCs/>
          <w:color w:val="auto"/>
          <w:sz w:val="28"/>
          <w:szCs w:val="28"/>
          <w:highlight w:val="none"/>
          <w:u w:val="single"/>
          <w:lang w:val="en-US" w:eastAsia="zh-CN"/>
        </w:rPr>
        <w:t>24</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小时。</w:t>
      </w:r>
    </w:p>
    <w:p w14:paraId="3D6F9D4B">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13.2 竣工验收</w:t>
      </w:r>
    </w:p>
    <w:p w14:paraId="2C59AB27">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13.2.2 竣工验收程序</w:t>
      </w:r>
    </w:p>
    <w:p w14:paraId="7A3DB8F1">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关于竣工验收程序的约定：</w:t>
      </w:r>
      <w:r>
        <w:rPr>
          <w:rFonts w:hint="eastAsia" w:ascii="宋体" w:hAnsi="宋体" w:eastAsia="宋体" w:cs="宋体"/>
          <w:b/>
          <w:bCs/>
          <w:color w:val="auto"/>
          <w:sz w:val="28"/>
          <w:szCs w:val="28"/>
          <w:highlight w:val="none"/>
          <w:u w:val="single"/>
        </w:rPr>
        <w:t xml:space="preserve"> 执行本合同通用条款 13.2.2条</w:t>
      </w:r>
      <w:r>
        <w:rPr>
          <w:rFonts w:hint="eastAsia" w:ascii="宋体" w:hAnsi="宋体" w:eastAsia="宋体" w:cs="宋体"/>
          <w:b/>
          <w:bCs/>
          <w:color w:val="auto"/>
          <w:sz w:val="28"/>
          <w:szCs w:val="28"/>
          <w:highlight w:val="none"/>
          <w:u w:val="single"/>
          <w:lang w:val="en-US" w:eastAsia="zh-CN"/>
        </w:rPr>
        <w:t>,</w:t>
      </w:r>
      <w:r>
        <w:rPr>
          <w:rFonts w:hint="eastAsia" w:ascii="宋体" w:hAnsi="宋体" w:eastAsia="宋体" w:cs="宋体"/>
          <w:b/>
          <w:bCs/>
          <w:color w:val="auto"/>
          <w:sz w:val="28"/>
          <w:szCs w:val="28"/>
          <w:highlight w:val="none"/>
          <w:u w:val="single"/>
        </w:rPr>
        <w:t>若验收不合格，承包人应在接到验收意见后15天内整改完毕后再次申请验收。</w:t>
      </w:r>
    </w:p>
    <w:p w14:paraId="212EC3C9">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发包人不按照本项约定组织竣工验收、颁发工程接收证书的违约金的计算方法：</w:t>
      </w:r>
      <w:r>
        <w:rPr>
          <w:rFonts w:hint="eastAsia" w:ascii="宋体" w:hAnsi="宋体" w:eastAsia="宋体" w:cs="宋体"/>
          <w:b/>
          <w:bCs/>
          <w:color w:val="auto"/>
          <w:sz w:val="28"/>
          <w:szCs w:val="28"/>
          <w:highlight w:val="none"/>
          <w:u w:val="single"/>
        </w:rPr>
        <w:t xml:space="preserve"> 执行本合同通用条款 13.2.2 条相应方法 </w:t>
      </w:r>
      <w:r>
        <w:rPr>
          <w:rFonts w:hint="eastAsia" w:ascii="宋体" w:hAnsi="宋体" w:eastAsia="宋体" w:cs="宋体"/>
          <w:color w:val="auto"/>
          <w:sz w:val="28"/>
          <w:szCs w:val="28"/>
          <w:highlight w:val="none"/>
        </w:rPr>
        <w:t>。</w:t>
      </w:r>
    </w:p>
    <w:p w14:paraId="6EAB5D29">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13.2.5 移交、接收全部与部分工程</w:t>
      </w:r>
    </w:p>
    <w:p w14:paraId="319B2F68">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承包人向发包人移交工程的期限：</w:t>
      </w:r>
      <w:r>
        <w:rPr>
          <w:rFonts w:hint="eastAsia" w:ascii="宋体" w:hAnsi="宋体" w:eastAsia="宋体" w:cs="宋体"/>
          <w:b/>
          <w:bCs/>
          <w:color w:val="auto"/>
          <w:sz w:val="28"/>
          <w:szCs w:val="28"/>
          <w:highlight w:val="none"/>
          <w:u w:val="single"/>
        </w:rPr>
        <w:t xml:space="preserve"> 执行本合同通用条款13.2.5 条。</w:t>
      </w:r>
    </w:p>
    <w:p w14:paraId="3635CB0A">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发包人未按本合同约定接收全部或部分工程的，违约金的计算方法为：</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无         </w:t>
      </w:r>
      <w:r>
        <w:rPr>
          <w:rFonts w:hint="eastAsia" w:ascii="宋体" w:hAnsi="宋体" w:eastAsia="宋体" w:cs="宋体"/>
          <w:color w:val="auto"/>
          <w:sz w:val="28"/>
          <w:szCs w:val="28"/>
          <w:highlight w:val="none"/>
        </w:rPr>
        <w:t>。</w:t>
      </w:r>
    </w:p>
    <w:p w14:paraId="37AE8234">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承包人未按时移交工程的，违约金的计算方法为：</w:t>
      </w:r>
      <w:r>
        <w:rPr>
          <w:rFonts w:hint="eastAsia" w:ascii="宋体" w:hAnsi="宋体" w:eastAsia="宋体" w:cs="宋体"/>
          <w:b/>
          <w:bCs/>
          <w:color w:val="auto"/>
          <w:sz w:val="28"/>
          <w:szCs w:val="28"/>
          <w:highlight w:val="none"/>
          <w:u w:val="single"/>
        </w:rPr>
        <w:t xml:space="preserve">     无     </w:t>
      </w:r>
      <w:r>
        <w:rPr>
          <w:rFonts w:hint="eastAsia" w:ascii="宋体" w:hAnsi="宋体" w:eastAsia="宋体" w:cs="宋体"/>
          <w:color w:val="auto"/>
          <w:sz w:val="28"/>
          <w:szCs w:val="28"/>
          <w:highlight w:val="none"/>
        </w:rPr>
        <w:t>。</w:t>
      </w:r>
    </w:p>
    <w:p w14:paraId="13E77DB7">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13.3 工程试车</w:t>
      </w:r>
    </w:p>
    <w:p w14:paraId="1F223817">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13.3.1 试车程序</w:t>
      </w:r>
    </w:p>
    <w:p w14:paraId="0C945672">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工程试车内容：</w:t>
      </w:r>
      <w:r>
        <w:rPr>
          <w:rFonts w:hint="eastAsia" w:ascii="宋体" w:hAnsi="宋体" w:eastAsia="宋体" w:cs="宋体"/>
          <w:b/>
          <w:bCs/>
          <w:color w:val="auto"/>
          <w:sz w:val="28"/>
          <w:szCs w:val="28"/>
          <w:highlight w:val="none"/>
          <w:u w:val="single"/>
        </w:rPr>
        <w:t xml:space="preserve"> 执行本合同通用条款13.3.1条</w:t>
      </w:r>
      <w:r>
        <w:rPr>
          <w:rFonts w:hint="eastAsia" w:ascii="宋体" w:hAnsi="宋体" w:eastAsia="宋体" w:cs="宋体"/>
          <w:color w:val="auto"/>
          <w:sz w:val="28"/>
          <w:szCs w:val="28"/>
          <w:highlight w:val="none"/>
        </w:rPr>
        <w:t>。</w:t>
      </w:r>
    </w:p>
    <w:p w14:paraId="7E6C9375">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（1）单机无负荷试车费用由</w:t>
      </w:r>
      <w:r>
        <w:rPr>
          <w:rFonts w:hint="eastAsia" w:ascii="宋体" w:hAnsi="宋体" w:eastAsia="宋体" w:cs="宋体"/>
          <w:b/>
          <w:bCs/>
          <w:color w:val="auto"/>
          <w:sz w:val="28"/>
          <w:szCs w:val="28"/>
          <w:highlight w:val="none"/>
          <w:u w:val="single"/>
        </w:rPr>
        <w:t xml:space="preserve"> 承包人 </w:t>
      </w:r>
      <w:r>
        <w:rPr>
          <w:rFonts w:hint="eastAsia" w:ascii="宋体" w:hAnsi="宋体" w:eastAsia="宋体" w:cs="宋体"/>
          <w:color w:val="auto"/>
          <w:sz w:val="28"/>
          <w:szCs w:val="28"/>
          <w:highlight w:val="none"/>
        </w:rPr>
        <w:t>承担；</w:t>
      </w:r>
    </w:p>
    <w:p w14:paraId="759DBE77">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（2）无负荷联动试车费用由</w:t>
      </w:r>
      <w:r>
        <w:rPr>
          <w:rFonts w:hint="eastAsia" w:ascii="宋体" w:hAnsi="宋体" w:eastAsia="宋体" w:cs="宋体"/>
          <w:b/>
          <w:bCs/>
          <w:color w:val="auto"/>
          <w:sz w:val="28"/>
          <w:szCs w:val="28"/>
          <w:highlight w:val="none"/>
          <w:u w:val="single"/>
        </w:rPr>
        <w:t xml:space="preserve"> 承包人 </w:t>
      </w:r>
      <w:r>
        <w:rPr>
          <w:rFonts w:hint="eastAsia" w:ascii="宋体" w:hAnsi="宋体" w:eastAsia="宋体" w:cs="宋体"/>
          <w:color w:val="auto"/>
          <w:sz w:val="28"/>
          <w:szCs w:val="28"/>
          <w:highlight w:val="none"/>
        </w:rPr>
        <w:t>承担。</w:t>
      </w:r>
    </w:p>
    <w:p w14:paraId="0F768699">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13.3.3 投料试车</w:t>
      </w:r>
    </w:p>
    <w:p w14:paraId="280BA43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关于投料试车相关事项的约定：</w:t>
      </w:r>
      <w:r>
        <w:rPr>
          <w:rFonts w:hint="eastAsia" w:ascii="宋体" w:hAnsi="宋体" w:eastAsia="宋体" w:cs="宋体"/>
          <w:b/>
          <w:bCs/>
          <w:color w:val="auto"/>
          <w:sz w:val="28"/>
          <w:szCs w:val="28"/>
          <w:highlight w:val="none"/>
          <w:u w:val="single"/>
        </w:rPr>
        <w:t xml:space="preserve"> 费用均由承包人承担</w:t>
      </w:r>
      <w:r>
        <w:rPr>
          <w:rFonts w:hint="eastAsia" w:ascii="宋体" w:hAnsi="宋体" w:eastAsia="宋体" w:cs="宋体"/>
          <w:color w:val="auto"/>
          <w:sz w:val="28"/>
          <w:szCs w:val="28"/>
          <w:highlight w:val="none"/>
        </w:rPr>
        <w:t>。</w:t>
      </w:r>
    </w:p>
    <w:p w14:paraId="077EA5C8">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13.6 竣工退场</w:t>
      </w:r>
    </w:p>
    <w:p w14:paraId="2E1702CD">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13.6.1 竣工退场</w:t>
      </w:r>
    </w:p>
    <w:p w14:paraId="3F844F1F">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承包人完成竣工退场的期限：</w:t>
      </w:r>
      <w:r>
        <w:rPr>
          <w:rFonts w:hint="eastAsia" w:ascii="宋体" w:hAnsi="宋体" w:eastAsia="宋体" w:cs="宋体"/>
          <w:b/>
          <w:bCs/>
          <w:color w:val="auto"/>
          <w:sz w:val="28"/>
          <w:szCs w:val="28"/>
          <w:highlight w:val="none"/>
          <w:u w:val="single"/>
        </w:rPr>
        <w:t xml:space="preserve"> 7日内。            </w:t>
      </w:r>
    </w:p>
    <w:p w14:paraId="0C653953">
      <w:pPr>
        <w:spacing w:line="5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14.  竣工结算</w:t>
      </w:r>
    </w:p>
    <w:p w14:paraId="340EC5C2">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14.1 竣工付款申请</w:t>
      </w:r>
    </w:p>
    <w:p w14:paraId="16E2CB43">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承包人提交竣工付款申请单的期限：</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p>
    <w:p w14:paraId="34FDEF06">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竣工付款申请单应包括的内容：</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p>
    <w:p w14:paraId="131F4865">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14.2 竣工结算审核</w:t>
      </w:r>
    </w:p>
    <w:p w14:paraId="6A36DF74">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发包人审批竣工付款申请单的期限：</w:t>
      </w:r>
      <w:r>
        <w:rPr>
          <w:rFonts w:hint="eastAsia" w:ascii="宋体" w:hAnsi="宋体" w:eastAsia="宋体" w:cs="宋体"/>
          <w:b/>
          <w:bCs/>
          <w:color w:val="auto"/>
          <w:sz w:val="28"/>
          <w:szCs w:val="28"/>
          <w:highlight w:val="none"/>
          <w:u w:val="single"/>
        </w:rPr>
        <w:t xml:space="preserve"> 执行本合同通用条款14.2 条</w:t>
      </w:r>
      <w:r>
        <w:rPr>
          <w:rFonts w:hint="eastAsia" w:ascii="宋体" w:hAnsi="宋体" w:eastAsia="宋体" w:cs="宋体"/>
          <w:color w:val="auto"/>
          <w:sz w:val="28"/>
          <w:szCs w:val="28"/>
          <w:highlight w:val="none"/>
        </w:rPr>
        <w:t>。</w:t>
      </w:r>
    </w:p>
    <w:p w14:paraId="24F79E22">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发包人完成竣工付款的期限：</w:t>
      </w:r>
      <w:r>
        <w:rPr>
          <w:rFonts w:hint="eastAsia" w:ascii="宋体" w:hAnsi="宋体" w:eastAsia="宋体" w:cs="宋体"/>
          <w:b/>
          <w:bCs/>
          <w:color w:val="auto"/>
          <w:sz w:val="28"/>
          <w:szCs w:val="28"/>
          <w:highlight w:val="none"/>
          <w:u w:val="single"/>
        </w:rPr>
        <w:t xml:space="preserve"> 执行本合同通用条款14.2条 </w:t>
      </w:r>
      <w:r>
        <w:rPr>
          <w:rFonts w:hint="eastAsia" w:ascii="宋体" w:hAnsi="宋体" w:eastAsia="宋体" w:cs="宋体"/>
          <w:color w:val="auto"/>
          <w:sz w:val="28"/>
          <w:szCs w:val="28"/>
          <w:highlight w:val="none"/>
        </w:rPr>
        <w:t>。</w:t>
      </w:r>
    </w:p>
    <w:p w14:paraId="0F0E7339">
      <w:pPr>
        <w:spacing w:line="500" w:lineRule="exact"/>
        <w:ind w:firstLine="560" w:firstLineChars="200"/>
        <w:jc w:val="left"/>
        <w:rPr>
          <w:rFonts w:hint="eastAsia" w:ascii="宋体" w:hAnsi="宋体" w:eastAsia="宋体" w:cs="宋体"/>
          <w:b/>
          <w:bCs/>
          <w:color w:val="auto"/>
          <w:sz w:val="28"/>
          <w:szCs w:val="28"/>
          <w:highlight w:val="none"/>
          <w:u w:val="single"/>
        </w:rPr>
      </w:pPr>
      <w:r>
        <w:rPr>
          <w:rFonts w:hint="eastAsia" w:ascii="宋体" w:hAnsi="宋体" w:eastAsia="宋体" w:cs="宋体"/>
          <w:color w:val="auto"/>
          <w:sz w:val="28"/>
          <w:szCs w:val="28"/>
          <w:highlight w:val="none"/>
        </w:rPr>
        <w:t>关于竣工付款证书异议部分复核的方式和程序：</w:t>
      </w:r>
      <w:r>
        <w:rPr>
          <w:rFonts w:hint="eastAsia" w:ascii="宋体" w:hAnsi="宋体" w:eastAsia="宋体" w:cs="宋体"/>
          <w:b/>
          <w:bCs/>
          <w:color w:val="auto"/>
          <w:sz w:val="28"/>
          <w:szCs w:val="28"/>
          <w:highlight w:val="none"/>
          <w:u w:val="single"/>
        </w:rPr>
        <w:t xml:space="preserve"> 执行本合同通用条款14.2条。</w:t>
      </w:r>
    </w:p>
    <w:p w14:paraId="5624D1E2">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14.4 最终结清</w:t>
      </w:r>
    </w:p>
    <w:p w14:paraId="0B6D1F30">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14.4.1 最终结清申请单</w:t>
      </w:r>
    </w:p>
    <w:p w14:paraId="106FCBA1">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承包人提交最终结清申请单的份数：</w:t>
      </w:r>
      <w:r>
        <w:rPr>
          <w:rFonts w:hint="eastAsia" w:ascii="宋体" w:hAnsi="宋体" w:eastAsia="宋体" w:cs="宋体"/>
          <w:b/>
          <w:bCs/>
          <w:color w:val="auto"/>
          <w:sz w:val="28"/>
          <w:szCs w:val="28"/>
          <w:highlight w:val="none"/>
          <w:u w:val="single"/>
        </w:rPr>
        <w:t xml:space="preserve">6份 </w:t>
      </w:r>
      <w:r>
        <w:rPr>
          <w:rFonts w:hint="eastAsia" w:ascii="宋体" w:hAnsi="宋体" w:eastAsia="宋体" w:cs="宋体"/>
          <w:color w:val="auto"/>
          <w:sz w:val="28"/>
          <w:szCs w:val="28"/>
          <w:highlight w:val="none"/>
        </w:rPr>
        <w:t>。</w:t>
      </w:r>
    </w:p>
    <w:p w14:paraId="444AA3DF">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承包人提交最终结算申请单的期限 ：</w:t>
      </w:r>
      <w:r>
        <w:rPr>
          <w:rFonts w:hint="eastAsia" w:ascii="宋体" w:hAnsi="宋体" w:eastAsia="宋体" w:cs="宋体"/>
          <w:b/>
          <w:bCs/>
          <w:color w:val="auto"/>
          <w:sz w:val="28"/>
          <w:szCs w:val="28"/>
          <w:highlight w:val="none"/>
          <w:u w:val="single"/>
        </w:rPr>
        <w:t xml:space="preserve"> 无 </w:t>
      </w:r>
      <w:r>
        <w:rPr>
          <w:rFonts w:hint="eastAsia" w:ascii="宋体" w:hAnsi="宋体" w:eastAsia="宋体" w:cs="宋体"/>
          <w:color w:val="auto"/>
          <w:sz w:val="28"/>
          <w:szCs w:val="28"/>
          <w:highlight w:val="none"/>
        </w:rPr>
        <w:t>。</w:t>
      </w:r>
    </w:p>
    <w:p w14:paraId="5CC0C358">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14.4.2 最终结清证书和支付</w:t>
      </w:r>
    </w:p>
    <w:p w14:paraId="5C348ED5">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（1）发包人完成最终结清申请单的审批并颁发最终结清证书的期限： </w:t>
      </w:r>
      <w:r>
        <w:rPr>
          <w:rFonts w:hint="eastAsia" w:ascii="宋体" w:hAnsi="宋体" w:eastAsia="宋体" w:cs="宋体"/>
          <w:b/>
          <w:bCs/>
          <w:color w:val="auto"/>
          <w:sz w:val="28"/>
          <w:szCs w:val="28"/>
          <w:highlight w:val="none"/>
          <w:u w:val="single"/>
        </w:rPr>
        <w:t xml:space="preserve">执行本合同通用条款14.1.2（1）条 </w:t>
      </w:r>
      <w:r>
        <w:rPr>
          <w:rFonts w:hint="eastAsia" w:ascii="宋体" w:hAnsi="宋体" w:eastAsia="宋体" w:cs="宋体"/>
          <w:color w:val="auto"/>
          <w:sz w:val="28"/>
          <w:szCs w:val="28"/>
          <w:highlight w:val="none"/>
        </w:rPr>
        <w:t>。</w:t>
      </w:r>
    </w:p>
    <w:p w14:paraId="4CB5A2BF">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（2）发包人完成支付的期限</w:t>
      </w:r>
      <w:r>
        <w:rPr>
          <w:rFonts w:hint="eastAsia" w:ascii="宋体" w:hAnsi="宋体" w:eastAsia="宋体" w:cs="宋体"/>
          <w:b/>
          <w:bCs/>
          <w:color w:val="auto"/>
          <w:sz w:val="28"/>
          <w:szCs w:val="28"/>
          <w:highlight w:val="none"/>
          <w:u w:val="single"/>
        </w:rPr>
        <w:t xml:space="preserve">： 承包人完成相应付款程序后 </w:t>
      </w:r>
      <w:r>
        <w:rPr>
          <w:rFonts w:hint="eastAsia" w:ascii="宋体" w:hAnsi="宋体" w:eastAsia="宋体" w:cs="宋体"/>
          <w:color w:val="auto"/>
          <w:sz w:val="28"/>
          <w:szCs w:val="28"/>
          <w:highlight w:val="none"/>
        </w:rPr>
        <w:t>。</w:t>
      </w:r>
    </w:p>
    <w:p w14:paraId="7C969DD3">
      <w:pPr>
        <w:spacing w:line="5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15.  缺陷责任期与保修</w:t>
      </w:r>
    </w:p>
    <w:p w14:paraId="4F64D573">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15.2 缺陷责任期</w:t>
      </w:r>
    </w:p>
    <w:p w14:paraId="761DCC35">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缺陷责任期的具体期限 ：</w:t>
      </w:r>
      <w:r>
        <w:rPr>
          <w:rFonts w:hint="eastAsia" w:ascii="宋体" w:hAnsi="宋体" w:eastAsia="宋体" w:cs="宋体"/>
          <w:color w:val="auto"/>
          <w:sz w:val="28"/>
          <w:szCs w:val="28"/>
          <w:highlight w:val="none"/>
          <w:u w:val="single"/>
        </w:rPr>
        <w:t>执行通用条款15.2</w:t>
      </w:r>
      <w:r>
        <w:rPr>
          <w:rFonts w:hint="eastAsia" w:ascii="宋体" w:hAnsi="宋体" w:eastAsia="宋体" w:cs="宋体"/>
          <w:color w:val="auto"/>
          <w:sz w:val="28"/>
          <w:szCs w:val="28"/>
          <w:highlight w:val="none"/>
        </w:rPr>
        <w:t>。</w:t>
      </w:r>
    </w:p>
    <w:p w14:paraId="38E95D2A">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15.3 质量保证金</w:t>
      </w:r>
    </w:p>
    <w:p w14:paraId="7D4F22BE">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关于是否扣留质量保证金的约定：</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w:t>
      </w:r>
    </w:p>
    <w:p w14:paraId="12B52451">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15.3.1 承包人提供质量保证金的方式</w:t>
      </w:r>
    </w:p>
    <w:p w14:paraId="49DB3E87">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质量保证金采用以下第</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种方式：</w:t>
      </w:r>
    </w:p>
    <w:p w14:paraId="667FFFB1">
      <w:pPr>
        <w:spacing w:line="500" w:lineRule="exact"/>
        <w:ind w:firstLine="560" w:firstLineChars="200"/>
        <w:jc w:val="left"/>
        <w:rPr>
          <w:rFonts w:hint="eastAsia" w:ascii="宋体" w:hAnsi="宋体" w:eastAsia="宋体" w:cs="宋体"/>
          <w:b/>
          <w:bCs/>
          <w:color w:val="auto"/>
          <w:sz w:val="28"/>
          <w:szCs w:val="28"/>
          <w:highlight w:val="none"/>
          <w:u w:val="single"/>
        </w:rPr>
      </w:pPr>
      <w:r>
        <w:rPr>
          <w:rFonts w:hint="eastAsia" w:ascii="宋体" w:hAnsi="宋体" w:eastAsia="宋体" w:cs="宋体"/>
          <w:color w:val="auto"/>
          <w:sz w:val="28"/>
          <w:szCs w:val="28"/>
          <w:highlight w:val="none"/>
        </w:rPr>
        <w:t>（1）质量保证金保函，保证金额为：</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w:t>
      </w:r>
      <w:r>
        <w:rPr>
          <w:rFonts w:hint="eastAsia" w:ascii="宋体" w:hAnsi="宋体" w:eastAsia="宋体" w:cs="宋体"/>
          <w:b/>
          <w:bCs/>
          <w:color w:val="auto"/>
          <w:sz w:val="28"/>
          <w:szCs w:val="28"/>
          <w:highlight w:val="none"/>
          <w:u w:val="single"/>
        </w:rPr>
        <w:t xml:space="preserve">  </w:t>
      </w:r>
    </w:p>
    <w:p w14:paraId="27CC5935">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（2）工程决算价的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39548FC2">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（3）其他方式: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w:t>
      </w:r>
    </w:p>
    <w:p w14:paraId="5923C91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15.3.2 质量保证金的扣留</w:t>
      </w:r>
    </w:p>
    <w:p w14:paraId="1113ED1E">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质量保证金的扣留采取以下第</w:t>
      </w:r>
      <w:r>
        <w:rPr>
          <w:rFonts w:hint="eastAsia" w:ascii="宋体" w:hAnsi="宋体" w:eastAsia="宋体" w:cs="宋体"/>
          <w:b/>
          <w:bCs/>
          <w:color w:val="auto"/>
          <w:sz w:val="28"/>
          <w:szCs w:val="28"/>
          <w:highlight w:val="none"/>
          <w:u w:val="single"/>
        </w:rPr>
        <w:t xml:space="preserve"> （2）</w:t>
      </w:r>
      <w:r>
        <w:rPr>
          <w:rFonts w:hint="eastAsia" w:ascii="宋体" w:hAnsi="宋体" w:eastAsia="宋体" w:cs="宋体"/>
          <w:color w:val="auto"/>
          <w:sz w:val="28"/>
          <w:szCs w:val="28"/>
          <w:highlight w:val="none"/>
        </w:rPr>
        <w:t>种方式：</w:t>
      </w:r>
    </w:p>
    <w:p w14:paraId="535B4D1E">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（1）在支付工程进度款时逐次扣留，在此情形下，质量保证金的计算基数不包括预付款的支付、扣回以及价格调整的金额；</w:t>
      </w:r>
    </w:p>
    <w:p w14:paraId="0CA801E5">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（2）工程竣工结算时一次性扣留质量保证金；</w:t>
      </w:r>
    </w:p>
    <w:p w14:paraId="6E01BEFB">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（3）其他扣留方式:</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w:t>
      </w:r>
    </w:p>
    <w:p w14:paraId="638F7583">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关于质量保证金的补充约定：</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p>
    <w:p w14:paraId="7AD36C26">
      <w:pPr>
        <w:spacing w:line="500" w:lineRule="exact"/>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4 15.4  保修</w:t>
      </w:r>
      <w:r>
        <w:rPr>
          <w:rFonts w:hint="eastAsia" w:ascii="宋体" w:hAnsi="宋体" w:eastAsia="宋体" w:cs="宋体"/>
          <w:color w:val="auto"/>
          <w:sz w:val="28"/>
          <w:szCs w:val="28"/>
          <w:highlight w:val="none"/>
          <w:lang w:val="en-US" w:eastAsia="zh-CN"/>
        </w:rPr>
        <w:t xml:space="preserve"> </w:t>
      </w:r>
    </w:p>
    <w:p w14:paraId="57C173B5">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15.4.1 保修责任</w:t>
      </w:r>
    </w:p>
    <w:p w14:paraId="5CAEFE80">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工程保修期为：</w:t>
      </w:r>
      <w:r>
        <w:rPr>
          <w:rFonts w:hint="eastAsia" w:ascii="宋体" w:hAnsi="宋体" w:eastAsia="宋体" w:cs="宋体"/>
          <w:b/>
          <w:bCs/>
          <w:color w:val="auto"/>
          <w:sz w:val="28"/>
          <w:szCs w:val="28"/>
          <w:highlight w:val="none"/>
          <w:u w:val="single"/>
          <w:lang w:val="en-US" w:eastAsia="zh-CN"/>
        </w:rPr>
        <w:t xml:space="preserve">  /  </w:t>
      </w:r>
      <w:r>
        <w:rPr>
          <w:rFonts w:hint="eastAsia" w:ascii="宋体" w:hAnsi="宋体" w:eastAsia="宋体" w:cs="宋体"/>
          <w:color w:val="auto"/>
          <w:sz w:val="28"/>
          <w:szCs w:val="28"/>
          <w:highlight w:val="none"/>
        </w:rPr>
        <w:t>年 。</w:t>
      </w:r>
    </w:p>
    <w:p w14:paraId="6550CDFE">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15.4.3 修复通知</w:t>
      </w:r>
    </w:p>
    <w:p w14:paraId="68A685D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承包人收到保修通知并到达工程现场的合理时间：</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w:t>
      </w:r>
    </w:p>
    <w:p w14:paraId="58BABB49">
      <w:pPr>
        <w:spacing w:line="5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16.  违约</w:t>
      </w:r>
    </w:p>
    <w:p w14:paraId="12FB8A62">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16.1 发包人违约</w:t>
      </w:r>
    </w:p>
    <w:p w14:paraId="3837DA61">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16.1.1 发包人违约的情形</w:t>
      </w:r>
    </w:p>
    <w:p w14:paraId="1148DC4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发包人违约的其他情形：</w:t>
      </w:r>
      <w:r>
        <w:rPr>
          <w:rFonts w:hint="eastAsia" w:ascii="宋体" w:hAnsi="宋体" w:eastAsia="宋体" w:cs="宋体"/>
          <w:color w:val="auto"/>
          <w:sz w:val="28"/>
          <w:szCs w:val="28"/>
          <w:highlight w:val="none"/>
          <w:u w:val="single"/>
        </w:rPr>
        <w:t xml:space="preserve">           无              </w:t>
      </w:r>
    </w:p>
    <w:p w14:paraId="3A5117D9">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16.1.2 发包人违约的责任</w:t>
      </w:r>
    </w:p>
    <w:p w14:paraId="4122EF1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发包人违约责任的承担方式和计算方法：</w:t>
      </w:r>
    </w:p>
    <w:p w14:paraId="680B187C">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（1）因发包人原因未能在计划开工日期前 7 天内下达开工通知的违约责任：</w:t>
      </w:r>
      <w:r>
        <w:rPr>
          <w:rFonts w:hint="eastAsia" w:ascii="宋体" w:hAnsi="宋体" w:eastAsia="宋体" w:cs="宋体"/>
          <w:b/>
          <w:bCs/>
          <w:color w:val="auto"/>
          <w:sz w:val="28"/>
          <w:szCs w:val="28"/>
          <w:highlight w:val="none"/>
          <w:u w:val="single"/>
        </w:rPr>
        <w:t xml:space="preserve">无 </w:t>
      </w:r>
      <w:r>
        <w:rPr>
          <w:rFonts w:hint="eastAsia" w:ascii="宋体" w:hAnsi="宋体" w:eastAsia="宋体" w:cs="宋体"/>
          <w:color w:val="auto"/>
          <w:sz w:val="28"/>
          <w:szCs w:val="28"/>
          <w:highlight w:val="none"/>
        </w:rPr>
        <w:t>。</w:t>
      </w:r>
    </w:p>
    <w:p w14:paraId="093DDD21">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（2）因发包人原因未能按合同约定支付合同价款的违约责任：</w:t>
      </w:r>
      <w:r>
        <w:rPr>
          <w:rFonts w:hint="eastAsia" w:ascii="宋体" w:hAnsi="宋体" w:eastAsia="宋体" w:cs="宋体"/>
          <w:b/>
          <w:bCs/>
          <w:color w:val="auto"/>
          <w:sz w:val="28"/>
          <w:szCs w:val="28"/>
          <w:highlight w:val="none"/>
          <w:u w:val="single"/>
        </w:rPr>
        <w:t xml:space="preserve"> 无 </w:t>
      </w:r>
      <w:r>
        <w:rPr>
          <w:rFonts w:hint="eastAsia" w:ascii="宋体" w:hAnsi="宋体" w:eastAsia="宋体" w:cs="宋体"/>
          <w:color w:val="auto"/>
          <w:sz w:val="28"/>
          <w:szCs w:val="28"/>
          <w:highlight w:val="none"/>
        </w:rPr>
        <w:t>。</w:t>
      </w:r>
    </w:p>
    <w:p w14:paraId="7802041D">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（3）发包人违反第 10.1 款〔变更的范围〕第（2）项约定，自行实施被取消的工作或转由他人实施的违约责任：</w:t>
      </w:r>
      <w:r>
        <w:rPr>
          <w:rFonts w:hint="eastAsia" w:ascii="宋体" w:hAnsi="宋体" w:eastAsia="宋体" w:cs="宋体"/>
          <w:b/>
          <w:bCs/>
          <w:color w:val="auto"/>
          <w:sz w:val="28"/>
          <w:szCs w:val="28"/>
          <w:highlight w:val="none"/>
          <w:u w:val="single"/>
        </w:rPr>
        <w:t xml:space="preserve">         无             </w:t>
      </w:r>
    </w:p>
    <w:p w14:paraId="3C378AB7">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b/>
          <w:bCs/>
          <w:color w:val="auto"/>
          <w:sz w:val="28"/>
          <w:szCs w:val="28"/>
          <w:highlight w:val="none"/>
          <w:u w:val="single"/>
        </w:rPr>
        <w:t xml:space="preserve">                    无                               </w:t>
      </w:r>
      <w:r>
        <w:rPr>
          <w:rFonts w:hint="eastAsia" w:ascii="宋体" w:hAnsi="宋体" w:eastAsia="宋体" w:cs="宋体"/>
          <w:color w:val="auto"/>
          <w:sz w:val="28"/>
          <w:szCs w:val="28"/>
          <w:highlight w:val="none"/>
        </w:rPr>
        <w:t xml:space="preserve">       </w:t>
      </w:r>
    </w:p>
    <w:p w14:paraId="3BA76E0F">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（5）因发包人违反合同约定造成暂停施工的违约责任：</w:t>
      </w:r>
      <w:r>
        <w:rPr>
          <w:rFonts w:hint="eastAsia" w:ascii="宋体" w:hAnsi="宋体" w:eastAsia="宋体" w:cs="宋体"/>
          <w:b/>
          <w:bCs/>
          <w:color w:val="auto"/>
          <w:sz w:val="28"/>
          <w:szCs w:val="28"/>
          <w:highlight w:val="none"/>
          <w:u w:val="single"/>
        </w:rPr>
        <w:t xml:space="preserve"> 无 </w:t>
      </w:r>
      <w:r>
        <w:rPr>
          <w:rFonts w:hint="eastAsia" w:ascii="宋体" w:hAnsi="宋体" w:eastAsia="宋体" w:cs="宋体"/>
          <w:color w:val="auto"/>
          <w:sz w:val="28"/>
          <w:szCs w:val="28"/>
          <w:highlight w:val="none"/>
        </w:rPr>
        <w:t>。</w:t>
      </w:r>
    </w:p>
    <w:p w14:paraId="31BB142D">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（6）发包人无正当理由没有在约定期限内发出复工指示，导致承包人无法复工的违约责任：</w:t>
      </w:r>
      <w:r>
        <w:rPr>
          <w:rFonts w:hint="eastAsia" w:ascii="宋体" w:hAnsi="宋体" w:eastAsia="宋体" w:cs="宋体"/>
          <w:b/>
          <w:bCs/>
          <w:color w:val="auto"/>
          <w:sz w:val="28"/>
          <w:szCs w:val="28"/>
          <w:highlight w:val="none"/>
          <w:u w:val="single"/>
        </w:rPr>
        <w:t xml:space="preserve">        无               </w:t>
      </w:r>
      <w:r>
        <w:rPr>
          <w:rFonts w:hint="eastAsia" w:ascii="宋体" w:hAnsi="宋体" w:eastAsia="宋体" w:cs="宋体"/>
          <w:color w:val="auto"/>
          <w:sz w:val="28"/>
          <w:szCs w:val="28"/>
          <w:highlight w:val="none"/>
        </w:rPr>
        <w:t>。</w:t>
      </w:r>
    </w:p>
    <w:p w14:paraId="586BE29B">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（7）其他：</w:t>
      </w:r>
      <w:r>
        <w:rPr>
          <w:rFonts w:hint="eastAsia" w:ascii="宋体" w:hAnsi="宋体" w:eastAsia="宋体" w:cs="宋体"/>
          <w:b/>
          <w:bCs/>
          <w:color w:val="auto"/>
          <w:sz w:val="28"/>
          <w:szCs w:val="28"/>
          <w:highlight w:val="none"/>
          <w:u w:val="single"/>
        </w:rPr>
        <w:t xml:space="preserve">               无               </w:t>
      </w:r>
      <w:r>
        <w:rPr>
          <w:rFonts w:hint="eastAsia" w:ascii="宋体" w:hAnsi="宋体" w:eastAsia="宋体" w:cs="宋体"/>
          <w:color w:val="auto"/>
          <w:sz w:val="28"/>
          <w:szCs w:val="28"/>
          <w:highlight w:val="none"/>
        </w:rPr>
        <w:t>。</w:t>
      </w:r>
    </w:p>
    <w:p w14:paraId="50EF588B">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16.1.3 因发包人违约解除合同</w:t>
      </w:r>
    </w:p>
    <w:p w14:paraId="1ADEA902">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承包人按16.1.1项〔发包人违约的情形〕约定暂停施工满</w:t>
      </w:r>
      <w:r>
        <w:rPr>
          <w:rFonts w:hint="eastAsia" w:ascii="宋体" w:hAnsi="宋体" w:eastAsia="宋体" w:cs="宋体"/>
          <w:b/>
          <w:bCs/>
          <w:color w:val="auto"/>
          <w:sz w:val="28"/>
          <w:szCs w:val="28"/>
          <w:highlight w:val="none"/>
          <w:u w:val="single"/>
        </w:rPr>
        <w:t xml:space="preserve"> / </w:t>
      </w:r>
      <w:r>
        <w:rPr>
          <w:rFonts w:hint="eastAsia" w:ascii="宋体" w:hAnsi="宋体" w:eastAsia="宋体" w:cs="宋体"/>
          <w:color w:val="auto"/>
          <w:sz w:val="28"/>
          <w:szCs w:val="28"/>
          <w:highlight w:val="none"/>
        </w:rPr>
        <w:t>天后发包人仍不纠正其违约行为并致使合同目的不能实现的，承包人有权解除合同。</w:t>
      </w:r>
    </w:p>
    <w:p w14:paraId="7C46EDC8">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16.2 承包人违约</w:t>
      </w:r>
    </w:p>
    <w:p w14:paraId="5766597B">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16.2.1 承包人违约的情形</w:t>
      </w:r>
    </w:p>
    <w:p w14:paraId="2A5D24DF">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合同履行过程中发生的下列情形，属于承包人违约：</w:t>
      </w:r>
    </w:p>
    <w:p w14:paraId="074FD76A">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（1）承包人违反合同约定进行转包或违法分包的，发包人有权要求承包人承担合同金额30%的违约金，或者发包人有权解除合同，如合同解除给发包人造成损失的，发包人有权向承包人另行主张。</w:t>
      </w:r>
    </w:p>
    <w:p w14:paraId="2D6A5FFE">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（2）因承包人原因导致工程质量不符合合同要求的，发包人有权要求承包人无偿返工，直至工程质量合格，返工所产生的费用由承包人自行承担，同时发包人有权要求承包人承担合同金额30%的违约金。</w:t>
      </w:r>
    </w:p>
    <w:p w14:paraId="7A0B7E5F">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（3）承包人未能按施工进度计划及时完成合同约定的工作，造成工期延误的，按照合同工期，每推延一天，赔偿 5000 元 ，逾期竣工违约金的上限为合同价款的30%。</w:t>
      </w:r>
    </w:p>
    <w:p w14:paraId="73825B60">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承包人在缺陷责任期及保修期内，未能在合理期限对工程缺陷进行修复，或拒绝按发包人要求进行修复的，发包人有权扣除全部质量保证金，因承包人迟延或者拒绝修复的，发包人可请第三方进行修复，修复所产生的费用均由承包人承担。</w:t>
      </w:r>
    </w:p>
    <w:p w14:paraId="35438F6A">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（5）承包人明确表示或者以其行为表明不履行合同主要义务的，发包人有权解除合同，同时发包人有权要求承包人承担合同金额30%的违约金。</w:t>
      </w:r>
    </w:p>
    <w:p w14:paraId="331B2F4A">
      <w:pPr>
        <w:spacing w:line="500" w:lineRule="exact"/>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6）承包方应严格遵守安全文明施工相关规定，如发生安全生产事故，由承包方承担所有责任；如因安全生产事故导致发包人承担责任的，发包人有权向承包人追偿；如因安全生产施工导致相关部门下达停工令，承包人承担工期延误的违约责任</w:t>
      </w:r>
      <w:r>
        <w:rPr>
          <w:rFonts w:hint="eastAsia" w:ascii="宋体" w:hAnsi="宋体" w:eastAsia="宋体" w:cs="宋体"/>
          <w:color w:val="auto"/>
          <w:sz w:val="28"/>
          <w:szCs w:val="28"/>
          <w:highlight w:val="none"/>
          <w:lang w:eastAsia="zh-CN"/>
        </w:rPr>
        <w:t>。</w:t>
      </w:r>
    </w:p>
    <w:p w14:paraId="4CE56069">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（7）承包人未能按照合同约定履行其他义务的。承包人发生除本项第（</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）目约定以外的其他违约情况时，</w:t>
      </w:r>
      <w:r>
        <w:rPr>
          <w:rFonts w:hint="eastAsia" w:ascii="宋体" w:hAnsi="宋体" w:eastAsia="宋体" w:cs="宋体"/>
          <w:color w:val="auto"/>
          <w:sz w:val="28"/>
          <w:szCs w:val="28"/>
          <w:highlight w:val="none"/>
          <w:lang w:eastAsia="zh-CN"/>
        </w:rPr>
        <w:t>发包人</w:t>
      </w:r>
      <w:r>
        <w:rPr>
          <w:rFonts w:hint="eastAsia" w:ascii="宋体" w:hAnsi="宋体" w:eastAsia="宋体" w:cs="宋体"/>
          <w:color w:val="auto"/>
          <w:sz w:val="28"/>
          <w:szCs w:val="28"/>
          <w:highlight w:val="none"/>
        </w:rPr>
        <w:t>可向承包人发出整改通知，要求其在指定的期限内改正。</w:t>
      </w:r>
    </w:p>
    <w:p w14:paraId="007F66BB">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16.2.2 承包人违约的责任</w:t>
      </w:r>
    </w:p>
    <w:p w14:paraId="665136B6">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承包人违约责任的承担方式和计算方法：</w:t>
      </w:r>
      <w:r>
        <w:rPr>
          <w:rFonts w:hint="eastAsia" w:ascii="宋体" w:hAnsi="宋体" w:eastAsia="宋体" w:cs="宋体"/>
          <w:b/>
          <w:bCs/>
          <w:color w:val="auto"/>
          <w:sz w:val="28"/>
          <w:szCs w:val="28"/>
          <w:highlight w:val="none"/>
          <w:u w:val="single"/>
        </w:rPr>
        <w:t>需赔偿发包人带来的全部经济损失及发包人其它损失</w:t>
      </w:r>
      <w:r>
        <w:rPr>
          <w:rFonts w:hint="eastAsia" w:ascii="宋体" w:hAnsi="宋体" w:eastAsia="宋体" w:cs="宋体"/>
          <w:color w:val="auto"/>
          <w:sz w:val="28"/>
          <w:szCs w:val="28"/>
          <w:highlight w:val="none"/>
        </w:rPr>
        <w:t>。</w:t>
      </w:r>
    </w:p>
    <w:p w14:paraId="121CCB81">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16.2.3 因承包人违约解除合同</w:t>
      </w:r>
    </w:p>
    <w:p w14:paraId="58722B92">
      <w:pPr>
        <w:spacing w:line="500" w:lineRule="exact"/>
        <w:ind w:firstLine="560" w:firstLineChars="200"/>
        <w:jc w:val="left"/>
        <w:rPr>
          <w:rFonts w:hint="eastAsia" w:ascii="宋体" w:hAnsi="宋体" w:eastAsia="宋体" w:cs="宋体"/>
          <w:b/>
          <w:bCs/>
          <w:color w:val="auto"/>
          <w:sz w:val="28"/>
          <w:szCs w:val="28"/>
          <w:highlight w:val="none"/>
          <w:u w:val="single"/>
        </w:rPr>
      </w:pPr>
      <w:r>
        <w:rPr>
          <w:rFonts w:hint="eastAsia" w:ascii="宋体" w:hAnsi="宋体" w:eastAsia="宋体" w:cs="宋体"/>
          <w:color w:val="auto"/>
          <w:sz w:val="28"/>
          <w:szCs w:val="28"/>
          <w:highlight w:val="none"/>
        </w:rPr>
        <w:t>关于承包人违约解除合同的特别约定：</w:t>
      </w:r>
      <w:r>
        <w:rPr>
          <w:rFonts w:hint="eastAsia" w:ascii="宋体" w:hAnsi="宋体" w:eastAsia="宋体" w:cs="宋体"/>
          <w:b/>
          <w:bCs/>
          <w:color w:val="auto"/>
          <w:sz w:val="28"/>
          <w:szCs w:val="28"/>
          <w:highlight w:val="none"/>
          <w:u w:val="single"/>
        </w:rPr>
        <w:t xml:space="preserve">              /            </w:t>
      </w:r>
    </w:p>
    <w:p w14:paraId="0DE5E733">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发包人继续使用承包人在施工现场的材料、设备、临时工程、承包人文件和由承包人或以其名义编制的其他文件的费用承担方式：</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   </w:t>
      </w:r>
      <w:r>
        <w:rPr>
          <w:rFonts w:hint="eastAsia" w:ascii="宋体" w:hAnsi="宋体" w:eastAsia="宋体" w:cs="宋体"/>
          <w:color w:val="auto"/>
          <w:sz w:val="28"/>
          <w:szCs w:val="28"/>
          <w:highlight w:val="none"/>
        </w:rPr>
        <w:t>。</w:t>
      </w:r>
    </w:p>
    <w:p w14:paraId="302D4B23">
      <w:pPr>
        <w:spacing w:line="5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17.  不可抗力</w:t>
      </w:r>
    </w:p>
    <w:p w14:paraId="40384402">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17.1 不可抗力的确认</w:t>
      </w:r>
    </w:p>
    <w:p w14:paraId="2A3CAF1B">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除通用合同条款约定的不可抗力事件之外，视为不可抗力的其他情形 ：</w:t>
      </w:r>
      <w:r>
        <w:rPr>
          <w:rFonts w:hint="eastAsia" w:ascii="宋体" w:hAnsi="宋体" w:eastAsia="宋体" w:cs="宋体"/>
          <w:b/>
          <w:bCs/>
          <w:color w:val="auto"/>
          <w:sz w:val="28"/>
          <w:szCs w:val="28"/>
          <w:highlight w:val="none"/>
          <w:u w:val="single"/>
        </w:rPr>
        <w:t xml:space="preserve">                   无                 </w:t>
      </w:r>
      <w:r>
        <w:rPr>
          <w:rFonts w:hint="eastAsia" w:ascii="宋体" w:hAnsi="宋体" w:eastAsia="宋体" w:cs="宋体"/>
          <w:color w:val="auto"/>
          <w:sz w:val="28"/>
          <w:szCs w:val="28"/>
          <w:highlight w:val="none"/>
        </w:rPr>
        <w:t>。</w:t>
      </w:r>
    </w:p>
    <w:p w14:paraId="7C869237">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17.4 因不可抗力解除合同</w:t>
      </w:r>
    </w:p>
    <w:p w14:paraId="29418DC4">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合同解除后，发包人应在商定或确定发包人应支付款项后</w:t>
      </w:r>
      <w:r>
        <w:rPr>
          <w:rFonts w:hint="eastAsia" w:ascii="宋体" w:hAnsi="宋体" w:eastAsia="宋体" w:cs="宋体"/>
          <w:color w:val="auto"/>
          <w:sz w:val="28"/>
          <w:szCs w:val="28"/>
          <w:highlight w:val="none"/>
          <w:u w:val="single"/>
        </w:rPr>
        <w:t xml:space="preserve"> 60  </w:t>
      </w:r>
      <w:r>
        <w:rPr>
          <w:rFonts w:hint="eastAsia" w:ascii="宋体" w:hAnsi="宋体" w:eastAsia="宋体" w:cs="宋体"/>
          <w:color w:val="auto"/>
          <w:sz w:val="28"/>
          <w:szCs w:val="28"/>
          <w:highlight w:val="none"/>
        </w:rPr>
        <w:t>天内完成款项的支付。</w:t>
      </w:r>
    </w:p>
    <w:p w14:paraId="5D2534E6">
      <w:pPr>
        <w:spacing w:line="5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18.  保险</w:t>
      </w:r>
    </w:p>
    <w:p w14:paraId="50733014">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18.1 工程保险</w:t>
      </w:r>
    </w:p>
    <w:p w14:paraId="5106FE48">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关于工程保险的特别约定：</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kern w:val="2"/>
          <w:sz w:val="28"/>
          <w:szCs w:val="28"/>
          <w:highlight w:val="none"/>
          <w:u w:val="single"/>
          <w:lang w:val="en-US" w:eastAsia="zh-CN" w:bidi="ar-SA"/>
        </w:rPr>
        <w:t>承包人应投保建筑工程一切险及安装工程一切险；投保产生的保险费和其他相关费用由承包人承担。</w:t>
      </w:r>
    </w:p>
    <w:p w14:paraId="71B07544">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18.3 其他保险</w:t>
      </w:r>
    </w:p>
    <w:p w14:paraId="2B146F22">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关于其他保险的约定：</w:t>
      </w:r>
      <w:r>
        <w:rPr>
          <w:rFonts w:hint="eastAsia" w:ascii="宋体" w:hAnsi="宋体" w:eastAsia="宋体" w:cs="宋体"/>
          <w:b/>
          <w:bCs/>
          <w:color w:val="auto"/>
          <w:sz w:val="28"/>
          <w:szCs w:val="28"/>
          <w:highlight w:val="none"/>
          <w:u w:val="single"/>
        </w:rPr>
        <w:t xml:space="preserve">              无               </w:t>
      </w:r>
      <w:r>
        <w:rPr>
          <w:rFonts w:hint="eastAsia" w:ascii="宋体" w:hAnsi="宋体" w:eastAsia="宋体" w:cs="宋体"/>
          <w:color w:val="auto"/>
          <w:sz w:val="28"/>
          <w:szCs w:val="28"/>
          <w:highlight w:val="none"/>
        </w:rPr>
        <w:t>。</w:t>
      </w:r>
    </w:p>
    <w:p w14:paraId="3DE60DB0">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承包人是否应为其施工设备等办理财产保险：</w:t>
      </w:r>
      <w:r>
        <w:rPr>
          <w:rFonts w:hint="eastAsia" w:ascii="宋体" w:hAnsi="宋体" w:eastAsia="宋体" w:cs="宋体"/>
          <w:b/>
          <w:bCs/>
          <w:color w:val="auto"/>
          <w:sz w:val="28"/>
          <w:szCs w:val="28"/>
          <w:highlight w:val="none"/>
          <w:u w:val="single"/>
        </w:rPr>
        <w:t xml:space="preserve">      是      </w:t>
      </w:r>
      <w:r>
        <w:rPr>
          <w:rFonts w:hint="eastAsia" w:ascii="宋体" w:hAnsi="宋体" w:eastAsia="宋体" w:cs="宋体"/>
          <w:color w:val="auto"/>
          <w:sz w:val="28"/>
          <w:szCs w:val="28"/>
          <w:highlight w:val="none"/>
        </w:rPr>
        <w:t>。</w:t>
      </w:r>
    </w:p>
    <w:p w14:paraId="660BA380">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18.7 通知义务</w:t>
      </w:r>
    </w:p>
    <w:p w14:paraId="4C8187E4">
      <w:pPr>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关于变更保险合同时的通知义务的约定：</w:t>
      </w:r>
      <w:r>
        <w:rPr>
          <w:rFonts w:hint="eastAsia" w:ascii="宋体" w:hAnsi="宋体" w:eastAsia="宋体" w:cs="宋体"/>
          <w:b/>
          <w:bCs/>
          <w:color w:val="auto"/>
          <w:sz w:val="28"/>
          <w:szCs w:val="28"/>
          <w:highlight w:val="none"/>
          <w:u w:val="single"/>
        </w:rPr>
        <w:t xml:space="preserve">          无      </w:t>
      </w:r>
      <w:r>
        <w:rPr>
          <w:rFonts w:hint="eastAsia" w:ascii="宋体" w:hAnsi="宋体" w:eastAsia="宋体" w:cs="宋体"/>
          <w:color w:val="auto"/>
          <w:sz w:val="28"/>
          <w:szCs w:val="28"/>
          <w:highlight w:val="none"/>
        </w:rPr>
        <w:t>。</w:t>
      </w:r>
    </w:p>
    <w:p w14:paraId="5BCBD8CC">
      <w:pPr>
        <w:spacing w:line="5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20.  争议解决</w:t>
      </w:r>
    </w:p>
    <w:p w14:paraId="72508B21">
      <w:pPr>
        <w:spacing w:line="24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20.3 争议评审</w:t>
      </w:r>
    </w:p>
    <w:p w14:paraId="2B935F0A">
      <w:pPr>
        <w:spacing w:line="24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合同当事人是否同意将工程争议提交争议评审小组决定：不同意，直接提交工程所在地法院</w:t>
      </w:r>
      <w:r>
        <w:rPr>
          <w:rFonts w:hint="eastAsia" w:ascii="宋体" w:hAnsi="宋体" w:eastAsia="宋体" w:cs="宋体"/>
          <w:b/>
          <w:bCs/>
          <w:color w:val="auto"/>
          <w:sz w:val="28"/>
          <w:szCs w:val="28"/>
          <w:highlight w:val="none"/>
          <w:u w:val="single"/>
        </w:rPr>
        <w:t xml:space="preserve">                     /              </w:t>
      </w:r>
    </w:p>
    <w:p w14:paraId="079078B6">
      <w:pPr>
        <w:spacing w:line="24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20.3.1 争议评审小组的确定</w:t>
      </w:r>
    </w:p>
    <w:p w14:paraId="2AC0EFB0">
      <w:pPr>
        <w:spacing w:line="24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争议评审小组成员的确定：</w:t>
      </w:r>
      <w:r>
        <w:rPr>
          <w:rFonts w:hint="eastAsia" w:ascii="宋体" w:hAnsi="宋体" w:eastAsia="宋体" w:cs="宋体"/>
          <w:b/>
          <w:bCs/>
          <w:color w:val="auto"/>
          <w:sz w:val="28"/>
          <w:szCs w:val="28"/>
          <w:highlight w:val="none"/>
          <w:u w:val="single"/>
        </w:rPr>
        <w:t xml:space="preserve">             /             </w:t>
      </w:r>
    </w:p>
    <w:p w14:paraId="118B90D1">
      <w:pPr>
        <w:spacing w:line="24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选定争议评审员的期限：</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35AF9371">
      <w:pPr>
        <w:spacing w:line="24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争议评审小组成员的报酬承担方式：</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3679C5A">
      <w:pPr>
        <w:spacing w:line="24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其他事项的约定：</w:t>
      </w:r>
      <w:r>
        <w:rPr>
          <w:rFonts w:hint="eastAsia" w:ascii="宋体" w:hAnsi="宋体" w:eastAsia="宋体" w:cs="宋体"/>
          <w:b/>
          <w:bCs/>
          <w:color w:val="auto"/>
          <w:sz w:val="28"/>
          <w:szCs w:val="28"/>
          <w:highlight w:val="none"/>
          <w:u w:val="single"/>
        </w:rPr>
        <w:t xml:space="preserve">                    无             </w:t>
      </w:r>
    </w:p>
    <w:p w14:paraId="5FE8F102">
      <w:pPr>
        <w:spacing w:line="24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20.3.2 争议评审小组的决定</w:t>
      </w:r>
    </w:p>
    <w:p w14:paraId="7A3EAF2B">
      <w:pPr>
        <w:spacing w:line="24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合同当事人关于本项的约定：</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p>
    <w:p w14:paraId="618C713B">
      <w:pPr>
        <w:spacing w:line="24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20.4 仲裁或诉讼</w:t>
      </w:r>
    </w:p>
    <w:p w14:paraId="3054D2FD">
      <w:pPr>
        <w:pStyle w:val="10"/>
        <w:spacing w:line="24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b w:val="0"/>
          <w:bCs w:val="0"/>
          <w:color w:val="auto"/>
          <w:kern w:val="2"/>
          <w:sz w:val="28"/>
          <w:szCs w:val="28"/>
          <w:highlight w:val="none"/>
          <w:u w:val="none"/>
          <w:lang w:val="en-US" w:eastAsia="zh-CN" w:bidi="ar-SA"/>
        </w:rPr>
        <w:t>因合同及合同有关事项发生的争议，双方均同意向乌鲁木齐仲裁委员会喀什分会申请仲裁，且违约方需承担守约方为主张权利产生的一切费用，包括但不限于律师费、仲裁费、保全费、保全保险费、交通费等。</w:t>
      </w:r>
    </w:p>
    <w:p w14:paraId="26D674FF">
      <w:pPr>
        <w:spacing w:line="24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 补充条款</w:t>
      </w:r>
    </w:p>
    <w:p w14:paraId="5D07B05E">
      <w:pPr>
        <w:spacing w:line="240" w:lineRule="auto"/>
        <w:ind w:firstLine="562" w:firstLineChars="200"/>
        <w:jc w:val="left"/>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u w:val="single"/>
        </w:rPr>
        <w:t>1．该项目工程需做好现有成品及其他单位成品保护工作，如有损坏或损伤，承包方负责赔偿所有损失。</w:t>
      </w:r>
    </w:p>
    <w:p w14:paraId="2687834D">
      <w:pPr>
        <w:pStyle w:val="9"/>
        <w:spacing w:line="240" w:lineRule="auto"/>
        <w:rPr>
          <w:rFonts w:hint="eastAsia" w:ascii="宋体" w:hAnsi="宋体" w:eastAsia="宋体" w:cs="宋体"/>
          <w:b/>
          <w:bCs/>
          <w:color w:val="auto"/>
          <w:sz w:val="28"/>
          <w:szCs w:val="28"/>
          <w:highlight w:val="none"/>
          <w:u w:val="single"/>
        </w:rPr>
      </w:pPr>
      <w:r>
        <w:rPr>
          <w:rFonts w:hint="eastAsia" w:ascii="宋体" w:hAnsi="宋体" w:eastAsia="宋体" w:cs="宋体"/>
          <w:color w:val="auto"/>
          <w:highlight w:val="none"/>
        </w:rPr>
        <w:t xml:space="preserve">     </w:t>
      </w:r>
      <w:r>
        <w:rPr>
          <w:rFonts w:hint="eastAsia" w:ascii="宋体" w:hAnsi="宋体" w:eastAsia="宋体" w:cs="宋体"/>
          <w:b/>
          <w:bCs/>
          <w:color w:val="auto"/>
          <w:sz w:val="28"/>
          <w:szCs w:val="28"/>
          <w:highlight w:val="none"/>
          <w:u w:val="single"/>
        </w:rPr>
        <w:t>2、因本工程施工所发生的的人生安全事故及第三方损害、损伤，责任均由乙方负责。</w:t>
      </w:r>
    </w:p>
    <w:p w14:paraId="09953B8B">
      <w:pPr>
        <w:adjustRightInd w:val="0"/>
        <w:snapToGrid w:val="0"/>
        <w:spacing w:line="500" w:lineRule="exact"/>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br w:type="page"/>
      </w:r>
      <w:bookmarkStart w:id="509" w:name="_Toc351203652"/>
      <w:r>
        <w:rPr>
          <w:rFonts w:hint="eastAsia" w:ascii="宋体" w:hAnsi="宋体" w:eastAsia="宋体" w:cs="宋体"/>
          <w:b/>
          <w:color w:val="auto"/>
          <w:sz w:val="28"/>
          <w:szCs w:val="28"/>
          <w:highlight w:val="none"/>
        </w:rPr>
        <w:t>附件</w:t>
      </w:r>
      <w:bookmarkEnd w:id="509"/>
    </w:p>
    <w:p w14:paraId="52C75456">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p>
    <w:p w14:paraId="608F0431">
      <w:pPr>
        <w:adjustRightInd w:val="0"/>
        <w:snapToGrid w:val="0"/>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协议书附件：</w:t>
      </w:r>
    </w:p>
    <w:p w14:paraId="4D7A94F2">
      <w:pPr>
        <w:adjustRightInd w:val="0"/>
        <w:snapToGrid w:val="0"/>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附件1：承包人承揽工程项目一览表</w:t>
      </w:r>
    </w:p>
    <w:p w14:paraId="303B319A">
      <w:pPr>
        <w:adjustRightInd w:val="0"/>
        <w:snapToGrid w:val="0"/>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专用合同条款附件：</w:t>
      </w:r>
    </w:p>
    <w:p w14:paraId="4EA1AA3A">
      <w:pPr>
        <w:adjustRightInd w:val="0"/>
        <w:snapToGrid w:val="0"/>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附件2：发包人供应材料设备一览表</w:t>
      </w:r>
    </w:p>
    <w:p w14:paraId="16592269">
      <w:pPr>
        <w:adjustRightInd w:val="0"/>
        <w:snapToGrid w:val="0"/>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附件3：工程质量保修书</w:t>
      </w:r>
    </w:p>
    <w:p w14:paraId="687D1AF9">
      <w:pPr>
        <w:adjustRightInd w:val="0"/>
        <w:snapToGrid w:val="0"/>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附件4：主要建设工程文件目录</w:t>
      </w:r>
    </w:p>
    <w:p w14:paraId="373157BC">
      <w:pPr>
        <w:adjustRightInd w:val="0"/>
        <w:snapToGrid w:val="0"/>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附件5：承包人用于本工程施工的机械设备表</w:t>
      </w:r>
    </w:p>
    <w:p w14:paraId="58B4E543">
      <w:pPr>
        <w:adjustRightInd w:val="0"/>
        <w:snapToGrid w:val="0"/>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附件6：承包人主要施工管理人员表</w:t>
      </w:r>
    </w:p>
    <w:p w14:paraId="61BAE0D6">
      <w:pPr>
        <w:adjustRightInd w:val="0"/>
        <w:snapToGrid w:val="0"/>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附件7：分包人主要施工管理人员表</w:t>
      </w:r>
    </w:p>
    <w:p w14:paraId="5C8CA64E">
      <w:pPr>
        <w:adjustRightInd w:val="0"/>
        <w:snapToGrid w:val="0"/>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附件8：履约担保格式</w:t>
      </w:r>
    </w:p>
    <w:p w14:paraId="4047F1DA">
      <w:pPr>
        <w:adjustRightInd w:val="0"/>
        <w:snapToGrid w:val="0"/>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附件9：预付款担保格式</w:t>
      </w:r>
    </w:p>
    <w:p w14:paraId="45FA3C69">
      <w:pPr>
        <w:adjustRightInd w:val="0"/>
        <w:snapToGrid w:val="0"/>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附件10：支付担保格式</w:t>
      </w:r>
    </w:p>
    <w:p w14:paraId="171907D4">
      <w:pPr>
        <w:adjustRightInd w:val="0"/>
        <w:snapToGrid w:val="0"/>
        <w:spacing w:line="560" w:lineRule="exact"/>
        <w:ind w:firstLine="560" w:firstLineChars="200"/>
        <w:jc w:val="left"/>
        <w:rPr>
          <w:rFonts w:hint="eastAsia" w:ascii="宋体" w:hAnsi="宋体" w:eastAsia="宋体" w:cs="宋体"/>
          <w:color w:val="auto"/>
          <w:sz w:val="28"/>
          <w:szCs w:val="28"/>
          <w:highlight w:val="none"/>
        </w:rPr>
        <w:sectPr>
          <w:pgSz w:w="11906" w:h="16838"/>
          <w:pgMar w:top="1418" w:right="1555" w:bottom="1418" w:left="1531" w:header="851" w:footer="992" w:gutter="0"/>
          <w:pgNumType w:fmt="decimal"/>
          <w:cols w:space="720" w:num="1"/>
          <w:titlePg/>
          <w:docGrid w:type="lines" w:linePitch="312" w:charSpace="0"/>
        </w:sectPr>
      </w:pPr>
      <w:r>
        <w:rPr>
          <w:rFonts w:hint="eastAsia" w:ascii="宋体" w:hAnsi="宋体" w:eastAsia="宋体" w:cs="宋体"/>
          <w:color w:val="auto"/>
          <w:sz w:val="28"/>
          <w:szCs w:val="28"/>
          <w:highlight w:val="none"/>
        </w:rPr>
        <w:t>附件11：暂估价一览表</w:t>
      </w:r>
    </w:p>
    <w:p w14:paraId="2FB974D3">
      <w:pPr>
        <w:adjustRightInd w:val="0"/>
        <w:snapToGrid w:val="0"/>
        <w:spacing w:beforeLines="50" w:afterLines="5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附件1：                        </w:t>
      </w:r>
    </w:p>
    <w:p w14:paraId="4B163C47">
      <w:pPr>
        <w:adjustRightInd w:val="0"/>
        <w:snapToGrid w:val="0"/>
        <w:spacing w:beforeLines="50" w:afterLines="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承包人承揽工程项目一览表</w:t>
      </w:r>
    </w:p>
    <w:tbl>
      <w:tblPr>
        <w:tblStyle w:val="25"/>
        <w:tblW w:w="14547"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54"/>
        <w:gridCol w:w="2070"/>
        <w:gridCol w:w="1432"/>
        <w:gridCol w:w="1608"/>
        <w:gridCol w:w="859"/>
        <w:gridCol w:w="944"/>
        <w:gridCol w:w="1134"/>
        <w:gridCol w:w="1844"/>
        <w:gridCol w:w="1680"/>
        <w:gridCol w:w="1622"/>
      </w:tblGrid>
      <w:tr w14:paraId="2CDBA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67" w:hRule="atLeast"/>
        </w:trPr>
        <w:tc>
          <w:tcPr>
            <w:tcW w:w="1354" w:type="dxa"/>
            <w:tcBorders>
              <w:top w:val="single" w:color="auto" w:sz="12" w:space="0"/>
              <w:bottom w:val="double" w:color="auto" w:sz="6" w:space="0"/>
            </w:tcBorders>
            <w:vAlign w:val="center"/>
          </w:tcPr>
          <w:p w14:paraId="51ABD729">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单位工</w:t>
            </w:r>
          </w:p>
          <w:p w14:paraId="76DD89DC">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程名称</w:t>
            </w:r>
          </w:p>
        </w:tc>
        <w:tc>
          <w:tcPr>
            <w:tcW w:w="2070" w:type="dxa"/>
            <w:tcBorders>
              <w:top w:val="single" w:color="auto" w:sz="12" w:space="0"/>
              <w:bottom w:val="double" w:color="auto" w:sz="6" w:space="0"/>
            </w:tcBorders>
            <w:vAlign w:val="center"/>
          </w:tcPr>
          <w:p w14:paraId="3D1D226F">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建设</w:t>
            </w:r>
          </w:p>
          <w:p w14:paraId="1F3BBE92">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规模</w:t>
            </w:r>
          </w:p>
        </w:tc>
        <w:tc>
          <w:tcPr>
            <w:tcW w:w="1432" w:type="dxa"/>
            <w:tcBorders>
              <w:top w:val="single" w:color="auto" w:sz="12" w:space="0"/>
              <w:bottom w:val="double" w:color="auto" w:sz="6" w:space="0"/>
            </w:tcBorders>
            <w:vAlign w:val="center"/>
          </w:tcPr>
          <w:p w14:paraId="7A71B1DC">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面积</w:t>
            </w:r>
          </w:p>
          <w:p w14:paraId="74B2066B">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(平方米)</w:t>
            </w:r>
          </w:p>
        </w:tc>
        <w:tc>
          <w:tcPr>
            <w:tcW w:w="1608" w:type="dxa"/>
            <w:tcBorders>
              <w:top w:val="single" w:color="auto" w:sz="12" w:space="0"/>
              <w:bottom w:val="double" w:color="auto" w:sz="6" w:space="0"/>
            </w:tcBorders>
            <w:vAlign w:val="center"/>
          </w:tcPr>
          <w:p w14:paraId="68EECF46">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结构形式</w:t>
            </w:r>
          </w:p>
        </w:tc>
        <w:tc>
          <w:tcPr>
            <w:tcW w:w="859" w:type="dxa"/>
            <w:tcBorders>
              <w:top w:val="single" w:color="auto" w:sz="12" w:space="0"/>
              <w:bottom w:val="double" w:color="auto" w:sz="6" w:space="0"/>
            </w:tcBorders>
            <w:vAlign w:val="center"/>
          </w:tcPr>
          <w:p w14:paraId="454E0C3E">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层数</w:t>
            </w:r>
          </w:p>
        </w:tc>
        <w:tc>
          <w:tcPr>
            <w:tcW w:w="944" w:type="dxa"/>
            <w:tcBorders>
              <w:top w:val="single" w:color="auto" w:sz="12" w:space="0"/>
              <w:bottom w:val="double" w:color="auto" w:sz="6" w:space="0"/>
            </w:tcBorders>
            <w:vAlign w:val="center"/>
          </w:tcPr>
          <w:p w14:paraId="0725787B">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生产能力</w:t>
            </w:r>
          </w:p>
        </w:tc>
        <w:tc>
          <w:tcPr>
            <w:tcW w:w="1134" w:type="dxa"/>
            <w:tcBorders>
              <w:top w:val="single" w:color="auto" w:sz="12" w:space="0"/>
              <w:bottom w:val="double" w:color="auto" w:sz="6" w:space="0"/>
            </w:tcBorders>
            <w:vAlign w:val="center"/>
          </w:tcPr>
          <w:p w14:paraId="5995E4AF">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设备安装内容</w:t>
            </w:r>
          </w:p>
        </w:tc>
        <w:tc>
          <w:tcPr>
            <w:tcW w:w="1844" w:type="dxa"/>
            <w:tcBorders>
              <w:top w:val="single" w:color="auto" w:sz="12" w:space="0"/>
              <w:bottom w:val="double" w:color="auto" w:sz="6" w:space="0"/>
            </w:tcBorders>
            <w:vAlign w:val="center"/>
          </w:tcPr>
          <w:p w14:paraId="04B78AC4">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合同价格（元）</w:t>
            </w:r>
          </w:p>
        </w:tc>
        <w:tc>
          <w:tcPr>
            <w:tcW w:w="1680" w:type="dxa"/>
            <w:tcBorders>
              <w:top w:val="single" w:color="auto" w:sz="12" w:space="0"/>
              <w:bottom w:val="double" w:color="auto" w:sz="6" w:space="0"/>
            </w:tcBorders>
            <w:vAlign w:val="center"/>
          </w:tcPr>
          <w:p w14:paraId="511C5B67">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开工日期</w:t>
            </w:r>
          </w:p>
        </w:tc>
        <w:tc>
          <w:tcPr>
            <w:tcW w:w="1622" w:type="dxa"/>
            <w:tcBorders>
              <w:top w:val="single" w:color="auto" w:sz="12" w:space="0"/>
              <w:bottom w:val="double" w:color="auto" w:sz="6" w:space="0"/>
            </w:tcBorders>
            <w:vAlign w:val="center"/>
          </w:tcPr>
          <w:p w14:paraId="7952C209">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竣工日期</w:t>
            </w:r>
          </w:p>
        </w:tc>
      </w:tr>
      <w:tr w14:paraId="12DF7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1354" w:type="dxa"/>
            <w:tcBorders>
              <w:top w:val="nil"/>
            </w:tcBorders>
            <w:vAlign w:val="center"/>
          </w:tcPr>
          <w:p w14:paraId="01017027">
            <w:pPr>
              <w:pStyle w:val="2"/>
              <w:keepNext/>
              <w:snapToGrid w:val="0"/>
              <w:spacing w:line="240" w:lineRule="auto"/>
              <w:ind w:left="63" w:right="63"/>
              <w:rPr>
                <w:rFonts w:hint="eastAsia" w:ascii="宋体" w:hAnsi="宋体" w:eastAsia="宋体" w:cs="宋体"/>
                <w:color w:val="auto"/>
                <w:kern w:val="2"/>
                <w:sz w:val="28"/>
                <w:szCs w:val="28"/>
                <w:highlight w:val="none"/>
              </w:rPr>
            </w:pPr>
          </w:p>
        </w:tc>
        <w:tc>
          <w:tcPr>
            <w:tcW w:w="2070" w:type="dxa"/>
            <w:tcBorders>
              <w:top w:val="nil"/>
            </w:tcBorders>
            <w:vAlign w:val="center"/>
          </w:tcPr>
          <w:p w14:paraId="30A28B8D">
            <w:pPr>
              <w:pStyle w:val="2"/>
              <w:keepNext/>
              <w:snapToGrid w:val="0"/>
              <w:spacing w:line="240" w:lineRule="auto"/>
              <w:ind w:left="63" w:right="63"/>
              <w:rPr>
                <w:rFonts w:hint="eastAsia" w:ascii="宋体" w:hAnsi="宋体" w:eastAsia="宋体" w:cs="宋体"/>
                <w:color w:val="auto"/>
                <w:kern w:val="2"/>
                <w:sz w:val="28"/>
                <w:szCs w:val="28"/>
                <w:highlight w:val="none"/>
              </w:rPr>
            </w:pPr>
          </w:p>
        </w:tc>
        <w:tc>
          <w:tcPr>
            <w:tcW w:w="1432" w:type="dxa"/>
            <w:tcBorders>
              <w:top w:val="nil"/>
            </w:tcBorders>
            <w:vAlign w:val="center"/>
          </w:tcPr>
          <w:p w14:paraId="436A8B3C">
            <w:pPr>
              <w:pStyle w:val="2"/>
              <w:keepNext/>
              <w:snapToGrid w:val="0"/>
              <w:spacing w:line="240" w:lineRule="auto"/>
              <w:ind w:left="63" w:right="63"/>
              <w:rPr>
                <w:rFonts w:hint="eastAsia" w:ascii="宋体" w:hAnsi="宋体" w:eastAsia="宋体" w:cs="宋体"/>
                <w:color w:val="auto"/>
                <w:kern w:val="2"/>
                <w:sz w:val="28"/>
                <w:szCs w:val="28"/>
                <w:highlight w:val="none"/>
              </w:rPr>
            </w:pPr>
          </w:p>
        </w:tc>
        <w:tc>
          <w:tcPr>
            <w:tcW w:w="1608" w:type="dxa"/>
            <w:tcBorders>
              <w:top w:val="nil"/>
            </w:tcBorders>
            <w:vAlign w:val="center"/>
          </w:tcPr>
          <w:p w14:paraId="6C78CAEA">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9" w:type="dxa"/>
            <w:tcBorders>
              <w:top w:val="nil"/>
            </w:tcBorders>
            <w:vAlign w:val="center"/>
          </w:tcPr>
          <w:p w14:paraId="2815ED7E">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44" w:type="dxa"/>
            <w:tcBorders>
              <w:top w:val="nil"/>
            </w:tcBorders>
            <w:vAlign w:val="center"/>
          </w:tcPr>
          <w:p w14:paraId="43639B97">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34" w:type="dxa"/>
            <w:tcBorders>
              <w:top w:val="nil"/>
            </w:tcBorders>
            <w:vAlign w:val="center"/>
          </w:tcPr>
          <w:p w14:paraId="7B8D5F2B">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844" w:type="dxa"/>
            <w:tcBorders>
              <w:top w:val="nil"/>
            </w:tcBorders>
            <w:vAlign w:val="center"/>
          </w:tcPr>
          <w:p w14:paraId="314C51FF">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680" w:type="dxa"/>
            <w:tcBorders>
              <w:top w:val="nil"/>
            </w:tcBorders>
            <w:vAlign w:val="center"/>
          </w:tcPr>
          <w:p w14:paraId="5222FF78">
            <w:pPr>
              <w:pStyle w:val="2"/>
              <w:keepNext/>
              <w:snapToGrid w:val="0"/>
              <w:spacing w:line="240" w:lineRule="auto"/>
              <w:ind w:left="63" w:right="63"/>
              <w:rPr>
                <w:rFonts w:hint="eastAsia" w:ascii="宋体" w:hAnsi="宋体" w:eastAsia="宋体" w:cs="宋体"/>
                <w:color w:val="auto"/>
                <w:kern w:val="2"/>
                <w:sz w:val="28"/>
                <w:szCs w:val="28"/>
                <w:highlight w:val="none"/>
              </w:rPr>
            </w:pPr>
          </w:p>
        </w:tc>
        <w:tc>
          <w:tcPr>
            <w:tcW w:w="1622" w:type="dxa"/>
            <w:tcBorders>
              <w:top w:val="nil"/>
            </w:tcBorders>
            <w:vAlign w:val="center"/>
          </w:tcPr>
          <w:p w14:paraId="4B1B1BE0">
            <w:pPr>
              <w:pStyle w:val="2"/>
              <w:keepNext/>
              <w:snapToGrid w:val="0"/>
              <w:spacing w:line="240" w:lineRule="auto"/>
              <w:ind w:left="63" w:right="63"/>
              <w:rPr>
                <w:rFonts w:hint="eastAsia" w:ascii="宋体" w:hAnsi="宋体" w:eastAsia="宋体" w:cs="宋体"/>
                <w:color w:val="auto"/>
                <w:kern w:val="2"/>
                <w:sz w:val="28"/>
                <w:szCs w:val="28"/>
                <w:highlight w:val="none"/>
              </w:rPr>
            </w:pPr>
          </w:p>
        </w:tc>
      </w:tr>
      <w:tr w14:paraId="52F1A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1354" w:type="dxa"/>
            <w:tcBorders>
              <w:top w:val="nil"/>
            </w:tcBorders>
            <w:vAlign w:val="center"/>
          </w:tcPr>
          <w:p w14:paraId="737A947A">
            <w:pPr>
              <w:pStyle w:val="2"/>
              <w:keepNext/>
              <w:snapToGrid w:val="0"/>
              <w:spacing w:line="240" w:lineRule="auto"/>
              <w:ind w:left="63" w:right="63"/>
              <w:rPr>
                <w:rFonts w:hint="eastAsia" w:ascii="宋体" w:hAnsi="宋体" w:eastAsia="宋体" w:cs="宋体"/>
                <w:color w:val="auto"/>
                <w:kern w:val="2"/>
                <w:sz w:val="28"/>
                <w:szCs w:val="28"/>
                <w:highlight w:val="none"/>
              </w:rPr>
            </w:pPr>
          </w:p>
        </w:tc>
        <w:tc>
          <w:tcPr>
            <w:tcW w:w="2070" w:type="dxa"/>
            <w:tcBorders>
              <w:top w:val="nil"/>
            </w:tcBorders>
            <w:vAlign w:val="center"/>
          </w:tcPr>
          <w:p w14:paraId="40272DDF">
            <w:pPr>
              <w:pStyle w:val="2"/>
              <w:keepNext/>
              <w:snapToGrid w:val="0"/>
              <w:spacing w:line="240" w:lineRule="auto"/>
              <w:ind w:left="63" w:right="63"/>
              <w:rPr>
                <w:rFonts w:hint="eastAsia" w:ascii="宋体" w:hAnsi="宋体" w:eastAsia="宋体" w:cs="宋体"/>
                <w:color w:val="auto"/>
                <w:kern w:val="2"/>
                <w:sz w:val="28"/>
                <w:szCs w:val="28"/>
                <w:highlight w:val="none"/>
              </w:rPr>
            </w:pPr>
          </w:p>
        </w:tc>
        <w:tc>
          <w:tcPr>
            <w:tcW w:w="1432" w:type="dxa"/>
            <w:tcBorders>
              <w:top w:val="nil"/>
            </w:tcBorders>
            <w:vAlign w:val="center"/>
          </w:tcPr>
          <w:p w14:paraId="6FD0D30D">
            <w:pPr>
              <w:pStyle w:val="2"/>
              <w:keepNext/>
              <w:snapToGrid w:val="0"/>
              <w:spacing w:line="240" w:lineRule="auto"/>
              <w:ind w:left="63" w:right="63"/>
              <w:rPr>
                <w:rFonts w:hint="eastAsia" w:ascii="宋体" w:hAnsi="宋体" w:eastAsia="宋体" w:cs="宋体"/>
                <w:color w:val="auto"/>
                <w:kern w:val="2"/>
                <w:sz w:val="28"/>
                <w:szCs w:val="28"/>
                <w:highlight w:val="none"/>
              </w:rPr>
            </w:pPr>
          </w:p>
        </w:tc>
        <w:tc>
          <w:tcPr>
            <w:tcW w:w="1608" w:type="dxa"/>
            <w:tcBorders>
              <w:top w:val="nil"/>
            </w:tcBorders>
            <w:vAlign w:val="center"/>
          </w:tcPr>
          <w:p w14:paraId="07F4DAA5">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9" w:type="dxa"/>
            <w:tcBorders>
              <w:top w:val="nil"/>
            </w:tcBorders>
            <w:vAlign w:val="center"/>
          </w:tcPr>
          <w:p w14:paraId="19B84A06">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44" w:type="dxa"/>
            <w:tcBorders>
              <w:top w:val="nil"/>
            </w:tcBorders>
            <w:vAlign w:val="center"/>
          </w:tcPr>
          <w:p w14:paraId="1C59F648">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34" w:type="dxa"/>
            <w:tcBorders>
              <w:top w:val="nil"/>
            </w:tcBorders>
            <w:vAlign w:val="center"/>
          </w:tcPr>
          <w:p w14:paraId="1C9BF5D1">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844" w:type="dxa"/>
            <w:tcBorders>
              <w:top w:val="nil"/>
            </w:tcBorders>
            <w:vAlign w:val="center"/>
          </w:tcPr>
          <w:p w14:paraId="3387F153">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680" w:type="dxa"/>
            <w:tcBorders>
              <w:top w:val="nil"/>
            </w:tcBorders>
            <w:vAlign w:val="center"/>
          </w:tcPr>
          <w:p w14:paraId="6AFCD585">
            <w:pPr>
              <w:pStyle w:val="2"/>
              <w:keepNext/>
              <w:snapToGrid w:val="0"/>
              <w:spacing w:line="240" w:lineRule="auto"/>
              <w:ind w:left="63" w:right="63"/>
              <w:rPr>
                <w:rFonts w:hint="eastAsia" w:ascii="宋体" w:hAnsi="宋体" w:eastAsia="宋体" w:cs="宋体"/>
                <w:color w:val="auto"/>
                <w:kern w:val="2"/>
                <w:sz w:val="28"/>
                <w:szCs w:val="28"/>
                <w:highlight w:val="none"/>
              </w:rPr>
            </w:pPr>
          </w:p>
        </w:tc>
        <w:tc>
          <w:tcPr>
            <w:tcW w:w="1622" w:type="dxa"/>
            <w:tcBorders>
              <w:top w:val="nil"/>
            </w:tcBorders>
            <w:vAlign w:val="center"/>
          </w:tcPr>
          <w:p w14:paraId="0DF75FAF">
            <w:pPr>
              <w:pStyle w:val="2"/>
              <w:keepNext/>
              <w:snapToGrid w:val="0"/>
              <w:spacing w:line="240" w:lineRule="auto"/>
              <w:ind w:left="63" w:right="63"/>
              <w:rPr>
                <w:rFonts w:hint="eastAsia" w:ascii="宋体" w:hAnsi="宋体" w:eastAsia="宋体" w:cs="宋体"/>
                <w:color w:val="auto"/>
                <w:kern w:val="2"/>
                <w:sz w:val="28"/>
                <w:szCs w:val="28"/>
                <w:highlight w:val="none"/>
              </w:rPr>
            </w:pPr>
          </w:p>
        </w:tc>
      </w:tr>
      <w:tr w14:paraId="79E37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1354" w:type="dxa"/>
            <w:vAlign w:val="center"/>
          </w:tcPr>
          <w:p w14:paraId="781C2358">
            <w:pPr>
              <w:pStyle w:val="2"/>
              <w:keepNext/>
              <w:snapToGrid w:val="0"/>
              <w:spacing w:line="240" w:lineRule="auto"/>
              <w:ind w:left="63" w:right="63"/>
              <w:rPr>
                <w:rFonts w:hint="eastAsia" w:ascii="宋体" w:hAnsi="宋体" w:eastAsia="宋体" w:cs="宋体"/>
                <w:color w:val="auto"/>
                <w:kern w:val="2"/>
                <w:sz w:val="28"/>
                <w:szCs w:val="28"/>
                <w:highlight w:val="none"/>
              </w:rPr>
            </w:pPr>
          </w:p>
        </w:tc>
        <w:tc>
          <w:tcPr>
            <w:tcW w:w="2070" w:type="dxa"/>
            <w:vAlign w:val="center"/>
          </w:tcPr>
          <w:p w14:paraId="67D302B7">
            <w:pPr>
              <w:pStyle w:val="2"/>
              <w:keepNext/>
              <w:snapToGrid w:val="0"/>
              <w:spacing w:line="240" w:lineRule="auto"/>
              <w:ind w:left="63" w:right="63"/>
              <w:rPr>
                <w:rFonts w:hint="eastAsia" w:ascii="宋体" w:hAnsi="宋体" w:eastAsia="宋体" w:cs="宋体"/>
                <w:color w:val="auto"/>
                <w:kern w:val="2"/>
                <w:sz w:val="28"/>
                <w:szCs w:val="28"/>
                <w:highlight w:val="none"/>
              </w:rPr>
            </w:pPr>
          </w:p>
        </w:tc>
        <w:tc>
          <w:tcPr>
            <w:tcW w:w="1432" w:type="dxa"/>
            <w:vAlign w:val="center"/>
          </w:tcPr>
          <w:p w14:paraId="2E9A46B0">
            <w:pPr>
              <w:pStyle w:val="2"/>
              <w:keepNext/>
              <w:snapToGrid w:val="0"/>
              <w:spacing w:line="240" w:lineRule="auto"/>
              <w:ind w:left="63" w:right="63"/>
              <w:rPr>
                <w:rFonts w:hint="eastAsia" w:ascii="宋体" w:hAnsi="宋体" w:eastAsia="宋体" w:cs="宋体"/>
                <w:color w:val="auto"/>
                <w:kern w:val="2"/>
                <w:sz w:val="28"/>
                <w:szCs w:val="28"/>
                <w:highlight w:val="none"/>
              </w:rPr>
            </w:pPr>
          </w:p>
        </w:tc>
        <w:tc>
          <w:tcPr>
            <w:tcW w:w="1608" w:type="dxa"/>
            <w:vAlign w:val="center"/>
          </w:tcPr>
          <w:p w14:paraId="6D9FF629">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9" w:type="dxa"/>
            <w:vAlign w:val="center"/>
          </w:tcPr>
          <w:p w14:paraId="2A6F92D2">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44" w:type="dxa"/>
            <w:vAlign w:val="center"/>
          </w:tcPr>
          <w:p w14:paraId="57E4E6B9">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34" w:type="dxa"/>
            <w:vAlign w:val="center"/>
          </w:tcPr>
          <w:p w14:paraId="139B49F1">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844" w:type="dxa"/>
            <w:vAlign w:val="center"/>
          </w:tcPr>
          <w:p w14:paraId="108AF56C">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680" w:type="dxa"/>
            <w:vAlign w:val="center"/>
          </w:tcPr>
          <w:p w14:paraId="399A4B99">
            <w:pPr>
              <w:pStyle w:val="2"/>
              <w:keepNext/>
              <w:snapToGrid w:val="0"/>
              <w:spacing w:line="240" w:lineRule="auto"/>
              <w:ind w:left="63" w:right="63"/>
              <w:rPr>
                <w:rFonts w:hint="eastAsia" w:ascii="宋体" w:hAnsi="宋体" w:eastAsia="宋体" w:cs="宋体"/>
                <w:color w:val="auto"/>
                <w:kern w:val="2"/>
                <w:sz w:val="28"/>
                <w:szCs w:val="28"/>
                <w:highlight w:val="none"/>
              </w:rPr>
            </w:pPr>
          </w:p>
        </w:tc>
        <w:tc>
          <w:tcPr>
            <w:tcW w:w="1622" w:type="dxa"/>
            <w:vAlign w:val="center"/>
          </w:tcPr>
          <w:p w14:paraId="5E87EE0B">
            <w:pPr>
              <w:pStyle w:val="2"/>
              <w:keepNext/>
              <w:snapToGrid w:val="0"/>
              <w:spacing w:line="240" w:lineRule="auto"/>
              <w:ind w:left="63" w:right="63"/>
              <w:rPr>
                <w:rFonts w:hint="eastAsia" w:ascii="宋体" w:hAnsi="宋体" w:eastAsia="宋体" w:cs="宋体"/>
                <w:color w:val="auto"/>
                <w:kern w:val="2"/>
                <w:sz w:val="28"/>
                <w:szCs w:val="28"/>
                <w:highlight w:val="none"/>
              </w:rPr>
            </w:pPr>
          </w:p>
        </w:tc>
      </w:tr>
      <w:tr w14:paraId="42A15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1354" w:type="dxa"/>
            <w:vAlign w:val="center"/>
          </w:tcPr>
          <w:p w14:paraId="0520D158">
            <w:pPr>
              <w:pStyle w:val="2"/>
              <w:keepNext/>
              <w:snapToGrid w:val="0"/>
              <w:spacing w:line="240" w:lineRule="auto"/>
              <w:ind w:left="63" w:right="63"/>
              <w:rPr>
                <w:rFonts w:hint="eastAsia" w:ascii="宋体" w:hAnsi="宋体" w:eastAsia="宋体" w:cs="宋体"/>
                <w:color w:val="auto"/>
                <w:kern w:val="2"/>
                <w:sz w:val="28"/>
                <w:szCs w:val="28"/>
                <w:highlight w:val="none"/>
              </w:rPr>
            </w:pPr>
          </w:p>
        </w:tc>
        <w:tc>
          <w:tcPr>
            <w:tcW w:w="2070" w:type="dxa"/>
            <w:vAlign w:val="center"/>
          </w:tcPr>
          <w:p w14:paraId="7E205BE4">
            <w:pPr>
              <w:pStyle w:val="2"/>
              <w:keepNext/>
              <w:snapToGrid w:val="0"/>
              <w:spacing w:line="240" w:lineRule="auto"/>
              <w:ind w:left="63" w:right="63"/>
              <w:rPr>
                <w:rFonts w:hint="eastAsia" w:ascii="宋体" w:hAnsi="宋体" w:eastAsia="宋体" w:cs="宋体"/>
                <w:color w:val="auto"/>
                <w:kern w:val="2"/>
                <w:sz w:val="28"/>
                <w:szCs w:val="28"/>
                <w:highlight w:val="none"/>
              </w:rPr>
            </w:pPr>
          </w:p>
        </w:tc>
        <w:tc>
          <w:tcPr>
            <w:tcW w:w="1432" w:type="dxa"/>
            <w:vAlign w:val="center"/>
          </w:tcPr>
          <w:p w14:paraId="088CDE15">
            <w:pPr>
              <w:pStyle w:val="2"/>
              <w:keepNext/>
              <w:snapToGrid w:val="0"/>
              <w:spacing w:line="240" w:lineRule="auto"/>
              <w:ind w:left="63" w:right="63"/>
              <w:rPr>
                <w:rFonts w:hint="eastAsia" w:ascii="宋体" w:hAnsi="宋体" w:eastAsia="宋体" w:cs="宋体"/>
                <w:color w:val="auto"/>
                <w:kern w:val="2"/>
                <w:sz w:val="28"/>
                <w:szCs w:val="28"/>
                <w:highlight w:val="none"/>
              </w:rPr>
            </w:pPr>
          </w:p>
        </w:tc>
        <w:tc>
          <w:tcPr>
            <w:tcW w:w="1608" w:type="dxa"/>
            <w:vAlign w:val="center"/>
          </w:tcPr>
          <w:p w14:paraId="62620537">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9" w:type="dxa"/>
            <w:vAlign w:val="center"/>
          </w:tcPr>
          <w:p w14:paraId="61D4139D">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44" w:type="dxa"/>
            <w:vAlign w:val="center"/>
          </w:tcPr>
          <w:p w14:paraId="106FD9B8">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34" w:type="dxa"/>
            <w:vAlign w:val="center"/>
          </w:tcPr>
          <w:p w14:paraId="5F4CEAB0">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844" w:type="dxa"/>
            <w:vAlign w:val="center"/>
          </w:tcPr>
          <w:p w14:paraId="1E9242DE">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680" w:type="dxa"/>
            <w:vAlign w:val="center"/>
          </w:tcPr>
          <w:p w14:paraId="7B9C0FC3">
            <w:pPr>
              <w:pStyle w:val="2"/>
              <w:keepNext/>
              <w:snapToGrid w:val="0"/>
              <w:spacing w:line="240" w:lineRule="auto"/>
              <w:ind w:left="63" w:right="63"/>
              <w:rPr>
                <w:rFonts w:hint="eastAsia" w:ascii="宋体" w:hAnsi="宋体" w:eastAsia="宋体" w:cs="宋体"/>
                <w:color w:val="auto"/>
                <w:kern w:val="2"/>
                <w:sz w:val="28"/>
                <w:szCs w:val="28"/>
                <w:highlight w:val="none"/>
              </w:rPr>
            </w:pPr>
          </w:p>
        </w:tc>
        <w:tc>
          <w:tcPr>
            <w:tcW w:w="1622" w:type="dxa"/>
            <w:vAlign w:val="center"/>
          </w:tcPr>
          <w:p w14:paraId="4C54ECB8">
            <w:pPr>
              <w:pStyle w:val="2"/>
              <w:keepNext/>
              <w:snapToGrid w:val="0"/>
              <w:spacing w:line="240" w:lineRule="auto"/>
              <w:ind w:left="63" w:right="63"/>
              <w:rPr>
                <w:rFonts w:hint="eastAsia" w:ascii="宋体" w:hAnsi="宋体" w:eastAsia="宋体" w:cs="宋体"/>
                <w:color w:val="auto"/>
                <w:kern w:val="2"/>
                <w:sz w:val="28"/>
                <w:szCs w:val="28"/>
                <w:highlight w:val="none"/>
              </w:rPr>
            </w:pPr>
          </w:p>
        </w:tc>
      </w:tr>
      <w:tr w14:paraId="105D6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1354" w:type="dxa"/>
            <w:vAlign w:val="center"/>
          </w:tcPr>
          <w:p w14:paraId="3DB90A44">
            <w:pPr>
              <w:pStyle w:val="2"/>
              <w:keepNext/>
              <w:snapToGrid w:val="0"/>
              <w:spacing w:line="240" w:lineRule="auto"/>
              <w:ind w:left="63" w:right="63"/>
              <w:rPr>
                <w:rFonts w:hint="eastAsia" w:ascii="宋体" w:hAnsi="宋体" w:eastAsia="宋体" w:cs="宋体"/>
                <w:color w:val="auto"/>
                <w:kern w:val="2"/>
                <w:sz w:val="28"/>
                <w:szCs w:val="28"/>
                <w:highlight w:val="none"/>
              </w:rPr>
            </w:pPr>
          </w:p>
        </w:tc>
        <w:tc>
          <w:tcPr>
            <w:tcW w:w="2070" w:type="dxa"/>
            <w:vAlign w:val="center"/>
          </w:tcPr>
          <w:p w14:paraId="7EF2CED9">
            <w:pPr>
              <w:pStyle w:val="2"/>
              <w:keepNext/>
              <w:snapToGrid w:val="0"/>
              <w:spacing w:line="240" w:lineRule="auto"/>
              <w:ind w:left="63" w:right="63"/>
              <w:rPr>
                <w:rFonts w:hint="eastAsia" w:ascii="宋体" w:hAnsi="宋体" w:eastAsia="宋体" w:cs="宋体"/>
                <w:color w:val="auto"/>
                <w:kern w:val="2"/>
                <w:sz w:val="28"/>
                <w:szCs w:val="28"/>
                <w:highlight w:val="none"/>
              </w:rPr>
            </w:pPr>
          </w:p>
        </w:tc>
        <w:tc>
          <w:tcPr>
            <w:tcW w:w="1432" w:type="dxa"/>
            <w:vAlign w:val="center"/>
          </w:tcPr>
          <w:p w14:paraId="79AC2D9A">
            <w:pPr>
              <w:pStyle w:val="2"/>
              <w:keepNext/>
              <w:snapToGrid w:val="0"/>
              <w:spacing w:line="240" w:lineRule="auto"/>
              <w:ind w:left="63" w:right="63"/>
              <w:rPr>
                <w:rFonts w:hint="eastAsia" w:ascii="宋体" w:hAnsi="宋体" w:eastAsia="宋体" w:cs="宋体"/>
                <w:color w:val="auto"/>
                <w:kern w:val="2"/>
                <w:sz w:val="28"/>
                <w:szCs w:val="28"/>
                <w:highlight w:val="none"/>
              </w:rPr>
            </w:pPr>
          </w:p>
        </w:tc>
        <w:tc>
          <w:tcPr>
            <w:tcW w:w="1608" w:type="dxa"/>
            <w:vAlign w:val="center"/>
          </w:tcPr>
          <w:p w14:paraId="57D93000">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9" w:type="dxa"/>
            <w:vAlign w:val="center"/>
          </w:tcPr>
          <w:p w14:paraId="6434A769">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44" w:type="dxa"/>
            <w:vAlign w:val="center"/>
          </w:tcPr>
          <w:p w14:paraId="35FFA9E1">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34" w:type="dxa"/>
            <w:vAlign w:val="center"/>
          </w:tcPr>
          <w:p w14:paraId="7A227A74">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844" w:type="dxa"/>
            <w:vAlign w:val="center"/>
          </w:tcPr>
          <w:p w14:paraId="331B2495">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680" w:type="dxa"/>
            <w:vAlign w:val="center"/>
          </w:tcPr>
          <w:p w14:paraId="41E18910">
            <w:pPr>
              <w:pStyle w:val="2"/>
              <w:keepNext/>
              <w:snapToGrid w:val="0"/>
              <w:spacing w:line="240" w:lineRule="auto"/>
              <w:ind w:left="63" w:right="63"/>
              <w:rPr>
                <w:rFonts w:hint="eastAsia" w:ascii="宋体" w:hAnsi="宋体" w:eastAsia="宋体" w:cs="宋体"/>
                <w:color w:val="auto"/>
                <w:kern w:val="2"/>
                <w:sz w:val="28"/>
                <w:szCs w:val="28"/>
                <w:highlight w:val="none"/>
              </w:rPr>
            </w:pPr>
          </w:p>
        </w:tc>
        <w:tc>
          <w:tcPr>
            <w:tcW w:w="1622" w:type="dxa"/>
            <w:vAlign w:val="center"/>
          </w:tcPr>
          <w:p w14:paraId="1C2E6334">
            <w:pPr>
              <w:pStyle w:val="2"/>
              <w:keepNext/>
              <w:snapToGrid w:val="0"/>
              <w:spacing w:line="240" w:lineRule="auto"/>
              <w:ind w:left="63" w:right="63"/>
              <w:rPr>
                <w:rFonts w:hint="eastAsia" w:ascii="宋体" w:hAnsi="宋体" w:eastAsia="宋体" w:cs="宋体"/>
                <w:color w:val="auto"/>
                <w:kern w:val="2"/>
                <w:sz w:val="28"/>
                <w:szCs w:val="28"/>
                <w:highlight w:val="none"/>
              </w:rPr>
            </w:pPr>
          </w:p>
        </w:tc>
      </w:tr>
      <w:tr w14:paraId="42D097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1354" w:type="dxa"/>
            <w:vAlign w:val="center"/>
          </w:tcPr>
          <w:p w14:paraId="7848EB98">
            <w:pPr>
              <w:pStyle w:val="2"/>
              <w:keepNext/>
              <w:snapToGrid w:val="0"/>
              <w:spacing w:line="240" w:lineRule="auto"/>
              <w:ind w:left="63" w:right="63"/>
              <w:rPr>
                <w:rFonts w:hint="eastAsia" w:ascii="宋体" w:hAnsi="宋体" w:eastAsia="宋体" w:cs="宋体"/>
                <w:color w:val="auto"/>
                <w:kern w:val="2"/>
                <w:sz w:val="28"/>
                <w:szCs w:val="28"/>
                <w:highlight w:val="none"/>
              </w:rPr>
            </w:pPr>
          </w:p>
        </w:tc>
        <w:tc>
          <w:tcPr>
            <w:tcW w:w="2070" w:type="dxa"/>
            <w:vAlign w:val="center"/>
          </w:tcPr>
          <w:p w14:paraId="6DF86FF3">
            <w:pPr>
              <w:pStyle w:val="2"/>
              <w:keepNext/>
              <w:snapToGrid w:val="0"/>
              <w:spacing w:line="240" w:lineRule="auto"/>
              <w:ind w:left="63" w:right="63"/>
              <w:rPr>
                <w:rFonts w:hint="eastAsia" w:ascii="宋体" w:hAnsi="宋体" w:eastAsia="宋体" w:cs="宋体"/>
                <w:color w:val="auto"/>
                <w:kern w:val="2"/>
                <w:sz w:val="28"/>
                <w:szCs w:val="28"/>
                <w:highlight w:val="none"/>
              </w:rPr>
            </w:pPr>
          </w:p>
        </w:tc>
        <w:tc>
          <w:tcPr>
            <w:tcW w:w="1432" w:type="dxa"/>
            <w:vAlign w:val="center"/>
          </w:tcPr>
          <w:p w14:paraId="20597CC0">
            <w:pPr>
              <w:pStyle w:val="2"/>
              <w:keepNext/>
              <w:snapToGrid w:val="0"/>
              <w:spacing w:line="240" w:lineRule="auto"/>
              <w:ind w:left="63" w:right="63"/>
              <w:rPr>
                <w:rFonts w:hint="eastAsia" w:ascii="宋体" w:hAnsi="宋体" w:eastAsia="宋体" w:cs="宋体"/>
                <w:color w:val="auto"/>
                <w:kern w:val="2"/>
                <w:sz w:val="28"/>
                <w:szCs w:val="28"/>
                <w:highlight w:val="none"/>
              </w:rPr>
            </w:pPr>
          </w:p>
        </w:tc>
        <w:tc>
          <w:tcPr>
            <w:tcW w:w="1608" w:type="dxa"/>
            <w:vAlign w:val="center"/>
          </w:tcPr>
          <w:p w14:paraId="0EB117D3">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9" w:type="dxa"/>
            <w:vAlign w:val="center"/>
          </w:tcPr>
          <w:p w14:paraId="7AB4833A">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44" w:type="dxa"/>
            <w:vAlign w:val="center"/>
          </w:tcPr>
          <w:p w14:paraId="18BF7887">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34" w:type="dxa"/>
            <w:vAlign w:val="center"/>
          </w:tcPr>
          <w:p w14:paraId="7A7798AD">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844" w:type="dxa"/>
            <w:vAlign w:val="center"/>
          </w:tcPr>
          <w:p w14:paraId="265C3DCC">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680" w:type="dxa"/>
            <w:vAlign w:val="center"/>
          </w:tcPr>
          <w:p w14:paraId="140E0B86">
            <w:pPr>
              <w:pStyle w:val="2"/>
              <w:keepNext/>
              <w:snapToGrid w:val="0"/>
              <w:spacing w:line="240" w:lineRule="auto"/>
              <w:ind w:left="63" w:right="63"/>
              <w:rPr>
                <w:rFonts w:hint="eastAsia" w:ascii="宋体" w:hAnsi="宋体" w:eastAsia="宋体" w:cs="宋体"/>
                <w:color w:val="auto"/>
                <w:kern w:val="2"/>
                <w:sz w:val="28"/>
                <w:szCs w:val="28"/>
                <w:highlight w:val="none"/>
              </w:rPr>
            </w:pPr>
          </w:p>
        </w:tc>
        <w:tc>
          <w:tcPr>
            <w:tcW w:w="1622" w:type="dxa"/>
            <w:vAlign w:val="center"/>
          </w:tcPr>
          <w:p w14:paraId="65A0EA1F">
            <w:pPr>
              <w:pStyle w:val="2"/>
              <w:keepNext/>
              <w:snapToGrid w:val="0"/>
              <w:spacing w:line="240" w:lineRule="auto"/>
              <w:ind w:left="63" w:right="63"/>
              <w:rPr>
                <w:rFonts w:hint="eastAsia" w:ascii="宋体" w:hAnsi="宋体" w:eastAsia="宋体" w:cs="宋体"/>
                <w:color w:val="auto"/>
                <w:kern w:val="2"/>
                <w:sz w:val="28"/>
                <w:szCs w:val="28"/>
                <w:highlight w:val="none"/>
              </w:rPr>
            </w:pPr>
          </w:p>
        </w:tc>
      </w:tr>
    </w:tbl>
    <w:p w14:paraId="285A780D">
      <w:pPr>
        <w:adjustRightInd w:val="0"/>
        <w:snapToGrid w:val="0"/>
        <w:rPr>
          <w:rFonts w:hint="eastAsia" w:ascii="宋体" w:hAnsi="宋体" w:eastAsia="宋体" w:cs="宋体"/>
          <w:color w:val="auto"/>
          <w:sz w:val="30"/>
          <w:szCs w:val="30"/>
          <w:highlight w:val="none"/>
        </w:rPr>
        <w:sectPr>
          <w:pgSz w:w="16838" w:h="11906" w:orient="landscape"/>
          <w:pgMar w:top="1554" w:right="1418" w:bottom="1531" w:left="1418" w:header="851" w:footer="992" w:gutter="0"/>
          <w:pgNumType w:fmt="decimal"/>
          <w:cols w:space="720" w:num="1"/>
          <w:titlePg/>
          <w:docGrid w:type="linesAndChars" w:linePitch="312" w:charSpace="0"/>
        </w:sectPr>
      </w:pPr>
    </w:p>
    <w:p w14:paraId="7941C28D">
      <w:pPr>
        <w:adjustRightInd w:val="0"/>
        <w:snapToGrid w:val="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w:t>
      </w:r>
      <w:bookmarkStart w:id="510" w:name="_Toc296891265"/>
      <w:bookmarkStart w:id="511" w:name="_Toc267261692"/>
      <w:bookmarkStart w:id="512" w:name="_Toc296891053"/>
      <w:bookmarkStart w:id="513" w:name="_Toc296347224"/>
      <w:bookmarkStart w:id="514" w:name="_Toc296944564"/>
      <w:bookmarkStart w:id="515" w:name="_Toc296346726"/>
      <w:bookmarkStart w:id="516" w:name="_Toc296503225"/>
      <w:r>
        <w:rPr>
          <w:rFonts w:hint="eastAsia" w:ascii="宋体" w:hAnsi="宋体" w:eastAsia="宋体" w:cs="宋体"/>
          <w:color w:val="auto"/>
          <w:sz w:val="30"/>
          <w:szCs w:val="30"/>
          <w:highlight w:val="none"/>
        </w:rPr>
        <w:t>件2：</w:t>
      </w:r>
    </w:p>
    <w:bookmarkEnd w:id="510"/>
    <w:bookmarkEnd w:id="511"/>
    <w:bookmarkEnd w:id="512"/>
    <w:bookmarkEnd w:id="513"/>
    <w:bookmarkEnd w:id="514"/>
    <w:bookmarkEnd w:id="515"/>
    <w:bookmarkEnd w:id="516"/>
    <w:p w14:paraId="5FA153A0">
      <w:pPr>
        <w:adjustRightInd w:val="0"/>
        <w:snapToGrid w:val="0"/>
        <w:spacing w:beforeLines="50" w:afterLines="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发包人供应材料设备一览表</w:t>
      </w:r>
    </w:p>
    <w:tbl>
      <w:tblPr>
        <w:tblStyle w:val="25"/>
        <w:tblW w:w="103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112"/>
        <w:gridCol w:w="992"/>
      </w:tblGrid>
      <w:tr w14:paraId="33706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14:paraId="6DBC892D">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序号</w:t>
            </w:r>
          </w:p>
        </w:tc>
        <w:tc>
          <w:tcPr>
            <w:tcW w:w="1276" w:type="dxa"/>
            <w:tcBorders>
              <w:top w:val="single" w:color="auto" w:sz="12" w:space="0"/>
              <w:bottom w:val="double" w:color="auto" w:sz="6" w:space="0"/>
            </w:tcBorders>
            <w:vAlign w:val="center"/>
          </w:tcPr>
          <w:p w14:paraId="1A16FBD3">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 xml:space="preserve">  材料、</w:t>
            </w:r>
          </w:p>
          <w:p w14:paraId="3D26B6A3">
            <w:pPr>
              <w:pStyle w:val="2"/>
              <w:keepNext/>
              <w:snapToGrid w:val="0"/>
              <w:spacing w:line="240" w:lineRule="auto"/>
              <w:ind w:left="0" w:leftChars="0" w:right="63"/>
              <w:jc w:val="both"/>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设备品种</w:t>
            </w:r>
          </w:p>
        </w:tc>
        <w:tc>
          <w:tcPr>
            <w:tcW w:w="1418" w:type="dxa"/>
            <w:tcBorders>
              <w:top w:val="single" w:color="auto" w:sz="12" w:space="0"/>
              <w:bottom w:val="double" w:color="auto" w:sz="6" w:space="0"/>
            </w:tcBorders>
            <w:vAlign w:val="center"/>
          </w:tcPr>
          <w:p w14:paraId="46CA6547">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规格型号</w:t>
            </w:r>
          </w:p>
        </w:tc>
        <w:tc>
          <w:tcPr>
            <w:tcW w:w="940" w:type="dxa"/>
            <w:tcBorders>
              <w:top w:val="single" w:color="auto" w:sz="12" w:space="0"/>
              <w:bottom w:val="double" w:color="auto" w:sz="6" w:space="0"/>
            </w:tcBorders>
            <w:vAlign w:val="center"/>
          </w:tcPr>
          <w:p w14:paraId="2BB96012">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单位</w:t>
            </w:r>
          </w:p>
        </w:tc>
        <w:tc>
          <w:tcPr>
            <w:tcW w:w="851" w:type="dxa"/>
            <w:tcBorders>
              <w:top w:val="single" w:color="auto" w:sz="12" w:space="0"/>
              <w:bottom w:val="double" w:color="auto" w:sz="6" w:space="0"/>
            </w:tcBorders>
            <w:vAlign w:val="center"/>
          </w:tcPr>
          <w:p w14:paraId="590EF947">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数量</w:t>
            </w:r>
          </w:p>
        </w:tc>
        <w:tc>
          <w:tcPr>
            <w:tcW w:w="1044" w:type="dxa"/>
            <w:tcBorders>
              <w:top w:val="single" w:color="auto" w:sz="12" w:space="0"/>
              <w:bottom w:val="double" w:color="auto" w:sz="6" w:space="0"/>
            </w:tcBorders>
            <w:vAlign w:val="center"/>
          </w:tcPr>
          <w:p w14:paraId="365D5333">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单价（元）</w:t>
            </w:r>
          </w:p>
        </w:tc>
        <w:tc>
          <w:tcPr>
            <w:tcW w:w="992" w:type="dxa"/>
            <w:tcBorders>
              <w:top w:val="single" w:color="auto" w:sz="12" w:space="0"/>
              <w:bottom w:val="double" w:color="auto" w:sz="6" w:space="0"/>
            </w:tcBorders>
            <w:vAlign w:val="center"/>
          </w:tcPr>
          <w:p w14:paraId="5D977721">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质量等级</w:t>
            </w:r>
          </w:p>
        </w:tc>
        <w:tc>
          <w:tcPr>
            <w:tcW w:w="851" w:type="dxa"/>
            <w:tcBorders>
              <w:top w:val="single" w:color="auto" w:sz="12" w:space="0"/>
              <w:bottom w:val="double" w:color="auto" w:sz="6" w:space="0"/>
            </w:tcBorders>
            <w:vAlign w:val="center"/>
          </w:tcPr>
          <w:p w14:paraId="1F28D514">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供应时间</w:t>
            </w:r>
          </w:p>
        </w:tc>
        <w:tc>
          <w:tcPr>
            <w:tcW w:w="1112" w:type="dxa"/>
            <w:tcBorders>
              <w:top w:val="single" w:color="auto" w:sz="12" w:space="0"/>
              <w:bottom w:val="double" w:color="auto" w:sz="6" w:space="0"/>
            </w:tcBorders>
            <w:vAlign w:val="center"/>
          </w:tcPr>
          <w:p w14:paraId="15382755">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送达</w:t>
            </w:r>
          </w:p>
          <w:p w14:paraId="5E072A61">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地点</w:t>
            </w:r>
          </w:p>
        </w:tc>
        <w:tc>
          <w:tcPr>
            <w:tcW w:w="992" w:type="dxa"/>
            <w:tcBorders>
              <w:top w:val="single" w:color="auto" w:sz="12" w:space="0"/>
              <w:bottom w:val="double" w:color="auto" w:sz="6" w:space="0"/>
            </w:tcBorders>
            <w:vAlign w:val="center"/>
          </w:tcPr>
          <w:p w14:paraId="46CE5904">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备注</w:t>
            </w:r>
          </w:p>
        </w:tc>
      </w:tr>
      <w:tr w14:paraId="1AB92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14:paraId="14E00D74">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276" w:type="dxa"/>
            <w:tcBorders>
              <w:top w:val="double" w:color="auto" w:sz="6" w:space="0"/>
              <w:bottom w:val="single" w:color="auto" w:sz="6" w:space="0"/>
            </w:tcBorders>
            <w:vAlign w:val="center"/>
          </w:tcPr>
          <w:p w14:paraId="690467A2">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18" w:type="dxa"/>
            <w:tcBorders>
              <w:top w:val="double" w:color="auto" w:sz="6" w:space="0"/>
              <w:bottom w:val="single" w:color="auto" w:sz="6" w:space="0"/>
            </w:tcBorders>
            <w:vAlign w:val="center"/>
          </w:tcPr>
          <w:p w14:paraId="3A7376A7">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40" w:type="dxa"/>
            <w:tcBorders>
              <w:top w:val="double" w:color="auto" w:sz="6" w:space="0"/>
              <w:bottom w:val="single" w:color="auto" w:sz="6" w:space="0"/>
            </w:tcBorders>
            <w:vAlign w:val="center"/>
          </w:tcPr>
          <w:p w14:paraId="7022B5D4">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1" w:type="dxa"/>
            <w:tcBorders>
              <w:top w:val="double" w:color="auto" w:sz="6" w:space="0"/>
              <w:bottom w:val="single" w:color="auto" w:sz="6" w:space="0"/>
            </w:tcBorders>
            <w:vAlign w:val="center"/>
          </w:tcPr>
          <w:p w14:paraId="53A975EF">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44" w:type="dxa"/>
            <w:tcBorders>
              <w:top w:val="double" w:color="auto" w:sz="6" w:space="0"/>
              <w:bottom w:val="single" w:color="auto" w:sz="6" w:space="0"/>
            </w:tcBorders>
            <w:vAlign w:val="center"/>
          </w:tcPr>
          <w:p w14:paraId="42084B01">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92" w:type="dxa"/>
            <w:tcBorders>
              <w:top w:val="double" w:color="auto" w:sz="6" w:space="0"/>
              <w:bottom w:val="single" w:color="auto" w:sz="6" w:space="0"/>
            </w:tcBorders>
            <w:vAlign w:val="center"/>
          </w:tcPr>
          <w:p w14:paraId="7A29AB35">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1" w:type="dxa"/>
            <w:tcBorders>
              <w:top w:val="double" w:color="auto" w:sz="6" w:space="0"/>
              <w:bottom w:val="single" w:color="auto" w:sz="6" w:space="0"/>
            </w:tcBorders>
            <w:vAlign w:val="center"/>
          </w:tcPr>
          <w:p w14:paraId="74177BA0">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12" w:type="dxa"/>
            <w:tcBorders>
              <w:top w:val="double" w:color="auto" w:sz="6" w:space="0"/>
              <w:bottom w:val="single" w:color="auto" w:sz="6" w:space="0"/>
            </w:tcBorders>
            <w:vAlign w:val="center"/>
          </w:tcPr>
          <w:p w14:paraId="2379AC99">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92" w:type="dxa"/>
            <w:tcBorders>
              <w:top w:val="double" w:color="auto" w:sz="6" w:space="0"/>
              <w:bottom w:val="single" w:color="auto" w:sz="6" w:space="0"/>
            </w:tcBorders>
            <w:vAlign w:val="center"/>
          </w:tcPr>
          <w:p w14:paraId="79A3E42A">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7B68BC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14:paraId="2017E209">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276" w:type="dxa"/>
            <w:tcBorders>
              <w:top w:val="nil"/>
            </w:tcBorders>
            <w:vAlign w:val="center"/>
          </w:tcPr>
          <w:p w14:paraId="28465304">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18" w:type="dxa"/>
            <w:tcBorders>
              <w:top w:val="nil"/>
            </w:tcBorders>
            <w:vAlign w:val="center"/>
          </w:tcPr>
          <w:p w14:paraId="6A549921">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40" w:type="dxa"/>
            <w:tcBorders>
              <w:top w:val="nil"/>
            </w:tcBorders>
            <w:vAlign w:val="center"/>
          </w:tcPr>
          <w:p w14:paraId="7F385C2A">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1" w:type="dxa"/>
            <w:tcBorders>
              <w:top w:val="nil"/>
            </w:tcBorders>
            <w:vAlign w:val="center"/>
          </w:tcPr>
          <w:p w14:paraId="558C848B">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44" w:type="dxa"/>
            <w:tcBorders>
              <w:top w:val="nil"/>
            </w:tcBorders>
            <w:vAlign w:val="center"/>
          </w:tcPr>
          <w:p w14:paraId="587E962D">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92" w:type="dxa"/>
            <w:tcBorders>
              <w:top w:val="nil"/>
            </w:tcBorders>
            <w:vAlign w:val="center"/>
          </w:tcPr>
          <w:p w14:paraId="6BA6EC7D">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1" w:type="dxa"/>
            <w:tcBorders>
              <w:top w:val="nil"/>
            </w:tcBorders>
            <w:vAlign w:val="center"/>
          </w:tcPr>
          <w:p w14:paraId="4EC795C1">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12" w:type="dxa"/>
            <w:tcBorders>
              <w:top w:val="nil"/>
            </w:tcBorders>
            <w:vAlign w:val="center"/>
          </w:tcPr>
          <w:p w14:paraId="083CEE57">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92" w:type="dxa"/>
            <w:tcBorders>
              <w:top w:val="nil"/>
            </w:tcBorders>
            <w:vAlign w:val="center"/>
          </w:tcPr>
          <w:p w14:paraId="554BF1A0">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3A27A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D847DA0">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276" w:type="dxa"/>
            <w:vAlign w:val="center"/>
          </w:tcPr>
          <w:p w14:paraId="0C355CDC">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18" w:type="dxa"/>
            <w:vAlign w:val="center"/>
          </w:tcPr>
          <w:p w14:paraId="04E8C89D">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40" w:type="dxa"/>
            <w:vAlign w:val="center"/>
          </w:tcPr>
          <w:p w14:paraId="0DC87DA5">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1" w:type="dxa"/>
            <w:vAlign w:val="center"/>
          </w:tcPr>
          <w:p w14:paraId="1205F634">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44" w:type="dxa"/>
            <w:vAlign w:val="center"/>
          </w:tcPr>
          <w:p w14:paraId="614515C6">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92" w:type="dxa"/>
            <w:vAlign w:val="center"/>
          </w:tcPr>
          <w:p w14:paraId="207E3788">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1" w:type="dxa"/>
            <w:vAlign w:val="center"/>
          </w:tcPr>
          <w:p w14:paraId="138B8CED">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12" w:type="dxa"/>
            <w:vAlign w:val="center"/>
          </w:tcPr>
          <w:p w14:paraId="7FFF4ECD">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92" w:type="dxa"/>
            <w:vAlign w:val="center"/>
          </w:tcPr>
          <w:p w14:paraId="71D485BA">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1C28F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5D5BC49">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276" w:type="dxa"/>
            <w:vAlign w:val="center"/>
          </w:tcPr>
          <w:p w14:paraId="607B76E9">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18" w:type="dxa"/>
            <w:vAlign w:val="center"/>
          </w:tcPr>
          <w:p w14:paraId="604AA9AD">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40" w:type="dxa"/>
            <w:vAlign w:val="center"/>
          </w:tcPr>
          <w:p w14:paraId="058D9EDB">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1" w:type="dxa"/>
            <w:vAlign w:val="center"/>
          </w:tcPr>
          <w:p w14:paraId="6FA750C6">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44" w:type="dxa"/>
            <w:vAlign w:val="center"/>
          </w:tcPr>
          <w:p w14:paraId="563C0A96">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92" w:type="dxa"/>
            <w:vAlign w:val="center"/>
          </w:tcPr>
          <w:p w14:paraId="4D3DB7D7">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1" w:type="dxa"/>
            <w:vAlign w:val="center"/>
          </w:tcPr>
          <w:p w14:paraId="3BFD205B">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12" w:type="dxa"/>
            <w:vAlign w:val="center"/>
          </w:tcPr>
          <w:p w14:paraId="151BA24A">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92" w:type="dxa"/>
            <w:vAlign w:val="center"/>
          </w:tcPr>
          <w:p w14:paraId="02D17CC9">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4F722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7E0DE8F">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276" w:type="dxa"/>
            <w:vAlign w:val="center"/>
          </w:tcPr>
          <w:p w14:paraId="1635A058">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18" w:type="dxa"/>
            <w:vAlign w:val="center"/>
          </w:tcPr>
          <w:p w14:paraId="33D5C55B">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40" w:type="dxa"/>
            <w:vAlign w:val="center"/>
          </w:tcPr>
          <w:p w14:paraId="622B34D8">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1" w:type="dxa"/>
            <w:vAlign w:val="center"/>
          </w:tcPr>
          <w:p w14:paraId="67068A54">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44" w:type="dxa"/>
            <w:vAlign w:val="center"/>
          </w:tcPr>
          <w:p w14:paraId="48E157F0">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92" w:type="dxa"/>
            <w:vAlign w:val="center"/>
          </w:tcPr>
          <w:p w14:paraId="1D393029">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1" w:type="dxa"/>
            <w:vAlign w:val="center"/>
          </w:tcPr>
          <w:p w14:paraId="71C1CF1C">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12" w:type="dxa"/>
            <w:vAlign w:val="center"/>
          </w:tcPr>
          <w:p w14:paraId="404CBBE3">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92" w:type="dxa"/>
            <w:vAlign w:val="center"/>
          </w:tcPr>
          <w:p w14:paraId="396FE4F3">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1E52E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81FC14E">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276" w:type="dxa"/>
            <w:vAlign w:val="center"/>
          </w:tcPr>
          <w:p w14:paraId="14C52509">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18" w:type="dxa"/>
            <w:vAlign w:val="center"/>
          </w:tcPr>
          <w:p w14:paraId="000DA46F">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40" w:type="dxa"/>
            <w:vAlign w:val="center"/>
          </w:tcPr>
          <w:p w14:paraId="307B8904">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1" w:type="dxa"/>
            <w:vAlign w:val="center"/>
          </w:tcPr>
          <w:p w14:paraId="6358E2F3">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44" w:type="dxa"/>
            <w:vAlign w:val="center"/>
          </w:tcPr>
          <w:p w14:paraId="63F97904">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92" w:type="dxa"/>
            <w:vAlign w:val="center"/>
          </w:tcPr>
          <w:p w14:paraId="16201FD6">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1" w:type="dxa"/>
            <w:vAlign w:val="center"/>
          </w:tcPr>
          <w:p w14:paraId="56406959">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12" w:type="dxa"/>
            <w:vAlign w:val="center"/>
          </w:tcPr>
          <w:p w14:paraId="2E220D39">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92" w:type="dxa"/>
            <w:vAlign w:val="center"/>
          </w:tcPr>
          <w:p w14:paraId="1D4188B8">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6D1A0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07AF3F7">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276" w:type="dxa"/>
            <w:vAlign w:val="center"/>
          </w:tcPr>
          <w:p w14:paraId="5ACCD1CC">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18" w:type="dxa"/>
            <w:vAlign w:val="center"/>
          </w:tcPr>
          <w:p w14:paraId="7F8969E4">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40" w:type="dxa"/>
            <w:vAlign w:val="center"/>
          </w:tcPr>
          <w:p w14:paraId="08076550">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1" w:type="dxa"/>
            <w:vAlign w:val="center"/>
          </w:tcPr>
          <w:p w14:paraId="2ED24C04">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44" w:type="dxa"/>
            <w:vAlign w:val="center"/>
          </w:tcPr>
          <w:p w14:paraId="65D4E29B">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92" w:type="dxa"/>
            <w:vAlign w:val="center"/>
          </w:tcPr>
          <w:p w14:paraId="3C6F0393">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1" w:type="dxa"/>
            <w:vAlign w:val="center"/>
          </w:tcPr>
          <w:p w14:paraId="4E70B5A7">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12" w:type="dxa"/>
            <w:vAlign w:val="center"/>
          </w:tcPr>
          <w:p w14:paraId="228018FE">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92" w:type="dxa"/>
            <w:vAlign w:val="center"/>
          </w:tcPr>
          <w:p w14:paraId="4F584487">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79DE7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269679C">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276" w:type="dxa"/>
            <w:vAlign w:val="center"/>
          </w:tcPr>
          <w:p w14:paraId="52FEBCC9">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18" w:type="dxa"/>
            <w:vAlign w:val="center"/>
          </w:tcPr>
          <w:p w14:paraId="31FC625F">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40" w:type="dxa"/>
            <w:vAlign w:val="center"/>
          </w:tcPr>
          <w:p w14:paraId="390F6883">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1" w:type="dxa"/>
            <w:vAlign w:val="center"/>
          </w:tcPr>
          <w:p w14:paraId="7A0DED26">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44" w:type="dxa"/>
            <w:vAlign w:val="center"/>
          </w:tcPr>
          <w:p w14:paraId="05572D6A">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92" w:type="dxa"/>
            <w:vAlign w:val="center"/>
          </w:tcPr>
          <w:p w14:paraId="16F2B467">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1" w:type="dxa"/>
            <w:vAlign w:val="center"/>
          </w:tcPr>
          <w:p w14:paraId="79D3EF06">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12" w:type="dxa"/>
            <w:vAlign w:val="center"/>
          </w:tcPr>
          <w:p w14:paraId="2511ED93">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92" w:type="dxa"/>
            <w:vAlign w:val="center"/>
          </w:tcPr>
          <w:p w14:paraId="5E197A45">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57965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18231E4">
            <w:pPr>
              <w:adjustRightInd w:val="0"/>
              <w:snapToGrid w:val="0"/>
              <w:jc w:val="center"/>
              <w:rPr>
                <w:rFonts w:hint="eastAsia" w:ascii="宋体" w:hAnsi="宋体" w:eastAsia="宋体" w:cs="宋体"/>
                <w:color w:val="auto"/>
                <w:sz w:val="30"/>
                <w:szCs w:val="30"/>
                <w:highlight w:val="none"/>
              </w:rPr>
            </w:pPr>
          </w:p>
        </w:tc>
        <w:tc>
          <w:tcPr>
            <w:tcW w:w="1276" w:type="dxa"/>
            <w:vAlign w:val="center"/>
          </w:tcPr>
          <w:p w14:paraId="2BA50BC3">
            <w:pPr>
              <w:adjustRightInd w:val="0"/>
              <w:snapToGrid w:val="0"/>
              <w:jc w:val="center"/>
              <w:rPr>
                <w:rFonts w:hint="eastAsia" w:ascii="宋体" w:hAnsi="宋体" w:eastAsia="宋体" w:cs="宋体"/>
                <w:color w:val="auto"/>
                <w:sz w:val="30"/>
                <w:szCs w:val="30"/>
                <w:highlight w:val="none"/>
              </w:rPr>
            </w:pPr>
          </w:p>
        </w:tc>
        <w:tc>
          <w:tcPr>
            <w:tcW w:w="1418" w:type="dxa"/>
            <w:vAlign w:val="center"/>
          </w:tcPr>
          <w:p w14:paraId="2159DE17">
            <w:pPr>
              <w:adjustRightInd w:val="0"/>
              <w:snapToGrid w:val="0"/>
              <w:jc w:val="center"/>
              <w:rPr>
                <w:rFonts w:hint="eastAsia" w:ascii="宋体" w:hAnsi="宋体" w:eastAsia="宋体" w:cs="宋体"/>
                <w:color w:val="auto"/>
                <w:sz w:val="30"/>
                <w:szCs w:val="30"/>
                <w:highlight w:val="none"/>
              </w:rPr>
            </w:pPr>
          </w:p>
        </w:tc>
        <w:tc>
          <w:tcPr>
            <w:tcW w:w="940" w:type="dxa"/>
            <w:vAlign w:val="center"/>
          </w:tcPr>
          <w:p w14:paraId="675B81ED">
            <w:pPr>
              <w:adjustRightInd w:val="0"/>
              <w:snapToGrid w:val="0"/>
              <w:jc w:val="center"/>
              <w:rPr>
                <w:rFonts w:hint="eastAsia" w:ascii="宋体" w:hAnsi="宋体" w:eastAsia="宋体" w:cs="宋体"/>
                <w:color w:val="auto"/>
                <w:sz w:val="30"/>
                <w:szCs w:val="30"/>
                <w:highlight w:val="none"/>
              </w:rPr>
            </w:pPr>
          </w:p>
        </w:tc>
        <w:tc>
          <w:tcPr>
            <w:tcW w:w="851" w:type="dxa"/>
            <w:vAlign w:val="center"/>
          </w:tcPr>
          <w:p w14:paraId="26A8A8E9">
            <w:pPr>
              <w:adjustRightInd w:val="0"/>
              <w:snapToGrid w:val="0"/>
              <w:jc w:val="center"/>
              <w:rPr>
                <w:rFonts w:hint="eastAsia" w:ascii="宋体" w:hAnsi="宋体" w:eastAsia="宋体" w:cs="宋体"/>
                <w:color w:val="auto"/>
                <w:sz w:val="30"/>
                <w:szCs w:val="30"/>
                <w:highlight w:val="none"/>
              </w:rPr>
            </w:pPr>
          </w:p>
        </w:tc>
        <w:tc>
          <w:tcPr>
            <w:tcW w:w="1044" w:type="dxa"/>
            <w:vAlign w:val="center"/>
          </w:tcPr>
          <w:p w14:paraId="660E8BC8">
            <w:pPr>
              <w:adjustRightInd w:val="0"/>
              <w:snapToGrid w:val="0"/>
              <w:jc w:val="center"/>
              <w:rPr>
                <w:rFonts w:hint="eastAsia" w:ascii="宋体" w:hAnsi="宋体" w:eastAsia="宋体" w:cs="宋体"/>
                <w:color w:val="auto"/>
                <w:sz w:val="30"/>
                <w:szCs w:val="30"/>
                <w:highlight w:val="none"/>
              </w:rPr>
            </w:pPr>
          </w:p>
        </w:tc>
        <w:tc>
          <w:tcPr>
            <w:tcW w:w="992" w:type="dxa"/>
            <w:vAlign w:val="center"/>
          </w:tcPr>
          <w:p w14:paraId="3C92B741">
            <w:pPr>
              <w:adjustRightInd w:val="0"/>
              <w:snapToGrid w:val="0"/>
              <w:jc w:val="center"/>
              <w:rPr>
                <w:rFonts w:hint="eastAsia" w:ascii="宋体" w:hAnsi="宋体" w:eastAsia="宋体" w:cs="宋体"/>
                <w:color w:val="auto"/>
                <w:sz w:val="30"/>
                <w:szCs w:val="30"/>
                <w:highlight w:val="none"/>
              </w:rPr>
            </w:pPr>
          </w:p>
        </w:tc>
        <w:tc>
          <w:tcPr>
            <w:tcW w:w="851" w:type="dxa"/>
            <w:vAlign w:val="center"/>
          </w:tcPr>
          <w:p w14:paraId="1DA0B0B4">
            <w:pPr>
              <w:adjustRightInd w:val="0"/>
              <w:snapToGrid w:val="0"/>
              <w:jc w:val="center"/>
              <w:rPr>
                <w:rFonts w:hint="eastAsia" w:ascii="宋体" w:hAnsi="宋体" w:eastAsia="宋体" w:cs="宋体"/>
                <w:color w:val="auto"/>
                <w:sz w:val="30"/>
                <w:szCs w:val="30"/>
                <w:highlight w:val="none"/>
              </w:rPr>
            </w:pPr>
          </w:p>
        </w:tc>
        <w:tc>
          <w:tcPr>
            <w:tcW w:w="1112" w:type="dxa"/>
            <w:vAlign w:val="center"/>
          </w:tcPr>
          <w:p w14:paraId="3D40656B">
            <w:pPr>
              <w:adjustRightInd w:val="0"/>
              <w:snapToGrid w:val="0"/>
              <w:jc w:val="center"/>
              <w:rPr>
                <w:rFonts w:hint="eastAsia" w:ascii="宋体" w:hAnsi="宋体" w:eastAsia="宋体" w:cs="宋体"/>
                <w:color w:val="auto"/>
                <w:sz w:val="30"/>
                <w:szCs w:val="30"/>
                <w:highlight w:val="none"/>
              </w:rPr>
            </w:pPr>
          </w:p>
        </w:tc>
        <w:tc>
          <w:tcPr>
            <w:tcW w:w="992" w:type="dxa"/>
            <w:vAlign w:val="center"/>
          </w:tcPr>
          <w:p w14:paraId="40CBC8C9">
            <w:pPr>
              <w:adjustRightInd w:val="0"/>
              <w:snapToGrid w:val="0"/>
              <w:jc w:val="center"/>
              <w:rPr>
                <w:rFonts w:hint="eastAsia" w:ascii="宋体" w:hAnsi="宋体" w:eastAsia="宋体" w:cs="宋体"/>
                <w:color w:val="auto"/>
                <w:sz w:val="30"/>
                <w:szCs w:val="30"/>
                <w:highlight w:val="none"/>
              </w:rPr>
            </w:pPr>
          </w:p>
        </w:tc>
      </w:tr>
      <w:tr w14:paraId="328DC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B82CDC8">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276" w:type="dxa"/>
            <w:vAlign w:val="center"/>
          </w:tcPr>
          <w:p w14:paraId="1DC9D23C">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18" w:type="dxa"/>
            <w:vAlign w:val="center"/>
          </w:tcPr>
          <w:p w14:paraId="45CA3A10">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40" w:type="dxa"/>
            <w:vAlign w:val="center"/>
          </w:tcPr>
          <w:p w14:paraId="45A4EAF8">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1" w:type="dxa"/>
            <w:vAlign w:val="center"/>
          </w:tcPr>
          <w:p w14:paraId="3855471C">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44" w:type="dxa"/>
            <w:vAlign w:val="center"/>
          </w:tcPr>
          <w:p w14:paraId="414073DF">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92" w:type="dxa"/>
            <w:vAlign w:val="center"/>
          </w:tcPr>
          <w:p w14:paraId="1D61B1D7">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1" w:type="dxa"/>
            <w:vAlign w:val="center"/>
          </w:tcPr>
          <w:p w14:paraId="79DC3E63">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12" w:type="dxa"/>
            <w:vAlign w:val="center"/>
          </w:tcPr>
          <w:p w14:paraId="243A68AB">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92" w:type="dxa"/>
            <w:vAlign w:val="center"/>
          </w:tcPr>
          <w:p w14:paraId="64E30DFC">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7A8B3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4326653">
            <w:pPr>
              <w:adjustRightInd w:val="0"/>
              <w:snapToGrid w:val="0"/>
              <w:jc w:val="center"/>
              <w:rPr>
                <w:rFonts w:hint="eastAsia" w:ascii="宋体" w:hAnsi="宋体" w:eastAsia="宋体" w:cs="宋体"/>
                <w:color w:val="auto"/>
                <w:sz w:val="30"/>
                <w:szCs w:val="30"/>
                <w:highlight w:val="none"/>
              </w:rPr>
            </w:pPr>
          </w:p>
        </w:tc>
        <w:tc>
          <w:tcPr>
            <w:tcW w:w="1276" w:type="dxa"/>
            <w:vAlign w:val="center"/>
          </w:tcPr>
          <w:p w14:paraId="61407DB1">
            <w:pPr>
              <w:adjustRightInd w:val="0"/>
              <w:snapToGrid w:val="0"/>
              <w:jc w:val="center"/>
              <w:rPr>
                <w:rFonts w:hint="eastAsia" w:ascii="宋体" w:hAnsi="宋体" w:eastAsia="宋体" w:cs="宋体"/>
                <w:color w:val="auto"/>
                <w:sz w:val="30"/>
                <w:szCs w:val="30"/>
                <w:highlight w:val="none"/>
              </w:rPr>
            </w:pPr>
          </w:p>
        </w:tc>
        <w:tc>
          <w:tcPr>
            <w:tcW w:w="1418" w:type="dxa"/>
            <w:vAlign w:val="center"/>
          </w:tcPr>
          <w:p w14:paraId="177DC96D">
            <w:pPr>
              <w:adjustRightInd w:val="0"/>
              <w:snapToGrid w:val="0"/>
              <w:jc w:val="center"/>
              <w:rPr>
                <w:rFonts w:hint="eastAsia" w:ascii="宋体" w:hAnsi="宋体" w:eastAsia="宋体" w:cs="宋体"/>
                <w:color w:val="auto"/>
                <w:sz w:val="30"/>
                <w:szCs w:val="30"/>
                <w:highlight w:val="none"/>
              </w:rPr>
            </w:pPr>
          </w:p>
        </w:tc>
        <w:tc>
          <w:tcPr>
            <w:tcW w:w="940" w:type="dxa"/>
            <w:vAlign w:val="center"/>
          </w:tcPr>
          <w:p w14:paraId="64BD77E3">
            <w:pPr>
              <w:adjustRightInd w:val="0"/>
              <w:snapToGrid w:val="0"/>
              <w:jc w:val="center"/>
              <w:rPr>
                <w:rFonts w:hint="eastAsia" w:ascii="宋体" w:hAnsi="宋体" w:eastAsia="宋体" w:cs="宋体"/>
                <w:color w:val="auto"/>
                <w:sz w:val="30"/>
                <w:szCs w:val="30"/>
                <w:highlight w:val="none"/>
              </w:rPr>
            </w:pPr>
          </w:p>
        </w:tc>
        <w:tc>
          <w:tcPr>
            <w:tcW w:w="851" w:type="dxa"/>
            <w:vAlign w:val="center"/>
          </w:tcPr>
          <w:p w14:paraId="5694625F">
            <w:pPr>
              <w:adjustRightInd w:val="0"/>
              <w:snapToGrid w:val="0"/>
              <w:jc w:val="center"/>
              <w:rPr>
                <w:rFonts w:hint="eastAsia" w:ascii="宋体" w:hAnsi="宋体" w:eastAsia="宋体" w:cs="宋体"/>
                <w:color w:val="auto"/>
                <w:sz w:val="30"/>
                <w:szCs w:val="30"/>
                <w:highlight w:val="none"/>
              </w:rPr>
            </w:pPr>
          </w:p>
        </w:tc>
        <w:tc>
          <w:tcPr>
            <w:tcW w:w="1044" w:type="dxa"/>
            <w:vAlign w:val="center"/>
          </w:tcPr>
          <w:p w14:paraId="7AD2CB59">
            <w:pPr>
              <w:adjustRightInd w:val="0"/>
              <w:snapToGrid w:val="0"/>
              <w:jc w:val="center"/>
              <w:rPr>
                <w:rFonts w:hint="eastAsia" w:ascii="宋体" w:hAnsi="宋体" w:eastAsia="宋体" w:cs="宋体"/>
                <w:color w:val="auto"/>
                <w:sz w:val="30"/>
                <w:szCs w:val="30"/>
                <w:highlight w:val="none"/>
              </w:rPr>
            </w:pPr>
          </w:p>
        </w:tc>
        <w:tc>
          <w:tcPr>
            <w:tcW w:w="992" w:type="dxa"/>
            <w:vAlign w:val="center"/>
          </w:tcPr>
          <w:p w14:paraId="3AB6B939">
            <w:pPr>
              <w:adjustRightInd w:val="0"/>
              <w:snapToGrid w:val="0"/>
              <w:jc w:val="center"/>
              <w:rPr>
                <w:rFonts w:hint="eastAsia" w:ascii="宋体" w:hAnsi="宋体" w:eastAsia="宋体" w:cs="宋体"/>
                <w:color w:val="auto"/>
                <w:sz w:val="30"/>
                <w:szCs w:val="30"/>
                <w:highlight w:val="none"/>
              </w:rPr>
            </w:pPr>
          </w:p>
        </w:tc>
        <w:tc>
          <w:tcPr>
            <w:tcW w:w="851" w:type="dxa"/>
            <w:vAlign w:val="center"/>
          </w:tcPr>
          <w:p w14:paraId="5C413F1B">
            <w:pPr>
              <w:adjustRightInd w:val="0"/>
              <w:snapToGrid w:val="0"/>
              <w:jc w:val="center"/>
              <w:rPr>
                <w:rFonts w:hint="eastAsia" w:ascii="宋体" w:hAnsi="宋体" w:eastAsia="宋体" w:cs="宋体"/>
                <w:color w:val="auto"/>
                <w:sz w:val="30"/>
                <w:szCs w:val="30"/>
                <w:highlight w:val="none"/>
              </w:rPr>
            </w:pPr>
          </w:p>
        </w:tc>
        <w:tc>
          <w:tcPr>
            <w:tcW w:w="1112" w:type="dxa"/>
            <w:vAlign w:val="center"/>
          </w:tcPr>
          <w:p w14:paraId="6ECECDAD">
            <w:pPr>
              <w:adjustRightInd w:val="0"/>
              <w:snapToGrid w:val="0"/>
              <w:jc w:val="center"/>
              <w:rPr>
                <w:rFonts w:hint="eastAsia" w:ascii="宋体" w:hAnsi="宋体" w:eastAsia="宋体" w:cs="宋体"/>
                <w:color w:val="auto"/>
                <w:sz w:val="30"/>
                <w:szCs w:val="30"/>
                <w:highlight w:val="none"/>
              </w:rPr>
            </w:pPr>
          </w:p>
        </w:tc>
        <w:tc>
          <w:tcPr>
            <w:tcW w:w="992" w:type="dxa"/>
            <w:vAlign w:val="center"/>
          </w:tcPr>
          <w:p w14:paraId="5B318F8E">
            <w:pPr>
              <w:adjustRightInd w:val="0"/>
              <w:snapToGrid w:val="0"/>
              <w:jc w:val="center"/>
              <w:rPr>
                <w:rFonts w:hint="eastAsia" w:ascii="宋体" w:hAnsi="宋体" w:eastAsia="宋体" w:cs="宋体"/>
                <w:color w:val="auto"/>
                <w:sz w:val="30"/>
                <w:szCs w:val="30"/>
                <w:highlight w:val="none"/>
              </w:rPr>
            </w:pPr>
          </w:p>
        </w:tc>
      </w:tr>
      <w:tr w14:paraId="3E90F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3695677">
            <w:pPr>
              <w:adjustRightInd w:val="0"/>
              <w:snapToGrid w:val="0"/>
              <w:jc w:val="center"/>
              <w:rPr>
                <w:rFonts w:hint="eastAsia" w:ascii="宋体" w:hAnsi="宋体" w:eastAsia="宋体" w:cs="宋体"/>
                <w:color w:val="auto"/>
                <w:sz w:val="30"/>
                <w:szCs w:val="30"/>
                <w:highlight w:val="none"/>
              </w:rPr>
            </w:pPr>
          </w:p>
        </w:tc>
        <w:tc>
          <w:tcPr>
            <w:tcW w:w="1276" w:type="dxa"/>
            <w:vAlign w:val="center"/>
          </w:tcPr>
          <w:p w14:paraId="191D4F81">
            <w:pPr>
              <w:adjustRightInd w:val="0"/>
              <w:snapToGrid w:val="0"/>
              <w:jc w:val="center"/>
              <w:rPr>
                <w:rFonts w:hint="eastAsia" w:ascii="宋体" w:hAnsi="宋体" w:eastAsia="宋体" w:cs="宋体"/>
                <w:color w:val="auto"/>
                <w:sz w:val="30"/>
                <w:szCs w:val="30"/>
                <w:highlight w:val="none"/>
              </w:rPr>
            </w:pPr>
          </w:p>
        </w:tc>
        <w:tc>
          <w:tcPr>
            <w:tcW w:w="1418" w:type="dxa"/>
            <w:vAlign w:val="center"/>
          </w:tcPr>
          <w:p w14:paraId="1934F18F">
            <w:pPr>
              <w:adjustRightInd w:val="0"/>
              <w:snapToGrid w:val="0"/>
              <w:jc w:val="center"/>
              <w:rPr>
                <w:rFonts w:hint="eastAsia" w:ascii="宋体" w:hAnsi="宋体" w:eastAsia="宋体" w:cs="宋体"/>
                <w:color w:val="auto"/>
                <w:sz w:val="30"/>
                <w:szCs w:val="30"/>
                <w:highlight w:val="none"/>
              </w:rPr>
            </w:pPr>
          </w:p>
        </w:tc>
        <w:tc>
          <w:tcPr>
            <w:tcW w:w="940" w:type="dxa"/>
            <w:vAlign w:val="center"/>
          </w:tcPr>
          <w:p w14:paraId="640BE3FC">
            <w:pPr>
              <w:adjustRightInd w:val="0"/>
              <w:snapToGrid w:val="0"/>
              <w:jc w:val="center"/>
              <w:rPr>
                <w:rFonts w:hint="eastAsia" w:ascii="宋体" w:hAnsi="宋体" w:eastAsia="宋体" w:cs="宋体"/>
                <w:color w:val="auto"/>
                <w:sz w:val="30"/>
                <w:szCs w:val="30"/>
                <w:highlight w:val="none"/>
              </w:rPr>
            </w:pPr>
          </w:p>
        </w:tc>
        <w:tc>
          <w:tcPr>
            <w:tcW w:w="851" w:type="dxa"/>
            <w:vAlign w:val="center"/>
          </w:tcPr>
          <w:p w14:paraId="7C65A466">
            <w:pPr>
              <w:adjustRightInd w:val="0"/>
              <w:snapToGrid w:val="0"/>
              <w:jc w:val="center"/>
              <w:rPr>
                <w:rFonts w:hint="eastAsia" w:ascii="宋体" w:hAnsi="宋体" w:eastAsia="宋体" w:cs="宋体"/>
                <w:color w:val="auto"/>
                <w:sz w:val="30"/>
                <w:szCs w:val="30"/>
                <w:highlight w:val="none"/>
              </w:rPr>
            </w:pPr>
          </w:p>
        </w:tc>
        <w:tc>
          <w:tcPr>
            <w:tcW w:w="1044" w:type="dxa"/>
            <w:vAlign w:val="center"/>
          </w:tcPr>
          <w:p w14:paraId="6BE4C603">
            <w:pPr>
              <w:adjustRightInd w:val="0"/>
              <w:snapToGrid w:val="0"/>
              <w:jc w:val="center"/>
              <w:rPr>
                <w:rFonts w:hint="eastAsia" w:ascii="宋体" w:hAnsi="宋体" w:eastAsia="宋体" w:cs="宋体"/>
                <w:color w:val="auto"/>
                <w:sz w:val="30"/>
                <w:szCs w:val="30"/>
                <w:highlight w:val="none"/>
              </w:rPr>
            </w:pPr>
          </w:p>
        </w:tc>
        <w:tc>
          <w:tcPr>
            <w:tcW w:w="992" w:type="dxa"/>
            <w:vAlign w:val="center"/>
          </w:tcPr>
          <w:p w14:paraId="5C701488">
            <w:pPr>
              <w:adjustRightInd w:val="0"/>
              <w:snapToGrid w:val="0"/>
              <w:jc w:val="center"/>
              <w:rPr>
                <w:rFonts w:hint="eastAsia" w:ascii="宋体" w:hAnsi="宋体" w:eastAsia="宋体" w:cs="宋体"/>
                <w:color w:val="auto"/>
                <w:sz w:val="30"/>
                <w:szCs w:val="30"/>
                <w:highlight w:val="none"/>
              </w:rPr>
            </w:pPr>
          </w:p>
        </w:tc>
        <w:tc>
          <w:tcPr>
            <w:tcW w:w="851" w:type="dxa"/>
            <w:vAlign w:val="center"/>
          </w:tcPr>
          <w:p w14:paraId="2EAFE6A5">
            <w:pPr>
              <w:adjustRightInd w:val="0"/>
              <w:snapToGrid w:val="0"/>
              <w:jc w:val="center"/>
              <w:rPr>
                <w:rFonts w:hint="eastAsia" w:ascii="宋体" w:hAnsi="宋体" w:eastAsia="宋体" w:cs="宋体"/>
                <w:color w:val="auto"/>
                <w:sz w:val="30"/>
                <w:szCs w:val="30"/>
                <w:highlight w:val="none"/>
              </w:rPr>
            </w:pPr>
          </w:p>
        </w:tc>
        <w:tc>
          <w:tcPr>
            <w:tcW w:w="1112" w:type="dxa"/>
            <w:vAlign w:val="center"/>
          </w:tcPr>
          <w:p w14:paraId="212E128A">
            <w:pPr>
              <w:adjustRightInd w:val="0"/>
              <w:snapToGrid w:val="0"/>
              <w:jc w:val="center"/>
              <w:rPr>
                <w:rFonts w:hint="eastAsia" w:ascii="宋体" w:hAnsi="宋体" w:eastAsia="宋体" w:cs="宋体"/>
                <w:color w:val="auto"/>
                <w:sz w:val="30"/>
                <w:szCs w:val="30"/>
                <w:highlight w:val="none"/>
              </w:rPr>
            </w:pPr>
          </w:p>
        </w:tc>
        <w:tc>
          <w:tcPr>
            <w:tcW w:w="992" w:type="dxa"/>
            <w:vAlign w:val="center"/>
          </w:tcPr>
          <w:p w14:paraId="06465F9A">
            <w:pPr>
              <w:adjustRightInd w:val="0"/>
              <w:snapToGrid w:val="0"/>
              <w:jc w:val="center"/>
              <w:rPr>
                <w:rFonts w:hint="eastAsia" w:ascii="宋体" w:hAnsi="宋体" w:eastAsia="宋体" w:cs="宋体"/>
                <w:color w:val="auto"/>
                <w:sz w:val="30"/>
                <w:szCs w:val="30"/>
                <w:highlight w:val="none"/>
              </w:rPr>
            </w:pPr>
          </w:p>
        </w:tc>
      </w:tr>
      <w:tr w14:paraId="76B68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19DD72D">
            <w:pPr>
              <w:adjustRightInd w:val="0"/>
              <w:snapToGrid w:val="0"/>
              <w:jc w:val="center"/>
              <w:rPr>
                <w:rFonts w:hint="eastAsia" w:ascii="宋体" w:hAnsi="宋体" w:eastAsia="宋体" w:cs="宋体"/>
                <w:color w:val="auto"/>
                <w:sz w:val="30"/>
                <w:szCs w:val="30"/>
                <w:highlight w:val="none"/>
              </w:rPr>
            </w:pPr>
          </w:p>
        </w:tc>
        <w:tc>
          <w:tcPr>
            <w:tcW w:w="1276" w:type="dxa"/>
            <w:vAlign w:val="center"/>
          </w:tcPr>
          <w:p w14:paraId="56F6EB48">
            <w:pPr>
              <w:adjustRightInd w:val="0"/>
              <w:snapToGrid w:val="0"/>
              <w:jc w:val="center"/>
              <w:rPr>
                <w:rFonts w:hint="eastAsia" w:ascii="宋体" w:hAnsi="宋体" w:eastAsia="宋体" w:cs="宋体"/>
                <w:color w:val="auto"/>
                <w:sz w:val="30"/>
                <w:szCs w:val="30"/>
                <w:highlight w:val="none"/>
              </w:rPr>
            </w:pPr>
          </w:p>
        </w:tc>
        <w:tc>
          <w:tcPr>
            <w:tcW w:w="1418" w:type="dxa"/>
            <w:vAlign w:val="center"/>
          </w:tcPr>
          <w:p w14:paraId="505727F6">
            <w:pPr>
              <w:adjustRightInd w:val="0"/>
              <w:snapToGrid w:val="0"/>
              <w:jc w:val="center"/>
              <w:rPr>
                <w:rFonts w:hint="eastAsia" w:ascii="宋体" w:hAnsi="宋体" w:eastAsia="宋体" w:cs="宋体"/>
                <w:color w:val="auto"/>
                <w:sz w:val="30"/>
                <w:szCs w:val="30"/>
                <w:highlight w:val="none"/>
              </w:rPr>
            </w:pPr>
          </w:p>
        </w:tc>
        <w:tc>
          <w:tcPr>
            <w:tcW w:w="940" w:type="dxa"/>
            <w:vAlign w:val="center"/>
          </w:tcPr>
          <w:p w14:paraId="43E29A40">
            <w:pPr>
              <w:adjustRightInd w:val="0"/>
              <w:snapToGrid w:val="0"/>
              <w:jc w:val="center"/>
              <w:rPr>
                <w:rFonts w:hint="eastAsia" w:ascii="宋体" w:hAnsi="宋体" w:eastAsia="宋体" w:cs="宋体"/>
                <w:color w:val="auto"/>
                <w:sz w:val="30"/>
                <w:szCs w:val="30"/>
                <w:highlight w:val="none"/>
              </w:rPr>
            </w:pPr>
          </w:p>
        </w:tc>
        <w:tc>
          <w:tcPr>
            <w:tcW w:w="851" w:type="dxa"/>
            <w:vAlign w:val="center"/>
          </w:tcPr>
          <w:p w14:paraId="4E7A4017">
            <w:pPr>
              <w:adjustRightInd w:val="0"/>
              <w:snapToGrid w:val="0"/>
              <w:jc w:val="center"/>
              <w:rPr>
                <w:rFonts w:hint="eastAsia" w:ascii="宋体" w:hAnsi="宋体" w:eastAsia="宋体" w:cs="宋体"/>
                <w:color w:val="auto"/>
                <w:sz w:val="30"/>
                <w:szCs w:val="30"/>
                <w:highlight w:val="none"/>
              </w:rPr>
            </w:pPr>
          </w:p>
        </w:tc>
        <w:tc>
          <w:tcPr>
            <w:tcW w:w="1044" w:type="dxa"/>
            <w:vAlign w:val="center"/>
          </w:tcPr>
          <w:p w14:paraId="062C32F4">
            <w:pPr>
              <w:adjustRightInd w:val="0"/>
              <w:snapToGrid w:val="0"/>
              <w:jc w:val="center"/>
              <w:rPr>
                <w:rFonts w:hint="eastAsia" w:ascii="宋体" w:hAnsi="宋体" w:eastAsia="宋体" w:cs="宋体"/>
                <w:color w:val="auto"/>
                <w:sz w:val="30"/>
                <w:szCs w:val="30"/>
                <w:highlight w:val="none"/>
              </w:rPr>
            </w:pPr>
          </w:p>
        </w:tc>
        <w:tc>
          <w:tcPr>
            <w:tcW w:w="992" w:type="dxa"/>
            <w:vAlign w:val="center"/>
          </w:tcPr>
          <w:p w14:paraId="200878C7">
            <w:pPr>
              <w:adjustRightInd w:val="0"/>
              <w:snapToGrid w:val="0"/>
              <w:jc w:val="center"/>
              <w:rPr>
                <w:rFonts w:hint="eastAsia" w:ascii="宋体" w:hAnsi="宋体" w:eastAsia="宋体" w:cs="宋体"/>
                <w:color w:val="auto"/>
                <w:sz w:val="30"/>
                <w:szCs w:val="30"/>
                <w:highlight w:val="none"/>
              </w:rPr>
            </w:pPr>
          </w:p>
        </w:tc>
        <w:tc>
          <w:tcPr>
            <w:tcW w:w="851" w:type="dxa"/>
            <w:vAlign w:val="center"/>
          </w:tcPr>
          <w:p w14:paraId="22FF2CDC">
            <w:pPr>
              <w:adjustRightInd w:val="0"/>
              <w:snapToGrid w:val="0"/>
              <w:jc w:val="center"/>
              <w:rPr>
                <w:rFonts w:hint="eastAsia" w:ascii="宋体" w:hAnsi="宋体" w:eastAsia="宋体" w:cs="宋体"/>
                <w:color w:val="auto"/>
                <w:sz w:val="30"/>
                <w:szCs w:val="30"/>
                <w:highlight w:val="none"/>
              </w:rPr>
            </w:pPr>
          </w:p>
        </w:tc>
        <w:tc>
          <w:tcPr>
            <w:tcW w:w="1112" w:type="dxa"/>
            <w:vAlign w:val="center"/>
          </w:tcPr>
          <w:p w14:paraId="6914B3B4">
            <w:pPr>
              <w:adjustRightInd w:val="0"/>
              <w:snapToGrid w:val="0"/>
              <w:jc w:val="center"/>
              <w:rPr>
                <w:rFonts w:hint="eastAsia" w:ascii="宋体" w:hAnsi="宋体" w:eastAsia="宋体" w:cs="宋体"/>
                <w:color w:val="auto"/>
                <w:sz w:val="30"/>
                <w:szCs w:val="30"/>
                <w:highlight w:val="none"/>
              </w:rPr>
            </w:pPr>
          </w:p>
        </w:tc>
        <w:tc>
          <w:tcPr>
            <w:tcW w:w="992" w:type="dxa"/>
            <w:vAlign w:val="center"/>
          </w:tcPr>
          <w:p w14:paraId="6E49904E">
            <w:pPr>
              <w:adjustRightInd w:val="0"/>
              <w:snapToGrid w:val="0"/>
              <w:jc w:val="center"/>
              <w:rPr>
                <w:rFonts w:hint="eastAsia" w:ascii="宋体" w:hAnsi="宋体" w:eastAsia="宋体" w:cs="宋体"/>
                <w:color w:val="auto"/>
                <w:sz w:val="30"/>
                <w:szCs w:val="30"/>
                <w:highlight w:val="none"/>
              </w:rPr>
            </w:pPr>
          </w:p>
        </w:tc>
      </w:tr>
      <w:tr w14:paraId="26BDE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BDFF86F">
            <w:pPr>
              <w:adjustRightInd w:val="0"/>
              <w:snapToGrid w:val="0"/>
              <w:jc w:val="center"/>
              <w:rPr>
                <w:rFonts w:hint="eastAsia" w:ascii="宋体" w:hAnsi="宋体" w:eastAsia="宋体" w:cs="宋体"/>
                <w:color w:val="auto"/>
                <w:sz w:val="30"/>
                <w:szCs w:val="30"/>
                <w:highlight w:val="none"/>
              </w:rPr>
            </w:pPr>
          </w:p>
        </w:tc>
        <w:tc>
          <w:tcPr>
            <w:tcW w:w="1276" w:type="dxa"/>
            <w:vAlign w:val="center"/>
          </w:tcPr>
          <w:p w14:paraId="0FA9C9E2">
            <w:pPr>
              <w:adjustRightInd w:val="0"/>
              <w:snapToGrid w:val="0"/>
              <w:jc w:val="center"/>
              <w:rPr>
                <w:rFonts w:hint="eastAsia" w:ascii="宋体" w:hAnsi="宋体" w:eastAsia="宋体" w:cs="宋体"/>
                <w:color w:val="auto"/>
                <w:sz w:val="30"/>
                <w:szCs w:val="30"/>
                <w:highlight w:val="none"/>
              </w:rPr>
            </w:pPr>
          </w:p>
        </w:tc>
        <w:tc>
          <w:tcPr>
            <w:tcW w:w="1418" w:type="dxa"/>
            <w:vAlign w:val="center"/>
          </w:tcPr>
          <w:p w14:paraId="02214BE7">
            <w:pPr>
              <w:adjustRightInd w:val="0"/>
              <w:snapToGrid w:val="0"/>
              <w:jc w:val="center"/>
              <w:rPr>
                <w:rFonts w:hint="eastAsia" w:ascii="宋体" w:hAnsi="宋体" w:eastAsia="宋体" w:cs="宋体"/>
                <w:color w:val="auto"/>
                <w:sz w:val="30"/>
                <w:szCs w:val="30"/>
                <w:highlight w:val="none"/>
              </w:rPr>
            </w:pPr>
          </w:p>
        </w:tc>
        <w:tc>
          <w:tcPr>
            <w:tcW w:w="940" w:type="dxa"/>
            <w:vAlign w:val="center"/>
          </w:tcPr>
          <w:p w14:paraId="67930F1D">
            <w:pPr>
              <w:adjustRightInd w:val="0"/>
              <w:snapToGrid w:val="0"/>
              <w:jc w:val="center"/>
              <w:rPr>
                <w:rFonts w:hint="eastAsia" w:ascii="宋体" w:hAnsi="宋体" w:eastAsia="宋体" w:cs="宋体"/>
                <w:color w:val="auto"/>
                <w:sz w:val="30"/>
                <w:szCs w:val="30"/>
                <w:highlight w:val="none"/>
              </w:rPr>
            </w:pPr>
          </w:p>
        </w:tc>
        <w:tc>
          <w:tcPr>
            <w:tcW w:w="851" w:type="dxa"/>
            <w:vAlign w:val="center"/>
          </w:tcPr>
          <w:p w14:paraId="20661A4C">
            <w:pPr>
              <w:adjustRightInd w:val="0"/>
              <w:snapToGrid w:val="0"/>
              <w:jc w:val="center"/>
              <w:rPr>
                <w:rFonts w:hint="eastAsia" w:ascii="宋体" w:hAnsi="宋体" w:eastAsia="宋体" w:cs="宋体"/>
                <w:color w:val="auto"/>
                <w:sz w:val="30"/>
                <w:szCs w:val="30"/>
                <w:highlight w:val="none"/>
              </w:rPr>
            </w:pPr>
          </w:p>
        </w:tc>
        <w:tc>
          <w:tcPr>
            <w:tcW w:w="1044" w:type="dxa"/>
            <w:vAlign w:val="center"/>
          </w:tcPr>
          <w:p w14:paraId="17677A00">
            <w:pPr>
              <w:adjustRightInd w:val="0"/>
              <w:snapToGrid w:val="0"/>
              <w:jc w:val="center"/>
              <w:rPr>
                <w:rFonts w:hint="eastAsia" w:ascii="宋体" w:hAnsi="宋体" w:eastAsia="宋体" w:cs="宋体"/>
                <w:color w:val="auto"/>
                <w:sz w:val="30"/>
                <w:szCs w:val="30"/>
                <w:highlight w:val="none"/>
              </w:rPr>
            </w:pPr>
          </w:p>
        </w:tc>
        <w:tc>
          <w:tcPr>
            <w:tcW w:w="992" w:type="dxa"/>
            <w:vAlign w:val="center"/>
          </w:tcPr>
          <w:p w14:paraId="10903397">
            <w:pPr>
              <w:adjustRightInd w:val="0"/>
              <w:snapToGrid w:val="0"/>
              <w:jc w:val="center"/>
              <w:rPr>
                <w:rFonts w:hint="eastAsia" w:ascii="宋体" w:hAnsi="宋体" w:eastAsia="宋体" w:cs="宋体"/>
                <w:color w:val="auto"/>
                <w:sz w:val="30"/>
                <w:szCs w:val="30"/>
                <w:highlight w:val="none"/>
              </w:rPr>
            </w:pPr>
          </w:p>
        </w:tc>
        <w:tc>
          <w:tcPr>
            <w:tcW w:w="851" w:type="dxa"/>
            <w:vAlign w:val="center"/>
          </w:tcPr>
          <w:p w14:paraId="044042C8">
            <w:pPr>
              <w:adjustRightInd w:val="0"/>
              <w:snapToGrid w:val="0"/>
              <w:jc w:val="center"/>
              <w:rPr>
                <w:rFonts w:hint="eastAsia" w:ascii="宋体" w:hAnsi="宋体" w:eastAsia="宋体" w:cs="宋体"/>
                <w:color w:val="auto"/>
                <w:sz w:val="30"/>
                <w:szCs w:val="30"/>
                <w:highlight w:val="none"/>
              </w:rPr>
            </w:pPr>
          </w:p>
        </w:tc>
        <w:tc>
          <w:tcPr>
            <w:tcW w:w="1112" w:type="dxa"/>
            <w:vAlign w:val="center"/>
          </w:tcPr>
          <w:p w14:paraId="10463AA2">
            <w:pPr>
              <w:adjustRightInd w:val="0"/>
              <w:snapToGrid w:val="0"/>
              <w:jc w:val="center"/>
              <w:rPr>
                <w:rFonts w:hint="eastAsia" w:ascii="宋体" w:hAnsi="宋体" w:eastAsia="宋体" w:cs="宋体"/>
                <w:color w:val="auto"/>
                <w:sz w:val="30"/>
                <w:szCs w:val="30"/>
                <w:highlight w:val="none"/>
              </w:rPr>
            </w:pPr>
          </w:p>
        </w:tc>
        <w:tc>
          <w:tcPr>
            <w:tcW w:w="992" w:type="dxa"/>
            <w:vAlign w:val="center"/>
          </w:tcPr>
          <w:p w14:paraId="098AAF85">
            <w:pPr>
              <w:adjustRightInd w:val="0"/>
              <w:snapToGrid w:val="0"/>
              <w:jc w:val="center"/>
              <w:rPr>
                <w:rFonts w:hint="eastAsia" w:ascii="宋体" w:hAnsi="宋体" w:eastAsia="宋体" w:cs="宋体"/>
                <w:color w:val="auto"/>
                <w:sz w:val="30"/>
                <w:szCs w:val="30"/>
                <w:highlight w:val="none"/>
              </w:rPr>
            </w:pPr>
          </w:p>
        </w:tc>
      </w:tr>
      <w:tr w14:paraId="712400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BC60A52">
            <w:pPr>
              <w:adjustRightInd w:val="0"/>
              <w:snapToGrid w:val="0"/>
              <w:jc w:val="center"/>
              <w:rPr>
                <w:rFonts w:hint="eastAsia" w:ascii="宋体" w:hAnsi="宋体" w:eastAsia="宋体" w:cs="宋体"/>
                <w:color w:val="auto"/>
                <w:sz w:val="30"/>
                <w:szCs w:val="30"/>
                <w:highlight w:val="none"/>
              </w:rPr>
            </w:pPr>
          </w:p>
        </w:tc>
        <w:tc>
          <w:tcPr>
            <w:tcW w:w="1276" w:type="dxa"/>
            <w:vAlign w:val="center"/>
          </w:tcPr>
          <w:p w14:paraId="7BAB5B70">
            <w:pPr>
              <w:adjustRightInd w:val="0"/>
              <w:snapToGrid w:val="0"/>
              <w:jc w:val="center"/>
              <w:rPr>
                <w:rFonts w:hint="eastAsia" w:ascii="宋体" w:hAnsi="宋体" w:eastAsia="宋体" w:cs="宋体"/>
                <w:color w:val="auto"/>
                <w:sz w:val="30"/>
                <w:szCs w:val="30"/>
                <w:highlight w:val="none"/>
              </w:rPr>
            </w:pPr>
          </w:p>
        </w:tc>
        <w:tc>
          <w:tcPr>
            <w:tcW w:w="1418" w:type="dxa"/>
            <w:vAlign w:val="center"/>
          </w:tcPr>
          <w:p w14:paraId="6776C367">
            <w:pPr>
              <w:adjustRightInd w:val="0"/>
              <w:snapToGrid w:val="0"/>
              <w:jc w:val="center"/>
              <w:rPr>
                <w:rFonts w:hint="eastAsia" w:ascii="宋体" w:hAnsi="宋体" w:eastAsia="宋体" w:cs="宋体"/>
                <w:color w:val="auto"/>
                <w:sz w:val="30"/>
                <w:szCs w:val="30"/>
                <w:highlight w:val="none"/>
              </w:rPr>
            </w:pPr>
          </w:p>
        </w:tc>
        <w:tc>
          <w:tcPr>
            <w:tcW w:w="940" w:type="dxa"/>
            <w:vAlign w:val="center"/>
          </w:tcPr>
          <w:p w14:paraId="71267ADA">
            <w:pPr>
              <w:adjustRightInd w:val="0"/>
              <w:snapToGrid w:val="0"/>
              <w:jc w:val="center"/>
              <w:rPr>
                <w:rFonts w:hint="eastAsia" w:ascii="宋体" w:hAnsi="宋体" w:eastAsia="宋体" w:cs="宋体"/>
                <w:color w:val="auto"/>
                <w:sz w:val="30"/>
                <w:szCs w:val="30"/>
                <w:highlight w:val="none"/>
              </w:rPr>
            </w:pPr>
          </w:p>
        </w:tc>
        <w:tc>
          <w:tcPr>
            <w:tcW w:w="851" w:type="dxa"/>
            <w:vAlign w:val="center"/>
          </w:tcPr>
          <w:p w14:paraId="1EF306A6">
            <w:pPr>
              <w:adjustRightInd w:val="0"/>
              <w:snapToGrid w:val="0"/>
              <w:jc w:val="center"/>
              <w:rPr>
                <w:rFonts w:hint="eastAsia" w:ascii="宋体" w:hAnsi="宋体" w:eastAsia="宋体" w:cs="宋体"/>
                <w:color w:val="auto"/>
                <w:sz w:val="30"/>
                <w:szCs w:val="30"/>
                <w:highlight w:val="none"/>
              </w:rPr>
            </w:pPr>
          </w:p>
        </w:tc>
        <w:tc>
          <w:tcPr>
            <w:tcW w:w="1044" w:type="dxa"/>
            <w:vAlign w:val="center"/>
          </w:tcPr>
          <w:p w14:paraId="098353F5">
            <w:pPr>
              <w:adjustRightInd w:val="0"/>
              <w:snapToGrid w:val="0"/>
              <w:jc w:val="center"/>
              <w:rPr>
                <w:rFonts w:hint="eastAsia" w:ascii="宋体" w:hAnsi="宋体" w:eastAsia="宋体" w:cs="宋体"/>
                <w:color w:val="auto"/>
                <w:sz w:val="30"/>
                <w:szCs w:val="30"/>
                <w:highlight w:val="none"/>
              </w:rPr>
            </w:pPr>
          </w:p>
        </w:tc>
        <w:tc>
          <w:tcPr>
            <w:tcW w:w="992" w:type="dxa"/>
            <w:vAlign w:val="center"/>
          </w:tcPr>
          <w:p w14:paraId="6523CAE4">
            <w:pPr>
              <w:adjustRightInd w:val="0"/>
              <w:snapToGrid w:val="0"/>
              <w:jc w:val="center"/>
              <w:rPr>
                <w:rFonts w:hint="eastAsia" w:ascii="宋体" w:hAnsi="宋体" w:eastAsia="宋体" w:cs="宋体"/>
                <w:color w:val="auto"/>
                <w:sz w:val="30"/>
                <w:szCs w:val="30"/>
                <w:highlight w:val="none"/>
              </w:rPr>
            </w:pPr>
          </w:p>
        </w:tc>
        <w:tc>
          <w:tcPr>
            <w:tcW w:w="851" w:type="dxa"/>
            <w:vAlign w:val="center"/>
          </w:tcPr>
          <w:p w14:paraId="5616EB2D">
            <w:pPr>
              <w:adjustRightInd w:val="0"/>
              <w:snapToGrid w:val="0"/>
              <w:jc w:val="center"/>
              <w:rPr>
                <w:rFonts w:hint="eastAsia" w:ascii="宋体" w:hAnsi="宋体" w:eastAsia="宋体" w:cs="宋体"/>
                <w:color w:val="auto"/>
                <w:sz w:val="30"/>
                <w:szCs w:val="30"/>
                <w:highlight w:val="none"/>
              </w:rPr>
            </w:pPr>
          </w:p>
        </w:tc>
        <w:tc>
          <w:tcPr>
            <w:tcW w:w="1112" w:type="dxa"/>
            <w:vAlign w:val="center"/>
          </w:tcPr>
          <w:p w14:paraId="1ACBBDBA">
            <w:pPr>
              <w:adjustRightInd w:val="0"/>
              <w:snapToGrid w:val="0"/>
              <w:jc w:val="center"/>
              <w:rPr>
                <w:rFonts w:hint="eastAsia" w:ascii="宋体" w:hAnsi="宋体" w:eastAsia="宋体" w:cs="宋体"/>
                <w:color w:val="auto"/>
                <w:sz w:val="30"/>
                <w:szCs w:val="30"/>
                <w:highlight w:val="none"/>
              </w:rPr>
            </w:pPr>
          </w:p>
        </w:tc>
        <w:tc>
          <w:tcPr>
            <w:tcW w:w="992" w:type="dxa"/>
            <w:vAlign w:val="center"/>
          </w:tcPr>
          <w:p w14:paraId="7620C5AA">
            <w:pPr>
              <w:adjustRightInd w:val="0"/>
              <w:snapToGrid w:val="0"/>
              <w:jc w:val="center"/>
              <w:rPr>
                <w:rFonts w:hint="eastAsia" w:ascii="宋体" w:hAnsi="宋体" w:eastAsia="宋体" w:cs="宋体"/>
                <w:color w:val="auto"/>
                <w:sz w:val="30"/>
                <w:szCs w:val="30"/>
                <w:highlight w:val="none"/>
              </w:rPr>
            </w:pPr>
          </w:p>
        </w:tc>
      </w:tr>
      <w:tr w14:paraId="156976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41EFF7D">
            <w:pPr>
              <w:adjustRightInd w:val="0"/>
              <w:snapToGrid w:val="0"/>
              <w:jc w:val="center"/>
              <w:rPr>
                <w:rFonts w:hint="eastAsia" w:ascii="宋体" w:hAnsi="宋体" w:eastAsia="宋体" w:cs="宋体"/>
                <w:color w:val="auto"/>
                <w:sz w:val="30"/>
                <w:szCs w:val="30"/>
                <w:highlight w:val="none"/>
              </w:rPr>
            </w:pPr>
          </w:p>
        </w:tc>
        <w:tc>
          <w:tcPr>
            <w:tcW w:w="1276" w:type="dxa"/>
            <w:vAlign w:val="center"/>
          </w:tcPr>
          <w:p w14:paraId="7656428C">
            <w:pPr>
              <w:adjustRightInd w:val="0"/>
              <w:snapToGrid w:val="0"/>
              <w:jc w:val="center"/>
              <w:rPr>
                <w:rFonts w:hint="eastAsia" w:ascii="宋体" w:hAnsi="宋体" w:eastAsia="宋体" w:cs="宋体"/>
                <w:color w:val="auto"/>
                <w:sz w:val="30"/>
                <w:szCs w:val="30"/>
                <w:highlight w:val="none"/>
              </w:rPr>
            </w:pPr>
          </w:p>
        </w:tc>
        <w:tc>
          <w:tcPr>
            <w:tcW w:w="1418" w:type="dxa"/>
            <w:vAlign w:val="center"/>
          </w:tcPr>
          <w:p w14:paraId="2D1F55CA">
            <w:pPr>
              <w:adjustRightInd w:val="0"/>
              <w:snapToGrid w:val="0"/>
              <w:jc w:val="center"/>
              <w:rPr>
                <w:rFonts w:hint="eastAsia" w:ascii="宋体" w:hAnsi="宋体" w:eastAsia="宋体" w:cs="宋体"/>
                <w:color w:val="auto"/>
                <w:sz w:val="30"/>
                <w:szCs w:val="30"/>
                <w:highlight w:val="none"/>
              </w:rPr>
            </w:pPr>
          </w:p>
        </w:tc>
        <w:tc>
          <w:tcPr>
            <w:tcW w:w="940" w:type="dxa"/>
            <w:vAlign w:val="center"/>
          </w:tcPr>
          <w:p w14:paraId="667FCA1E">
            <w:pPr>
              <w:adjustRightInd w:val="0"/>
              <w:snapToGrid w:val="0"/>
              <w:jc w:val="center"/>
              <w:rPr>
                <w:rFonts w:hint="eastAsia" w:ascii="宋体" w:hAnsi="宋体" w:eastAsia="宋体" w:cs="宋体"/>
                <w:color w:val="auto"/>
                <w:sz w:val="30"/>
                <w:szCs w:val="30"/>
                <w:highlight w:val="none"/>
              </w:rPr>
            </w:pPr>
          </w:p>
        </w:tc>
        <w:tc>
          <w:tcPr>
            <w:tcW w:w="851" w:type="dxa"/>
            <w:vAlign w:val="center"/>
          </w:tcPr>
          <w:p w14:paraId="1F13EB57">
            <w:pPr>
              <w:adjustRightInd w:val="0"/>
              <w:snapToGrid w:val="0"/>
              <w:jc w:val="center"/>
              <w:rPr>
                <w:rFonts w:hint="eastAsia" w:ascii="宋体" w:hAnsi="宋体" w:eastAsia="宋体" w:cs="宋体"/>
                <w:color w:val="auto"/>
                <w:sz w:val="30"/>
                <w:szCs w:val="30"/>
                <w:highlight w:val="none"/>
              </w:rPr>
            </w:pPr>
          </w:p>
        </w:tc>
        <w:tc>
          <w:tcPr>
            <w:tcW w:w="1044" w:type="dxa"/>
            <w:vAlign w:val="center"/>
          </w:tcPr>
          <w:p w14:paraId="52D1C7B0">
            <w:pPr>
              <w:adjustRightInd w:val="0"/>
              <w:snapToGrid w:val="0"/>
              <w:jc w:val="center"/>
              <w:rPr>
                <w:rFonts w:hint="eastAsia" w:ascii="宋体" w:hAnsi="宋体" w:eastAsia="宋体" w:cs="宋体"/>
                <w:color w:val="auto"/>
                <w:sz w:val="30"/>
                <w:szCs w:val="30"/>
                <w:highlight w:val="none"/>
              </w:rPr>
            </w:pPr>
          </w:p>
        </w:tc>
        <w:tc>
          <w:tcPr>
            <w:tcW w:w="992" w:type="dxa"/>
            <w:vAlign w:val="center"/>
          </w:tcPr>
          <w:p w14:paraId="7396E27D">
            <w:pPr>
              <w:adjustRightInd w:val="0"/>
              <w:snapToGrid w:val="0"/>
              <w:jc w:val="center"/>
              <w:rPr>
                <w:rFonts w:hint="eastAsia" w:ascii="宋体" w:hAnsi="宋体" w:eastAsia="宋体" w:cs="宋体"/>
                <w:color w:val="auto"/>
                <w:sz w:val="30"/>
                <w:szCs w:val="30"/>
                <w:highlight w:val="none"/>
              </w:rPr>
            </w:pPr>
          </w:p>
        </w:tc>
        <w:tc>
          <w:tcPr>
            <w:tcW w:w="851" w:type="dxa"/>
            <w:vAlign w:val="center"/>
          </w:tcPr>
          <w:p w14:paraId="23D53AD3">
            <w:pPr>
              <w:adjustRightInd w:val="0"/>
              <w:snapToGrid w:val="0"/>
              <w:jc w:val="center"/>
              <w:rPr>
                <w:rFonts w:hint="eastAsia" w:ascii="宋体" w:hAnsi="宋体" w:eastAsia="宋体" w:cs="宋体"/>
                <w:color w:val="auto"/>
                <w:sz w:val="30"/>
                <w:szCs w:val="30"/>
                <w:highlight w:val="none"/>
              </w:rPr>
            </w:pPr>
          </w:p>
        </w:tc>
        <w:tc>
          <w:tcPr>
            <w:tcW w:w="1112" w:type="dxa"/>
            <w:vAlign w:val="center"/>
          </w:tcPr>
          <w:p w14:paraId="412D4917">
            <w:pPr>
              <w:adjustRightInd w:val="0"/>
              <w:snapToGrid w:val="0"/>
              <w:jc w:val="center"/>
              <w:rPr>
                <w:rFonts w:hint="eastAsia" w:ascii="宋体" w:hAnsi="宋体" w:eastAsia="宋体" w:cs="宋体"/>
                <w:color w:val="auto"/>
                <w:sz w:val="30"/>
                <w:szCs w:val="30"/>
                <w:highlight w:val="none"/>
              </w:rPr>
            </w:pPr>
          </w:p>
        </w:tc>
        <w:tc>
          <w:tcPr>
            <w:tcW w:w="992" w:type="dxa"/>
            <w:vAlign w:val="center"/>
          </w:tcPr>
          <w:p w14:paraId="2677CAD9">
            <w:pPr>
              <w:adjustRightInd w:val="0"/>
              <w:snapToGrid w:val="0"/>
              <w:jc w:val="center"/>
              <w:rPr>
                <w:rFonts w:hint="eastAsia" w:ascii="宋体" w:hAnsi="宋体" w:eastAsia="宋体" w:cs="宋体"/>
                <w:color w:val="auto"/>
                <w:sz w:val="30"/>
                <w:szCs w:val="30"/>
                <w:highlight w:val="none"/>
              </w:rPr>
            </w:pPr>
          </w:p>
        </w:tc>
      </w:tr>
      <w:tr w14:paraId="21B5D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AF0BF35">
            <w:pPr>
              <w:adjustRightInd w:val="0"/>
              <w:snapToGrid w:val="0"/>
              <w:jc w:val="center"/>
              <w:rPr>
                <w:rFonts w:hint="eastAsia" w:ascii="宋体" w:hAnsi="宋体" w:eastAsia="宋体" w:cs="宋体"/>
                <w:color w:val="auto"/>
                <w:sz w:val="30"/>
                <w:szCs w:val="30"/>
                <w:highlight w:val="none"/>
              </w:rPr>
            </w:pPr>
          </w:p>
        </w:tc>
        <w:tc>
          <w:tcPr>
            <w:tcW w:w="1276" w:type="dxa"/>
            <w:vAlign w:val="center"/>
          </w:tcPr>
          <w:p w14:paraId="0643A14F">
            <w:pPr>
              <w:adjustRightInd w:val="0"/>
              <w:snapToGrid w:val="0"/>
              <w:jc w:val="center"/>
              <w:rPr>
                <w:rFonts w:hint="eastAsia" w:ascii="宋体" w:hAnsi="宋体" w:eastAsia="宋体" w:cs="宋体"/>
                <w:color w:val="auto"/>
                <w:sz w:val="30"/>
                <w:szCs w:val="30"/>
                <w:highlight w:val="none"/>
              </w:rPr>
            </w:pPr>
          </w:p>
        </w:tc>
        <w:tc>
          <w:tcPr>
            <w:tcW w:w="1418" w:type="dxa"/>
            <w:vAlign w:val="center"/>
          </w:tcPr>
          <w:p w14:paraId="630944AA">
            <w:pPr>
              <w:adjustRightInd w:val="0"/>
              <w:snapToGrid w:val="0"/>
              <w:jc w:val="center"/>
              <w:rPr>
                <w:rFonts w:hint="eastAsia" w:ascii="宋体" w:hAnsi="宋体" w:eastAsia="宋体" w:cs="宋体"/>
                <w:color w:val="auto"/>
                <w:sz w:val="30"/>
                <w:szCs w:val="30"/>
                <w:highlight w:val="none"/>
              </w:rPr>
            </w:pPr>
          </w:p>
        </w:tc>
        <w:tc>
          <w:tcPr>
            <w:tcW w:w="940" w:type="dxa"/>
            <w:vAlign w:val="center"/>
          </w:tcPr>
          <w:p w14:paraId="0B6AB2CD">
            <w:pPr>
              <w:adjustRightInd w:val="0"/>
              <w:snapToGrid w:val="0"/>
              <w:jc w:val="center"/>
              <w:rPr>
                <w:rFonts w:hint="eastAsia" w:ascii="宋体" w:hAnsi="宋体" w:eastAsia="宋体" w:cs="宋体"/>
                <w:color w:val="auto"/>
                <w:sz w:val="30"/>
                <w:szCs w:val="30"/>
                <w:highlight w:val="none"/>
              </w:rPr>
            </w:pPr>
          </w:p>
        </w:tc>
        <w:tc>
          <w:tcPr>
            <w:tcW w:w="851" w:type="dxa"/>
            <w:vAlign w:val="center"/>
          </w:tcPr>
          <w:p w14:paraId="1816F5E6">
            <w:pPr>
              <w:adjustRightInd w:val="0"/>
              <w:snapToGrid w:val="0"/>
              <w:jc w:val="center"/>
              <w:rPr>
                <w:rFonts w:hint="eastAsia" w:ascii="宋体" w:hAnsi="宋体" w:eastAsia="宋体" w:cs="宋体"/>
                <w:color w:val="auto"/>
                <w:sz w:val="30"/>
                <w:szCs w:val="30"/>
                <w:highlight w:val="none"/>
              </w:rPr>
            </w:pPr>
          </w:p>
        </w:tc>
        <w:tc>
          <w:tcPr>
            <w:tcW w:w="1044" w:type="dxa"/>
            <w:vAlign w:val="center"/>
          </w:tcPr>
          <w:p w14:paraId="56EC47CA">
            <w:pPr>
              <w:adjustRightInd w:val="0"/>
              <w:snapToGrid w:val="0"/>
              <w:jc w:val="center"/>
              <w:rPr>
                <w:rFonts w:hint="eastAsia" w:ascii="宋体" w:hAnsi="宋体" w:eastAsia="宋体" w:cs="宋体"/>
                <w:color w:val="auto"/>
                <w:sz w:val="30"/>
                <w:szCs w:val="30"/>
                <w:highlight w:val="none"/>
              </w:rPr>
            </w:pPr>
          </w:p>
        </w:tc>
        <w:tc>
          <w:tcPr>
            <w:tcW w:w="992" w:type="dxa"/>
            <w:vAlign w:val="center"/>
          </w:tcPr>
          <w:p w14:paraId="5265A4B9">
            <w:pPr>
              <w:adjustRightInd w:val="0"/>
              <w:snapToGrid w:val="0"/>
              <w:jc w:val="center"/>
              <w:rPr>
                <w:rFonts w:hint="eastAsia" w:ascii="宋体" w:hAnsi="宋体" w:eastAsia="宋体" w:cs="宋体"/>
                <w:color w:val="auto"/>
                <w:sz w:val="30"/>
                <w:szCs w:val="30"/>
                <w:highlight w:val="none"/>
              </w:rPr>
            </w:pPr>
          </w:p>
        </w:tc>
        <w:tc>
          <w:tcPr>
            <w:tcW w:w="851" w:type="dxa"/>
            <w:vAlign w:val="center"/>
          </w:tcPr>
          <w:p w14:paraId="2FE15D52">
            <w:pPr>
              <w:adjustRightInd w:val="0"/>
              <w:snapToGrid w:val="0"/>
              <w:jc w:val="center"/>
              <w:rPr>
                <w:rFonts w:hint="eastAsia" w:ascii="宋体" w:hAnsi="宋体" w:eastAsia="宋体" w:cs="宋体"/>
                <w:color w:val="auto"/>
                <w:sz w:val="30"/>
                <w:szCs w:val="30"/>
                <w:highlight w:val="none"/>
              </w:rPr>
            </w:pPr>
          </w:p>
        </w:tc>
        <w:tc>
          <w:tcPr>
            <w:tcW w:w="1112" w:type="dxa"/>
            <w:vAlign w:val="center"/>
          </w:tcPr>
          <w:p w14:paraId="75580618">
            <w:pPr>
              <w:adjustRightInd w:val="0"/>
              <w:snapToGrid w:val="0"/>
              <w:jc w:val="center"/>
              <w:rPr>
                <w:rFonts w:hint="eastAsia" w:ascii="宋体" w:hAnsi="宋体" w:eastAsia="宋体" w:cs="宋体"/>
                <w:color w:val="auto"/>
                <w:sz w:val="30"/>
                <w:szCs w:val="30"/>
                <w:highlight w:val="none"/>
              </w:rPr>
            </w:pPr>
          </w:p>
        </w:tc>
        <w:tc>
          <w:tcPr>
            <w:tcW w:w="992" w:type="dxa"/>
            <w:vAlign w:val="center"/>
          </w:tcPr>
          <w:p w14:paraId="1AAFE341">
            <w:pPr>
              <w:adjustRightInd w:val="0"/>
              <w:snapToGrid w:val="0"/>
              <w:jc w:val="center"/>
              <w:rPr>
                <w:rFonts w:hint="eastAsia" w:ascii="宋体" w:hAnsi="宋体" w:eastAsia="宋体" w:cs="宋体"/>
                <w:color w:val="auto"/>
                <w:sz w:val="30"/>
                <w:szCs w:val="30"/>
                <w:highlight w:val="none"/>
              </w:rPr>
            </w:pPr>
          </w:p>
        </w:tc>
      </w:tr>
      <w:tr w14:paraId="77A31A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2AD06C3">
            <w:pPr>
              <w:adjustRightInd w:val="0"/>
              <w:snapToGrid w:val="0"/>
              <w:jc w:val="center"/>
              <w:rPr>
                <w:rFonts w:hint="eastAsia" w:ascii="宋体" w:hAnsi="宋体" w:eastAsia="宋体" w:cs="宋体"/>
                <w:color w:val="auto"/>
                <w:sz w:val="30"/>
                <w:szCs w:val="30"/>
                <w:highlight w:val="none"/>
              </w:rPr>
            </w:pPr>
          </w:p>
        </w:tc>
        <w:tc>
          <w:tcPr>
            <w:tcW w:w="1276" w:type="dxa"/>
            <w:vAlign w:val="center"/>
          </w:tcPr>
          <w:p w14:paraId="589A3450">
            <w:pPr>
              <w:adjustRightInd w:val="0"/>
              <w:snapToGrid w:val="0"/>
              <w:jc w:val="center"/>
              <w:rPr>
                <w:rFonts w:hint="eastAsia" w:ascii="宋体" w:hAnsi="宋体" w:eastAsia="宋体" w:cs="宋体"/>
                <w:color w:val="auto"/>
                <w:sz w:val="30"/>
                <w:szCs w:val="30"/>
                <w:highlight w:val="none"/>
              </w:rPr>
            </w:pPr>
          </w:p>
        </w:tc>
        <w:tc>
          <w:tcPr>
            <w:tcW w:w="1418" w:type="dxa"/>
            <w:vAlign w:val="center"/>
          </w:tcPr>
          <w:p w14:paraId="00981999">
            <w:pPr>
              <w:adjustRightInd w:val="0"/>
              <w:snapToGrid w:val="0"/>
              <w:jc w:val="center"/>
              <w:rPr>
                <w:rFonts w:hint="eastAsia" w:ascii="宋体" w:hAnsi="宋体" w:eastAsia="宋体" w:cs="宋体"/>
                <w:color w:val="auto"/>
                <w:sz w:val="30"/>
                <w:szCs w:val="30"/>
                <w:highlight w:val="none"/>
              </w:rPr>
            </w:pPr>
          </w:p>
        </w:tc>
        <w:tc>
          <w:tcPr>
            <w:tcW w:w="940" w:type="dxa"/>
            <w:vAlign w:val="center"/>
          </w:tcPr>
          <w:p w14:paraId="195BF1D8">
            <w:pPr>
              <w:adjustRightInd w:val="0"/>
              <w:snapToGrid w:val="0"/>
              <w:jc w:val="center"/>
              <w:rPr>
                <w:rFonts w:hint="eastAsia" w:ascii="宋体" w:hAnsi="宋体" w:eastAsia="宋体" w:cs="宋体"/>
                <w:color w:val="auto"/>
                <w:sz w:val="30"/>
                <w:szCs w:val="30"/>
                <w:highlight w:val="none"/>
              </w:rPr>
            </w:pPr>
          </w:p>
        </w:tc>
        <w:tc>
          <w:tcPr>
            <w:tcW w:w="851" w:type="dxa"/>
            <w:vAlign w:val="center"/>
          </w:tcPr>
          <w:p w14:paraId="609D5D24">
            <w:pPr>
              <w:adjustRightInd w:val="0"/>
              <w:snapToGrid w:val="0"/>
              <w:jc w:val="center"/>
              <w:rPr>
                <w:rFonts w:hint="eastAsia" w:ascii="宋体" w:hAnsi="宋体" w:eastAsia="宋体" w:cs="宋体"/>
                <w:color w:val="auto"/>
                <w:sz w:val="30"/>
                <w:szCs w:val="30"/>
                <w:highlight w:val="none"/>
              </w:rPr>
            </w:pPr>
          </w:p>
        </w:tc>
        <w:tc>
          <w:tcPr>
            <w:tcW w:w="1044" w:type="dxa"/>
            <w:vAlign w:val="center"/>
          </w:tcPr>
          <w:p w14:paraId="3384766C">
            <w:pPr>
              <w:adjustRightInd w:val="0"/>
              <w:snapToGrid w:val="0"/>
              <w:jc w:val="center"/>
              <w:rPr>
                <w:rFonts w:hint="eastAsia" w:ascii="宋体" w:hAnsi="宋体" w:eastAsia="宋体" w:cs="宋体"/>
                <w:color w:val="auto"/>
                <w:sz w:val="30"/>
                <w:szCs w:val="30"/>
                <w:highlight w:val="none"/>
              </w:rPr>
            </w:pPr>
          </w:p>
        </w:tc>
        <w:tc>
          <w:tcPr>
            <w:tcW w:w="992" w:type="dxa"/>
            <w:vAlign w:val="center"/>
          </w:tcPr>
          <w:p w14:paraId="7274A8A0">
            <w:pPr>
              <w:adjustRightInd w:val="0"/>
              <w:snapToGrid w:val="0"/>
              <w:jc w:val="center"/>
              <w:rPr>
                <w:rFonts w:hint="eastAsia" w:ascii="宋体" w:hAnsi="宋体" w:eastAsia="宋体" w:cs="宋体"/>
                <w:color w:val="auto"/>
                <w:sz w:val="30"/>
                <w:szCs w:val="30"/>
                <w:highlight w:val="none"/>
              </w:rPr>
            </w:pPr>
          </w:p>
        </w:tc>
        <w:tc>
          <w:tcPr>
            <w:tcW w:w="851" w:type="dxa"/>
            <w:vAlign w:val="center"/>
          </w:tcPr>
          <w:p w14:paraId="15A95EF7">
            <w:pPr>
              <w:adjustRightInd w:val="0"/>
              <w:snapToGrid w:val="0"/>
              <w:jc w:val="center"/>
              <w:rPr>
                <w:rFonts w:hint="eastAsia" w:ascii="宋体" w:hAnsi="宋体" w:eastAsia="宋体" w:cs="宋体"/>
                <w:color w:val="auto"/>
                <w:sz w:val="30"/>
                <w:szCs w:val="30"/>
                <w:highlight w:val="none"/>
              </w:rPr>
            </w:pPr>
          </w:p>
        </w:tc>
        <w:tc>
          <w:tcPr>
            <w:tcW w:w="1112" w:type="dxa"/>
            <w:vAlign w:val="center"/>
          </w:tcPr>
          <w:p w14:paraId="2D5C5AED">
            <w:pPr>
              <w:adjustRightInd w:val="0"/>
              <w:snapToGrid w:val="0"/>
              <w:jc w:val="center"/>
              <w:rPr>
                <w:rFonts w:hint="eastAsia" w:ascii="宋体" w:hAnsi="宋体" w:eastAsia="宋体" w:cs="宋体"/>
                <w:color w:val="auto"/>
                <w:sz w:val="30"/>
                <w:szCs w:val="30"/>
                <w:highlight w:val="none"/>
              </w:rPr>
            </w:pPr>
          </w:p>
        </w:tc>
        <w:tc>
          <w:tcPr>
            <w:tcW w:w="992" w:type="dxa"/>
            <w:vAlign w:val="center"/>
          </w:tcPr>
          <w:p w14:paraId="174793B2">
            <w:pPr>
              <w:adjustRightInd w:val="0"/>
              <w:snapToGrid w:val="0"/>
              <w:jc w:val="center"/>
              <w:rPr>
                <w:rFonts w:hint="eastAsia" w:ascii="宋体" w:hAnsi="宋体" w:eastAsia="宋体" w:cs="宋体"/>
                <w:color w:val="auto"/>
                <w:sz w:val="30"/>
                <w:szCs w:val="30"/>
                <w:highlight w:val="none"/>
              </w:rPr>
            </w:pPr>
          </w:p>
        </w:tc>
      </w:tr>
    </w:tbl>
    <w:p w14:paraId="7871AEFE">
      <w:pPr>
        <w:adjustRightInd w:val="0"/>
        <w:snapToGrid w:val="0"/>
        <w:rPr>
          <w:rFonts w:hint="eastAsia" w:ascii="宋体" w:hAnsi="宋体" w:eastAsia="宋体" w:cs="宋体"/>
          <w:color w:val="auto"/>
          <w:sz w:val="30"/>
          <w:szCs w:val="30"/>
          <w:highlight w:val="none"/>
        </w:rPr>
      </w:pPr>
    </w:p>
    <w:p w14:paraId="445A2739">
      <w:pPr>
        <w:adjustRightInd w:val="0"/>
        <w:snapToGrid w:val="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w:t>
      </w:r>
      <w:bookmarkStart w:id="517" w:name="_Toc267261693"/>
      <w:bookmarkStart w:id="518" w:name="_Toc296347225"/>
      <w:bookmarkStart w:id="519" w:name="_Toc296503226"/>
      <w:bookmarkStart w:id="520" w:name="_Toc296944565"/>
      <w:bookmarkStart w:id="521" w:name="_Toc296346727"/>
      <w:bookmarkStart w:id="522" w:name="_Toc296891054"/>
      <w:bookmarkStart w:id="523" w:name="_Toc296891266"/>
      <w:r>
        <w:rPr>
          <w:rFonts w:hint="eastAsia" w:ascii="宋体" w:hAnsi="宋体" w:eastAsia="宋体" w:cs="宋体"/>
          <w:color w:val="auto"/>
          <w:sz w:val="30"/>
          <w:szCs w:val="30"/>
          <w:highlight w:val="none"/>
        </w:rPr>
        <w:t>件3：</w:t>
      </w:r>
      <w:bookmarkEnd w:id="517"/>
      <w:bookmarkEnd w:id="518"/>
      <w:bookmarkEnd w:id="519"/>
      <w:bookmarkEnd w:id="520"/>
      <w:bookmarkEnd w:id="521"/>
      <w:bookmarkEnd w:id="522"/>
      <w:bookmarkEnd w:id="523"/>
      <w:r>
        <w:rPr>
          <w:rFonts w:hint="eastAsia" w:ascii="宋体" w:hAnsi="宋体" w:eastAsia="宋体" w:cs="宋体"/>
          <w:color w:val="auto"/>
          <w:sz w:val="30"/>
          <w:szCs w:val="30"/>
          <w:highlight w:val="none"/>
        </w:rPr>
        <w:t xml:space="preserve">    </w:t>
      </w:r>
    </w:p>
    <w:p w14:paraId="2BAB8A99">
      <w:pPr>
        <w:adjustRightInd w:val="0"/>
        <w:snapToGrid w:val="0"/>
        <w:spacing w:beforeLines="50" w:afterLines="5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工程质量保修书</w:t>
      </w:r>
    </w:p>
    <w:p w14:paraId="1CA8F0F3">
      <w:pPr>
        <w:adjustRightInd w:val="0"/>
        <w:snapToGrid w:val="0"/>
        <w:spacing w:line="80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发包人（全称）：</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喀什中亚南亚工业园区管理委员会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 </w:t>
      </w:r>
    </w:p>
    <w:p w14:paraId="4726AE6F">
      <w:pPr>
        <w:adjustRightInd w:val="0"/>
        <w:snapToGrid w:val="0"/>
        <w:spacing w:line="80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承包人（全称）：</w:t>
      </w:r>
      <w:r>
        <w:rPr>
          <w:rFonts w:hint="eastAsia" w:ascii="宋体" w:hAnsi="宋体" w:eastAsia="宋体" w:cs="宋体"/>
          <w:color w:val="auto"/>
          <w:sz w:val="30"/>
          <w:szCs w:val="30"/>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color w:val="auto"/>
          <w:sz w:val="30"/>
          <w:szCs w:val="30"/>
          <w:highlight w:val="none"/>
        </w:rPr>
        <w:t xml:space="preserve"> </w:t>
      </w:r>
    </w:p>
    <w:p w14:paraId="743536FA">
      <w:pPr>
        <w:adjustRightInd w:val="0"/>
        <w:snapToGrid w:val="0"/>
        <w:rPr>
          <w:rFonts w:hint="eastAsia" w:ascii="宋体" w:hAnsi="宋体" w:eastAsia="宋体" w:cs="宋体"/>
          <w:color w:val="auto"/>
          <w:sz w:val="30"/>
          <w:szCs w:val="30"/>
          <w:highlight w:val="none"/>
        </w:rPr>
      </w:pPr>
    </w:p>
    <w:p w14:paraId="413A0444">
      <w:pPr>
        <w:adjustRightInd w:val="0"/>
        <w:snapToGrid w:val="0"/>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30"/>
          <w:szCs w:val="30"/>
          <w:highlight w:val="none"/>
        </w:rPr>
        <w:t>　　</w:t>
      </w:r>
      <w:r>
        <w:rPr>
          <w:rFonts w:hint="eastAsia" w:ascii="宋体" w:hAnsi="宋体" w:eastAsia="宋体" w:cs="宋体"/>
          <w:color w:val="auto"/>
          <w:sz w:val="28"/>
          <w:szCs w:val="28"/>
          <w:highlight w:val="none"/>
        </w:rPr>
        <w:t>发包人和承包人根据《中华人民共和国建筑法》和《建设工程质量管理条例》，经协商一致就</w:t>
      </w:r>
      <w:r>
        <w:rPr>
          <w:rFonts w:hint="eastAsia" w:ascii="宋体" w:hAnsi="宋体" w:eastAsia="宋体" w:cs="宋体"/>
          <w:color w:val="auto"/>
          <w:sz w:val="28"/>
          <w:szCs w:val="28"/>
          <w:highlight w:val="none"/>
          <w:u w:val="single"/>
        </w:rPr>
        <w:t xml:space="preserve"> 喀什光电保护盖板产业链项目土地平整</w:t>
      </w:r>
      <w:r>
        <w:rPr>
          <w:rFonts w:hint="eastAsia" w:ascii="宋体" w:hAnsi="宋体" w:eastAsia="宋体" w:cs="宋体"/>
          <w:color w:val="auto"/>
          <w:sz w:val="28"/>
          <w:szCs w:val="28"/>
          <w:highlight w:val="none"/>
        </w:rPr>
        <w:t>（工程全称）签订工程质量保修书。</w:t>
      </w:r>
    </w:p>
    <w:p w14:paraId="1DAC36D9">
      <w:pPr>
        <w:adjustRightInd w:val="0"/>
        <w:snapToGrid w:val="0"/>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一、工程质量保修范围和内容</w:t>
      </w:r>
    </w:p>
    <w:p w14:paraId="1FE5FE43">
      <w:pPr>
        <w:adjustRightInd w:val="0"/>
        <w:snapToGrid w:val="0"/>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承包人在质量保修期内，按照有关法律规定和合同约定，承担工程质量保修责任。</w:t>
      </w:r>
    </w:p>
    <w:p w14:paraId="1BBE9DF9">
      <w:pPr>
        <w:adjustRightInd w:val="0"/>
        <w:snapToGrid w:val="0"/>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质量保修以及双方约定的其他项目。具体保修的内容，双方约定如下：</w:t>
      </w:r>
    </w:p>
    <w:p w14:paraId="310FD88C">
      <w:pPr>
        <w:adjustRightInd w:val="0"/>
        <w:snapToGrid w:val="0"/>
        <w:spacing w:line="54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 xml:space="preserve">    　按现行国家和自治区及喀什地区相关规定执行。</w:t>
      </w:r>
    </w:p>
    <w:p w14:paraId="1D57F979">
      <w:pPr>
        <w:adjustRightInd w:val="0"/>
        <w:snapToGrid w:val="0"/>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二、质量保修期</w:t>
      </w:r>
    </w:p>
    <w:p w14:paraId="76EBD5A6">
      <w:pPr>
        <w:adjustRightInd w:val="0"/>
        <w:snapToGrid w:val="0"/>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根据《建设工程质量管理条例》及有关规定，工程的质量保修期如下：</w:t>
      </w:r>
    </w:p>
    <w:p w14:paraId="2078E4FB">
      <w:pPr>
        <w:adjustRightInd w:val="0"/>
        <w:snapToGrid w:val="0"/>
        <w:spacing w:line="540" w:lineRule="exact"/>
        <w:ind w:firstLine="560" w:firstLineChars="200"/>
        <w:rPr>
          <w:rFonts w:hint="eastAsia" w:ascii="宋体" w:hAnsi="宋体" w:eastAsia="宋体" w:cs="宋体"/>
          <w:color w:val="auto"/>
          <w:spacing w:val="-11"/>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pacing w:val="-11"/>
          <w:sz w:val="28"/>
          <w:szCs w:val="28"/>
          <w:highlight w:val="none"/>
        </w:rPr>
        <w:t>地基基础工程和主体结构工程为设计文件规定的工程合理使用年限；</w:t>
      </w:r>
    </w:p>
    <w:p w14:paraId="4CA6A72B">
      <w:pPr>
        <w:adjustRightInd w:val="0"/>
        <w:snapToGrid w:val="0"/>
        <w:spacing w:line="540" w:lineRule="exact"/>
        <w:ind w:firstLine="560" w:firstLineChars="200"/>
        <w:rPr>
          <w:rFonts w:hint="eastAsia" w:ascii="宋体" w:hAnsi="宋体" w:eastAsia="宋体" w:cs="宋体"/>
          <w:color w:val="auto"/>
          <w:spacing w:val="-17"/>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pacing w:val="-17"/>
          <w:sz w:val="28"/>
          <w:szCs w:val="28"/>
          <w:highlight w:val="none"/>
        </w:rPr>
        <w:t>屋面防水工程、有防水要求的卫生间、房间和外墙面的防渗为</w:t>
      </w:r>
      <w:r>
        <w:rPr>
          <w:rFonts w:hint="eastAsia" w:ascii="宋体" w:hAnsi="宋体" w:eastAsia="宋体" w:cs="宋体"/>
          <w:color w:val="auto"/>
          <w:spacing w:val="-17"/>
          <w:sz w:val="28"/>
          <w:szCs w:val="28"/>
          <w:highlight w:val="none"/>
          <w:u w:val="single"/>
        </w:rPr>
        <w:t xml:space="preserve">   </w:t>
      </w:r>
      <w:r>
        <w:rPr>
          <w:rFonts w:hint="eastAsia" w:ascii="宋体" w:hAnsi="宋体" w:eastAsia="宋体" w:cs="宋体"/>
          <w:b/>
          <w:bCs/>
          <w:color w:val="auto"/>
          <w:spacing w:val="-17"/>
          <w:sz w:val="28"/>
          <w:szCs w:val="28"/>
          <w:highlight w:val="none"/>
          <w:u w:val="single"/>
          <w:lang w:val="en-US" w:eastAsia="zh-CN"/>
        </w:rPr>
        <w:t xml:space="preserve">/  </w:t>
      </w:r>
      <w:r>
        <w:rPr>
          <w:rFonts w:hint="eastAsia" w:ascii="宋体" w:hAnsi="宋体" w:eastAsia="宋体" w:cs="宋体"/>
          <w:color w:val="auto"/>
          <w:spacing w:val="-17"/>
          <w:sz w:val="28"/>
          <w:szCs w:val="28"/>
          <w:highlight w:val="none"/>
          <w:u w:val="single"/>
        </w:rPr>
        <w:t xml:space="preserve"> </w:t>
      </w:r>
      <w:r>
        <w:rPr>
          <w:rFonts w:hint="eastAsia" w:ascii="宋体" w:hAnsi="宋体" w:eastAsia="宋体" w:cs="宋体"/>
          <w:color w:val="auto"/>
          <w:spacing w:val="-17"/>
          <w:sz w:val="28"/>
          <w:szCs w:val="28"/>
          <w:highlight w:val="none"/>
        </w:rPr>
        <w:t>年；</w:t>
      </w:r>
    </w:p>
    <w:p w14:paraId="5EA5C3FD">
      <w:pPr>
        <w:adjustRightInd w:val="0"/>
        <w:snapToGrid w:val="0"/>
        <w:spacing w:line="540" w:lineRule="exact"/>
        <w:ind w:left="440" w:leftChars="200" w:firstLine="140" w:firstLineChar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3．装修工程为</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p>
    <w:p w14:paraId="79832995">
      <w:pPr>
        <w:adjustRightInd w:val="0"/>
        <w:snapToGrid w:val="0"/>
        <w:spacing w:line="540" w:lineRule="exact"/>
        <w:ind w:left="440" w:leftChars="200" w:firstLine="140" w:firstLineChar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4．电气管线、给排水管道、设备安装工程为</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p>
    <w:p w14:paraId="719BC271">
      <w:pPr>
        <w:adjustRightInd w:val="0"/>
        <w:snapToGrid w:val="0"/>
        <w:spacing w:line="540" w:lineRule="exact"/>
        <w:ind w:left="440" w:leftChars="200" w:firstLine="140" w:firstLineChar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5．供热与供冷系统为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个采暖期、供冷期；</w:t>
      </w:r>
    </w:p>
    <w:p w14:paraId="2179F722">
      <w:pPr>
        <w:adjustRightInd w:val="0"/>
        <w:snapToGrid w:val="0"/>
        <w:spacing w:line="540" w:lineRule="exact"/>
        <w:ind w:left="440" w:leftChars="200" w:firstLine="140" w:firstLineChar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6．住宅小区内的给排水设施、道路等配套工程为</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p>
    <w:p w14:paraId="72B727AA">
      <w:pPr>
        <w:adjustRightInd w:val="0"/>
        <w:snapToGrid w:val="0"/>
        <w:spacing w:line="540" w:lineRule="exact"/>
        <w:ind w:left="440" w:leftChars="200" w:firstLine="140" w:firstLineChar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7．其他项目保修期限约定如下：</w:t>
      </w:r>
    </w:p>
    <w:p w14:paraId="2B5FB7B5">
      <w:pPr>
        <w:adjustRightInd w:val="0"/>
        <w:snapToGrid w:val="0"/>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04F83187">
      <w:pPr>
        <w:adjustRightInd w:val="0"/>
        <w:snapToGrid w:val="0"/>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质量保修期自工程竣工验收合格之日起计算。</w:t>
      </w:r>
    </w:p>
    <w:p w14:paraId="30A7DEE9">
      <w:pPr>
        <w:adjustRightInd w:val="0"/>
        <w:snapToGrid w:val="0"/>
        <w:spacing w:line="54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三、缺陷责任期</w:t>
      </w:r>
    </w:p>
    <w:p w14:paraId="71E427E8">
      <w:pPr>
        <w:adjustRightInd w:val="0"/>
        <w:snapToGrid w:val="0"/>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工程缺陷责任期为</w:t>
      </w:r>
      <w:r>
        <w:rPr>
          <w:rFonts w:hint="eastAsia" w:ascii="宋体" w:hAnsi="宋体" w:eastAsia="宋体" w:cs="宋体"/>
          <w:color w:val="auto"/>
          <w:sz w:val="28"/>
          <w:szCs w:val="28"/>
          <w:highlight w:val="none"/>
          <w:u w:val="single"/>
        </w:rPr>
        <w:t xml:space="preserve">   24  </w:t>
      </w:r>
      <w:r>
        <w:rPr>
          <w:rFonts w:hint="eastAsia" w:ascii="宋体" w:hAnsi="宋体" w:eastAsia="宋体" w:cs="宋体"/>
          <w:color w:val="auto"/>
          <w:sz w:val="28"/>
          <w:szCs w:val="28"/>
          <w:highlight w:val="none"/>
        </w:rPr>
        <w:t>个月，缺陷责任期自工程实际竣工之日起计算。单位工程先于全部工程进行验收，单位工程缺陷责任期自单位工程验收合格之日起算。</w:t>
      </w:r>
    </w:p>
    <w:p w14:paraId="09F08A64">
      <w:pPr>
        <w:adjustRightInd w:val="0"/>
        <w:snapToGrid w:val="0"/>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缺陷责任期终止后，发包人应退还剩余的质量保证金。</w:t>
      </w:r>
    </w:p>
    <w:p w14:paraId="731903E0">
      <w:pPr>
        <w:adjustRightInd w:val="0"/>
        <w:snapToGrid w:val="0"/>
        <w:spacing w:line="540" w:lineRule="exact"/>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z w:val="28"/>
          <w:szCs w:val="28"/>
          <w:highlight w:val="none"/>
        </w:rPr>
        <w:t>四、质量保修责任</w:t>
      </w:r>
    </w:p>
    <w:p w14:paraId="61A191EC">
      <w:pPr>
        <w:adjustRightInd w:val="0"/>
        <w:snapToGrid w:val="0"/>
        <w:spacing w:line="540" w:lineRule="exact"/>
        <w:ind w:left="110" w:leftChars="50" w:firstLine="574" w:firstLineChars="2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1．属于保修范围、内容的项目，承包人应当在接到保修通知之日起7天内派人保修。承包人不在约定期限内派人保修的，发包人可以委托他人修理。</w:t>
      </w:r>
    </w:p>
    <w:p w14:paraId="7F3AB4EA">
      <w:pPr>
        <w:adjustRightInd w:val="0"/>
        <w:snapToGrid w:val="0"/>
        <w:spacing w:line="540" w:lineRule="exact"/>
        <w:ind w:left="110" w:leftChars="50" w:firstLine="574" w:firstLineChars="2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2．发生紧急事故需抢修的，承包人在接到事故通知后，应当立即到达事故现场抢修。</w:t>
      </w:r>
    </w:p>
    <w:p w14:paraId="2278B748">
      <w:pPr>
        <w:adjustRightInd w:val="0"/>
        <w:snapToGrid w:val="0"/>
        <w:spacing w:line="540" w:lineRule="exact"/>
        <w:ind w:left="110" w:leftChars="50" w:firstLine="574" w:firstLineChars="2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08005FB">
      <w:pPr>
        <w:adjustRightInd w:val="0"/>
        <w:snapToGrid w:val="0"/>
        <w:spacing w:line="540" w:lineRule="exact"/>
        <w:ind w:left="440" w:leftChars="200" w:firstLine="140" w:firstLineChar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4．质量保修完成后，由发包人组织验收。</w:t>
      </w:r>
    </w:p>
    <w:p w14:paraId="5CB612B7">
      <w:pPr>
        <w:adjustRightInd w:val="0"/>
        <w:snapToGrid w:val="0"/>
        <w:spacing w:line="540" w:lineRule="exact"/>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　　</w:t>
      </w:r>
      <w:r>
        <w:rPr>
          <w:rFonts w:hint="eastAsia" w:ascii="宋体" w:hAnsi="宋体" w:eastAsia="宋体" w:cs="宋体"/>
          <w:b/>
          <w:bCs/>
          <w:color w:val="auto"/>
          <w:sz w:val="28"/>
          <w:szCs w:val="28"/>
          <w:highlight w:val="none"/>
        </w:rPr>
        <w:t>五、保修费用</w:t>
      </w:r>
    </w:p>
    <w:p w14:paraId="742078E6">
      <w:pPr>
        <w:adjustRightInd w:val="0"/>
        <w:snapToGrid w:val="0"/>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保修费用由造成质量缺陷的责任方承担。</w:t>
      </w:r>
    </w:p>
    <w:p w14:paraId="197DF682">
      <w:pPr>
        <w:spacing w:line="360" w:lineRule="auto"/>
        <w:jc w:val="left"/>
        <w:rPr>
          <w:rFonts w:hint="eastAsia" w:ascii="宋体" w:hAnsi="宋体" w:eastAsia="宋体" w:cs="宋体"/>
          <w:color w:val="auto"/>
          <w:sz w:val="30"/>
          <w:szCs w:val="30"/>
          <w:highlight w:val="none"/>
        </w:rPr>
      </w:pPr>
      <w:r>
        <w:rPr>
          <w:rFonts w:hint="eastAsia" w:ascii="宋体" w:hAnsi="宋体" w:eastAsia="宋体" w:cs="宋体"/>
          <w:b/>
          <w:bCs/>
          <w:color w:val="auto"/>
          <w:sz w:val="28"/>
          <w:szCs w:val="28"/>
          <w:highlight w:val="none"/>
        </w:rPr>
        <w:t>六、双方约定的其他工程质量保修事项：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rPr>
        <w:t>。</w:t>
      </w:r>
    </w:p>
    <w:p w14:paraId="75FF6F61">
      <w:pPr>
        <w:adjustRightInd w:val="0"/>
        <w:snapToGrid w:val="0"/>
        <w:spacing w:line="54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0C1BE34E">
      <w:pPr>
        <w:adjustRightInd w:val="0"/>
        <w:snapToGrid w:val="0"/>
        <w:spacing w:line="540" w:lineRule="exact"/>
        <w:ind w:firstLine="532" w:firstLineChars="19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工程质量保修书由发包人、承包人在工程竣工验收前共同签署，作为施工合同附件，其有效期限至保修期满。</w:t>
      </w:r>
    </w:p>
    <w:p w14:paraId="180AEE28">
      <w:pPr>
        <w:adjustRightInd w:val="0"/>
        <w:snapToGrid w:val="0"/>
        <w:spacing w:line="540" w:lineRule="exact"/>
        <w:ind w:firstLine="420"/>
        <w:rPr>
          <w:rFonts w:hint="eastAsia" w:ascii="宋体" w:hAnsi="宋体" w:eastAsia="宋体" w:cs="宋体"/>
          <w:color w:val="auto"/>
          <w:sz w:val="28"/>
          <w:szCs w:val="28"/>
          <w:highlight w:val="none"/>
        </w:rPr>
      </w:pPr>
    </w:p>
    <w:p w14:paraId="063C679C">
      <w:pPr>
        <w:adjustRightInd w:val="0"/>
        <w:snapToGrid w:val="0"/>
        <w:spacing w:line="520" w:lineRule="exact"/>
        <w:ind w:left="5600" w:hanging="5600" w:hangingChars="200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发包人：</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承包人：</w:t>
      </w:r>
      <w:r>
        <w:rPr>
          <w:rFonts w:hint="eastAsia" w:ascii="宋体" w:hAnsi="宋体" w:eastAsia="宋体" w:cs="宋体"/>
          <w:color w:val="auto"/>
          <w:sz w:val="28"/>
          <w:szCs w:val="28"/>
          <w:highlight w:val="none"/>
          <w:lang w:val="en-US" w:eastAsia="zh-CN"/>
        </w:rPr>
        <w:t xml:space="preserve">            </w:t>
      </w:r>
    </w:p>
    <w:p w14:paraId="0BD1E99E">
      <w:pPr>
        <w:adjustRightInd w:val="0"/>
        <w:snapToGrid w:val="0"/>
        <w:spacing w:line="520" w:lineRule="exact"/>
        <w:ind w:left="5320" w:hanging="5320" w:hangingChars="1900"/>
        <w:rPr>
          <w:rFonts w:hint="eastAsia" w:ascii="宋体" w:hAnsi="宋体" w:eastAsia="宋体" w:cs="宋体"/>
          <w:color w:val="auto"/>
          <w:sz w:val="28"/>
          <w:szCs w:val="28"/>
          <w:highlight w:val="none"/>
          <w:lang w:val="en-US" w:eastAsia="zh-CN"/>
        </w:rPr>
      </w:pPr>
    </w:p>
    <w:p w14:paraId="70321F1F">
      <w:pPr>
        <w:adjustRightInd w:val="0"/>
        <w:snapToGrid w:val="0"/>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法定代表人或其委托代理人：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法定代表人或其委托代理人：</w:t>
      </w:r>
    </w:p>
    <w:p w14:paraId="08CAD26A">
      <w:pPr>
        <w:adjustRightInd w:val="0"/>
        <w:snapToGrid w:val="0"/>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（签字）</w:t>
      </w:r>
    </w:p>
    <w:p w14:paraId="41105F6E">
      <w:pPr>
        <w:adjustRightInd w:val="0"/>
        <w:snapToGrid w:val="0"/>
        <w:spacing w:line="560" w:lineRule="exact"/>
        <w:rPr>
          <w:rFonts w:hint="eastAsia" w:ascii="宋体" w:hAnsi="宋体" w:eastAsia="宋体" w:cs="宋体"/>
          <w:color w:val="auto"/>
          <w:sz w:val="28"/>
          <w:szCs w:val="28"/>
          <w:highlight w:val="none"/>
          <w:u w:val="single"/>
        </w:rPr>
      </w:pPr>
    </w:p>
    <w:p w14:paraId="154A0B9E">
      <w:pPr>
        <w:tabs>
          <w:tab w:val="left" w:pos="4410"/>
        </w:tabs>
        <w:adjustRightInd w:val="0"/>
        <w:snapToGrid w:val="0"/>
        <w:spacing w:line="56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组织机构代码：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组织机构代码</w:t>
      </w:r>
      <w:r>
        <w:rPr>
          <w:rFonts w:hint="eastAsia" w:ascii="宋体" w:hAnsi="宋体" w:eastAsia="宋体" w:cs="宋体"/>
          <w:color w:val="auto"/>
          <w:sz w:val="28"/>
          <w:szCs w:val="28"/>
          <w:highlight w:val="none"/>
          <w:u w:val="single"/>
          <w:lang w:val="en-US" w:eastAsia="zh-CN"/>
        </w:rPr>
        <w:t xml:space="preserve">                       </w:t>
      </w:r>
    </w:p>
    <w:p w14:paraId="65D953DC">
      <w:pPr>
        <w:adjustRightInd w:val="0"/>
        <w:snapToGrid w:val="0"/>
        <w:spacing w:line="560" w:lineRule="exact"/>
        <w:ind w:left="4760" w:hanging="4760" w:hangingChars="1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地    址：</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2D66E626">
      <w:pPr>
        <w:adjustRightInd w:val="0"/>
        <w:snapToGrid w:val="0"/>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邮政编码：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3AC3ED53">
      <w:pPr>
        <w:adjustRightInd w:val="0"/>
        <w:snapToGrid w:val="0"/>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457BAE02">
      <w:pPr>
        <w:adjustRightInd w:val="0"/>
        <w:snapToGrid w:val="0"/>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51320BD5">
      <w:pPr>
        <w:adjustRightInd w:val="0"/>
        <w:snapToGrid w:val="0"/>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  话：</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电    话：</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7FD177E9">
      <w:pPr>
        <w:adjustRightInd w:val="0"/>
        <w:snapToGrid w:val="0"/>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  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传    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6FC15E28">
      <w:pPr>
        <w:adjustRightInd w:val="0"/>
        <w:snapToGrid w:val="0"/>
        <w:spacing w:line="5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电子信箱：</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电子信箱：</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7FC9E823">
      <w:pPr>
        <w:adjustRightInd w:val="0"/>
        <w:snapToGrid w:val="0"/>
        <w:spacing w:line="560" w:lineRule="exact"/>
        <w:ind w:left="5600" w:hanging="5600" w:hangingChars="200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开户银行：</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开户银行：</w:t>
      </w:r>
      <w:r>
        <w:rPr>
          <w:rFonts w:hint="eastAsia" w:ascii="宋体" w:hAnsi="宋体" w:eastAsia="宋体" w:cs="宋体"/>
          <w:color w:val="auto"/>
          <w:sz w:val="28"/>
          <w:szCs w:val="28"/>
          <w:highlight w:val="none"/>
          <w:u w:val="single"/>
          <w:lang w:val="en-US" w:eastAsia="zh-CN"/>
        </w:rPr>
        <w:t xml:space="preserve">                                </w:t>
      </w:r>
    </w:p>
    <w:p w14:paraId="131444DF">
      <w:pPr>
        <w:adjustRightInd w:val="0"/>
        <w:snapToGrid w:val="0"/>
        <w:spacing w:line="600" w:lineRule="exact"/>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t>账  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账  号：</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highlight w:val="none"/>
        </w:rPr>
        <w:br w:type="page"/>
      </w:r>
    </w:p>
    <w:p w14:paraId="25D96D73">
      <w:pPr>
        <w:adjustRightInd w:val="0"/>
        <w:snapToGrid w:val="0"/>
        <w:spacing w:line="60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附件4：</w:t>
      </w:r>
    </w:p>
    <w:p w14:paraId="5D3114C2">
      <w:pPr>
        <w:adjustRightInd w:val="0"/>
        <w:snapToGrid w:val="0"/>
        <w:spacing w:beforeLines="50" w:afterLines="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主要建设工程文件目录</w:t>
      </w:r>
    </w:p>
    <w:tbl>
      <w:tblPr>
        <w:tblStyle w:val="25"/>
        <w:tblW w:w="90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9"/>
        <w:gridCol w:w="1280"/>
        <w:gridCol w:w="1455"/>
        <w:gridCol w:w="1247"/>
        <w:gridCol w:w="1455"/>
        <w:gridCol w:w="1673"/>
      </w:tblGrid>
      <w:tr w14:paraId="2F9587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9" w:type="dxa"/>
            <w:tcBorders>
              <w:top w:val="single" w:color="auto" w:sz="12" w:space="0"/>
              <w:bottom w:val="double" w:color="auto" w:sz="6" w:space="0"/>
            </w:tcBorders>
            <w:vAlign w:val="center"/>
          </w:tcPr>
          <w:p w14:paraId="6AFD6326">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文件名称</w:t>
            </w:r>
          </w:p>
        </w:tc>
        <w:tc>
          <w:tcPr>
            <w:tcW w:w="1280" w:type="dxa"/>
            <w:tcBorders>
              <w:top w:val="single" w:color="auto" w:sz="12" w:space="0"/>
              <w:bottom w:val="double" w:color="auto" w:sz="6" w:space="0"/>
            </w:tcBorders>
            <w:vAlign w:val="center"/>
          </w:tcPr>
          <w:p w14:paraId="114BE80A">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套数</w:t>
            </w:r>
          </w:p>
        </w:tc>
        <w:tc>
          <w:tcPr>
            <w:tcW w:w="1455" w:type="dxa"/>
            <w:tcBorders>
              <w:top w:val="single" w:color="auto" w:sz="12" w:space="0"/>
              <w:bottom w:val="double" w:color="auto" w:sz="6" w:space="0"/>
            </w:tcBorders>
            <w:vAlign w:val="center"/>
          </w:tcPr>
          <w:p w14:paraId="3F467511">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费用（元）</w:t>
            </w:r>
          </w:p>
        </w:tc>
        <w:tc>
          <w:tcPr>
            <w:tcW w:w="1247" w:type="dxa"/>
            <w:tcBorders>
              <w:top w:val="single" w:color="auto" w:sz="12" w:space="0"/>
              <w:bottom w:val="double" w:color="auto" w:sz="6" w:space="0"/>
            </w:tcBorders>
            <w:vAlign w:val="center"/>
          </w:tcPr>
          <w:p w14:paraId="6D6EC21D">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质量</w:t>
            </w:r>
          </w:p>
        </w:tc>
        <w:tc>
          <w:tcPr>
            <w:tcW w:w="1455" w:type="dxa"/>
            <w:tcBorders>
              <w:top w:val="single" w:color="auto" w:sz="12" w:space="0"/>
              <w:bottom w:val="double" w:color="auto" w:sz="6" w:space="0"/>
            </w:tcBorders>
            <w:vAlign w:val="center"/>
          </w:tcPr>
          <w:p w14:paraId="5E81C12B">
            <w:pPr>
              <w:adjustRightInd w:val="0"/>
              <w:snapToGrid w:val="0"/>
              <w:jc w:val="center"/>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移交时间</w:t>
            </w:r>
          </w:p>
        </w:tc>
        <w:tc>
          <w:tcPr>
            <w:tcW w:w="1673" w:type="dxa"/>
            <w:tcBorders>
              <w:top w:val="single" w:color="auto" w:sz="12" w:space="0"/>
              <w:bottom w:val="double" w:color="auto" w:sz="6" w:space="0"/>
            </w:tcBorders>
            <w:vAlign w:val="center"/>
          </w:tcPr>
          <w:p w14:paraId="378077FF">
            <w:pPr>
              <w:adjustRightInd w:val="0"/>
              <w:snapToGrid w:val="0"/>
              <w:jc w:val="center"/>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责任人</w:t>
            </w:r>
          </w:p>
        </w:tc>
      </w:tr>
      <w:tr w14:paraId="3A2A5D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1959" w:type="dxa"/>
            <w:tcBorders>
              <w:top w:val="double" w:color="auto" w:sz="6" w:space="0"/>
              <w:bottom w:val="single" w:color="auto" w:sz="6" w:space="0"/>
            </w:tcBorders>
            <w:vAlign w:val="center"/>
          </w:tcPr>
          <w:p w14:paraId="0C317D21">
            <w:pPr>
              <w:pStyle w:val="2"/>
              <w:keepNext/>
              <w:snapToGrid w:val="0"/>
              <w:spacing w:line="240" w:lineRule="auto"/>
              <w:ind w:left="63" w:right="63"/>
              <w:rPr>
                <w:rFonts w:hint="eastAsia" w:ascii="宋体" w:hAnsi="宋体" w:eastAsia="宋体" w:cs="宋体"/>
                <w:color w:val="auto"/>
                <w:kern w:val="2"/>
                <w:sz w:val="30"/>
                <w:szCs w:val="30"/>
                <w:highlight w:val="none"/>
                <w:lang w:val="en-US" w:eastAsia="zh-CN"/>
              </w:rPr>
            </w:pPr>
          </w:p>
        </w:tc>
        <w:tc>
          <w:tcPr>
            <w:tcW w:w="1280" w:type="dxa"/>
            <w:tcBorders>
              <w:top w:val="double" w:color="auto" w:sz="6" w:space="0"/>
              <w:bottom w:val="single" w:color="auto" w:sz="6" w:space="0"/>
            </w:tcBorders>
            <w:vAlign w:val="center"/>
          </w:tcPr>
          <w:p w14:paraId="304958B0">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55" w:type="dxa"/>
            <w:tcBorders>
              <w:top w:val="double" w:color="auto" w:sz="6" w:space="0"/>
              <w:bottom w:val="single" w:color="auto" w:sz="6" w:space="0"/>
            </w:tcBorders>
            <w:vAlign w:val="center"/>
          </w:tcPr>
          <w:p w14:paraId="13B0B144">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247" w:type="dxa"/>
            <w:tcBorders>
              <w:top w:val="double" w:color="auto" w:sz="6" w:space="0"/>
              <w:bottom w:val="single" w:color="auto" w:sz="6" w:space="0"/>
            </w:tcBorders>
            <w:vAlign w:val="center"/>
          </w:tcPr>
          <w:p w14:paraId="4A0DF2D3">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55" w:type="dxa"/>
            <w:tcBorders>
              <w:top w:val="double" w:color="auto" w:sz="6" w:space="0"/>
              <w:bottom w:val="single" w:color="auto" w:sz="6" w:space="0"/>
            </w:tcBorders>
            <w:vAlign w:val="center"/>
          </w:tcPr>
          <w:p w14:paraId="5BF7EDE3">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673" w:type="dxa"/>
            <w:tcBorders>
              <w:top w:val="double" w:color="auto" w:sz="6" w:space="0"/>
              <w:bottom w:val="single" w:color="auto" w:sz="6" w:space="0"/>
            </w:tcBorders>
            <w:vAlign w:val="center"/>
          </w:tcPr>
          <w:p w14:paraId="0480D35E">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0EA1A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1959" w:type="dxa"/>
            <w:tcBorders>
              <w:top w:val="nil"/>
            </w:tcBorders>
            <w:vAlign w:val="center"/>
          </w:tcPr>
          <w:p w14:paraId="3061806B">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280" w:type="dxa"/>
            <w:tcBorders>
              <w:top w:val="nil"/>
            </w:tcBorders>
            <w:vAlign w:val="center"/>
          </w:tcPr>
          <w:p w14:paraId="75D18ECC">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55" w:type="dxa"/>
            <w:tcBorders>
              <w:top w:val="nil"/>
            </w:tcBorders>
            <w:vAlign w:val="center"/>
          </w:tcPr>
          <w:p w14:paraId="04D006FA">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247" w:type="dxa"/>
            <w:tcBorders>
              <w:top w:val="nil"/>
            </w:tcBorders>
            <w:vAlign w:val="center"/>
          </w:tcPr>
          <w:p w14:paraId="2EC6735F">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55" w:type="dxa"/>
            <w:tcBorders>
              <w:top w:val="nil"/>
            </w:tcBorders>
            <w:vAlign w:val="center"/>
          </w:tcPr>
          <w:p w14:paraId="549E2188">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673" w:type="dxa"/>
            <w:tcBorders>
              <w:top w:val="nil"/>
            </w:tcBorders>
            <w:vAlign w:val="center"/>
          </w:tcPr>
          <w:p w14:paraId="63538828">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660E9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1959" w:type="dxa"/>
            <w:vAlign w:val="center"/>
          </w:tcPr>
          <w:p w14:paraId="761839A2">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280" w:type="dxa"/>
            <w:vAlign w:val="center"/>
          </w:tcPr>
          <w:p w14:paraId="5C8BA1EE">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55" w:type="dxa"/>
            <w:vAlign w:val="center"/>
          </w:tcPr>
          <w:p w14:paraId="7559C769">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247" w:type="dxa"/>
            <w:vAlign w:val="center"/>
          </w:tcPr>
          <w:p w14:paraId="2ADA2A0B">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55" w:type="dxa"/>
            <w:vAlign w:val="center"/>
          </w:tcPr>
          <w:p w14:paraId="4EB3F810">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673" w:type="dxa"/>
            <w:vAlign w:val="center"/>
          </w:tcPr>
          <w:p w14:paraId="1671D43E">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7E535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1959" w:type="dxa"/>
            <w:vAlign w:val="center"/>
          </w:tcPr>
          <w:p w14:paraId="28F1DCD6">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280" w:type="dxa"/>
            <w:vAlign w:val="center"/>
          </w:tcPr>
          <w:p w14:paraId="33E4E610">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55" w:type="dxa"/>
            <w:vAlign w:val="center"/>
          </w:tcPr>
          <w:p w14:paraId="6FEDD1E3">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247" w:type="dxa"/>
            <w:vAlign w:val="center"/>
          </w:tcPr>
          <w:p w14:paraId="0E1B680F">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55" w:type="dxa"/>
            <w:vAlign w:val="center"/>
          </w:tcPr>
          <w:p w14:paraId="02D19BF4">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673" w:type="dxa"/>
            <w:vAlign w:val="center"/>
          </w:tcPr>
          <w:p w14:paraId="2FF4A207">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0C7AE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1959" w:type="dxa"/>
            <w:vAlign w:val="center"/>
          </w:tcPr>
          <w:p w14:paraId="24CB783E">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280" w:type="dxa"/>
            <w:vAlign w:val="center"/>
          </w:tcPr>
          <w:p w14:paraId="7588045D">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55" w:type="dxa"/>
            <w:vAlign w:val="center"/>
          </w:tcPr>
          <w:p w14:paraId="4A387C5D">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247" w:type="dxa"/>
            <w:vAlign w:val="center"/>
          </w:tcPr>
          <w:p w14:paraId="73366FC9">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55" w:type="dxa"/>
            <w:vAlign w:val="center"/>
          </w:tcPr>
          <w:p w14:paraId="528AF76D">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673" w:type="dxa"/>
            <w:vAlign w:val="center"/>
          </w:tcPr>
          <w:p w14:paraId="52A341C3">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68529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1959" w:type="dxa"/>
            <w:vAlign w:val="center"/>
          </w:tcPr>
          <w:p w14:paraId="7C95355A">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280" w:type="dxa"/>
            <w:vAlign w:val="center"/>
          </w:tcPr>
          <w:p w14:paraId="401A9B48">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55" w:type="dxa"/>
            <w:vAlign w:val="center"/>
          </w:tcPr>
          <w:p w14:paraId="2413F7A5">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247" w:type="dxa"/>
            <w:vAlign w:val="center"/>
          </w:tcPr>
          <w:p w14:paraId="79D0D0E1">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55" w:type="dxa"/>
            <w:vAlign w:val="center"/>
          </w:tcPr>
          <w:p w14:paraId="6F45A129">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673" w:type="dxa"/>
            <w:vAlign w:val="center"/>
          </w:tcPr>
          <w:p w14:paraId="42B50412">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28340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1959" w:type="dxa"/>
            <w:vAlign w:val="center"/>
          </w:tcPr>
          <w:p w14:paraId="27F2369A">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280" w:type="dxa"/>
            <w:vAlign w:val="center"/>
          </w:tcPr>
          <w:p w14:paraId="59B0C762">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55" w:type="dxa"/>
            <w:vAlign w:val="center"/>
          </w:tcPr>
          <w:p w14:paraId="6F6EF97C">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247" w:type="dxa"/>
            <w:vAlign w:val="center"/>
          </w:tcPr>
          <w:p w14:paraId="7015FD94">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55" w:type="dxa"/>
            <w:vAlign w:val="center"/>
          </w:tcPr>
          <w:p w14:paraId="7664A5EC">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673" w:type="dxa"/>
            <w:vAlign w:val="center"/>
          </w:tcPr>
          <w:p w14:paraId="4EDDABF0">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5E973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1959" w:type="dxa"/>
            <w:vAlign w:val="center"/>
          </w:tcPr>
          <w:p w14:paraId="72E39912">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280" w:type="dxa"/>
            <w:vAlign w:val="center"/>
          </w:tcPr>
          <w:p w14:paraId="3E0FABED">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55" w:type="dxa"/>
            <w:vAlign w:val="center"/>
          </w:tcPr>
          <w:p w14:paraId="457C091F">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247" w:type="dxa"/>
            <w:vAlign w:val="center"/>
          </w:tcPr>
          <w:p w14:paraId="24181CD4">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55" w:type="dxa"/>
            <w:vAlign w:val="center"/>
          </w:tcPr>
          <w:p w14:paraId="632CCE33">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673" w:type="dxa"/>
            <w:vAlign w:val="center"/>
          </w:tcPr>
          <w:p w14:paraId="6EB98DF6">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4830E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1959" w:type="dxa"/>
          </w:tcPr>
          <w:p w14:paraId="301646B5">
            <w:pPr>
              <w:adjustRightInd w:val="0"/>
              <w:snapToGrid w:val="0"/>
              <w:jc w:val="center"/>
              <w:rPr>
                <w:rFonts w:hint="eastAsia" w:ascii="宋体" w:hAnsi="宋体" w:eastAsia="宋体" w:cs="宋体"/>
                <w:color w:val="auto"/>
                <w:sz w:val="30"/>
                <w:szCs w:val="30"/>
                <w:highlight w:val="none"/>
              </w:rPr>
            </w:pPr>
          </w:p>
        </w:tc>
        <w:tc>
          <w:tcPr>
            <w:tcW w:w="1280" w:type="dxa"/>
          </w:tcPr>
          <w:p w14:paraId="3EECB5B7">
            <w:pPr>
              <w:adjustRightInd w:val="0"/>
              <w:snapToGrid w:val="0"/>
              <w:jc w:val="center"/>
              <w:rPr>
                <w:rFonts w:hint="eastAsia" w:ascii="宋体" w:hAnsi="宋体" w:eastAsia="宋体" w:cs="宋体"/>
                <w:color w:val="auto"/>
                <w:sz w:val="30"/>
                <w:szCs w:val="30"/>
                <w:highlight w:val="none"/>
              </w:rPr>
            </w:pPr>
          </w:p>
        </w:tc>
        <w:tc>
          <w:tcPr>
            <w:tcW w:w="1455" w:type="dxa"/>
          </w:tcPr>
          <w:p w14:paraId="290C7757">
            <w:pPr>
              <w:adjustRightInd w:val="0"/>
              <w:snapToGrid w:val="0"/>
              <w:jc w:val="center"/>
              <w:rPr>
                <w:rFonts w:hint="eastAsia" w:ascii="宋体" w:hAnsi="宋体" w:eastAsia="宋体" w:cs="宋体"/>
                <w:color w:val="auto"/>
                <w:sz w:val="30"/>
                <w:szCs w:val="30"/>
                <w:highlight w:val="none"/>
              </w:rPr>
            </w:pPr>
          </w:p>
        </w:tc>
        <w:tc>
          <w:tcPr>
            <w:tcW w:w="1247" w:type="dxa"/>
          </w:tcPr>
          <w:p w14:paraId="4B65D95B">
            <w:pPr>
              <w:adjustRightInd w:val="0"/>
              <w:snapToGrid w:val="0"/>
              <w:jc w:val="center"/>
              <w:rPr>
                <w:rFonts w:hint="eastAsia" w:ascii="宋体" w:hAnsi="宋体" w:eastAsia="宋体" w:cs="宋体"/>
                <w:color w:val="auto"/>
                <w:sz w:val="30"/>
                <w:szCs w:val="30"/>
                <w:highlight w:val="none"/>
              </w:rPr>
            </w:pPr>
          </w:p>
        </w:tc>
        <w:tc>
          <w:tcPr>
            <w:tcW w:w="1455" w:type="dxa"/>
          </w:tcPr>
          <w:p w14:paraId="13EA313F">
            <w:pPr>
              <w:adjustRightInd w:val="0"/>
              <w:snapToGrid w:val="0"/>
              <w:jc w:val="center"/>
              <w:rPr>
                <w:rFonts w:hint="eastAsia" w:ascii="宋体" w:hAnsi="宋体" w:eastAsia="宋体" w:cs="宋体"/>
                <w:color w:val="auto"/>
                <w:sz w:val="30"/>
                <w:szCs w:val="30"/>
                <w:highlight w:val="none"/>
              </w:rPr>
            </w:pPr>
          </w:p>
        </w:tc>
        <w:tc>
          <w:tcPr>
            <w:tcW w:w="1673" w:type="dxa"/>
          </w:tcPr>
          <w:p w14:paraId="6870445B">
            <w:pPr>
              <w:adjustRightInd w:val="0"/>
              <w:snapToGrid w:val="0"/>
              <w:jc w:val="center"/>
              <w:rPr>
                <w:rFonts w:hint="eastAsia" w:ascii="宋体" w:hAnsi="宋体" w:eastAsia="宋体" w:cs="宋体"/>
                <w:color w:val="auto"/>
                <w:sz w:val="30"/>
                <w:szCs w:val="30"/>
                <w:highlight w:val="none"/>
              </w:rPr>
            </w:pPr>
          </w:p>
        </w:tc>
      </w:tr>
      <w:tr w14:paraId="09411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1959" w:type="dxa"/>
            <w:vAlign w:val="center"/>
          </w:tcPr>
          <w:p w14:paraId="481A6403">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280" w:type="dxa"/>
            <w:vAlign w:val="center"/>
          </w:tcPr>
          <w:p w14:paraId="2141F9E8">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55" w:type="dxa"/>
            <w:vAlign w:val="center"/>
          </w:tcPr>
          <w:p w14:paraId="44A40DED">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247" w:type="dxa"/>
            <w:vAlign w:val="center"/>
          </w:tcPr>
          <w:p w14:paraId="6887B714">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55" w:type="dxa"/>
            <w:vAlign w:val="center"/>
          </w:tcPr>
          <w:p w14:paraId="49D0467F">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673" w:type="dxa"/>
            <w:vAlign w:val="center"/>
          </w:tcPr>
          <w:p w14:paraId="1F782B01">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2707B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1959" w:type="dxa"/>
          </w:tcPr>
          <w:p w14:paraId="37266AAA">
            <w:pPr>
              <w:adjustRightInd w:val="0"/>
              <w:snapToGrid w:val="0"/>
              <w:jc w:val="center"/>
              <w:rPr>
                <w:rFonts w:hint="eastAsia" w:ascii="宋体" w:hAnsi="宋体" w:eastAsia="宋体" w:cs="宋体"/>
                <w:color w:val="auto"/>
                <w:sz w:val="30"/>
                <w:szCs w:val="30"/>
                <w:highlight w:val="none"/>
              </w:rPr>
            </w:pPr>
          </w:p>
        </w:tc>
        <w:tc>
          <w:tcPr>
            <w:tcW w:w="1280" w:type="dxa"/>
          </w:tcPr>
          <w:p w14:paraId="5046DDC4">
            <w:pPr>
              <w:adjustRightInd w:val="0"/>
              <w:snapToGrid w:val="0"/>
              <w:jc w:val="center"/>
              <w:rPr>
                <w:rFonts w:hint="eastAsia" w:ascii="宋体" w:hAnsi="宋体" w:eastAsia="宋体" w:cs="宋体"/>
                <w:color w:val="auto"/>
                <w:sz w:val="30"/>
                <w:szCs w:val="30"/>
                <w:highlight w:val="none"/>
              </w:rPr>
            </w:pPr>
          </w:p>
        </w:tc>
        <w:tc>
          <w:tcPr>
            <w:tcW w:w="1455" w:type="dxa"/>
          </w:tcPr>
          <w:p w14:paraId="251668E1">
            <w:pPr>
              <w:adjustRightInd w:val="0"/>
              <w:snapToGrid w:val="0"/>
              <w:jc w:val="center"/>
              <w:rPr>
                <w:rFonts w:hint="eastAsia" w:ascii="宋体" w:hAnsi="宋体" w:eastAsia="宋体" w:cs="宋体"/>
                <w:color w:val="auto"/>
                <w:sz w:val="30"/>
                <w:szCs w:val="30"/>
                <w:highlight w:val="none"/>
              </w:rPr>
            </w:pPr>
          </w:p>
        </w:tc>
        <w:tc>
          <w:tcPr>
            <w:tcW w:w="1247" w:type="dxa"/>
          </w:tcPr>
          <w:p w14:paraId="73F7E5E0">
            <w:pPr>
              <w:adjustRightInd w:val="0"/>
              <w:snapToGrid w:val="0"/>
              <w:jc w:val="center"/>
              <w:rPr>
                <w:rFonts w:hint="eastAsia" w:ascii="宋体" w:hAnsi="宋体" w:eastAsia="宋体" w:cs="宋体"/>
                <w:color w:val="auto"/>
                <w:sz w:val="30"/>
                <w:szCs w:val="30"/>
                <w:highlight w:val="none"/>
              </w:rPr>
            </w:pPr>
          </w:p>
        </w:tc>
        <w:tc>
          <w:tcPr>
            <w:tcW w:w="1455" w:type="dxa"/>
          </w:tcPr>
          <w:p w14:paraId="353FFAFF">
            <w:pPr>
              <w:adjustRightInd w:val="0"/>
              <w:snapToGrid w:val="0"/>
              <w:jc w:val="center"/>
              <w:rPr>
                <w:rFonts w:hint="eastAsia" w:ascii="宋体" w:hAnsi="宋体" w:eastAsia="宋体" w:cs="宋体"/>
                <w:color w:val="auto"/>
                <w:sz w:val="30"/>
                <w:szCs w:val="30"/>
                <w:highlight w:val="none"/>
              </w:rPr>
            </w:pPr>
          </w:p>
        </w:tc>
        <w:tc>
          <w:tcPr>
            <w:tcW w:w="1673" w:type="dxa"/>
          </w:tcPr>
          <w:p w14:paraId="6BCDF726">
            <w:pPr>
              <w:adjustRightInd w:val="0"/>
              <w:snapToGrid w:val="0"/>
              <w:jc w:val="center"/>
              <w:rPr>
                <w:rFonts w:hint="eastAsia" w:ascii="宋体" w:hAnsi="宋体" w:eastAsia="宋体" w:cs="宋体"/>
                <w:color w:val="auto"/>
                <w:sz w:val="30"/>
                <w:szCs w:val="30"/>
                <w:highlight w:val="none"/>
              </w:rPr>
            </w:pPr>
          </w:p>
        </w:tc>
      </w:tr>
      <w:tr w14:paraId="313112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1959" w:type="dxa"/>
          </w:tcPr>
          <w:p w14:paraId="213C3043">
            <w:pPr>
              <w:adjustRightInd w:val="0"/>
              <w:snapToGrid w:val="0"/>
              <w:jc w:val="center"/>
              <w:rPr>
                <w:rFonts w:hint="eastAsia" w:ascii="宋体" w:hAnsi="宋体" w:eastAsia="宋体" w:cs="宋体"/>
                <w:color w:val="auto"/>
                <w:sz w:val="30"/>
                <w:szCs w:val="30"/>
                <w:highlight w:val="none"/>
              </w:rPr>
            </w:pPr>
          </w:p>
        </w:tc>
        <w:tc>
          <w:tcPr>
            <w:tcW w:w="1280" w:type="dxa"/>
          </w:tcPr>
          <w:p w14:paraId="721D6D36">
            <w:pPr>
              <w:adjustRightInd w:val="0"/>
              <w:snapToGrid w:val="0"/>
              <w:jc w:val="center"/>
              <w:rPr>
                <w:rFonts w:hint="eastAsia" w:ascii="宋体" w:hAnsi="宋体" w:eastAsia="宋体" w:cs="宋体"/>
                <w:color w:val="auto"/>
                <w:sz w:val="30"/>
                <w:szCs w:val="30"/>
                <w:highlight w:val="none"/>
              </w:rPr>
            </w:pPr>
          </w:p>
        </w:tc>
        <w:tc>
          <w:tcPr>
            <w:tcW w:w="1455" w:type="dxa"/>
          </w:tcPr>
          <w:p w14:paraId="076A77F4">
            <w:pPr>
              <w:adjustRightInd w:val="0"/>
              <w:snapToGrid w:val="0"/>
              <w:jc w:val="center"/>
              <w:rPr>
                <w:rFonts w:hint="eastAsia" w:ascii="宋体" w:hAnsi="宋体" w:eastAsia="宋体" w:cs="宋体"/>
                <w:color w:val="auto"/>
                <w:sz w:val="30"/>
                <w:szCs w:val="30"/>
                <w:highlight w:val="none"/>
              </w:rPr>
            </w:pPr>
          </w:p>
        </w:tc>
        <w:tc>
          <w:tcPr>
            <w:tcW w:w="1247" w:type="dxa"/>
          </w:tcPr>
          <w:p w14:paraId="73FAF5ED">
            <w:pPr>
              <w:adjustRightInd w:val="0"/>
              <w:snapToGrid w:val="0"/>
              <w:jc w:val="center"/>
              <w:rPr>
                <w:rFonts w:hint="eastAsia" w:ascii="宋体" w:hAnsi="宋体" w:eastAsia="宋体" w:cs="宋体"/>
                <w:color w:val="auto"/>
                <w:sz w:val="30"/>
                <w:szCs w:val="30"/>
                <w:highlight w:val="none"/>
              </w:rPr>
            </w:pPr>
          </w:p>
        </w:tc>
        <w:tc>
          <w:tcPr>
            <w:tcW w:w="1455" w:type="dxa"/>
          </w:tcPr>
          <w:p w14:paraId="3B9AF794">
            <w:pPr>
              <w:adjustRightInd w:val="0"/>
              <w:snapToGrid w:val="0"/>
              <w:jc w:val="center"/>
              <w:rPr>
                <w:rFonts w:hint="eastAsia" w:ascii="宋体" w:hAnsi="宋体" w:eastAsia="宋体" w:cs="宋体"/>
                <w:color w:val="auto"/>
                <w:sz w:val="30"/>
                <w:szCs w:val="30"/>
                <w:highlight w:val="none"/>
              </w:rPr>
            </w:pPr>
          </w:p>
        </w:tc>
        <w:tc>
          <w:tcPr>
            <w:tcW w:w="1673" w:type="dxa"/>
          </w:tcPr>
          <w:p w14:paraId="0DEA7A77">
            <w:pPr>
              <w:adjustRightInd w:val="0"/>
              <w:snapToGrid w:val="0"/>
              <w:jc w:val="center"/>
              <w:rPr>
                <w:rFonts w:hint="eastAsia" w:ascii="宋体" w:hAnsi="宋体" w:eastAsia="宋体" w:cs="宋体"/>
                <w:color w:val="auto"/>
                <w:sz w:val="30"/>
                <w:szCs w:val="30"/>
                <w:highlight w:val="none"/>
              </w:rPr>
            </w:pPr>
          </w:p>
        </w:tc>
      </w:tr>
      <w:tr w14:paraId="41765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1959" w:type="dxa"/>
          </w:tcPr>
          <w:p w14:paraId="27323629">
            <w:pPr>
              <w:adjustRightInd w:val="0"/>
              <w:snapToGrid w:val="0"/>
              <w:jc w:val="center"/>
              <w:rPr>
                <w:rFonts w:hint="eastAsia" w:ascii="宋体" w:hAnsi="宋体" w:eastAsia="宋体" w:cs="宋体"/>
                <w:color w:val="auto"/>
                <w:sz w:val="30"/>
                <w:szCs w:val="30"/>
                <w:highlight w:val="none"/>
              </w:rPr>
            </w:pPr>
          </w:p>
        </w:tc>
        <w:tc>
          <w:tcPr>
            <w:tcW w:w="1280" w:type="dxa"/>
          </w:tcPr>
          <w:p w14:paraId="1B80B3C2">
            <w:pPr>
              <w:adjustRightInd w:val="0"/>
              <w:snapToGrid w:val="0"/>
              <w:jc w:val="center"/>
              <w:rPr>
                <w:rFonts w:hint="eastAsia" w:ascii="宋体" w:hAnsi="宋体" w:eastAsia="宋体" w:cs="宋体"/>
                <w:color w:val="auto"/>
                <w:sz w:val="30"/>
                <w:szCs w:val="30"/>
                <w:highlight w:val="none"/>
              </w:rPr>
            </w:pPr>
          </w:p>
        </w:tc>
        <w:tc>
          <w:tcPr>
            <w:tcW w:w="1455" w:type="dxa"/>
          </w:tcPr>
          <w:p w14:paraId="6DE6B047">
            <w:pPr>
              <w:adjustRightInd w:val="0"/>
              <w:snapToGrid w:val="0"/>
              <w:jc w:val="center"/>
              <w:rPr>
                <w:rFonts w:hint="eastAsia" w:ascii="宋体" w:hAnsi="宋体" w:eastAsia="宋体" w:cs="宋体"/>
                <w:color w:val="auto"/>
                <w:sz w:val="30"/>
                <w:szCs w:val="30"/>
                <w:highlight w:val="none"/>
              </w:rPr>
            </w:pPr>
          </w:p>
        </w:tc>
        <w:tc>
          <w:tcPr>
            <w:tcW w:w="1247" w:type="dxa"/>
          </w:tcPr>
          <w:p w14:paraId="29E1E039">
            <w:pPr>
              <w:adjustRightInd w:val="0"/>
              <w:snapToGrid w:val="0"/>
              <w:jc w:val="center"/>
              <w:rPr>
                <w:rFonts w:hint="eastAsia" w:ascii="宋体" w:hAnsi="宋体" w:eastAsia="宋体" w:cs="宋体"/>
                <w:color w:val="auto"/>
                <w:sz w:val="30"/>
                <w:szCs w:val="30"/>
                <w:highlight w:val="none"/>
              </w:rPr>
            </w:pPr>
          </w:p>
        </w:tc>
        <w:tc>
          <w:tcPr>
            <w:tcW w:w="1455" w:type="dxa"/>
          </w:tcPr>
          <w:p w14:paraId="0FAF5D99">
            <w:pPr>
              <w:adjustRightInd w:val="0"/>
              <w:snapToGrid w:val="0"/>
              <w:jc w:val="center"/>
              <w:rPr>
                <w:rFonts w:hint="eastAsia" w:ascii="宋体" w:hAnsi="宋体" w:eastAsia="宋体" w:cs="宋体"/>
                <w:color w:val="auto"/>
                <w:sz w:val="30"/>
                <w:szCs w:val="30"/>
                <w:highlight w:val="none"/>
              </w:rPr>
            </w:pPr>
          </w:p>
        </w:tc>
        <w:tc>
          <w:tcPr>
            <w:tcW w:w="1673" w:type="dxa"/>
          </w:tcPr>
          <w:p w14:paraId="485A41E5">
            <w:pPr>
              <w:adjustRightInd w:val="0"/>
              <w:snapToGrid w:val="0"/>
              <w:jc w:val="center"/>
              <w:rPr>
                <w:rFonts w:hint="eastAsia" w:ascii="宋体" w:hAnsi="宋体" w:eastAsia="宋体" w:cs="宋体"/>
                <w:color w:val="auto"/>
                <w:sz w:val="30"/>
                <w:szCs w:val="30"/>
                <w:highlight w:val="none"/>
              </w:rPr>
            </w:pPr>
          </w:p>
        </w:tc>
      </w:tr>
      <w:tr w14:paraId="6BF59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1959" w:type="dxa"/>
          </w:tcPr>
          <w:p w14:paraId="0FC93A58">
            <w:pPr>
              <w:adjustRightInd w:val="0"/>
              <w:snapToGrid w:val="0"/>
              <w:jc w:val="center"/>
              <w:rPr>
                <w:rFonts w:hint="eastAsia" w:ascii="宋体" w:hAnsi="宋体" w:eastAsia="宋体" w:cs="宋体"/>
                <w:color w:val="auto"/>
                <w:sz w:val="30"/>
                <w:szCs w:val="30"/>
                <w:highlight w:val="none"/>
              </w:rPr>
            </w:pPr>
          </w:p>
        </w:tc>
        <w:tc>
          <w:tcPr>
            <w:tcW w:w="1280" w:type="dxa"/>
          </w:tcPr>
          <w:p w14:paraId="25B5CE00">
            <w:pPr>
              <w:adjustRightInd w:val="0"/>
              <w:snapToGrid w:val="0"/>
              <w:jc w:val="center"/>
              <w:rPr>
                <w:rFonts w:hint="eastAsia" w:ascii="宋体" w:hAnsi="宋体" w:eastAsia="宋体" w:cs="宋体"/>
                <w:color w:val="auto"/>
                <w:sz w:val="30"/>
                <w:szCs w:val="30"/>
                <w:highlight w:val="none"/>
              </w:rPr>
            </w:pPr>
          </w:p>
        </w:tc>
        <w:tc>
          <w:tcPr>
            <w:tcW w:w="1455" w:type="dxa"/>
          </w:tcPr>
          <w:p w14:paraId="1A15F576">
            <w:pPr>
              <w:adjustRightInd w:val="0"/>
              <w:snapToGrid w:val="0"/>
              <w:jc w:val="center"/>
              <w:rPr>
                <w:rFonts w:hint="eastAsia" w:ascii="宋体" w:hAnsi="宋体" w:eastAsia="宋体" w:cs="宋体"/>
                <w:color w:val="auto"/>
                <w:sz w:val="30"/>
                <w:szCs w:val="30"/>
                <w:highlight w:val="none"/>
              </w:rPr>
            </w:pPr>
          </w:p>
        </w:tc>
        <w:tc>
          <w:tcPr>
            <w:tcW w:w="1247" w:type="dxa"/>
          </w:tcPr>
          <w:p w14:paraId="72445BFB">
            <w:pPr>
              <w:adjustRightInd w:val="0"/>
              <w:snapToGrid w:val="0"/>
              <w:jc w:val="center"/>
              <w:rPr>
                <w:rFonts w:hint="eastAsia" w:ascii="宋体" w:hAnsi="宋体" w:eastAsia="宋体" w:cs="宋体"/>
                <w:color w:val="auto"/>
                <w:sz w:val="30"/>
                <w:szCs w:val="30"/>
                <w:highlight w:val="none"/>
              </w:rPr>
            </w:pPr>
          </w:p>
        </w:tc>
        <w:tc>
          <w:tcPr>
            <w:tcW w:w="1455" w:type="dxa"/>
          </w:tcPr>
          <w:p w14:paraId="78DBA2F3">
            <w:pPr>
              <w:adjustRightInd w:val="0"/>
              <w:snapToGrid w:val="0"/>
              <w:jc w:val="center"/>
              <w:rPr>
                <w:rFonts w:hint="eastAsia" w:ascii="宋体" w:hAnsi="宋体" w:eastAsia="宋体" w:cs="宋体"/>
                <w:color w:val="auto"/>
                <w:sz w:val="30"/>
                <w:szCs w:val="30"/>
                <w:highlight w:val="none"/>
              </w:rPr>
            </w:pPr>
          </w:p>
        </w:tc>
        <w:tc>
          <w:tcPr>
            <w:tcW w:w="1673" w:type="dxa"/>
          </w:tcPr>
          <w:p w14:paraId="16BF1A66">
            <w:pPr>
              <w:adjustRightInd w:val="0"/>
              <w:snapToGrid w:val="0"/>
              <w:jc w:val="center"/>
              <w:rPr>
                <w:rFonts w:hint="eastAsia" w:ascii="宋体" w:hAnsi="宋体" w:eastAsia="宋体" w:cs="宋体"/>
                <w:color w:val="auto"/>
                <w:sz w:val="30"/>
                <w:szCs w:val="30"/>
                <w:highlight w:val="none"/>
              </w:rPr>
            </w:pPr>
          </w:p>
        </w:tc>
      </w:tr>
      <w:tr w14:paraId="632BC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1959" w:type="dxa"/>
          </w:tcPr>
          <w:p w14:paraId="41BABC25">
            <w:pPr>
              <w:adjustRightInd w:val="0"/>
              <w:snapToGrid w:val="0"/>
              <w:jc w:val="center"/>
              <w:rPr>
                <w:rFonts w:hint="eastAsia" w:ascii="宋体" w:hAnsi="宋体" w:eastAsia="宋体" w:cs="宋体"/>
                <w:color w:val="auto"/>
                <w:sz w:val="30"/>
                <w:szCs w:val="30"/>
                <w:highlight w:val="none"/>
              </w:rPr>
            </w:pPr>
          </w:p>
        </w:tc>
        <w:tc>
          <w:tcPr>
            <w:tcW w:w="1280" w:type="dxa"/>
          </w:tcPr>
          <w:p w14:paraId="2F8A553F">
            <w:pPr>
              <w:adjustRightInd w:val="0"/>
              <w:snapToGrid w:val="0"/>
              <w:jc w:val="center"/>
              <w:rPr>
                <w:rFonts w:hint="eastAsia" w:ascii="宋体" w:hAnsi="宋体" w:eastAsia="宋体" w:cs="宋体"/>
                <w:color w:val="auto"/>
                <w:sz w:val="30"/>
                <w:szCs w:val="30"/>
                <w:highlight w:val="none"/>
              </w:rPr>
            </w:pPr>
          </w:p>
        </w:tc>
        <w:tc>
          <w:tcPr>
            <w:tcW w:w="1455" w:type="dxa"/>
          </w:tcPr>
          <w:p w14:paraId="654BA794">
            <w:pPr>
              <w:adjustRightInd w:val="0"/>
              <w:snapToGrid w:val="0"/>
              <w:jc w:val="center"/>
              <w:rPr>
                <w:rFonts w:hint="eastAsia" w:ascii="宋体" w:hAnsi="宋体" w:eastAsia="宋体" w:cs="宋体"/>
                <w:color w:val="auto"/>
                <w:sz w:val="30"/>
                <w:szCs w:val="30"/>
                <w:highlight w:val="none"/>
              </w:rPr>
            </w:pPr>
          </w:p>
        </w:tc>
        <w:tc>
          <w:tcPr>
            <w:tcW w:w="1247" w:type="dxa"/>
          </w:tcPr>
          <w:p w14:paraId="1E9E001C">
            <w:pPr>
              <w:adjustRightInd w:val="0"/>
              <w:snapToGrid w:val="0"/>
              <w:jc w:val="center"/>
              <w:rPr>
                <w:rFonts w:hint="eastAsia" w:ascii="宋体" w:hAnsi="宋体" w:eastAsia="宋体" w:cs="宋体"/>
                <w:color w:val="auto"/>
                <w:sz w:val="30"/>
                <w:szCs w:val="30"/>
                <w:highlight w:val="none"/>
              </w:rPr>
            </w:pPr>
          </w:p>
        </w:tc>
        <w:tc>
          <w:tcPr>
            <w:tcW w:w="1455" w:type="dxa"/>
          </w:tcPr>
          <w:p w14:paraId="38A81DF1">
            <w:pPr>
              <w:adjustRightInd w:val="0"/>
              <w:snapToGrid w:val="0"/>
              <w:jc w:val="center"/>
              <w:rPr>
                <w:rFonts w:hint="eastAsia" w:ascii="宋体" w:hAnsi="宋体" w:eastAsia="宋体" w:cs="宋体"/>
                <w:color w:val="auto"/>
                <w:sz w:val="30"/>
                <w:szCs w:val="30"/>
                <w:highlight w:val="none"/>
              </w:rPr>
            </w:pPr>
          </w:p>
        </w:tc>
        <w:tc>
          <w:tcPr>
            <w:tcW w:w="1673" w:type="dxa"/>
          </w:tcPr>
          <w:p w14:paraId="13E0B993">
            <w:pPr>
              <w:adjustRightInd w:val="0"/>
              <w:snapToGrid w:val="0"/>
              <w:jc w:val="center"/>
              <w:rPr>
                <w:rFonts w:hint="eastAsia" w:ascii="宋体" w:hAnsi="宋体" w:eastAsia="宋体" w:cs="宋体"/>
                <w:color w:val="auto"/>
                <w:sz w:val="30"/>
                <w:szCs w:val="30"/>
                <w:highlight w:val="none"/>
              </w:rPr>
            </w:pPr>
          </w:p>
        </w:tc>
      </w:tr>
      <w:tr w14:paraId="36ACE9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1959" w:type="dxa"/>
          </w:tcPr>
          <w:p w14:paraId="4D76CC62">
            <w:pPr>
              <w:adjustRightInd w:val="0"/>
              <w:snapToGrid w:val="0"/>
              <w:jc w:val="center"/>
              <w:rPr>
                <w:rFonts w:hint="eastAsia" w:ascii="宋体" w:hAnsi="宋体" w:eastAsia="宋体" w:cs="宋体"/>
                <w:color w:val="auto"/>
                <w:sz w:val="30"/>
                <w:szCs w:val="30"/>
                <w:highlight w:val="none"/>
              </w:rPr>
            </w:pPr>
          </w:p>
        </w:tc>
        <w:tc>
          <w:tcPr>
            <w:tcW w:w="1280" w:type="dxa"/>
          </w:tcPr>
          <w:p w14:paraId="0BAE2942">
            <w:pPr>
              <w:adjustRightInd w:val="0"/>
              <w:snapToGrid w:val="0"/>
              <w:jc w:val="center"/>
              <w:rPr>
                <w:rFonts w:hint="eastAsia" w:ascii="宋体" w:hAnsi="宋体" w:eastAsia="宋体" w:cs="宋体"/>
                <w:color w:val="auto"/>
                <w:sz w:val="30"/>
                <w:szCs w:val="30"/>
                <w:highlight w:val="none"/>
              </w:rPr>
            </w:pPr>
          </w:p>
        </w:tc>
        <w:tc>
          <w:tcPr>
            <w:tcW w:w="1455" w:type="dxa"/>
          </w:tcPr>
          <w:p w14:paraId="22DBF343">
            <w:pPr>
              <w:adjustRightInd w:val="0"/>
              <w:snapToGrid w:val="0"/>
              <w:jc w:val="center"/>
              <w:rPr>
                <w:rFonts w:hint="eastAsia" w:ascii="宋体" w:hAnsi="宋体" w:eastAsia="宋体" w:cs="宋体"/>
                <w:color w:val="auto"/>
                <w:sz w:val="30"/>
                <w:szCs w:val="30"/>
                <w:highlight w:val="none"/>
              </w:rPr>
            </w:pPr>
          </w:p>
        </w:tc>
        <w:tc>
          <w:tcPr>
            <w:tcW w:w="1247" w:type="dxa"/>
          </w:tcPr>
          <w:p w14:paraId="49EAC7B2">
            <w:pPr>
              <w:adjustRightInd w:val="0"/>
              <w:snapToGrid w:val="0"/>
              <w:jc w:val="center"/>
              <w:rPr>
                <w:rFonts w:hint="eastAsia" w:ascii="宋体" w:hAnsi="宋体" w:eastAsia="宋体" w:cs="宋体"/>
                <w:color w:val="auto"/>
                <w:sz w:val="30"/>
                <w:szCs w:val="30"/>
                <w:highlight w:val="none"/>
              </w:rPr>
            </w:pPr>
          </w:p>
        </w:tc>
        <w:tc>
          <w:tcPr>
            <w:tcW w:w="1455" w:type="dxa"/>
          </w:tcPr>
          <w:p w14:paraId="60A2E1C6">
            <w:pPr>
              <w:adjustRightInd w:val="0"/>
              <w:snapToGrid w:val="0"/>
              <w:jc w:val="center"/>
              <w:rPr>
                <w:rFonts w:hint="eastAsia" w:ascii="宋体" w:hAnsi="宋体" w:eastAsia="宋体" w:cs="宋体"/>
                <w:color w:val="auto"/>
                <w:sz w:val="30"/>
                <w:szCs w:val="30"/>
                <w:highlight w:val="none"/>
              </w:rPr>
            </w:pPr>
          </w:p>
        </w:tc>
        <w:tc>
          <w:tcPr>
            <w:tcW w:w="1673" w:type="dxa"/>
          </w:tcPr>
          <w:p w14:paraId="20CFF2AB">
            <w:pPr>
              <w:adjustRightInd w:val="0"/>
              <w:snapToGrid w:val="0"/>
              <w:jc w:val="center"/>
              <w:rPr>
                <w:rFonts w:hint="eastAsia" w:ascii="宋体" w:hAnsi="宋体" w:eastAsia="宋体" w:cs="宋体"/>
                <w:color w:val="auto"/>
                <w:sz w:val="30"/>
                <w:szCs w:val="30"/>
                <w:highlight w:val="none"/>
              </w:rPr>
            </w:pPr>
          </w:p>
        </w:tc>
      </w:tr>
      <w:tr w14:paraId="640153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1959" w:type="dxa"/>
          </w:tcPr>
          <w:p w14:paraId="7F2C4D68">
            <w:pPr>
              <w:adjustRightInd w:val="0"/>
              <w:snapToGrid w:val="0"/>
              <w:jc w:val="center"/>
              <w:rPr>
                <w:rFonts w:hint="eastAsia" w:ascii="宋体" w:hAnsi="宋体" w:eastAsia="宋体" w:cs="宋体"/>
                <w:color w:val="auto"/>
                <w:sz w:val="30"/>
                <w:szCs w:val="30"/>
                <w:highlight w:val="none"/>
              </w:rPr>
            </w:pPr>
          </w:p>
        </w:tc>
        <w:tc>
          <w:tcPr>
            <w:tcW w:w="1280" w:type="dxa"/>
          </w:tcPr>
          <w:p w14:paraId="74F5F47D">
            <w:pPr>
              <w:adjustRightInd w:val="0"/>
              <w:snapToGrid w:val="0"/>
              <w:jc w:val="center"/>
              <w:rPr>
                <w:rFonts w:hint="eastAsia" w:ascii="宋体" w:hAnsi="宋体" w:eastAsia="宋体" w:cs="宋体"/>
                <w:color w:val="auto"/>
                <w:sz w:val="30"/>
                <w:szCs w:val="30"/>
                <w:highlight w:val="none"/>
              </w:rPr>
            </w:pPr>
          </w:p>
        </w:tc>
        <w:tc>
          <w:tcPr>
            <w:tcW w:w="1455" w:type="dxa"/>
          </w:tcPr>
          <w:p w14:paraId="1678C1A5">
            <w:pPr>
              <w:adjustRightInd w:val="0"/>
              <w:snapToGrid w:val="0"/>
              <w:jc w:val="center"/>
              <w:rPr>
                <w:rFonts w:hint="eastAsia" w:ascii="宋体" w:hAnsi="宋体" w:eastAsia="宋体" w:cs="宋体"/>
                <w:color w:val="auto"/>
                <w:sz w:val="30"/>
                <w:szCs w:val="30"/>
                <w:highlight w:val="none"/>
              </w:rPr>
            </w:pPr>
          </w:p>
        </w:tc>
        <w:tc>
          <w:tcPr>
            <w:tcW w:w="1247" w:type="dxa"/>
          </w:tcPr>
          <w:p w14:paraId="54CCA791">
            <w:pPr>
              <w:adjustRightInd w:val="0"/>
              <w:snapToGrid w:val="0"/>
              <w:jc w:val="center"/>
              <w:rPr>
                <w:rFonts w:hint="eastAsia" w:ascii="宋体" w:hAnsi="宋体" w:eastAsia="宋体" w:cs="宋体"/>
                <w:color w:val="auto"/>
                <w:sz w:val="30"/>
                <w:szCs w:val="30"/>
                <w:highlight w:val="none"/>
              </w:rPr>
            </w:pPr>
          </w:p>
        </w:tc>
        <w:tc>
          <w:tcPr>
            <w:tcW w:w="1455" w:type="dxa"/>
          </w:tcPr>
          <w:p w14:paraId="4AD5B610">
            <w:pPr>
              <w:adjustRightInd w:val="0"/>
              <w:snapToGrid w:val="0"/>
              <w:jc w:val="center"/>
              <w:rPr>
                <w:rFonts w:hint="eastAsia" w:ascii="宋体" w:hAnsi="宋体" w:eastAsia="宋体" w:cs="宋体"/>
                <w:color w:val="auto"/>
                <w:sz w:val="30"/>
                <w:szCs w:val="30"/>
                <w:highlight w:val="none"/>
              </w:rPr>
            </w:pPr>
          </w:p>
        </w:tc>
        <w:tc>
          <w:tcPr>
            <w:tcW w:w="1673" w:type="dxa"/>
          </w:tcPr>
          <w:p w14:paraId="341A9FFB">
            <w:pPr>
              <w:adjustRightInd w:val="0"/>
              <w:snapToGrid w:val="0"/>
              <w:jc w:val="center"/>
              <w:rPr>
                <w:rFonts w:hint="eastAsia" w:ascii="宋体" w:hAnsi="宋体" w:eastAsia="宋体" w:cs="宋体"/>
                <w:color w:val="auto"/>
                <w:sz w:val="30"/>
                <w:szCs w:val="30"/>
                <w:highlight w:val="none"/>
              </w:rPr>
            </w:pPr>
          </w:p>
        </w:tc>
      </w:tr>
      <w:tr w14:paraId="2C03E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1959" w:type="dxa"/>
          </w:tcPr>
          <w:p w14:paraId="0D3D1027">
            <w:pPr>
              <w:adjustRightInd w:val="0"/>
              <w:snapToGrid w:val="0"/>
              <w:jc w:val="center"/>
              <w:rPr>
                <w:rFonts w:hint="eastAsia" w:ascii="宋体" w:hAnsi="宋体" w:eastAsia="宋体" w:cs="宋体"/>
                <w:color w:val="auto"/>
                <w:sz w:val="30"/>
                <w:szCs w:val="30"/>
                <w:highlight w:val="none"/>
              </w:rPr>
            </w:pPr>
          </w:p>
        </w:tc>
        <w:tc>
          <w:tcPr>
            <w:tcW w:w="1280" w:type="dxa"/>
          </w:tcPr>
          <w:p w14:paraId="74348E5E">
            <w:pPr>
              <w:adjustRightInd w:val="0"/>
              <w:snapToGrid w:val="0"/>
              <w:jc w:val="center"/>
              <w:rPr>
                <w:rFonts w:hint="eastAsia" w:ascii="宋体" w:hAnsi="宋体" w:eastAsia="宋体" w:cs="宋体"/>
                <w:color w:val="auto"/>
                <w:sz w:val="30"/>
                <w:szCs w:val="30"/>
                <w:highlight w:val="none"/>
              </w:rPr>
            </w:pPr>
          </w:p>
        </w:tc>
        <w:tc>
          <w:tcPr>
            <w:tcW w:w="1455" w:type="dxa"/>
          </w:tcPr>
          <w:p w14:paraId="7010E2EC">
            <w:pPr>
              <w:adjustRightInd w:val="0"/>
              <w:snapToGrid w:val="0"/>
              <w:jc w:val="center"/>
              <w:rPr>
                <w:rFonts w:hint="eastAsia" w:ascii="宋体" w:hAnsi="宋体" w:eastAsia="宋体" w:cs="宋体"/>
                <w:color w:val="auto"/>
                <w:sz w:val="30"/>
                <w:szCs w:val="30"/>
                <w:highlight w:val="none"/>
              </w:rPr>
            </w:pPr>
          </w:p>
        </w:tc>
        <w:tc>
          <w:tcPr>
            <w:tcW w:w="1247" w:type="dxa"/>
          </w:tcPr>
          <w:p w14:paraId="482DC194">
            <w:pPr>
              <w:adjustRightInd w:val="0"/>
              <w:snapToGrid w:val="0"/>
              <w:jc w:val="center"/>
              <w:rPr>
                <w:rFonts w:hint="eastAsia" w:ascii="宋体" w:hAnsi="宋体" w:eastAsia="宋体" w:cs="宋体"/>
                <w:color w:val="auto"/>
                <w:sz w:val="30"/>
                <w:szCs w:val="30"/>
                <w:highlight w:val="none"/>
              </w:rPr>
            </w:pPr>
          </w:p>
        </w:tc>
        <w:tc>
          <w:tcPr>
            <w:tcW w:w="1455" w:type="dxa"/>
          </w:tcPr>
          <w:p w14:paraId="1683741E">
            <w:pPr>
              <w:adjustRightInd w:val="0"/>
              <w:snapToGrid w:val="0"/>
              <w:jc w:val="center"/>
              <w:rPr>
                <w:rFonts w:hint="eastAsia" w:ascii="宋体" w:hAnsi="宋体" w:eastAsia="宋体" w:cs="宋体"/>
                <w:color w:val="auto"/>
                <w:sz w:val="30"/>
                <w:szCs w:val="30"/>
                <w:highlight w:val="none"/>
              </w:rPr>
            </w:pPr>
          </w:p>
        </w:tc>
        <w:tc>
          <w:tcPr>
            <w:tcW w:w="1673" w:type="dxa"/>
          </w:tcPr>
          <w:p w14:paraId="179FA1C6">
            <w:pPr>
              <w:adjustRightInd w:val="0"/>
              <w:snapToGrid w:val="0"/>
              <w:jc w:val="center"/>
              <w:rPr>
                <w:rFonts w:hint="eastAsia" w:ascii="宋体" w:hAnsi="宋体" w:eastAsia="宋体" w:cs="宋体"/>
                <w:color w:val="auto"/>
                <w:sz w:val="30"/>
                <w:szCs w:val="30"/>
                <w:highlight w:val="none"/>
              </w:rPr>
            </w:pPr>
          </w:p>
        </w:tc>
      </w:tr>
      <w:tr w14:paraId="2214F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1959" w:type="dxa"/>
          </w:tcPr>
          <w:p w14:paraId="1843A9B2">
            <w:pPr>
              <w:adjustRightInd w:val="0"/>
              <w:snapToGrid w:val="0"/>
              <w:jc w:val="center"/>
              <w:rPr>
                <w:rFonts w:hint="eastAsia" w:ascii="宋体" w:hAnsi="宋体" w:eastAsia="宋体" w:cs="宋体"/>
                <w:color w:val="auto"/>
                <w:sz w:val="30"/>
                <w:szCs w:val="30"/>
                <w:highlight w:val="none"/>
              </w:rPr>
            </w:pPr>
          </w:p>
        </w:tc>
        <w:tc>
          <w:tcPr>
            <w:tcW w:w="1280" w:type="dxa"/>
          </w:tcPr>
          <w:p w14:paraId="71E6E083">
            <w:pPr>
              <w:adjustRightInd w:val="0"/>
              <w:snapToGrid w:val="0"/>
              <w:jc w:val="center"/>
              <w:rPr>
                <w:rFonts w:hint="eastAsia" w:ascii="宋体" w:hAnsi="宋体" w:eastAsia="宋体" w:cs="宋体"/>
                <w:color w:val="auto"/>
                <w:sz w:val="30"/>
                <w:szCs w:val="30"/>
                <w:highlight w:val="none"/>
              </w:rPr>
            </w:pPr>
          </w:p>
        </w:tc>
        <w:tc>
          <w:tcPr>
            <w:tcW w:w="1455" w:type="dxa"/>
          </w:tcPr>
          <w:p w14:paraId="5DFC6F4B">
            <w:pPr>
              <w:adjustRightInd w:val="0"/>
              <w:snapToGrid w:val="0"/>
              <w:jc w:val="center"/>
              <w:rPr>
                <w:rFonts w:hint="eastAsia" w:ascii="宋体" w:hAnsi="宋体" w:eastAsia="宋体" w:cs="宋体"/>
                <w:color w:val="auto"/>
                <w:sz w:val="30"/>
                <w:szCs w:val="30"/>
                <w:highlight w:val="none"/>
              </w:rPr>
            </w:pPr>
          </w:p>
        </w:tc>
        <w:tc>
          <w:tcPr>
            <w:tcW w:w="1247" w:type="dxa"/>
          </w:tcPr>
          <w:p w14:paraId="4334CA90">
            <w:pPr>
              <w:adjustRightInd w:val="0"/>
              <w:snapToGrid w:val="0"/>
              <w:jc w:val="center"/>
              <w:rPr>
                <w:rFonts w:hint="eastAsia" w:ascii="宋体" w:hAnsi="宋体" w:eastAsia="宋体" w:cs="宋体"/>
                <w:color w:val="auto"/>
                <w:sz w:val="30"/>
                <w:szCs w:val="30"/>
                <w:highlight w:val="none"/>
              </w:rPr>
            </w:pPr>
          </w:p>
        </w:tc>
        <w:tc>
          <w:tcPr>
            <w:tcW w:w="1455" w:type="dxa"/>
          </w:tcPr>
          <w:p w14:paraId="12F2B5F3">
            <w:pPr>
              <w:adjustRightInd w:val="0"/>
              <w:snapToGrid w:val="0"/>
              <w:jc w:val="center"/>
              <w:rPr>
                <w:rFonts w:hint="eastAsia" w:ascii="宋体" w:hAnsi="宋体" w:eastAsia="宋体" w:cs="宋体"/>
                <w:color w:val="auto"/>
                <w:sz w:val="30"/>
                <w:szCs w:val="30"/>
                <w:highlight w:val="none"/>
              </w:rPr>
            </w:pPr>
          </w:p>
        </w:tc>
        <w:tc>
          <w:tcPr>
            <w:tcW w:w="1673" w:type="dxa"/>
          </w:tcPr>
          <w:p w14:paraId="7752183A">
            <w:pPr>
              <w:adjustRightInd w:val="0"/>
              <w:snapToGrid w:val="0"/>
              <w:jc w:val="center"/>
              <w:rPr>
                <w:rFonts w:hint="eastAsia" w:ascii="宋体" w:hAnsi="宋体" w:eastAsia="宋体" w:cs="宋体"/>
                <w:color w:val="auto"/>
                <w:sz w:val="30"/>
                <w:szCs w:val="30"/>
                <w:highlight w:val="none"/>
              </w:rPr>
            </w:pPr>
          </w:p>
        </w:tc>
      </w:tr>
    </w:tbl>
    <w:p w14:paraId="0C28599D">
      <w:pPr>
        <w:adjustRightInd w:val="0"/>
        <w:snapToGrid w:val="0"/>
        <w:jc w:val="center"/>
        <w:rPr>
          <w:rFonts w:hint="eastAsia" w:ascii="宋体" w:hAnsi="宋体" w:eastAsia="宋体" w:cs="宋体"/>
          <w:color w:val="auto"/>
          <w:sz w:val="30"/>
          <w:szCs w:val="30"/>
          <w:highlight w:val="none"/>
        </w:rPr>
      </w:pPr>
    </w:p>
    <w:p w14:paraId="29ECFEFF">
      <w:pPr>
        <w:adjustRightInd w:val="0"/>
        <w:snapToGrid w:val="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w:t>
      </w:r>
      <w:bookmarkStart w:id="524" w:name="_Toc296944566"/>
      <w:bookmarkStart w:id="525" w:name="_Toc296891055"/>
      <w:bookmarkStart w:id="526" w:name="_Toc267261698"/>
      <w:bookmarkStart w:id="527" w:name="_Toc296346728"/>
      <w:bookmarkStart w:id="528" w:name="_Toc296347226"/>
      <w:bookmarkStart w:id="529" w:name="_Toc296503227"/>
      <w:bookmarkStart w:id="530" w:name="_Toc296891267"/>
      <w:r>
        <w:rPr>
          <w:rFonts w:hint="eastAsia" w:ascii="宋体" w:hAnsi="宋体" w:eastAsia="宋体" w:cs="宋体"/>
          <w:color w:val="auto"/>
          <w:sz w:val="30"/>
          <w:szCs w:val="30"/>
          <w:highlight w:val="none"/>
        </w:rPr>
        <w:t>件5：</w:t>
      </w:r>
    </w:p>
    <w:bookmarkEnd w:id="524"/>
    <w:bookmarkEnd w:id="525"/>
    <w:bookmarkEnd w:id="526"/>
    <w:bookmarkEnd w:id="527"/>
    <w:bookmarkEnd w:id="528"/>
    <w:bookmarkEnd w:id="529"/>
    <w:bookmarkEnd w:id="530"/>
    <w:p w14:paraId="1D047624">
      <w:pPr>
        <w:adjustRightInd w:val="0"/>
        <w:snapToGrid w:val="0"/>
        <w:spacing w:beforeLines="50" w:afterLines="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承包人用于本工程施工的机械设备表</w:t>
      </w:r>
    </w:p>
    <w:tbl>
      <w:tblPr>
        <w:tblStyle w:val="2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6019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10BF698E">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序号</w:t>
            </w:r>
          </w:p>
        </w:tc>
        <w:tc>
          <w:tcPr>
            <w:tcW w:w="1418" w:type="dxa"/>
            <w:tcBorders>
              <w:top w:val="single" w:color="auto" w:sz="12" w:space="0"/>
              <w:bottom w:val="double" w:color="auto" w:sz="6" w:space="0"/>
            </w:tcBorders>
            <w:vAlign w:val="center"/>
          </w:tcPr>
          <w:p w14:paraId="73E74F18">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机械或设备名称</w:t>
            </w:r>
          </w:p>
        </w:tc>
        <w:tc>
          <w:tcPr>
            <w:tcW w:w="850" w:type="dxa"/>
            <w:tcBorders>
              <w:top w:val="single" w:color="auto" w:sz="12" w:space="0"/>
              <w:bottom w:val="double" w:color="auto" w:sz="6" w:space="0"/>
            </w:tcBorders>
            <w:vAlign w:val="center"/>
          </w:tcPr>
          <w:p w14:paraId="786760DB">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规格型号</w:t>
            </w:r>
          </w:p>
        </w:tc>
        <w:tc>
          <w:tcPr>
            <w:tcW w:w="1058" w:type="dxa"/>
            <w:tcBorders>
              <w:top w:val="single" w:color="auto" w:sz="12" w:space="0"/>
              <w:bottom w:val="double" w:color="auto" w:sz="6" w:space="0"/>
            </w:tcBorders>
            <w:vAlign w:val="center"/>
          </w:tcPr>
          <w:p w14:paraId="746DBA89">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数量</w:t>
            </w:r>
          </w:p>
        </w:tc>
        <w:tc>
          <w:tcPr>
            <w:tcW w:w="880" w:type="dxa"/>
            <w:tcBorders>
              <w:top w:val="single" w:color="auto" w:sz="12" w:space="0"/>
              <w:bottom w:val="double" w:color="auto" w:sz="6" w:space="0"/>
            </w:tcBorders>
            <w:vAlign w:val="center"/>
          </w:tcPr>
          <w:p w14:paraId="437D4B60">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产地</w:t>
            </w:r>
          </w:p>
        </w:tc>
        <w:tc>
          <w:tcPr>
            <w:tcW w:w="1020" w:type="dxa"/>
            <w:tcBorders>
              <w:top w:val="single" w:color="auto" w:sz="12" w:space="0"/>
              <w:bottom w:val="double" w:color="auto" w:sz="6" w:space="0"/>
            </w:tcBorders>
            <w:vAlign w:val="center"/>
          </w:tcPr>
          <w:p w14:paraId="5883667C">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制造年份</w:t>
            </w:r>
          </w:p>
        </w:tc>
        <w:tc>
          <w:tcPr>
            <w:tcW w:w="1480" w:type="dxa"/>
            <w:tcBorders>
              <w:top w:val="single" w:color="auto" w:sz="12" w:space="0"/>
              <w:bottom w:val="double" w:color="auto" w:sz="6" w:space="0"/>
            </w:tcBorders>
            <w:vAlign w:val="center"/>
          </w:tcPr>
          <w:p w14:paraId="68F17E48">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额定功率(kW)</w:t>
            </w:r>
          </w:p>
        </w:tc>
        <w:tc>
          <w:tcPr>
            <w:tcW w:w="1020" w:type="dxa"/>
            <w:tcBorders>
              <w:top w:val="single" w:color="auto" w:sz="12" w:space="0"/>
              <w:bottom w:val="double" w:color="auto" w:sz="6" w:space="0"/>
            </w:tcBorders>
            <w:vAlign w:val="center"/>
          </w:tcPr>
          <w:p w14:paraId="016436DD">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生产能力</w:t>
            </w:r>
          </w:p>
        </w:tc>
        <w:tc>
          <w:tcPr>
            <w:tcW w:w="921" w:type="dxa"/>
            <w:tcBorders>
              <w:top w:val="single" w:color="auto" w:sz="12" w:space="0"/>
              <w:bottom w:val="double" w:color="auto" w:sz="6" w:space="0"/>
            </w:tcBorders>
            <w:vAlign w:val="center"/>
          </w:tcPr>
          <w:p w14:paraId="5556EE0D">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备注</w:t>
            </w:r>
          </w:p>
        </w:tc>
      </w:tr>
      <w:tr w14:paraId="19B16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215230C3">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18" w:type="dxa"/>
            <w:tcBorders>
              <w:top w:val="double" w:color="auto" w:sz="6" w:space="0"/>
              <w:bottom w:val="single" w:color="auto" w:sz="6" w:space="0"/>
            </w:tcBorders>
            <w:vAlign w:val="center"/>
          </w:tcPr>
          <w:p w14:paraId="767E3C43">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0" w:type="dxa"/>
            <w:tcBorders>
              <w:top w:val="double" w:color="auto" w:sz="6" w:space="0"/>
              <w:bottom w:val="single" w:color="auto" w:sz="6" w:space="0"/>
            </w:tcBorders>
            <w:vAlign w:val="center"/>
          </w:tcPr>
          <w:p w14:paraId="6A07C7E6">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58" w:type="dxa"/>
            <w:tcBorders>
              <w:top w:val="double" w:color="auto" w:sz="6" w:space="0"/>
              <w:bottom w:val="single" w:color="auto" w:sz="6" w:space="0"/>
            </w:tcBorders>
            <w:vAlign w:val="center"/>
          </w:tcPr>
          <w:p w14:paraId="1A810455">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80" w:type="dxa"/>
            <w:tcBorders>
              <w:top w:val="double" w:color="auto" w:sz="6" w:space="0"/>
              <w:bottom w:val="single" w:color="auto" w:sz="6" w:space="0"/>
            </w:tcBorders>
            <w:vAlign w:val="center"/>
          </w:tcPr>
          <w:p w14:paraId="38503F88">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20" w:type="dxa"/>
            <w:tcBorders>
              <w:top w:val="double" w:color="auto" w:sz="6" w:space="0"/>
              <w:bottom w:val="single" w:color="auto" w:sz="6" w:space="0"/>
            </w:tcBorders>
            <w:vAlign w:val="center"/>
          </w:tcPr>
          <w:p w14:paraId="11839C5C">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80" w:type="dxa"/>
            <w:tcBorders>
              <w:top w:val="double" w:color="auto" w:sz="6" w:space="0"/>
              <w:bottom w:val="single" w:color="auto" w:sz="6" w:space="0"/>
            </w:tcBorders>
            <w:vAlign w:val="center"/>
          </w:tcPr>
          <w:p w14:paraId="2AEC1FC0">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20" w:type="dxa"/>
            <w:tcBorders>
              <w:top w:val="double" w:color="auto" w:sz="6" w:space="0"/>
              <w:bottom w:val="single" w:color="auto" w:sz="6" w:space="0"/>
            </w:tcBorders>
            <w:vAlign w:val="center"/>
          </w:tcPr>
          <w:p w14:paraId="7D776FB2">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21" w:type="dxa"/>
            <w:tcBorders>
              <w:top w:val="double" w:color="auto" w:sz="6" w:space="0"/>
              <w:bottom w:val="single" w:color="auto" w:sz="6" w:space="0"/>
            </w:tcBorders>
            <w:vAlign w:val="center"/>
          </w:tcPr>
          <w:p w14:paraId="68905147">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47D1E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4DB0C2C6">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18" w:type="dxa"/>
            <w:tcBorders>
              <w:top w:val="nil"/>
            </w:tcBorders>
            <w:vAlign w:val="center"/>
          </w:tcPr>
          <w:p w14:paraId="187A5AA1">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0" w:type="dxa"/>
            <w:tcBorders>
              <w:top w:val="nil"/>
            </w:tcBorders>
            <w:vAlign w:val="center"/>
          </w:tcPr>
          <w:p w14:paraId="3E11ADAC">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58" w:type="dxa"/>
            <w:tcBorders>
              <w:top w:val="nil"/>
            </w:tcBorders>
            <w:vAlign w:val="center"/>
          </w:tcPr>
          <w:p w14:paraId="050DBFD4">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80" w:type="dxa"/>
            <w:tcBorders>
              <w:top w:val="nil"/>
            </w:tcBorders>
            <w:vAlign w:val="center"/>
          </w:tcPr>
          <w:p w14:paraId="03313FAA">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20" w:type="dxa"/>
            <w:tcBorders>
              <w:top w:val="nil"/>
            </w:tcBorders>
            <w:vAlign w:val="center"/>
          </w:tcPr>
          <w:p w14:paraId="7A925A21">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80" w:type="dxa"/>
            <w:tcBorders>
              <w:top w:val="nil"/>
            </w:tcBorders>
            <w:vAlign w:val="center"/>
          </w:tcPr>
          <w:p w14:paraId="2267B67A">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20" w:type="dxa"/>
            <w:tcBorders>
              <w:top w:val="nil"/>
            </w:tcBorders>
            <w:vAlign w:val="center"/>
          </w:tcPr>
          <w:p w14:paraId="72680025">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21" w:type="dxa"/>
            <w:tcBorders>
              <w:top w:val="nil"/>
            </w:tcBorders>
            <w:vAlign w:val="center"/>
          </w:tcPr>
          <w:p w14:paraId="23CA2D47">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505226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409C30C">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18" w:type="dxa"/>
            <w:vAlign w:val="center"/>
          </w:tcPr>
          <w:p w14:paraId="79CD0BDC">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0" w:type="dxa"/>
            <w:vAlign w:val="center"/>
          </w:tcPr>
          <w:p w14:paraId="64003AAF">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58" w:type="dxa"/>
            <w:vAlign w:val="center"/>
          </w:tcPr>
          <w:p w14:paraId="0339A972">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80" w:type="dxa"/>
            <w:vAlign w:val="center"/>
          </w:tcPr>
          <w:p w14:paraId="23C9E8B7">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20" w:type="dxa"/>
            <w:vAlign w:val="center"/>
          </w:tcPr>
          <w:p w14:paraId="68A4B22F">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80" w:type="dxa"/>
            <w:vAlign w:val="center"/>
          </w:tcPr>
          <w:p w14:paraId="44BA2A5B">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20" w:type="dxa"/>
            <w:vAlign w:val="center"/>
          </w:tcPr>
          <w:p w14:paraId="08193A6A">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21" w:type="dxa"/>
            <w:vAlign w:val="center"/>
          </w:tcPr>
          <w:p w14:paraId="6C8BD861">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0E38E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47F3DD5">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18" w:type="dxa"/>
            <w:vAlign w:val="center"/>
          </w:tcPr>
          <w:p w14:paraId="41FF7A81">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0" w:type="dxa"/>
            <w:vAlign w:val="center"/>
          </w:tcPr>
          <w:p w14:paraId="5DCBB0CE">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58" w:type="dxa"/>
            <w:vAlign w:val="center"/>
          </w:tcPr>
          <w:p w14:paraId="23404D3F">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80" w:type="dxa"/>
            <w:vAlign w:val="center"/>
          </w:tcPr>
          <w:p w14:paraId="5E1CAA56">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20" w:type="dxa"/>
            <w:vAlign w:val="center"/>
          </w:tcPr>
          <w:p w14:paraId="08DCFE34">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80" w:type="dxa"/>
            <w:vAlign w:val="center"/>
          </w:tcPr>
          <w:p w14:paraId="30CBF621">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20" w:type="dxa"/>
            <w:vAlign w:val="center"/>
          </w:tcPr>
          <w:p w14:paraId="3C925F4A">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21" w:type="dxa"/>
            <w:vAlign w:val="center"/>
          </w:tcPr>
          <w:p w14:paraId="16F6610B">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01E8FA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C72AC8B">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18" w:type="dxa"/>
            <w:vAlign w:val="center"/>
          </w:tcPr>
          <w:p w14:paraId="52D4AB3B">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0" w:type="dxa"/>
            <w:vAlign w:val="center"/>
          </w:tcPr>
          <w:p w14:paraId="3D252FF8">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58" w:type="dxa"/>
            <w:vAlign w:val="center"/>
          </w:tcPr>
          <w:p w14:paraId="60426881">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80" w:type="dxa"/>
            <w:vAlign w:val="center"/>
          </w:tcPr>
          <w:p w14:paraId="65B31235">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20" w:type="dxa"/>
            <w:vAlign w:val="center"/>
          </w:tcPr>
          <w:p w14:paraId="340F27DF">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80" w:type="dxa"/>
            <w:vAlign w:val="center"/>
          </w:tcPr>
          <w:p w14:paraId="6F4EAB54">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20" w:type="dxa"/>
            <w:vAlign w:val="center"/>
          </w:tcPr>
          <w:p w14:paraId="4AF74177">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21" w:type="dxa"/>
            <w:vAlign w:val="center"/>
          </w:tcPr>
          <w:p w14:paraId="7A3E2C3D">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585D90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223918E">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18" w:type="dxa"/>
            <w:vAlign w:val="center"/>
          </w:tcPr>
          <w:p w14:paraId="600E79A3">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0" w:type="dxa"/>
            <w:vAlign w:val="center"/>
          </w:tcPr>
          <w:p w14:paraId="0278CD94">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58" w:type="dxa"/>
            <w:vAlign w:val="center"/>
          </w:tcPr>
          <w:p w14:paraId="4ABC6C22">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80" w:type="dxa"/>
            <w:vAlign w:val="center"/>
          </w:tcPr>
          <w:p w14:paraId="34BFC3A3">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20" w:type="dxa"/>
            <w:vAlign w:val="center"/>
          </w:tcPr>
          <w:p w14:paraId="16EB01AC">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80" w:type="dxa"/>
            <w:vAlign w:val="center"/>
          </w:tcPr>
          <w:p w14:paraId="6AA98F3F">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20" w:type="dxa"/>
            <w:vAlign w:val="center"/>
          </w:tcPr>
          <w:p w14:paraId="4487BC38">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21" w:type="dxa"/>
            <w:vAlign w:val="center"/>
          </w:tcPr>
          <w:p w14:paraId="10B30A4A">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76CBA7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9601055">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18" w:type="dxa"/>
            <w:vAlign w:val="center"/>
          </w:tcPr>
          <w:p w14:paraId="6D9A2003">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0" w:type="dxa"/>
            <w:vAlign w:val="center"/>
          </w:tcPr>
          <w:p w14:paraId="47685893">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58" w:type="dxa"/>
            <w:vAlign w:val="center"/>
          </w:tcPr>
          <w:p w14:paraId="59053F9B">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80" w:type="dxa"/>
            <w:vAlign w:val="center"/>
          </w:tcPr>
          <w:p w14:paraId="0485900A">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20" w:type="dxa"/>
            <w:vAlign w:val="center"/>
          </w:tcPr>
          <w:p w14:paraId="2DF21C31">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80" w:type="dxa"/>
            <w:vAlign w:val="center"/>
          </w:tcPr>
          <w:p w14:paraId="7FA43CC8">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20" w:type="dxa"/>
            <w:vAlign w:val="center"/>
          </w:tcPr>
          <w:p w14:paraId="539AE0BD">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21" w:type="dxa"/>
            <w:vAlign w:val="center"/>
          </w:tcPr>
          <w:p w14:paraId="6F25079A">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135F2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702711E">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18" w:type="dxa"/>
            <w:vAlign w:val="center"/>
          </w:tcPr>
          <w:p w14:paraId="0FB8331D">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0" w:type="dxa"/>
            <w:vAlign w:val="center"/>
          </w:tcPr>
          <w:p w14:paraId="5610B855">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58" w:type="dxa"/>
            <w:vAlign w:val="center"/>
          </w:tcPr>
          <w:p w14:paraId="08C95CE8">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80" w:type="dxa"/>
            <w:vAlign w:val="center"/>
          </w:tcPr>
          <w:p w14:paraId="6BE2992D">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20" w:type="dxa"/>
            <w:vAlign w:val="center"/>
          </w:tcPr>
          <w:p w14:paraId="678B6A5C">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80" w:type="dxa"/>
            <w:vAlign w:val="center"/>
          </w:tcPr>
          <w:p w14:paraId="20916E0C">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20" w:type="dxa"/>
            <w:vAlign w:val="center"/>
          </w:tcPr>
          <w:p w14:paraId="1B7055F8">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21" w:type="dxa"/>
            <w:vAlign w:val="center"/>
          </w:tcPr>
          <w:p w14:paraId="3ECF338B">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3D0D5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E10692A">
            <w:pPr>
              <w:adjustRightInd w:val="0"/>
              <w:snapToGrid w:val="0"/>
              <w:rPr>
                <w:rFonts w:hint="eastAsia" w:ascii="宋体" w:hAnsi="宋体" w:eastAsia="宋体" w:cs="宋体"/>
                <w:color w:val="auto"/>
                <w:sz w:val="30"/>
                <w:szCs w:val="30"/>
                <w:highlight w:val="none"/>
              </w:rPr>
            </w:pPr>
          </w:p>
        </w:tc>
        <w:tc>
          <w:tcPr>
            <w:tcW w:w="1418" w:type="dxa"/>
          </w:tcPr>
          <w:p w14:paraId="039937CB">
            <w:pPr>
              <w:adjustRightInd w:val="0"/>
              <w:snapToGrid w:val="0"/>
              <w:rPr>
                <w:rFonts w:hint="eastAsia" w:ascii="宋体" w:hAnsi="宋体" w:eastAsia="宋体" w:cs="宋体"/>
                <w:color w:val="auto"/>
                <w:sz w:val="30"/>
                <w:szCs w:val="30"/>
                <w:highlight w:val="none"/>
              </w:rPr>
            </w:pPr>
          </w:p>
        </w:tc>
        <w:tc>
          <w:tcPr>
            <w:tcW w:w="850" w:type="dxa"/>
          </w:tcPr>
          <w:p w14:paraId="32F13C58">
            <w:pPr>
              <w:adjustRightInd w:val="0"/>
              <w:snapToGrid w:val="0"/>
              <w:rPr>
                <w:rFonts w:hint="eastAsia" w:ascii="宋体" w:hAnsi="宋体" w:eastAsia="宋体" w:cs="宋体"/>
                <w:color w:val="auto"/>
                <w:sz w:val="30"/>
                <w:szCs w:val="30"/>
                <w:highlight w:val="none"/>
              </w:rPr>
            </w:pPr>
          </w:p>
        </w:tc>
        <w:tc>
          <w:tcPr>
            <w:tcW w:w="1058" w:type="dxa"/>
          </w:tcPr>
          <w:p w14:paraId="5C4E0574">
            <w:pPr>
              <w:adjustRightInd w:val="0"/>
              <w:snapToGrid w:val="0"/>
              <w:rPr>
                <w:rFonts w:hint="eastAsia" w:ascii="宋体" w:hAnsi="宋体" w:eastAsia="宋体" w:cs="宋体"/>
                <w:color w:val="auto"/>
                <w:sz w:val="30"/>
                <w:szCs w:val="30"/>
                <w:highlight w:val="none"/>
              </w:rPr>
            </w:pPr>
          </w:p>
        </w:tc>
        <w:tc>
          <w:tcPr>
            <w:tcW w:w="880" w:type="dxa"/>
          </w:tcPr>
          <w:p w14:paraId="76A33238">
            <w:pPr>
              <w:adjustRightInd w:val="0"/>
              <w:snapToGrid w:val="0"/>
              <w:rPr>
                <w:rFonts w:hint="eastAsia" w:ascii="宋体" w:hAnsi="宋体" w:eastAsia="宋体" w:cs="宋体"/>
                <w:color w:val="auto"/>
                <w:sz w:val="30"/>
                <w:szCs w:val="30"/>
                <w:highlight w:val="none"/>
              </w:rPr>
            </w:pPr>
          </w:p>
        </w:tc>
        <w:tc>
          <w:tcPr>
            <w:tcW w:w="1020" w:type="dxa"/>
          </w:tcPr>
          <w:p w14:paraId="39115009">
            <w:pPr>
              <w:adjustRightInd w:val="0"/>
              <w:snapToGrid w:val="0"/>
              <w:rPr>
                <w:rFonts w:hint="eastAsia" w:ascii="宋体" w:hAnsi="宋体" w:eastAsia="宋体" w:cs="宋体"/>
                <w:color w:val="auto"/>
                <w:sz w:val="30"/>
                <w:szCs w:val="30"/>
                <w:highlight w:val="none"/>
              </w:rPr>
            </w:pPr>
          </w:p>
        </w:tc>
        <w:tc>
          <w:tcPr>
            <w:tcW w:w="1480" w:type="dxa"/>
          </w:tcPr>
          <w:p w14:paraId="713E4E36">
            <w:pPr>
              <w:adjustRightInd w:val="0"/>
              <w:snapToGrid w:val="0"/>
              <w:rPr>
                <w:rFonts w:hint="eastAsia" w:ascii="宋体" w:hAnsi="宋体" w:eastAsia="宋体" w:cs="宋体"/>
                <w:color w:val="auto"/>
                <w:sz w:val="30"/>
                <w:szCs w:val="30"/>
                <w:highlight w:val="none"/>
              </w:rPr>
            </w:pPr>
          </w:p>
        </w:tc>
        <w:tc>
          <w:tcPr>
            <w:tcW w:w="1020" w:type="dxa"/>
          </w:tcPr>
          <w:p w14:paraId="2042BFF2">
            <w:pPr>
              <w:adjustRightInd w:val="0"/>
              <w:snapToGrid w:val="0"/>
              <w:rPr>
                <w:rFonts w:hint="eastAsia" w:ascii="宋体" w:hAnsi="宋体" w:eastAsia="宋体" w:cs="宋体"/>
                <w:color w:val="auto"/>
                <w:sz w:val="30"/>
                <w:szCs w:val="30"/>
                <w:highlight w:val="none"/>
              </w:rPr>
            </w:pPr>
          </w:p>
        </w:tc>
        <w:tc>
          <w:tcPr>
            <w:tcW w:w="921" w:type="dxa"/>
          </w:tcPr>
          <w:p w14:paraId="3E56E358">
            <w:pPr>
              <w:adjustRightInd w:val="0"/>
              <w:snapToGrid w:val="0"/>
              <w:rPr>
                <w:rFonts w:hint="eastAsia" w:ascii="宋体" w:hAnsi="宋体" w:eastAsia="宋体" w:cs="宋体"/>
                <w:color w:val="auto"/>
                <w:sz w:val="30"/>
                <w:szCs w:val="30"/>
                <w:highlight w:val="none"/>
              </w:rPr>
            </w:pPr>
          </w:p>
        </w:tc>
      </w:tr>
      <w:tr w14:paraId="1FBA87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A17C40A">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18" w:type="dxa"/>
            <w:vAlign w:val="center"/>
          </w:tcPr>
          <w:p w14:paraId="1CC4E4F7">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50" w:type="dxa"/>
            <w:vAlign w:val="center"/>
          </w:tcPr>
          <w:p w14:paraId="0D7F9053">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58" w:type="dxa"/>
            <w:vAlign w:val="center"/>
          </w:tcPr>
          <w:p w14:paraId="2F54A469">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880" w:type="dxa"/>
            <w:vAlign w:val="center"/>
          </w:tcPr>
          <w:p w14:paraId="3EE4E9EE">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20" w:type="dxa"/>
            <w:vAlign w:val="center"/>
          </w:tcPr>
          <w:p w14:paraId="1408CFDF">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480" w:type="dxa"/>
            <w:vAlign w:val="center"/>
          </w:tcPr>
          <w:p w14:paraId="65E60926">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020" w:type="dxa"/>
            <w:vAlign w:val="center"/>
          </w:tcPr>
          <w:p w14:paraId="4AA19DDA">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921" w:type="dxa"/>
            <w:vAlign w:val="center"/>
          </w:tcPr>
          <w:p w14:paraId="537738C9">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1D6FC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ED895DB">
            <w:pPr>
              <w:adjustRightInd w:val="0"/>
              <w:snapToGrid w:val="0"/>
              <w:rPr>
                <w:rFonts w:hint="eastAsia" w:ascii="宋体" w:hAnsi="宋体" w:eastAsia="宋体" w:cs="宋体"/>
                <w:color w:val="auto"/>
                <w:sz w:val="30"/>
                <w:szCs w:val="30"/>
                <w:highlight w:val="none"/>
              </w:rPr>
            </w:pPr>
          </w:p>
        </w:tc>
        <w:tc>
          <w:tcPr>
            <w:tcW w:w="1418" w:type="dxa"/>
          </w:tcPr>
          <w:p w14:paraId="2E920739">
            <w:pPr>
              <w:adjustRightInd w:val="0"/>
              <w:snapToGrid w:val="0"/>
              <w:rPr>
                <w:rFonts w:hint="eastAsia" w:ascii="宋体" w:hAnsi="宋体" w:eastAsia="宋体" w:cs="宋体"/>
                <w:color w:val="auto"/>
                <w:sz w:val="30"/>
                <w:szCs w:val="30"/>
                <w:highlight w:val="none"/>
              </w:rPr>
            </w:pPr>
          </w:p>
        </w:tc>
        <w:tc>
          <w:tcPr>
            <w:tcW w:w="850" w:type="dxa"/>
          </w:tcPr>
          <w:p w14:paraId="1594B919">
            <w:pPr>
              <w:adjustRightInd w:val="0"/>
              <w:snapToGrid w:val="0"/>
              <w:rPr>
                <w:rFonts w:hint="eastAsia" w:ascii="宋体" w:hAnsi="宋体" w:eastAsia="宋体" w:cs="宋体"/>
                <w:color w:val="auto"/>
                <w:sz w:val="30"/>
                <w:szCs w:val="30"/>
                <w:highlight w:val="none"/>
              </w:rPr>
            </w:pPr>
          </w:p>
        </w:tc>
        <w:tc>
          <w:tcPr>
            <w:tcW w:w="1058" w:type="dxa"/>
          </w:tcPr>
          <w:p w14:paraId="55768D6F">
            <w:pPr>
              <w:adjustRightInd w:val="0"/>
              <w:snapToGrid w:val="0"/>
              <w:rPr>
                <w:rFonts w:hint="eastAsia" w:ascii="宋体" w:hAnsi="宋体" w:eastAsia="宋体" w:cs="宋体"/>
                <w:color w:val="auto"/>
                <w:sz w:val="30"/>
                <w:szCs w:val="30"/>
                <w:highlight w:val="none"/>
              </w:rPr>
            </w:pPr>
          </w:p>
        </w:tc>
        <w:tc>
          <w:tcPr>
            <w:tcW w:w="880" w:type="dxa"/>
          </w:tcPr>
          <w:p w14:paraId="4FD5BF8F">
            <w:pPr>
              <w:adjustRightInd w:val="0"/>
              <w:snapToGrid w:val="0"/>
              <w:rPr>
                <w:rFonts w:hint="eastAsia" w:ascii="宋体" w:hAnsi="宋体" w:eastAsia="宋体" w:cs="宋体"/>
                <w:color w:val="auto"/>
                <w:sz w:val="30"/>
                <w:szCs w:val="30"/>
                <w:highlight w:val="none"/>
              </w:rPr>
            </w:pPr>
          </w:p>
        </w:tc>
        <w:tc>
          <w:tcPr>
            <w:tcW w:w="1020" w:type="dxa"/>
          </w:tcPr>
          <w:p w14:paraId="14B3D61E">
            <w:pPr>
              <w:adjustRightInd w:val="0"/>
              <w:snapToGrid w:val="0"/>
              <w:rPr>
                <w:rFonts w:hint="eastAsia" w:ascii="宋体" w:hAnsi="宋体" w:eastAsia="宋体" w:cs="宋体"/>
                <w:color w:val="auto"/>
                <w:sz w:val="30"/>
                <w:szCs w:val="30"/>
                <w:highlight w:val="none"/>
              </w:rPr>
            </w:pPr>
          </w:p>
        </w:tc>
        <w:tc>
          <w:tcPr>
            <w:tcW w:w="1480" w:type="dxa"/>
          </w:tcPr>
          <w:p w14:paraId="34C46F7D">
            <w:pPr>
              <w:adjustRightInd w:val="0"/>
              <w:snapToGrid w:val="0"/>
              <w:rPr>
                <w:rFonts w:hint="eastAsia" w:ascii="宋体" w:hAnsi="宋体" w:eastAsia="宋体" w:cs="宋体"/>
                <w:color w:val="auto"/>
                <w:sz w:val="30"/>
                <w:szCs w:val="30"/>
                <w:highlight w:val="none"/>
              </w:rPr>
            </w:pPr>
          </w:p>
        </w:tc>
        <w:tc>
          <w:tcPr>
            <w:tcW w:w="1020" w:type="dxa"/>
          </w:tcPr>
          <w:p w14:paraId="0AF0BEE8">
            <w:pPr>
              <w:adjustRightInd w:val="0"/>
              <w:snapToGrid w:val="0"/>
              <w:rPr>
                <w:rFonts w:hint="eastAsia" w:ascii="宋体" w:hAnsi="宋体" w:eastAsia="宋体" w:cs="宋体"/>
                <w:color w:val="auto"/>
                <w:sz w:val="30"/>
                <w:szCs w:val="30"/>
                <w:highlight w:val="none"/>
              </w:rPr>
            </w:pPr>
          </w:p>
        </w:tc>
        <w:tc>
          <w:tcPr>
            <w:tcW w:w="921" w:type="dxa"/>
          </w:tcPr>
          <w:p w14:paraId="560D1749">
            <w:pPr>
              <w:adjustRightInd w:val="0"/>
              <w:snapToGrid w:val="0"/>
              <w:rPr>
                <w:rFonts w:hint="eastAsia" w:ascii="宋体" w:hAnsi="宋体" w:eastAsia="宋体" w:cs="宋体"/>
                <w:color w:val="auto"/>
                <w:sz w:val="30"/>
                <w:szCs w:val="30"/>
                <w:highlight w:val="none"/>
              </w:rPr>
            </w:pPr>
          </w:p>
        </w:tc>
      </w:tr>
      <w:tr w14:paraId="10F70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E2592FA">
            <w:pPr>
              <w:adjustRightInd w:val="0"/>
              <w:snapToGrid w:val="0"/>
              <w:rPr>
                <w:rFonts w:hint="eastAsia" w:ascii="宋体" w:hAnsi="宋体" w:eastAsia="宋体" w:cs="宋体"/>
                <w:color w:val="auto"/>
                <w:sz w:val="30"/>
                <w:szCs w:val="30"/>
                <w:highlight w:val="none"/>
              </w:rPr>
            </w:pPr>
          </w:p>
        </w:tc>
        <w:tc>
          <w:tcPr>
            <w:tcW w:w="1418" w:type="dxa"/>
          </w:tcPr>
          <w:p w14:paraId="66687835">
            <w:pPr>
              <w:adjustRightInd w:val="0"/>
              <w:snapToGrid w:val="0"/>
              <w:rPr>
                <w:rFonts w:hint="eastAsia" w:ascii="宋体" w:hAnsi="宋体" w:eastAsia="宋体" w:cs="宋体"/>
                <w:color w:val="auto"/>
                <w:sz w:val="30"/>
                <w:szCs w:val="30"/>
                <w:highlight w:val="none"/>
              </w:rPr>
            </w:pPr>
          </w:p>
        </w:tc>
        <w:tc>
          <w:tcPr>
            <w:tcW w:w="850" w:type="dxa"/>
          </w:tcPr>
          <w:p w14:paraId="1FC9E305">
            <w:pPr>
              <w:adjustRightInd w:val="0"/>
              <w:snapToGrid w:val="0"/>
              <w:rPr>
                <w:rFonts w:hint="eastAsia" w:ascii="宋体" w:hAnsi="宋体" w:eastAsia="宋体" w:cs="宋体"/>
                <w:color w:val="auto"/>
                <w:sz w:val="30"/>
                <w:szCs w:val="30"/>
                <w:highlight w:val="none"/>
              </w:rPr>
            </w:pPr>
          </w:p>
        </w:tc>
        <w:tc>
          <w:tcPr>
            <w:tcW w:w="1058" w:type="dxa"/>
          </w:tcPr>
          <w:p w14:paraId="1E53B3ED">
            <w:pPr>
              <w:adjustRightInd w:val="0"/>
              <w:snapToGrid w:val="0"/>
              <w:rPr>
                <w:rFonts w:hint="eastAsia" w:ascii="宋体" w:hAnsi="宋体" w:eastAsia="宋体" w:cs="宋体"/>
                <w:color w:val="auto"/>
                <w:sz w:val="30"/>
                <w:szCs w:val="30"/>
                <w:highlight w:val="none"/>
              </w:rPr>
            </w:pPr>
          </w:p>
        </w:tc>
        <w:tc>
          <w:tcPr>
            <w:tcW w:w="880" w:type="dxa"/>
          </w:tcPr>
          <w:p w14:paraId="7577F59E">
            <w:pPr>
              <w:adjustRightInd w:val="0"/>
              <w:snapToGrid w:val="0"/>
              <w:rPr>
                <w:rFonts w:hint="eastAsia" w:ascii="宋体" w:hAnsi="宋体" w:eastAsia="宋体" w:cs="宋体"/>
                <w:color w:val="auto"/>
                <w:sz w:val="30"/>
                <w:szCs w:val="30"/>
                <w:highlight w:val="none"/>
              </w:rPr>
            </w:pPr>
          </w:p>
        </w:tc>
        <w:tc>
          <w:tcPr>
            <w:tcW w:w="1020" w:type="dxa"/>
          </w:tcPr>
          <w:p w14:paraId="072013B0">
            <w:pPr>
              <w:adjustRightInd w:val="0"/>
              <w:snapToGrid w:val="0"/>
              <w:rPr>
                <w:rFonts w:hint="eastAsia" w:ascii="宋体" w:hAnsi="宋体" w:eastAsia="宋体" w:cs="宋体"/>
                <w:color w:val="auto"/>
                <w:sz w:val="30"/>
                <w:szCs w:val="30"/>
                <w:highlight w:val="none"/>
              </w:rPr>
            </w:pPr>
          </w:p>
        </w:tc>
        <w:tc>
          <w:tcPr>
            <w:tcW w:w="1480" w:type="dxa"/>
          </w:tcPr>
          <w:p w14:paraId="699E4B10">
            <w:pPr>
              <w:adjustRightInd w:val="0"/>
              <w:snapToGrid w:val="0"/>
              <w:rPr>
                <w:rFonts w:hint="eastAsia" w:ascii="宋体" w:hAnsi="宋体" w:eastAsia="宋体" w:cs="宋体"/>
                <w:color w:val="auto"/>
                <w:sz w:val="30"/>
                <w:szCs w:val="30"/>
                <w:highlight w:val="none"/>
              </w:rPr>
            </w:pPr>
          </w:p>
        </w:tc>
        <w:tc>
          <w:tcPr>
            <w:tcW w:w="1020" w:type="dxa"/>
          </w:tcPr>
          <w:p w14:paraId="2DC359D3">
            <w:pPr>
              <w:adjustRightInd w:val="0"/>
              <w:snapToGrid w:val="0"/>
              <w:rPr>
                <w:rFonts w:hint="eastAsia" w:ascii="宋体" w:hAnsi="宋体" w:eastAsia="宋体" w:cs="宋体"/>
                <w:color w:val="auto"/>
                <w:sz w:val="30"/>
                <w:szCs w:val="30"/>
                <w:highlight w:val="none"/>
              </w:rPr>
            </w:pPr>
          </w:p>
        </w:tc>
        <w:tc>
          <w:tcPr>
            <w:tcW w:w="921" w:type="dxa"/>
          </w:tcPr>
          <w:p w14:paraId="2A58E1F6">
            <w:pPr>
              <w:adjustRightInd w:val="0"/>
              <w:snapToGrid w:val="0"/>
              <w:rPr>
                <w:rFonts w:hint="eastAsia" w:ascii="宋体" w:hAnsi="宋体" w:eastAsia="宋体" w:cs="宋体"/>
                <w:color w:val="auto"/>
                <w:sz w:val="30"/>
                <w:szCs w:val="30"/>
                <w:highlight w:val="none"/>
              </w:rPr>
            </w:pPr>
          </w:p>
        </w:tc>
      </w:tr>
      <w:tr w14:paraId="322096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F1848A0">
            <w:pPr>
              <w:adjustRightInd w:val="0"/>
              <w:snapToGrid w:val="0"/>
              <w:rPr>
                <w:rFonts w:hint="eastAsia" w:ascii="宋体" w:hAnsi="宋体" w:eastAsia="宋体" w:cs="宋体"/>
                <w:color w:val="auto"/>
                <w:sz w:val="30"/>
                <w:szCs w:val="30"/>
                <w:highlight w:val="none"/>
              </w:rPr>
            </w:pPr>
          </w:p>
        </w:tc>
        <w:tc>
          <w:tcPr>
            <w:tcW w:w="1418" w:type="dxa"/>
          </w:tcPr>
          <w:p w14:paraId="5F6A7A2A">
            <w:pPr>
              <w:adjustRightInd w:val="0"/>
              <w:snapToGrid w:val="0"/>
              <w:rPr>
                <w:rFonts w:hint="eastAsia" w:ascii="宋体" w:hAnsi="宋体" w:eastAsia="宋体" w:cs="宋体"/>
                <w:color w:val="auto"/>
                <w:sz w:val="30"/>
                <w:szCs w:val="30"/>
                <w:highlight w:val="none"/>
              </w:rPr>
            </w:pPr>
          </w:p>
        </w:tc>
        <w:tc>
          <w:tcPr>
            <w:tcW w:w="850" w:type="dxa"/>
          </w:tcPr>
          <w:p w14:paraId="0096D1CA">
            <w:pPr>
              <w:adjustRightInd w:val="0"/>
              <w:snapToGrid w:val="0"/>
              <w:rPr>
                <w:rFonts w:hint="eastAsia" w:ascii="宋体" w:hAnsi="宋体" w:eastAsia="宋体" w:cs="宋体"/>
                <w:color w:val="auto"/>
                <w:sz w:val="30"/>
                <w:szCs w:val="30"/>
                <w:highlight w:val="none"/>
              </w:rPr>
            </w:pPr>
          </w:p>
        </w:tc>
        <w:tc>
          <w:tcPr>
            <w:tcW w:w="1058" w:type="dxa"/>
          </w:tcPr>
          <w:p w14:paraId="3424839F">
            <w:pPr>
              <w:adjustRightInd w:val="0"/>
              <w:snapToGrid w:val="0"/>
              <w:rPr>
                <w:rFonts w:hint="eastAsia" w:ascii="宋体" w:hAnsi="宋体" w:eastAsia="宋体" w:cs="宋体"/>
                <w:color w:val="auto"/>
                <w:sz w:val="30"/>
                <w:szCs w:val="30"/>
                <w:highlight w:val="none"/>
              </w:rPr>
            </w:pPr>
          </w:p>
        </w:tc>
        <w:tc>
          <w:tcPr>
            <w:tcW w:w="880" w:type="dxa"/>
          </w:tcPr>
          <w:p w14:paraId="4E749A7B">
            <w:pPr>
              <w:adjustRightInd w:val="0"/>
              <w:snapToGrid w:val="0"/>
              <w:rPr>
                <w:rFonts w:hint="eastAsia" w:ascii="宋体" w:hAnsi="宋体" w:eastAsia="宋体" w:cs="宋体"/>
                <w:color w:val="auto"/>
                <w:sz w:val="30"/>
                <w:szCs w:val="30"/>
                <w:highlight w:val="none"/>
              </w:rPr>
            </w:pPr>
          </w:p>
        </w:tc>
        <w:tc>
          <w:tcPr>
            <w:tcW w:w="1020" w:type="dxa"/>
          </w:tcPr>
          <w:p w14:paraId="39600D07">
            <w:pPr>
              <w:adjustRightInd w:val="0"/>
              <w:snapToGrid w:val="0"/>
              <w:rPr>
                <w:rFonts w:hint="eastAsia" w:ascii="宋体" w:hAnsi="宋体" w:eastAsia="宋体" w:cs="宋体"/>
                <w:color w:val="auto"/>
                <w:sz w:val="30"/>
                <w:szCs w:val="30"/>
                <w:highlight w:val="none"/>
              </w:rPr>
            </w:pPr>
          </w:p>
        </w:tc>
        <w:tc>
          <w:tcPr>
            <w:tcW w:w="1480" w:type="dxa"/>
          </w:tcPr>
          <w:p w14:paraId="06F0EFD4">
            <w:pPr>
              <w:adjustRightInd w:val="0"/>
              <w:snapToGrid w:val="0"/>
              <w:rPr>
                <w:rFonts w:hint="eastAsia" w:ascii="宋体" w:hAnsi="宋体" w:eastAsia="宋体" w:cs="宋体"/>
                <w:color w:val="auto"/>
                <w:sz w:val="30"/>
                <w:szCs w:val="30"/>
                <w:highlight w:val="none"/>
              </w:rPr>
            </w:pPr>
          </w:p>
        </w:tc>
        <w:tc>
          <w:tcPr>
            <w:tcW w:w="1020" w:type="dxa"/>
          </w:tcPr>
          <w:p w14:paraId="536AACE4">
            <w:pPr>
              <w:adjustRightInd w:val="0"/>
              <w:snapToGrid w:val="0"/>
              <w:rPr>
                <w:rFonts w:hint="eastAsia" w:ascii="宋体" w:hAnsi="宋体" w:eastAsia="宋体" w:cs="宋体"/>
                <w:color w:val="auto"/>
                <w:sz w:val="30"/>
                <w:szCs w:val="30"/>
                <w:highlight w:val="none"/>
              </w:rPr>
            </w:pPr>
          </w:p>
        </w:tc>
        <w:tc>
          <w:tcPr>
            <w:tcW w:w="921" w:type="dxa"/>
          </w:tcPr>
          <w:p w14:paraId="148A3A1D">
            <w:pPr>
              <w:adjustRightInd w:val="0"/>
              <w:snapToGrid w:val="0"/>
              <w:rPr>
                <w:rFonts w:hint="eastAsia" w:ascii="宋体" w:hAnsi="宋体" w:eastAsia="宋体" w:cs="宋体"/>
                <w:color w:val="auto"/>
                <w:sz w:val="30"/>
                <w:szCs w:val="30"/>
                <w:highlight w:val="none"/>
              </w:rPr>
            </w:pPr>
          </w:p>
        </w:tc>
      </w:tr>
      <w:tr w14:paraId="49EEE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6AAF90A">
            <w:pPr>
              <w:adjustRightInd w:val="0"/>
              <w:snapToGrid w:val="0"/>
              <w:rPr>
                <w:rFonts w:hint="eastAsia" w:ascii="宋体" w:hAnsi="宋体" w:eastAsia="宋体" w:cs="宋体"/>
                <w:color w:val="auto"/>
                <w:sz w:val="30"/>
                <w:szCs w:val="30"/>
                <w:highlight w:val="none"/>
              </w:rPr>
            </w:pPr>
          </w:p>
        </w:tc>
        <w:tc>
          <w:tcPr>
            <w:tcW w:w="1418" w:type="dxa"/>
          </w:tcPr>
          <w:p w14:paraId="05335A1A">
            <w:pPr>
              <w:adjustRightInd w:val="0"/>
              <w:snapToGrid w:val="0"/>
              <w:rPr>
                <w:rFonts w:hint="eastAsia" w:ascii="宋体" w:hAnsi="宋体" w:eastAsia="宋体" w:cs="宋体"/>
                <w:color w:val="auto"/>
                <w:sz w:val="30"/>
                <w:szCs w:val="30"/>
                <w:highlight w:val="none"/>
              </w:rPr>
            </w:pPr>
          </w:p>
        </w:tc>
        <w:tc>
          <w:tcPr>
            <w:tcW w:w="850" w:type="dxa"/>
          </w:tcPr>
          <w:p w14:paraId="65784517">
            <w:pPr>
              <w:adjustRightInd w:val="0"/>
              <w:snapToGrid w:val="0"/>
              <w:rPr>
                <w:rFonts w:hint="eastAsia" w:ascii="宋体" w:hAnsi="宋体" w:eastAsia="宋体" w:cs="宋体"/>
                <w:color w:val="auto"/>
                <w:sz w:val="30"/>
                <w:szCs w:val="30"/>
                <w:highlight w:val="none"/>
              </w:rPr>
            </w:pPr>
          </w:p>
        </w:tc>
        <w:tc>
          <w:tcPr>
            <w:tcW w:w="1058" w:type="dxa"/>
          </w:tcPr>
          <w:p w14:paraId="0FBC8DE1">
            <w:pPr>
              <w:adjustRightInd w:val="0"/>
              <w:snapToGrid w:val="0"/>
              <w:rPr>
                <w:rFonts w:hint="eastAsia" w:ascii="宋体" w:hAnsi="宋体" w:eastAsia="宋体" w:cs="宋体"/>
                <w:color w:val="auto"/>
                <w:sz w:val="30"/>
                <w:szCs w:val="30"/>
                <w:highlight w:val="none"/>
              </w:rPr>
            </w:pPr>
          </w:p>
        </w:tc>
        <w:tc>
          <w:tcPr>
            <w:tcW w:w="880" w:type="dxa"/>
          </w:tcPr>
          <w:p w14:paraId="60D2D087">
            <w:pPr>
              <w:adjustRightInd w:val="0"/>
              <w:snapToGrid w:val="0"/>
              <w:rPr>
                <w:rFonts w:hint="eastAsia" w:ascii="宋体" w:hAnsi="宋体" w:eastAsia="宋体" w:cs="宋体"/>
                <w:color w:val="auto"/>
                <w:sz w:val="30"/>
                <w:szCs w:val="30"/>
                <w:highlight w:val="none"/>
              </w:rPr>
            </w:pPr>
          </w:p>
        </w:tc>
        <w:tc>
          <w:tcPr>
            <w:tcW w:w="1020" w:type="dxa"/>
          </w:tcPr>
          <w:p w14:paraId="41834FC9">
            <w:pPr>
              <w:adjustRightInd w:val="0"/>
              <w:snapToGrid w:val="0"/>
              <w:rPr>
                <w:rFonts w:hint="eastAsia" w:ascii="宋体" w:hAnsi="宋体" w:eastAsia="宋体" w:cs="宋体"/>
                <w:color w:val="auto"/>
                <w:sz w:val="30"/>
                <w:szCs w:val="30"/>
                <w:highlight w:val="none"/>
              </w:rPr>
            </w:pPr>
          </w:p>
        </w:tc>
        <w:tc>
          <w:tcPr>
            <w:tcW w:w="1480" w:type="dxa"/>
          </w:tcPr>
          <w:p w14:paraId="581B030E">
            <w:pPr>
              <w:adjustRightInd w:val="0"/>
              <w:snapToGrid w:val="0"/>
              <w:rPr>
                <w:rFonts w:hint="eastAsia" w:ascii="宋体" w:hAnsi="宋体" w:eastAsia="宋体" w:cs="宋体"/>
                <w:color w:val="auto"/>
                <w:sz w:val="30"/>
                <w:szCs w:val="30"/>
                <w:highlight w:val="none"/>
              </w:rPr>
            </w:pPr>
          </w:p>
        </w:tc>
        <w:tc>
          <w:tcPr>
            <w:tcW w:w="1020" w:type="dxa"/>
          </w:tcPr>
          <w:p w14:paraId="7E2BCBB4">
            <w:pPr>
              <w:adjustRightInd w:val="0"/>
              <w:snapToGrid w:val="0"/>
              <w:rPr>
                <w:rFonts w:hint="eastAsia" w:ascii="宋体" w:hAnsi="宋体" w:eastAsia="宋体" w:cs="宋体"/>
                <w:color w:val="auto"/>
                <w:sz w:val="30"/>
                <w:szCs w:val="30"/>
                <w:highlight w:val="none"/>
              </w:rPr>
            </w:pPr>
          </w:p>
        </w:tc>
        <w:tc>
          <w:tcPr>
            <w:tcW w:w="921" w:type="dxa"/>
          </w:tcPr>
          <w:p w14:paraId="44687BF6">
            <w:pPr>
              <w:adjustRightInd w:val="0"/>
              <w:snapToGrid w:val="0"/>
              <w:rPr>
                <w:rFonts w:hint="eastAsia" w:ascii="宋体" w:hAnsi="宋体" w:eastAsia="宋体" w:cs="宋体"/>
                <w:color w:val="auto"/>
                <w:sz w:val="30"/>
                <w:szCs w:val="30"/>
                <w:highlight w:val="none"/>
              </w:rPr>
            </w:pPr>
          </w:p>
        </w:tc>
      </w:tr>
      <w:tr w14:paraId="04901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C1C32FD">
            <w:pPr>
              <w:adjustRightInd w:val="0"/>
              <w:snapToGrid w:val="0"/>
              <w:rPr>
                <w:rFonts w:hint="eastAsia" w:ascii="宋体" w:hAnsi="宋体" w:eastAsia="宋体" w:cs="宋体"/>
                <w:color w:val="auto"/>
                <w:sz w:val="30"/>
                <w:szCs w:val="30"/>
                <w:highlight w:val="none"/>
              </w:rPr>
            </w:pPr>
          </w:p>
        </w:tc>
        <w:tc>
          <w:tcPr>
            <w:tcW w:w="1418" w:type="dxa"/>
          </w:tcPr>
          <w:p w14:paraId="64C29B7E">
            <w:pPr>
              <w:adjustRightInd w:val="0"/>
              <w:snapToGrid w:val="0"/>
              <w:rPr>
                <w:rFonts w:hint="eastAsia" w:ascii="宋体" w:hAnsi="宋体" w:eastAsia="宋体" w:cs="宋体"/>
                <w:color w:val="auto"/>
                <w:sz w:val="30"/>
                <w:szCs w:val="30"/>
                <w:highlight w:val="none"/>
              </w:rPr>
            </w:pPr>
          </w:p>
        </w:tc>
        <w:tc>
          <w:tcPr>
            <w:tcW w:w="850" w:type="dxa"/>
          </w:tcPr>
          <w:p w14:paraId="1D488E02">
            <w:pPr>
              <w:adjustRightInd w:val="0"/>
              <w:snapToGrid w:val="0"/>
              <w:rPr>
                <w:rFonts w:hint="eastAsia" w:ascii="宋体" w:hAnsi="宋体" w:eastAsia="宋体" w:cs="宋体"/>
                <w:color w:val="auto"/>
                <w:sz w:val="30"/>
                <w:szCs w:val="30"/>
                <w:highlight w:val="none"/>
              </w:rPr>
            </w:pPr>
          </w:p>
        </w:tc>
        <w:tc>
          <w:tcPr>
            <w:tcW w:w="1058" w:type="dxa"/>
          </w:tcPr>
          <w:p w14:paraId="4FCE4746">
            <w:pPr>
              <w:adjustRightInd w:val="0"/>
              <w:snapToGrid w:val="0"/>
              <w:rPr>
                <w:rFonts w:hint="eastAsia" w:ascii="宋体" w:hAnsi="宋体" w:eastAsia="宋体" w:cs="宋体"/>
                <w:color w:val="auto"/>
                <w:sz w:val="30"/>
                <w:szCs w:val="30"/>
                <w:highlight w:val="none"/>
              </w:rPr>
            </w:pPr>
          </w:p>
        </w:tc>
        <w:tc>
          <w:tcPr>
            <w:tcW w:w="880" w:type="dxa"/>
          </w:tcPr>
          <w:p w14:paraId="6D418E3B">
            <w:pPr>
              <w:adjustRightInd w:val="0"/>
              <w:snapToGrid w:val="0"/>
              <w:rPr>
                <w:rFonts w:hint="eastAsia" w:ascii="宋体" w:hAnsi="宋体" w:eastAsia="宋体" w:cs="宋体"/>
                <w:color w:val="auto"/>
                <w:sz w:val="30"/>
                <w:szCs w:val="30"/>
                <w:highlight w:val="none"/>
              </w:rPr>
            </w:pPr>
          </w:p>
        </w:tc>
        <w:tc>
          <w:tcPr>
            <w:tcW w:w="1020" w:type="dxa"/>
          </w:tcPr>
          <w:p w14:paraId="2155D02A">
            <w:pPr>
              <w:adjustRightInd w:val="0"/>
              <w:snapToGrid w:val="0"/>
              <w:rPr>
                <w:rFonts w:hint="eastAsia" w:ascii="宋体" w:hAnsi="宋体" w:eastAsia="宋体" w:cs="宋体"/>
                <w:color w:val="auto"/>
                <w:sz w:val="30"/>
                <w:szCs w:val="30"/>
                <w:highlight w:val="none"/>
              </w:rPr>
            </w:pPr>
          </w:p>
        </w:tc>
        <w:tc>
          <w:tcPr>
            <w:tcW w:w="1480" w:type="dxa"/>
          </w:tcPr>
          <w:p w14:paraId="65095C15">
            <w:pPr>
              <w:adjustRightInd w:val="0"/>
              <w:snapToGrid w:val="0"/>
              <w:rPr>
                <w:rFonts w:hint="eastAsia" w:ascii="宋体" w:hAnsi="宋体" w:eastAsia="宋体" w:cs="宋体"/>
                <w:color w:val="auto"/>
                <w:sz w:val="30"/>
                <w:szCs w:val="30"/>
                <w:highlight w:val="none"/>
              </w:rPr>
            </w:pPr>
          </w:p>
        </w:tc>
        <w:tc>
          <w:tcPr>
            <w:tcW w:w="1020" w:type="dxa"/>
          </w:tcPr>
          <w:p w14:paraId="4F452F13">
            <w:pPr>
              <w:adjustRightInd w:val="0"/>
              <w:snapToGrid w:val="0"/>
              <w:rPr>
                <w:rFonts w:hint="eastAsia" w:ascii="宋体" w:hAnsi="宋体" w:eastAsia="宋体" w:cs="宋体"/>
                <w:color w:val="auto"/>
                <w:sz w:val="30"/>
                <w:szCs w:val="30"/>
                <w:highlight w:val="none"/>
              </w:rPr>
            </w:pPr>
          </w:p>
        </w:tc>
        <w:tc>
          <w:tcPr>
            <w:tcW w:w="921" w:type="dxa"/>
          </w:tcPr>
          <w:p w14:paraId="581D4AD8">
            <w:pPr>
              <w:adjustRightInd w:val="0"/>
              <w:snapToGrid w:val="0"/>
              <w:rPr>
                <w:rFonts w:hint="eastAsia" w:ascii="宋体" w:hAnsi="宋体" w:eastAsia="宋体" w:cs="宋体"/>
                <w:color w:val="auto"/>
                <w:sz w:val="30"/>
                <w:szCs w:val="30"/>
                <w:highlight w:val="none"/>
              </w:rPr>
            </w:pPr>
          </w:p>
        </w:tc>
      </w:tr>
      <w:tr w14:paraId="2483F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8A2D063">
            <w:pPr>
              <w:adjustRightInd w:val="0"/>
              <w:snapToGrid w:val="0"/>
              <w:rPr>
                <w:rFonts w:hint="eastAsia" w:ascii="宋体" w:hAnsi="宋体" w:eastAsia="宋体" w:cs="宋体"/>
                <w:color w:val="auto"/>
                <w:sz w:val="30"/>
                <w:szCs w:val="30"/>
                <w:highlight w:val="none"/>
              </w:rPr>
            </w:pPr>
          </w:p>
        </w:tc>
        <w:tc>
          <w:tcPr>
            <w:tcW w:w="1418" w:type="dxa"/>
          </w:tcPr>
          <w:p w14:paraId="6A9A2E96">
            <w:pPr>
              <w:adjustRightInd w:val="0"/>
              <w:snapToGrid w:val="0"/>
              <w:rPr>
                <w:rFonts w:hint="eastAsia" w:ascii="宋体" w:hAnsi="宋体" w:eastAsia="宋体" w:cs="宋体"/>
                <w:color w:val="auto"/>
                <w:sz w:val="30"/>
                <w:szCs w:val="30"/>
                <w:highlight w:val="none"/>
              </w:rPr>
            </w:pPr>
          </w:p>
        </w:tc>
        <w:tc>
          <w:tcPr>
            <w:tcW w:w="850" w:type="dxa"/>
          </w:tcPr>
          <w:p w14:paraId="1695CF30">
            <w:pPr>
              <w:adjustRightInd w:val="0"/>
              <w:snapToGrid w:val="0"/>
              <w:rPr>
                <w:rFonts w:hint="eastAsia" w:ascii="宋体" w:hAnsi="宋体" w:eastAsia="宋体" w:cs="宋体"/>
                <w:color w:val="auto"/>
                <w:sz w:val="30"/>
                <w:szCs w:val="30"/>
                <w:highlight w:val="none"/>
              </w:rPr>
            </w:pPr>
          </w:p>
        </w:tc>
        <w:tc>
          <w:tcPr>
            <w:tcW w:w="1058" w:type="dxa"/>
          </w:tcPr>
          <w:p w14:paraId="4ACB1734">
            <w:pPr>
              <w:adjustRightInd w:val="0"/>
              <w:snapToGrid w:val="0"/>
              <w:rPr>
                <w:rFonts w:hint="eastAsia" w:ascii="宋体" w:hAnsi="宋体" w:eastAsia="宋体" w:cs="宋体"/>
                <w:color w:val="auto"/>
                <w:sz w:val="30"/>
                <w:szCs w:val="30"/>
                <w:highlight w:val="none"/>
              </w:rPr>
            </w:pPr>
          </w:p>
        </w:tc>
        <w:tc>
          <w:tcPr>
            <w:tcW w:w="880" w:type="dxa"/>
          </w:tcPr>
          <w:p w14:paraId="1FA162B3">
            <w:pPr>
              <w:adjustRightInd w:val="0"/>
              <w:snapToGrid w:val="0"/>
              <w:rPr>
                <w:rFonts w:hint="eastAsia" w:ascii="宋体" w:hAnsi="宋体" w:eastAsia="宋体" w:cs="宋体"/>
                <w:color w:val="auto"/>
                <w:sz w:val="30"/>
                <w:szCs w:val="30"/>
                <w:highlight w:val="none"/>
              </w:rPr>
            </w:pPr>
          </w:p>
        </w:tc>
        <w:tc>
          <w:tcPr>
            <w:tcW w:w="1020" w:type="dxa"/>
          </w:tcPr>
          <w:p w14:paraId="6C1E6F39">
            <w:pPr>
              <w:adjustRightInd w:val="0"/>
              <w:snapToGrid w:val="0"/>
              <w:rPr>
                <w:rFonts w:hint="eastAsia" w:ascii="宋体" w:hAnsi="宋体" w:eastAsia="宋体" w:cs="宋体"/>
                <w:color w:val="auto"/>
                <w:sz w:val="30"/>
                <w:szCs w:val="30"/>
                <w:highlight w:val="none"/>
              </w:rPr>
            </w:pPr>
          </w:p>
        </w:tc>
        <w:tc>
          <w:tcPr>
            <w:tcW w:w="1480" w:type="dxa"/>
          </w:tcPr>
          <w:p w14:paraId="33309E1A">
            <w:pPr>
              <w:adjustRightInd w:val="0"/>
              <w:snapToGrid w:val="0"/>
              <w:rPr>
                <w:rFonts w:hint="eastAsia" w:ascii="宋体" w:hAnsi="宋体" w:eastAsia="宋体" w:cs="宋体"/>
                <w:color w:val="auto"/>
                <w:sz w:val="30"/>
                <w:szCs w:val="30"/>
                <w:highlight w:val="none"/>
              </w:rPr>
            </w:pPr>
          </w:p>
        </w:tc>
        <w:tc>
          <w:tcPr>
            <w:tcW w:w="1020" w:type="dxa"/>
          </w:tcPr>
          <w:p w14:paraId="564E9FAC">
            <w:pPr>
              <w:adjustRightInd w:val="0"/>
              <w:snapToGrid w:val="0"/>
              <w:rPr>
                <w:rFonts w:hint="eastAsia" w:ascii="宋体" w:hAnsi="宋体" w:eastAsia="宋体" w:cs="宋体"/>
                <w:color w:val="auto"/>
                <w:sz w:val="30"/>
                <w:szCs w:val="30"/>
                <w:highlight w:val="none"/>
              </w:rPr>
            </w:pPr>
          </w:p>
        </w:tc>
        <w:tc>
          <w:tcPr>
            <w:tcW w:w="921" w:type="dxa"/>
          </w:tcPr>
          <w:p w14:paraId="79269268">
            <w:pPr>
              <w:adjustRightInd w:val="0"/>
              <w:snapToGrid w:val="0"/>
              <w:rPr>
                <w:rFonts w:hint="eastAsia" w:ascii="宋体" w:hAnsi="宋体" w:eastAsia="宋体" w:cs="宋体"/>
                <w:color w:val="auto"/>
                <w:sz w:val="30"/>
                <w:szCs w:val="30"/>
                <w:highlight w:val="none"/>
              </w:rPr>
            </w:pPr>
          </w:p>
        </w:tc>
      </w:tr>
      <w:tr w14:paraId="0F9C9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F420202">
            <w:pPr>
              <w:adjustRightInd w:val="0"/>
              <w:snapToGrid w:val="0"/>
              <w:rPr>
                <w:rFonts w:hint="eastAsia" w:ascii="宋体" w:hAnsi="宋体" w:eastAsia="宋体" w:cs="宋体"/>
                <w:color w:val="auto"/>
                <w:sz w:val="30"/>
                <w:szCs w:val="30"/>
                <w:highlight w:val="none"/>
              </w:rPr>
            </w:pPr>
          </w:p>
        </w:tc>
        <w:tc>
          <w:tcPr>
            <w:tcW w:w="1418" w:type="dxa"/>
          </w:tcPr>
          <w:p w14:paraId="5AE322FF">
            <w:pPr>
              <w:adjustRightInd w:val="0"/>
              <w:snapToGrid w:val="0"/>
              <w:rPr>
                <w:rFonts w:hint="eastAsia" w:ascii="宋体" w:hAnsi="宋体" w:eastAsia="宋体" w:cs="宋体"/>
                <w:color w:val="auto"/>
                <w:sz w:val="30"/>
                <w:szCs w:val="30"/>
                <w:highlight w:val="none"/>
              </w:rPr>
            </w:pPr>
          </w:p>
        </w:tc>
        <w:tc>
          <w:tcPr>
            <w:tcW w:w="850" w:type="dxa"/>
          </w:tcPr>
          <w:p w14:paraId="5488C678">
            <w:pPr>
              <w:adjustRightInd w:val="0"/>
              <w:snapToGrid w:val="0"/>
              <w:rPr>
                <w:rFonts w:hint="eastAsia" w:ascii="宋体" w:hAnsi="宋体" w:eastAsia="宋体" w:cs="宋体"/>
                <w:color w:val="auto"/>
                <w:sz w:val="30"/>
                <w:szCs w:val="30"/>
                <w:highlight w:val="none"/>
              </w:rPr>
            </w:pPr>
          </w:p>
        </w:tc>
        <w:tc>
          <w:tcPr>
            <w:tcW w:w="1058" w:type="dxa"/>
          </w:tcPr>
          <w:p w14:paraId="63390156">
            <w:pPr>
              <w:adjustRightInd w:val="0"/>
              <w:snapToGrid w:val="0"/>
              <w:rPr>
                <w:rFonts w:hint="eastAsia" w:ascii="宋体" w:hAnsi="宋体" w:eastAsia="宋体" w:cs="宋体"/>
                <w:color w:val="auto"/>
                <w:sz w:val="30"/>
                <w:szCs w:val="30"/>
                <w:highlight w:val="none"/>
              </w:rPr>
            </w:pPr>
          </w:p>
        </w:tc>
        <w:tc>
          <w:tcPr>
            <w:tcW w:w="880" w:type="dxa"/>
          </w:tcPr>
          <w:p w14:paraId="680DB2A3">
            <w:pPr>
              <w:adjustRightInd w:val="0"/>
              <w:snapToGrid w:val="0"/>
              <w:rPr>
                <w:rFonts w:hint="eastAsia" w:ascii="宋体" w:hAnsi="宋体" w:eastAsia="宋体" w:cs="宋体"/>
                <w:color w:val="auto"/>
                <w:sz w:val="30"/>
                <w:szCs w:val="30"/>
                <w:highlight w:val="none"/>
              </w:rPr>
            </w:pPr>
          </w:p>
        </w:tc>
        <w:tc>
          <w:tcPr>
            <w:tcW w:w="1020" w:type="dxa"/>
          </w:tcPr>
          <w:p w14:paraId="66EBDD60">
            <w:pPr>
              <w:adjustRightInd w:val="0"/>
              <w:snapToGrid w:val="0"/>
              <w:rPr>
                <w:rFonts w:hint="eastAsia" w:ascii="宋体" w:hAnsi="宋体" w:eastAsia="宋体" w:cs="宋体"/>
                <w:color w:val="auto"/>
                <w:sz w:val="30"/>
                <w:szCs w:val="30"/>
                <w:highlight w:val="none"/>
              </w:rPr>
            </w:pPr>
          </w:p>
        </w:tc>
        <w:tc>
          <w:tcPr>
            <w:tcW w:w="1480" w:type="dxa"/>
          </w:tcPr>
          <w:p w14:paraId="2B75B9AC">
            <w:pPr>
              <w:adjustRightInd w:val="0"/>
              <w:snapToGrid w:val="0"/>
              <w:rPr>
                <w:rFonts w:hint="eastAsia" w:ascii="宋体" w:hAnsi="宋体" w:eastAsia="宋体" w:cs="宋体"/>
                <w:color w:val="auto"/>
                <w:sz w:val="30"/>
                <w:szCs w:val="30"/>
                <w:highlight w:val="none"/>
              </w:rPr>
            </w:pPr>
          </w:p>
        </w:tc>
        <w:tc>
          <w:tcPr>
            <w:tcW w:w="1020" w:type="dxa"/>
          </w:tcPr>
          <w:p w14:paraId="70E76961">
            <w:pPr>
              <w:adjustRightInd w:val="0"/>
              <w:snapToGrid w:val="0"/>
              <w:rPr>
                <w:rFonts w:hint="eastAsia" w:ascii="宋体" w:hAnsi="宋体" w:eastAsia="宋体" w:cs="宋体"/>
                <w:color w:val="auto"/>
                <w:sz w:val="30"/>
                <w:szCs w:val="30"/>
                <w:highlight w:val="none"/>
              </w:rPr>
            </w:pPr>
          </w:p>
        </w:tc>
        <w:tc>
          <w:tcPr>
            <w:tcW w:w="921" w:type="dxa"/>
          </w:tcPr>
          <w:p w14:paraId="78DFB255">
            <w:pPr>
              <w:adjustRightInd w:val="0"/>
              <w:snapToGrid w:val="0"/>
              <w:rPr>
                <w:rFonts w:hint="eastAsia" w:ascii="宋体" w:hAnsi="宋体" w:eastAsia="宋体" w:cs="宋体"/>
                <w:color w:val="auto"/>
                <w:sz w:val="30"/>
                <w:szCs w:val="30"/>
                <w:highlight w:val="none"/>
              </w:rPr>
            </w:pPr>
          </w:p>
        </w:tc>
      </w:tr>
      <w:tr w14:paraId="6F44D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C22DEA6">
            <w:pPr>
              <w:adjustRightInd w:val="0"/>
              <w:snapToGrid w:val="0"/>
              <w:rPr>
                <w:rFonts w:hint="eastAsia" w:ascii="宋体" w:hAnsi="宋体" w:eastAsia="宋体" w:cs="宋体"/>
                <w:color w:val="auto"/>
                <w:sz w:val="30"/>
                <w:szCs w:val="30"/>
                <w:highlight w:val="none"/>
              </w:rPr>
            </w:pPr>
          </w:p>
        </w:tc>
        <w:tc>
          <w:tcPr>
            <w:tcW w:w="1418" w:type="dxa"/>
          </w:tcPr>
          <w:p w14:paraId="17337660">
            <w:pPr>
              <w:adjustRightInd w:val="0"/>
              <w:snapToGrid w:val="0"/>
              <w:rPr>
                <w:rFonts w:hint="eastAsia" w:ascii="宋体" w:hAnsi="宋体" w:eastAsia="宋体" w:cs="宋体"/>
                <w:color w:val="auto"/>
                <w:sz w:val="30"/>
                <w:szCs w:val="30"/>
                <w:highlight w:val="none"/>
              </w:rPr>
            </w:pPr>
          </w:p>
        </w:tc>
        <w:tc>
          <w:tcPr>
            <w:tcW w:w="850" w:type="dxa"/>
          </w:tcPr>
          <w:p w14:paraId="3948134C">
            <w:pPr>
              <w:adjustRightInd w:val="0"/>
              <w:snapToGrid w:val="0"/>
              <w:rPr>
                <w:rFonts w:hint="eastAsia" w:ascii="宋体" w:hAnsi="宋体" w:eastAsia="宋体" w:cs="宋体"/>
                <w:color w:val="auto"/>
                <w:sz w:val="30"/>
                <w:szCs w:val="30"/>
                <w:highlight w:val="none"/>
              </w:rPr>
            </w:pPr>
          </w:p>
        </w:tc>
        <w:tc>
          <w:tcPr>
            <w:tcW w:w="1058" w:type="dxa"/>
          </w:tcPr>
          <w:p w14:paraId="7013F0BE">
            <w:pPr>
              <w:adjustRightInd w:val="0"/>
              <w:snapToGrid w:val="0"/>
              <w:rPr>
                <w:rFonts w:hint="eastAsia" w:ascii="宋体" w:hAnsi="宋体" w:eastAsia="宋体" w:cs="宋体"/>
                <w:color w:val="auto"/>
                <w:sz w:val="30"/>
                <w:szCs w:val="30"/>
                <w:highlight w:val="none"/>
              </w:rPr>
            </w:pPr>
          </w:p>
        </w:tc>
        <w:tc>
          <w:tcPr>
            <w:tcW w:w="880" w:type="dxa"/>
          </w:tcPr>
          <w:p w14:paraId="07AF8B91">
            <w:pPr>
              <w:adjustRightInd w:val="0"/>
              <w:snapToGrid w:val="0"/>
              <w:rPr>
                <w:rFonts w:hint="eastAsia" w:ascii="宋体" w:hAnsi="宋体" w:eastAsia="宋体" w:cs="宋体"/>
                <w:color w:val="auto"/>
                <w:sz w:val="30"/>
                <w:szCs w:val="30"/>
                <w:highlight w:val="none"/>
              </w:rPr>
            </w:pPr>
          </w:p>
        </w:tc>
        <w:tc>
          <w:tcPr>
            <w:tcW w:w="1020" w:type="dxa"/>
          </w:tcPr>
          <w:p w14:paraId="643DFF11">
            <w:pPr>
              <w:adjustRightInd w:val="0"/>
              <w:snapToGrid w:val="0"/>
              <w:rPr>
                <w:rFonts w:hint="eastAsia" w:ascii="宋体" w:hAnsi="宋体" w:eastAsia="宋体" w:cs="宋体"/>
                <w:color w:val="auto"/>
                <w:sz w:val="30"/>
                <w:szCs w:val="30"/>
                <w:highlight w:val="none"/>
              </w:rPr>
            </w:pPr>
          </w:p>
        </w:tc>
        <w:tc>
          <w:tcPr>
            <w:tcW w:w="1480" w:type="dxa"/>
          </w:tcPr>
          <w:p w14:paraId="0C23FFFF">
            <w:pPr>
              <w:adjustRightInd w:val="0"/>
              <w:snapToGrid w:val="0"/>
              <w:rPr>
                <w:rFonts w:hint="eastAsia" w:ascii="宋体" w:hAnsi="宋体" w:eastAsia="宋体" w:cs="宋体"/>
                <w:color w:val="auto"/>
                <w:sz w:val="30"/>
                <w:szCs w:val="30"/>
                <w:highlight w:val="none"/>
              </w:rPr>
            </w:pPr>
          </w:p>
        </w:tc>
        <w:tc>
          <w:tcPr>
            <w:tcW w:w="1020" w:type="dxa"/>
          </w:tcPr>
          <w:p w14:paraId="59229B0E">
            <w:pPr>
              <w:adjustRightInd w:val="0"/>
              <w:snapToGrid w:val="0"/>
              <w:rPr>
                <w:rFonts w:hint="eastAsia" w:ascii="宋体" w:hAnsi="宋体" w:eastAsia="宋体" w:cs="宋体"/>
                <w:color w:val="auto"/>
                <w:sz w:val="30"/>
                <w:szCs w:val="30"/>
                <w:highlight w:val="none"/>
              </w:rPr>
            </w:pPr>
          </w:p>
        </w:tc>
        <w:tc>
          <w:tcPr>
            <w:tcW w:w="921" w:type="dxa"/>
          </w:tcPr>
          <w:p w14:paraId="58E81875">
            <w:pPr>
              <w:adjustRightInd w:val="0"/>
              <w:snapToGrid w:val="0"/>
              <w:rPr>
                <w:rFonts w:hint="eastAsia" w:ascii="宋体" w:hAnsi="宋体" w:eastAsia="宋体" w:cs="宋体"/>
                <w:color w:val="auto"/>
                <w:sz w:val="30"/>
                <w:szCs w:val="30"/>
                <w:highlight w:val="none"/>
              </w:rPr>
            </w:pPr>
          </w:p>
        </w:tc>
      </w:tr>
      <w:tr w14:paraId="2724B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C865264">
            <w:pPr>
              <w:adjustRightInd w:val="0"/>
              <w:snapToGrid w:val="0"/>
              <w:rPr>
                <w:rFonts w:hint="eastAsia" w:ascii="宋体" w:hAnsi="宋体" w:eastAsia="宋体" w:cs="宋体"/>
                <w:color w:val="auto"/>
                <w:sz w:val="30"/>
                <w:szCs w:val="30"/>
                <w:highlight w:val="none"/>
              </w:rPr>
            </w:pPr>
          </w:p>
        </w:tc>
        <w:tc>
          <w:tcPr>
            <w:tcW w:w="1418" w:type="dxa"/>
          </w:tcPr>
          <w:p w14:paraId="3696DC87">
            <w:pPr>
              <w:adjustRightInd w:val="0"/>
              <w:snapToGrid w:val="0"/>
              <w:rPr>
                <w:rFonts w:hint="eastAsia" w:ascii="宋体" w:hAnsi="宋体" w:eastAsia="宋体" w:cs="宋体"/>
                <w:color w:val="auto"/>
                <w:sz w:val="30"/>
                <w:szCs w:val="30"/>
                <w:highlight w:val="none"/>
              </w:rPr>
            </w:pPr>
          </w:p>
        </w:tc>
        <w:tc>
          <w:tcPr>
            <w:tcW w:w="850" w:type="dxa"/>
          </w:tcPr>
          <w:p w14:paraId="3C039F3B">
            <w:pPr>
              <w:adjustRightInd w:val="0"/>
              <w:snapToGrid w:val="0"/>
              <w:rPr>
                <w:rFonts w:hint="eastAsia" w:ascii="宋体" w:hAnsi="宋体" w:eastAsia="宋体" w:cs="宋体"/>
                <w:color w:val="auto"/>
                <w:sz w:val="30"/>
                <w:szCs w:val="30"/>
                <w:highlight w:val="none"/>
              </w:rPr>
            </w:pPr>
          </w:p>
        </w:tc>
        <w:tc>
          <w:tcPr>
            <w:tcW w:w="1058" w:type="dxa"/>
          </w:tcPr>
          <w:p w14:paraId="48A263D0">
            <w:pPr>
              <w:adjustRightInd w:val="0"/>
              <w:snapToGrid w:val="0"/>
              <w:rPr>
                <w:rFonts w:hint="eastAsia" w:ascii="宋体" w:hAnsi="宋体" w:eastAsia="宋体" w:cs="宋体"/>
                <w:color w:val="auto"/>
                <w:sz w:val="30"/>
                <w:szCs w:val="30"/>
                <w:highlight w:val="none"/>
              </w:rPr>
            </w:pPr>
          </w:p>
        </w:tc>
        <w:tc>
          <w:tcPr>
            <w:tcW w:w="880" w:type="dxa"/>
          </w:tcPr>
          <w:p w14:paraId="37170D1A">
            <w:pPr>
              <w:adjustRightInd w:val="0"/>
              <w:snapToGrid w:val="0"/>
              <w:rPr>
                <w:rFonts w:hint="eastAsia" w:ascii="宋体" w:hAnsi="宋体" w:eastAsia="宋体" w:cs="宋体"/>
                <w:color w:val="auto"/>
                <w:sz w:val="30"/>
                <w:szCs w:val="30"/>
                <w:highlight w:val="none"/>
              </w:rPr>
            </w:pPr>
          </w:p>
        </w:tc>
        <w:tc>
          <w:tcPr>
            <w:tcW w:w="1020" w:type="dxa"/>
          </w:tcPr>
          <w:p w14:paraId="67A4BEB5">
            <w:pPr>
              <w:adjustRightInd w:val="0"/>
              <w:snapToGrid w:val="0"/>
              <w:rPr>
                <w:rFonts w:hint="eastAsia" w:ascii="宋体" w:hAnsi="宋体" w:eastAsia="宋体" w:cs="宋体"/>
                <w:color w:val="auto"/>
                <w:sz w:val="30"/>
                <w:szCs w:val="30"/>
                <w:highlight w:val="none"/>
              </w:rPr>
            </w:pPr>
          </w:p>
        </w:tc>
        <w:tc>
          <w:tcPr>
            <w:tcW w:w="1480" w:type="dxa"/>
          </w:tcPr>
          <w:p w14:paraId="201F697F">
            <w:pPr>
              <w:adjustRightInd w:val="0"/>
              <w:snapToGrid w:val="0"/>
              <w:rPr>
                <w:rFonts w:hint="eastAsia" w:ascii="宋体" w:hAnsi="宋体" w:eastAsia="宋体" w:cs="宋体"/>
                <w:color w:val="auto"/>
                <w:sz w:val="30"/>
                <w:szCs w:val="30"/>
                <w:highlight w:val="none"/>
              </w:rPr>
            </w:pPr>
          </w:p>
        </w:tc>
        <w:tc>
          <w:tcPr>
            <w:tcW w:w="1020" w:type="dxa"/>
          </w:tcPr>
          <w:p w14:paraId="081B76C9">
            <w:pPr>
              <w:adjustRightInd w:val="0"/>
              <w:snapToGrid w:val="0"/>
              <w:rPr>
                <w:rFonts w:hint="eastAsia" w:ascii="宋体" w:hAnsi="宋体" w:eastAsia="宋体" w:cs="宋体"/>
                <w:color w:val="auto"/>
                <w:sz w:val="30"/>
                <w:szCs w:val="30"/>
                <w:highlight w:val="none"/>
              </w:rPr>
            </w:pPr>
          </w:p>
        </w:tc>
        <w:tc>
          <w:tcPr>
            <w:tcW w:w="921" w:type="dxa"/>
          </w:tcPr>
          <w:p w14:paraId="1DAD8753">
            <w:pPr>
              <w:adjustRightInd w:val="0"/>
              <w:snapToGrid w:val="0"/>
              <w:rPr>
                <w:rFonts w:hint="eastAsia" w:ascii="宋体" w:hAnsi="宋体" w:eastAsia="宋体" w:cs="宋体"/>
                <w:color w:val="auto"/>
                <w:sz w:val="30"/>
                <w:szCs w:val="30"/>
                <w:highlight w:val="none"/>
              </w:rPr>
            </w:pPr>
          </w:p>
        </w:tc>
      </w:tr>
    </w:tbl>
    <w:p w14:paraId="7A9CCE7D">
      <w:pPr>
        <w:adjustRightInd w:val="0"/>
        <w:snapToGrid w:val="0"/>
        <w:rPr>
          <w:rFonts w:hint="eastAsia" w:ascii="宋体" w:hAnsi="宋体" w:eastAsia="宋体" w:cs="宋体"/>
          <w:color w:val="auto"/>
          <w:sz w:val="30"/>
          <w:szCs w:val="30"/>
          <w:highlight w:val="none"/>
        </w:rPr>
      </w:pPr>
    </w:p>
    <w:p w14:paraId="13154463">
      <w:pPr>
        <w:adjustRightInd w:val="0"/>
        <w:snapToGrid w:val="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w:t>
      </w:r>
      <w:bookmarkStart w:id="531" w:name="_Toc267261699"/>
      <w:bookmarkStart w:id="532" w:name="_Toc296503228"/>
      <w:bookmarkStart w:id="533" w:name="_Toc296891056"/>
      <w:bookmarkStart w:id="534" w:name="_Toc296891268"/>
      <w:bookmarkStart w:id="535" w:name="_Toc296944567"/>
      <w:bookmarkStart w:id="536" w:name="_Toc296347227"/>
      <w:bookmarkStart w:id="537" w:name="_Toc296346729"/>
      <w:r>
        <w:rPr>
          <w:rFonts w:hint="eastAsia" w:ascii="宋体" w:hAnsi="宋体" w:eastAsia="宋体" w:cs="宋体"/>
          <w:color w:val="auto"/>
          <w:sz w:val="30"/>
          <w:szCs w:val="30"/>
          <w:highlight w:val="none"/>
        </w:rPr>
        <w:t>件6：</w:t>
      </w:r>
    </w:p>
    <w:bookmarkEnd w:id="531"/>
    <w:bookmarkEnd w:id="532"/>
    <w:bookmarkEnd w:id="533"/>
    <w:bookmarkEnd w:id="534"/>
    <w:bookmarkEnd w:id="535"/>
    <w:bookmarkEnd w:id="536"/>
    <w:bookmarkEnd w:id="537"/>
    <w:p w14:paraId="0DAF2CE4">
      <w:pPr>
        <w:adjustRightInd w:val="0"/>
        <w:snapToGrid w:val="0"/>
        <w:spacing w:beforeLines="50" w:afterLines="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承包人主要施工管理人员表</w:t>
      </w:r>
    </w:p>
    <w:tbl>
      <w:tblPr>
        <w:tblStyle w:val="25"/>
        <w:tblW w:w="101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257"/>
        <w:gridCol w:w="1295"/>
        <w:gridCol w:w="982"/>
        <w:gridCol w:w="4705"/>
      </w:tblGrid>
      <w:tr w14:paraId="7BFB1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02F654AA">
            <w:pPr>
              <w:pStyle w:val="2"/>
              <w:keepNext/>
              <w:spacing w:after="0"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名    称</w:t>
            </w:r>
          </w:p>
        </w:tc>
        <w:tc>
          <w:tcPr>
            <w:tcW w:w="1257" w:type="dxa"/>
            <w:tcBorders>
              <w:top w:val="single" w:color="auto" w:sz="12" w:space="0"/>
              <w:bottom w:val="double" w:color="auto" w:sz="6" w:space="0"/>
            </w:tcBorders>
            <w:noWrap w:val="0"/>
            <w:vAlign w:val="center"/>
          </w:tcPr>
          <w:p w14:paraId="7CD4F264">
            <w:pPr>
              <w:pStyle w:val="2"/>
              <w:keepNext/>
              <w:spacing w:after="0"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姓名</w:t>
            </w:r>
          </w:p>
        </w:tc>
        <w:tc>
          <w:tcPr>
            <w:tcW w:w="1295" w:type="dxa"/>
            <w:tcBorders>
              <w:top w:val="single" w:color="auto" w:sz="12" w:space="0"/>
              <w:bottom w:val="double" w:color="auto" w:sz="6" w:space="0"/>
            </w:tcBorders>
            <w:noWrap w:val="0"/>
            <w:vAlign w:val="center"/>
          </w:tcPr>
          <w:p w14:paraId="3EB4B61A">
            <w:pPr>
              <w:pStyle w:val="2"/>
              <w:keepNext/>
              <w:spacing w:after="0"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职务</w:t>
            </w:r>
          </w:p>
        </w:tc>
        <w:tc>
          <w:tcPr>
            <w:tcW w:w="982" w:type="dxa"/>
            <w:tcBorders>
              <w:top w:val="single" w:color="auto" w:sz="12" w:space="0"/>
              <w:bottom w:val="double" w:color="auto" w:sz="6" w:space="0"/>
            </w:tcBorders>
            <w:noWrap w:val="0"/>
            <w:vAlign w:val="center"/>
          </w:tcPr>
          <w:p w14:paraId="3C96F5C7">
            <w:pPr>
              <w:pStyle w:val="2"/>
              <w:keepNext/>
              <w:spacing w:after="0"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职称</w:t>
            </w:r>
          </w:p>
        </w:tc>
        <w:tc>
          <w:tcPr>
            <w:tcW w:w="4705" w:type="dxa"/>
            <w:tcBorders>
              <w:top w:val="single" w:color="auto" w:sz="12" w:space="0"/>
              <w:bottom w:val="double" w:color="auto" w:sz="6" w:space="0"/>
            </w:tcBorders>
            <w:noWrap w:val="0"/>
            <w:vAlign w:val="center"/>
          </w:tcPr>
          <w:p w14:paraId="68701EF2">
            <w:pPr>
              <w:pStyle w:val="2"/>
              <w:keepNext/>
              <w:spacing w:after="0"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主要资历、经验及承担过的项目</w:t>
            </w:r>
          </w:p>
        </w:tc>
      </w:tr>
      <w:tr w14:paraId="48807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110" w:type="dxa"/>
            <w:gridSpan w:val="5"/>
            <w:tcBorders>
              <w:top w:val="double" w:color="auto" w:sz="6" w:space="0"/>
              <w:bottom w:val="single" w:color="auto" w:sz="6" w:space="0"/>
            </w:tcBorders>
            <w:noWrap w:val="0"/>
            <w:vAlign w:val="center"/>
          </w:tcPr>
          <w:p w14:paraId="3665555C">
            <w:pPr>
              <w:pStyle w:val="2"/>
              <w:keepNext/>
              <w:spacing w:after="0"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一、总部人员</w:t>
            </w:r>
          </w:p>
        </w:tc>
      </w:tr>
      <w:tr w14:paraId="0B1D85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CDD4C5A">
            <w:pPr>
              <w:pStyle w:val="2"/>
              <w:keepNext/>
              <w:spacing w:after="0"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项目主管</w:t>
            </w:r>
          </w:p>
        </w:tc>
        <w:tc>
          <w:tcPr>
            <w:tcW w:w="1257" w:type="dxa"/>
            <w:tcBorders>
              <w:top w:val="nil"/>
            </w:tcBorders>
            <w:noWrap w:val="0"/>
            <w:vAlign w:val="center"/>
          </w:tcPr>
          <w:p w14:paraId="595BDC17">
            <w:pPr>
              <w:pStyle w:val="2"/>
              <w:keepNext/>
              <w:spacing w:after="0" w:line="440" w:lineRule="exact"/>
              <w:ind w:left="63" w:right="63"/>
              <w:rPr>
                <w:rFonts w:hint="eastAsia" w:ascii="宋体" w:hAnsi="宋体" w:eastAsia="宋体" w:cs="宋体"/>
                <w:color w:val="auto"/>
                <w:sz w:val="28"/>
                <w:szCs w:val="30"/>
                <w:highlight w:val="none"/>
              </w:rPr>
            </w:pPr>
          </w:p>
        </w:tc>
        <w:tc>
          <w:tcPr>
            <w:tcW w:w="1295" w:type="dxa"/>
            <w:tcBorders>
              <w:top w:val="nil"/>
            </w:tcBorders>
            <w:noWrap w:val="0"/>
            <w:vAlign w:val="center"/>
          </w:tcPr>
          <w:p w14:paraId="235B54BE">
            <w:pPr>
              <w:pStyle w:val="2"/>
              <w:keepNext/>
              <w:spacing w:after="0" w:line="440" w:lineRule="exact"/>
              <w:ind w:left="63" w:right="63"/>
              <w:rPr>
                <w:rFonts w:hint="eastAsia" w:ascii="宋体" w:hAnsi="宋体" w:eastAsia="宋体" w:cs="宋体"/>
                <w:color w:val="auto"/>
                <w:sz w:val="30"/>
                <w:szCs w:val="30"/>
                <w:highlight w:val="none"/>
              </w:rPr>
            </w:pPr>
          </w:p>
        </w:tc>
        <w:tc>
          <w:tcPr>
            <w:tcW w:w="982" w:type="dxa"/>
            <w:tcBorders>
              <w:top w:val="nil"/>
            </w:tcBorders>
            <w:noWrap w:val="0"/>
            <w:vAlign w:val="center"/>
          </w:tcPr>
          <w:p w14:paraId="73997D41">
            <w:pPr>
              <w:pStyle w:val="2"/>
              <w:keepNext/>
              <w:spacing w:after="0" w:line="440" w:lineRule="exact"/>
              <w:ind w:left="63" w:right="63"/>
              <w:rPr>
                <w:rFonts w:hint="eastAsia" w:ascii="宋体" w:hAnsi="宋体" w:eastAsia="宋体" w:cs="宋体"/>
                <w:color w:val="auto"/>
                <w:sz w:val="30"/>
                <w:szCs w:val="30"/>
                <w:highlight w:val="none"/>
              </w:rPr>
            </w:pPr>
          </w:p>
        </w:tc>
        <w:tc>
          <w:tcPr>
            <w:tcW w:w="4705" w:type="dxa"/>
            <w:tcBorders>
              <w:top w:val="nil"/>
            </w:tcBorders>
            <w:noWrap w:val="0"/>
            <w:vAlign w:val="center"/>
          </w:tcPr>
          <w:p w14:paraId="4BF3143B">
            <w:pPr>
              <w:pStyle w:val="2"/>
              <w:keepNext/>
              <w:spacing w:after="0" w:line="440" w:lineRule="exact"/>
              <w:ind w:left="63" w:right="63"/>
              <w:rPr>
                <w:rFonts w:hint="eastAsia" w:ascii="宋体" w:hAnsi="宋体" w:eastAsia="宋体" w:cs="宋体"/>
                <w:color w:val="auto"/>
                <w:sz w:val="30"/>
                <w:szCs w:val="30"/>
                <w:highlight w:val="none"/>
              </w:rPr>
            </w:pPr>
          </w:p>
        </w:tc>
      </w:tr>
      <w:tr w14:paraId="696A4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77448584">
            <w:pPr>
              <w:pStyle w:val="2"/>
              <w:keepNext/>
              <w:spacing w:after="0" w:line="440" w:lineRule="exact"/>
              <w:ind w:left="63" w:right="63"/>
              <w:rPr>
                <w:rFonts w:hint="eastAsia" w:ascii="宋体" w:hAnsi="宋体" w:eastAsia="宋体" w:cs="宋体"/>
                <w:color w:val="auto"/>
                <w:sz w:val="28"/>
                <w:szCs w:val="30"/>
                <w:highlight w:val="none"/>
              </w:rPr>
            </w:pPr>
          </w:p>
        </w:tc>
        <w:tc>
          <w:tcPr>
            <w:tcW w:w="1257" w:type="dxa"/>
            <w:noWrap w:val="0"/>
            <w:vAlign w:val="center"/>
          </w:tcPr>
          <w:p w14:paraId="6EE391F7">
            <w:pPr>
              <w:pStyle w:val="2"/>
              <w:keepNext/>
              <w:spacing w:after="0" w:line="440" w:lineRule="exact"/>
              <w:ind w:left="63" w:right="63"/>
              <w:rPr>
                <w:rFonts w:hint="eastAsia" w:ascii="宋体" w:hAnsi="宋体" w:eastAsia="宋体" w:cs="宋体"/>
                <w:color w:val="auto"/>
                <w:sz w:val="28"/>
                <w:szCs w:val="30"/>
                <w:highlight w:val="none"/>
              </w:rPr>
            </w:pPr>
          </w:p>
        </w:tc>
        <w:tc>
          <w:tcPr>
            <w:tcW w:w="1295" w:type="dxa"/>
            <w:noWrap w:val="0"/>
            <w:vAlign w:val="center"/>
          </w:tcPr>
          <w:p w14:paraId="270F773D">
            <w:pPr>
              <w:pStyle w:val="2"/>
              <w:keepNext/>
              <w:spacing w:after="0" w:line="440" w:lineRule="exact"/>
              <w:ind w:left="63" w:right="63"/>
              <w:rPr>
                <w:rFonts w:hint="eastAsia" w:ascii="宋体" w:hAnsi="宋体" w:eastAsia="宋体" w:cs="宋体"/>
                <w:color w:val="auto"/>
                <w:sz w:val="30"/>
                <w:szCs w:val="30"/>
                <w:highlight w:val="none"/>
              </w:rPr>
            </w:pPr>
          </w:p>
        </w:tc>
        <w:tc>
          <w:tcPr>
            <w:tcW w:w="982" w:type="dxa"/>
            <w:noWrap w:val="0"/>
            <w:vAlign w:val="center"/>
          </w:tcPr>
          <w:p w14:paraId="1B3092E7">
            <w:pPr>
              <w:pStyle w:val="2"/>
              <w:keepNext/>
              <w:spacing w:after="0" w:line="440" w:lineRule="exact"/>
              <w:ind w:left="63" w:right="63"/>
              <w:rPr>
                <w:rFonts w:hint="eastAsia" w:ascii="宋体" w:hAnsi="宋体" w:eastAsia="宋体" w:cs="宋体"/>
                <w:color w:val="auto"/>
                <w:sz w:val="30"/>
                <w:szCs w:val="30"/>
                <w:highlight w:val="none"/>
              </w:rPr>
            </w:pPr>
          </w:p>
        </w:tc>
        <w:tc>
          <w:tcPr>
            <w:tcW w:w="4705" w:type="dxa"/>
            <w:noWrap w:val="0"/>
            <w:vAlign w:val="center"/>
          </w:tcPr>
          <w:p w14:paraId="2B18A178">
            <w:pPr>
              <w:pStyle w:val="2"/>
              <w:keepNext/>
              <w:spacing w:after="0" w:line="440" w:lineRule="exact"/>
              <w:ind w:left="63" w:right="63"/>
              <w:rPr>
                <w:rFonts w:hint="eastAsia" w:ascii="宋体" w:hAnsi="宋体" w:eastAsia="宋体" w:cs="宋体"/>
                <w:color w:val="auto"/>
                <w:sz w:val="30"/>
                <w:szCs w:val="30"/>
                <w:highlight w:val="none"/>
              </w:rPr>
            </w:pPr>
          </w:p>
        </w:tc>
      </w:tr>
      <w:tr w14:paraId="1493F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D90E0F1">
            <w:pPr>
              <w:pStyle w:val="2"/>
              <w:keepNext/>
              <w:spacing w:after="0"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其他人员</w:t>
            </w:r>
          </w:p>
        </w:tc>
        <w:tc>
          <w:tcPr>
            <w:tcW w:w="1257" w:type="dxa"/>
            <w:noWrap w:val="0"/>
            <w:vAlign w:val="center"/>
          </w:tcPr>
          <w:p w14:paraId="299B946B">
            <w:pPr>
              <w:pStyle w:val="2"/>
              <w:keepNext/>
              <w:spacing w:after="0" w:line="440" w:lineRule="exact"/>
              <w:ind w:left="63" w:right="63"/>
              <w:rPr>
                <w:rFonts w:hint="eastAsia" w:ascii="宋体" w:hAnsi="宋体" w:eastAsia="宋体" w:cs="宋体"/>
                <w:color w:val="auto"/>
                <w:sz w:val="28"/>
                <w:szCs w:val="30"/>
                <w:highlight w:val="none"/>
              </w:rPr>
            </w:pPr>
          </w:p>
        </w:tc>
        <w:tc>
          <w:tcPr>
            <w:tcW w:w="1295" w:type="dxa"/>
            <w:noWrap w:val="0"/>
            <w:vAlign w:val="center"/>
          </w:tcPr>
          <w:p w14:paraId="61AE7A6F">
            <w:pPr>
              <w:pStyle w:val="2"/>
              <w:keepNext/>
              <w:spacing w:after="0" w:line="440" w:lineRule="exact"/>
              <w:ind w:left="63" w:right="63"/>
              <w:rPr>
                <w:rFonts w:hint="eastAsia" w:ascii="宋体" w:hAnsi="宋体" w:eastAsia="宋体" w:cs="宋体"/>
                <w:color w:val="auto"/>
                <w:sz w:val="30"/>
                <w:szCs w:val="30"/>
                <w:highlight w:val="none"/>
              </w:rPr>
            </w:pPr>
          </w:p>
        </w:tc>
        <w:tc>
          <w:tcPr>
            <w:tcW w:w="982" w:type="dxa"/>
            <w:noWrap w:val="0"/>
            <w:vAlign w:val="center"/>
          </w:tcPr>
          <w:p w14:paraId="56F7C14B">
            <w:pPr>
              <w:pStyle w:val="2"/>
              <w:keepNext/>
              <w:spacing w:after="0" w:line="440" w:lineRule="exact"/>
              <w:ind w:left="63" w:right="63"/>
              <w:rPr>
                <w:rFonts w:hint="eastAsia" w:ascii="宋体" w:hAnsi="宋体" w:eastAsia="宋体" w:cs="宋体"/>
                <w:color w:val="auto"/>
                <w:sz w:val="30"/>
                <w:szCs w:val="30"/>
                <w:highlight w:val="none"/>
              </w:rPr>
            </w:pPr>
          </w:p>
        </w:tc>
        <w:tc>
          <w:tcPr>
            <w:tcW w:w="4705" w:type="dxa"/>
            <w:noWrap w:val="0"/>
            <w:vAlign w:val="center"/>
          </w:tcPr>
          <w:p w14:paraId="0EF53AFB">
            <w:pPr>
              <w:pStyle w:val="2"/>
              <w:keepNext/>
              <w:spacing w:after="0" w:line="440" w:lineRule="exact"/>
              <w:ind w:left="63" w:right="63"/>
              <w:rPr>
                <w:rFonts w:hint="eastAsia" w:ascii="宋体" w:hAnsi="宋体" w:eastAsia="宋体" w:cs="宋体"/>
                <w:color w:val="auto"/>
                <w:sz w:val="30"/>
                <w:szCs w:val="30"/>
                <w:highlight w:val="none"/>
              </w:rPr>
            </w:pPr>
          </w:p>
        </w:tc>
      </w:tr>
      <w:tr w14:paraId="20F36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1636386">
            <w:pPr>
              <w:pStyle w:val="2"/>
              <w:keepNext/>
              <w:spacing w:after="0" w:line="440" w:lineRule="exact"/>
              <w:ind w:left="63" w:right="63"/>
              <w:rPr>
                <w:rFonts w:hint="eastAsia" w:ascii="宋体" w:hAnsi="宋体" w:eastAsia="宋体" w:cs="宋体"/>
                <w:color w:val="auto"/>
                <w:sz w:val="28"/>
                <w:szCs w:val="30"/>
                <w:highlight w:val="none"/>
              </w:rPr>
            </w:pPr>
          </w:p>
        </w:tc>
        <w:tc>
          <w:tcPr>
            <w:tcW w:w="1257" w:type="dxa"/>
            <w:noWrap w:val="0"/>
            <w:vAlign w:val="center"/>
          </w:tcPr>
          <w:p w14:paraId="6A25957F">
            <w:pPr>
              <w:pStyle w:val="2"/>
              <w:keepNext/>
              <w:spacing w:after="0" w:line="440" w:lineRule="exact"/>
              <w:ind w:left="63" w:right="63"/>
              <w:rPr>
                <w:rFonts w:hint="eastAsia" w:ascii="宋体" w:hAnsi="宋体" w:eastAsia="宋体" w:cs="宋体"/>
                <w:color w:val="auto"/>
                <w:sz w:val="28"/>
                <w:szCs w:val="30"/>
                <w:highlight w:val="none"/>
              </w:rPr>
            </w:pPr>
          </w:p>
        </w:tc>
        <w:tc>
          <w:tcPr>
            <w:tcW w:w="1295" w:type="dxa"/>
            <w:noWrap w:val="0"/>
            <w:vAlign w:val="center"/>
          </w:tcPr>
          <w:p w14:paraId="7657DF4E">
            <w:pPr>
              <w:pStyle w:val="2"/>
              <w:keepNext/>
              <w:spacing w:after="0" w:line="440" w:lineRule="exact"/>
              <w:ind w:left="63" w:right="63"/>
              <w:rPr>
                <w:rFonts w:hint="eastAsia" w:ascii="宋体" w:hAnsi="宋体" w:eastAsia="宋体" w:cs="宋体"/>
                <w:color w:val="auto"/>
                <w:sz w:val="30"/>
                <w:szCs w:val="30"/>
                <w:highlight w:val="none"/>
              </w:rPr>
            </w:pPr>
          </w:p>
        </w:tc>
        <w:tc>
          <w:tcPr>
            <w:tcW w:w="982" w:type="dxa"/>
            <w:noWrap w:val="0"/>
            <w:vAlign w:val="center"/>
          </w:tcPr>
          <w:p w14:paraId="1D02DC7D">
            <w:pPr>
              <w:pStyle w:val="2"/>
              <w:keepNext/>
              <w:spacing w:after="0" w:line="440" w:lineRule="exact"/>
              <w:ind w:left="63" w:right="63"/>
              <w:rPr>
                <w:rFonts w:hint="eastAsia" w:ascii="宋体" w:hAnsi="宋体" w:eastAsia="宋体" w:cs="宋体"/>
                <w:color w:val="auto"/>
                <w:sz w:val="30"/>
                <w:szCs w:val="30"/>
                <w:highlight w:val="none"/>
              </w:rPr>
            </w:pPr>
          </w:p>
        </w:tc>
        <w:tc>
          <w:tcPr>
            <w:tcW w:w="4705" w:type="dxa"/>
            <w:noWrap w:val="0"/>
            <w:vAlign w:val="center"/>
          </w:tcPr>
          <w:p w14:paraId="58FADB19">
            <w:pPr>
              <w:pStyle w:val="2"/>
              <w:keepNext/>
              <w:spacing w:after="0" w:line="440" w:lineRule="exact"/>
              <w:ind w:left="63" w:right="63"/>
              <w:rPr>
                <w:rFonts w:hint="eastAsia" w:ascii="宋体" w:hAnsi="宋体" w:eastAsia="宋体" w:cs="宋体"/>
                <w:color w:val="auto"/>
                <w:sz w:val="30"/>
                <w:szCs w:val="30"/>
                <w:highlight w:val="none"/>
              </w:rPr>
            </w:pPr>
          </w:p>
        </w:tc>
      </w:tr>
      <w:tr w14:paraId="5C5B8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110" w:type="dxa"/>
            <w:gridSpan w:val="5"/>
            <w:tcBorders>
              <w:top w:val="single" w:color="auto" w:sz="6" w:space="0"/>
              <w:bottom w:val="single" w:color="auto" w:sz="6" w:space="0"/>
            </w:tcBorders>
            <w:noWrap w:val="0"/>
            <w:vAlign w:val="center"/>
          </w:tcPr>
          <w:p w14:paraId="5B5CFFB9">
            <w:pPr>
              <w:pStyle w:val="2"/>
              <w:keepNext/>
              <w:spacing w:after="0"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二、现场人员</w:t>
            </w:r>
          </w:p>
        </w:tc>
      </w:tr>
      <w:tr w14:paraId="123E3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1871" w:type="dxa"/>
            <w:tcBorders>
              <w:top w:val="single" w:color="auto" w:sz="6" w:space="0"/>
              <w:bottom w:val="single" w:color="auto" w:sz="6" w:space="0"/>
            </w:tcBorders>
            <w:noWrap w:val="0"/>
            <w:vAlign w:val="center"/>
          </w:tcPr>
          <w:p w14:paraId="1777C46D">
            <w:pPr>
              <w:pStyle w:val="2"/>
              <w:keepNext/>
              <w:spacing w:after="0"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项目经理</w:t>
            </w:r>
          </w:p>
        </w:tc>
        <w:tc>
          <w:tcPr>
            <w:tcW w:w="1257" w:type="dxa"/>
            <w:noWrap w:val="0"/>
            <w:vAlign w:val="center"/>
          </w:tcPr>
          <w:p w14:paraId="550DAC8F">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w:t>
            </w:r>
          </w:p>
        </w:tc>
        <w:tc>
          <w:tcPr>
            <w:tcW w:w="1295" w:type="dxa"/>
            <w:noWrap w:val="0"/>
            <w:vAlign w:val="center"/>
          </w:tcPr>
          <w:p w14:paraId="231BEF8A">
            <w:pPr>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项目经理</w:t>
            </w:r>
          </w:p>
        </w:tc>
        <w:tc>
          <w:tcPr>
            <w:tcW w:w="982" w:type="dxa"/>
            <w:noWrap w:val="0"/>
            <w:vAlign w:val="center"/>
          </w:tcPr>
          <w:p w14:paraId="2A0FF41D">
            <w:pPr>
              <w:keepNext/>
              <w:spacing w:after="0" w:line="440" w:lineRule="exact"/>
              <w:ind w:left="63" w:right="63"/>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w:t>
            </w:r>
          </w:p>
        </w:tc>
        <w:tc>
          <w:tcPr>
            <w:tcW w:w="4705" w:type="dxa"/>
            <w:noWrap w:val="0"/>
            <w:vAlign w:val="center"/>
          </w:tcPr>
          <w:p w14:paraId="29283358">
            <w:pPr>
              <w:keepNext/>
              <w:spacing w:after="0" w:line="440" w:lineRule="exact"/>
              <w:ind w:left="63" w:right="63"/>
              <w:rPr>
                <w:rFonts w:hint="eastAsia" w:ascii="宋体" w:hAnsi="宋体" w:eastAsia="宋体" w:cs="宋体"/>
                <w:bCs/>
                <w:color w:val="auto"/>
                <w:sz w:val="24"/>
                <w:szCs w:val="24"/>
                <w:highlight w:val="none"/>
                <w:lang w:val="en-US" w:eastAsia="zh-CN"/>
              </w:rPr>
            </w:pPr>
          </w:p>
        </w:tc>
      </w:tr>
      <w:tr w14:paraId="173D5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2" w:hRule="atLeast"/>
          <w:jc w:val="center"/>
        </w:trPr>
        <w:tc>
          <w:tcPr>
            <w:tcW w:w="1871" w:type="dxa"/>
            <w:tcBorders>
              <w:top w:val="single" w:color="auto" w:sz="6" w:space="0"/>
              <w:bottom w:val="single" w:color="auto" w:sz="6" w:space="0"/>
            </w:tcBorders>
            <w:noWrap w:val="0"/>
            <w:vAlign w:val="center"/>
          </w:tcPr>
          <w:p w14:paraId="7B91A9DD">
            <w:pPr>
              <w:pStyle w:val="2"/>
              <w:keepNext/>
              <w:spacing w:after="0"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项目副经理</w:t>
            </w:r>
          </w:p>
        </w:tc>
        <w:tc>
          <w:tcPr>
            <w:tcW w:w="1257" w:type="dxa"/>
            <w:noWrap w:val="0"/>
            <w:vAlign w:val="center"/>
          </w:tcPr>
          <w:p w14:paraId="157B520B">
            <w:pPr>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tc>
        <w:tc>
          <w:tcPr>
            <w:tcW w:w="1295" w:type="dxa"/>
            <w:noWrap w:val="0"/>
            <w:vAlign w:val="center"/>
          </w:tcPr>
          <w:p w14:paraId="75D6ACB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项目副经理</w:t>
            </w:r>
          </w:p>
        </w:tc>
        <w:tc>
          <w:tcPr>
            <w:tcW w:w="982" w:type="dxa"/>
            <w:noWrap w:val="0"/>
            <w:vAlign w:val="center"/>
          </w:tcPr>
          <w:p w14:paraId="6EA92B79">
            <w:pPr>
              <w:jc w:val="center"/>
              <w:rPr>
                <w:rFonts w:hint="eastAsia" w:ascii="宋体" w:hAnsi="宋体" w:eastAsia="宋体" w:cs="宋体"/>
                <w:color w:val="auto"/>
                <w:sz w:val="24"/>
                <w:szCs w:val="24"/>
                <w:highlight w:val="none"/>
              </w:rPr>
            </w:pPr>
          </w:p>
        </w:tc>
        <w:tc>
          <w:tcPr>
            <w:tcW w:w="4705" w:type="dxa"/>
            <w:noWrap w:val="0"/>
            <w:vAlign w:val="center"/>
          </w:tcPr>
          <w:p w14:paraId="2FFC3A9F">
            <w:pPr>
              <w:pStyle w:val="2"/>
              <w:keepNext/>
              <w:spacing w:after="0" w:line="440" w:lineRule="exact"/>
              <w:ind w:left="63" w:right="63"/>
              <w:rPr>
                <w:rFonts w:hint="eastAsia" w:ascii="宋体" w:hAnsi="宋体" w:eastAsia="宋体" w:cs="宋体"/>
                <w:color w:val="auto"/>
                <w:sz w:val="24"/>
                <w:szCs w:val="24"/>
                <w:highlight w:val="none"/>
              </w:rPr>
            </w:pPr>
          </w:p>
        </w:tc>
      </w:tr>
      <w:tr w14:paraId="32ECE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83289CE">
            <w:pPr>
              <w:pStyle w:val="2"/>
              <w:keepNext/>
              <w:spacing w:after="0"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技术负责人</w:t>
            </w:r>
          </w:p>
        </w:tc>
        <w:tc>
          <w:tcPr>
            <w:tcW w:w="1257" w:type="dxa"/>
            <w:noWrap w:val="0"/>
            <w:vAlign w:val="center"/>
          </w:tcPr>
          <w:p w14:paraId="70DF4FC6">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w:t>
            </w:r>
          </w:p>
        </w:tc>
        <w:tc>
          <w:tcPr>
            <w:tcW w:w="1295" w:type="dxa"/>
            <w:noWrap w:val="0"/>
            <w:vAlign w:val="center"/>
          </w:tcPr>
          <w:p w14:paraId="6A93B180">
            <w:pPr>
              <w:spacing w:line="44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技术负责人</w:t>
            </w:r>
          </w:p>
        </w:tc>
        <w:tc>
          <w:tcPr>
            <w:tcW w:w="982" w:type="dxa"/>
            <w:noWrap w:val="0"/>
            <w:vAlign w:val="center"/>
          </w:tcPr>
          <w:p w14:paraId="36EC1D47">
            <w:pPr>
              <w:spacing w:line="440" w:lineRule="exact"/>
              <w:jc w:val="center"/>
              <w:rPr>
                <w:rFonts w:hint="eastAsia" w:ascii="宋体" w:hAnsi="宋体" w:eastAsia="宋体" w:cs="宋体"/>
                <w:color w:val="auto"/>
                <w:sz w:val="24"/>
                <w:szCs w:val="24"/>
                <w:highlight w:val="none"/>
              </w:rPr>
            </w:pPr>
          </w:p>
        </w:tc>
        <w:tc>
          <w:tcPr>
            <w:tcW w:w="4705" w:type="dxa"/>
            <w:noWrap w:val="0"/>
            <w:vAlign w:val="center"/>
          </w:tcPr>
          <w:p w14:paraId="377F45BE">
            <w:pPr>
              <w:keepNext/>
              <w:spacing w:after="0" w:line="440" w:lineRule="exact"/>
              <w:ind w:left="63" w:right="63"/>
              <w:rPr>
                <w:rFonts w:hint="eastAsia" w:ascii="宋体" w:hAnsi="宋体" w:eastAsia="宋体" w:cs="宋体"/>
                <w:color w:val="auto"/>
                <w:sz w:val="24"/>
                <w:szCs w:val="24"/>
                <w:highlight w:val="none"/>
                <w:lang w:val="en-US" w:eastAsia="zh-CN"/>
              </w:rPr>
            </w:pPr>
          </w:p>
        </w:tc>
      </w:tr>
      <w:tr w14:paraId="20C29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BA2300D">
            <w:pPr>
              <w:pStyle w:val="2"/>
              <w:keepNext/>
              <w:spacing w:after="0"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造价管理</w:t>
            </w:r>
          </w:p>
        </w:tc>
        <w:tc>
          <w:tcPr>
            <w:tcW w:w="1257" w:type="dxa"/>
            <w:noWrap w:val="0"/>
            <w:vAlign w:val="center"/>
          </w:tcPr>
          <w:p w14:paraId="305B4C27">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w:t>
            </w:r>
          </w:p>
        </w:tc>
        <w:tc>
          <w:tcPr>
            <w:tcW w:w="1295" w:type="dxa"/>
            <w:noWrap w:val="0"/>
            <w:vAlign w:val="center"/>
          </w:tcPr>
          <w:p w14:paraId="426A1547">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预算员</w:t>
            </w:r>
          </w:p>
        </w:tc>
        <w:tc>
          <w:tcPr>
            <w:tcW w:w="982" w:type="dxa"/>
            <w:noWrap w:val="0"/>
            <w:vAlign w:val="center"/>
          </w:tcPr>
          <w:p w14:paraId="31A0F643">
            <w:pPr>
              <w:jc w:val="center"/>
              <w:rPr>
                <w:rFonts w:hint="eastAsia" w:ascii="宋体" w:hAnsi="宋体" w:eastAsia="宋体" w:cs="宋体"/>
                <w:color w:val="auto"/>
                <w:sz w:val="24"/>
                <w:szCs w:val="24"/>
                <w:highlight w:val="none"/>
                <w:lang w:eastAsia="zh-CN"/>
              </w:rPr>
            </w:pPr>
          </w:p>
        </w:tc>
        <w:tc>
          <w:tcPr>
            <w:tcW w:w="4705" w:type="dxa"/>
            <w:noWrap w:val="0"/>
            <w:vAlign w:val="center"/>
          </w:tcPr>
          <w:p w14:paraId="0C468385">
            <w:pPr>
              <w:keepNext/>
              <w:spacing w:after="0" w:line="440" w:lineRule="exact"/>
              <w:ind w:left="63" w:right="63"/>
              <w:rPr>
                <w:rFonts w:hint="eastAsia" w:ascii="宋体" w:hAnsi="宋体" w:eastAsia="宋体" w:cs="宋体"/>
                <w:color w:val="auto"/>
                <w:sz w:val="24"/>
                <w:szCs w:val="24"/>
                <w:highlight w:val="none"/>
                <w:lang w:val="en-US" w:eastAsia="zh-CN"/>
              </w:rPr>
            </w:pPr>
          </w:p>
        </w:tc>
      </w:tr>
      <w:tr w14:paraId="4999A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D98D622">
            <w:pPr>
              <w:pStyle w:val="2"/>
              <w:keepNext/>
              <w:spacing w:after="0"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质量管理</w:t>
            </w:r>
          </w:p>
        </w:tc>
        <w:tc>
          <w:tcPr>
            <w:tcW w:w="1257" w:type="dxa"/>
            <w:noWrap w:val="0"/>
            <w:vAlign w:val="center"/>
          </w:tcPr>
          <w:p w14:paraId="6FA70260">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w:t>
            </w:r>
          </w:p>
        </w:tc>
        <w:tc>
          <w:tcPr>
            <w:tcW w:w="1295" w:type="dxa"/>
            <w:noWrap w:val="0"/>
            <w:vAlign w:val="center"/>
          </w:tcPr>
          <w:p w14:paraId="1538A0A4">
            <w:pPr>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质检员</w:t>
            </w:r>
          </w:p>
        </w:tc>
        <w:tc>
          <w:tcPr>
            <w:tcW w:w="982" w:type="dxa"/>
            <w:noWrap w:val="0"/>
            <w:vAlign w:val="center"/>
          </w:tcPr>
          <w:p w14:paraId="088DC538">
            <w:pPr>
              <w:spacing w:line="440" w:lineRule="exact"/>
              <w:jc w:val="center"/>
              <w:rPr>
                <w:rFonts w:hint="eastAsia" w:ascii="宋体" w:hAnsi="宋体" w:eastAsia="宋体" w:cs="宋体"/>
                <w:color w:val="auto"/>
                <w:sz w:val="24"/>
                <w:szCs w:val="24"/>
                <w:highlight w:val="none"/>
              </w:rPr>
            </w:pPr>
          </w:p>
        </w:tc>
        <w:tc>
          <w:tcPr>
            <w:tcW w:w="4705" w:type="dxa"/>
            <w:noWrap w:val="0"/>
            <w:vAlign w:val="center"/>
          </w:tcPr>
          <w:p w14:paraId="01388F2E">
            <w:pPr>
              <w:keepNext/>
              <w:spacing w:after="0" w:line="440" w:lineRule="exact"/>
              <w:ind w:right="63"/>
              <w:rPr>
                <w:rFonts w:hint="eastAsia" w:ascii="宋体" w:hAnsi="宋体" w:eastAsia="宋体" w:cs="宋体"/>
                <w:color w:val="auto"/>
                <w:sz w:val="24"/>
                <w:szCs w:val="24"/>
                <w:highlight w:val="none"/>
                <w:lang w:val="en-US" w:eastAsia="zh-CN"/>
              </w:rPr>
            </w:pPr>
          </w:p>
        </w:tc>
      </w:tr>
      <w:tr w14:paraId="797BE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41D96A6">
            <w:pPr>
              <w:pStyle w:val="2"/>
              <w:keepNext/>
              <w:spacing w:after="0"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材料管理</w:t>
            </w:r>
          </w:p>
        </w:tc>
        <w:tc>
          <w:tcPr>
            <w:tcW w:w="1257" w:type="dxa"/>
            <w:noWrap w:val="0"/>
            <w:vAlign w:val="center"/>
          </w:tcPr>
          <w:p w14:paraId="44C0DDAB">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w:t>
            </w:r>
          </w:p>
        </w:tc>
        <w:tc>
          <w:tcPr>
            <w:tcW w:w="1295" w:type="dxa"/>
            <w:noWrap w:val="0"/>
            <w:vAlign w:val="center"/>
          </w:tcPr>
          <w:p w14:paraId="4C8D1C9A">
            <w:pPr>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材料员</w:t>
            </w:r>
          </w:p>
        </w:tc>
        <w:tc>
          <w:tcPr>
            <w:tcW w:w="982" w:type="dxa"/>
            <w:noWrap w:val="0"/>
            <w:vAlign w:val="center"/>
          </w:tcPr>
          <w:p w14:paraId="42BDE32C">
            <w:pPr>
              <w:spacing w:line="440" w:lineRule="exact"/>
              <w:jc w:val="both"/>
              <w:rPr>
                <w:rFonts w:hint="eastAsia" w:ascii="宋体" w:hAnsi="宋体" w:eastAsia="宋体" w:cs="宋体"/>
                <w:color w:val="auto"/>
                <w:sz w:val="24"/>
                <w:szCs w:val="24"/>
                <w:highlight w:val="none"/>
              </w:rPr>
            </w:pPr>
          </w:p>
        </w:tc>
        <w:tc>
          <w:tcPr>
            <w:tcW w:w="4705" w:type="dxa"/>
            <w:noWrap w:val="0"/>
            <w:vAlign w:val="center"/>
          </w:tcPr>
          <w:p w14:paraId="27C47254">
            <w:pPr>
              <w:keepNext/>
              <w:spacing w:after="0" w:line="440" w:lineRule="exact"/>
              <w:ind w:left="63" w:right="63"/>
              <w:rPr>
                <w:rFonts w:hint="eastAsia" w:ascii="宋体" w:hAnsi="宋体" w:eastAsia="宋体" w:cs="宋体"/>
                <w:color w:val="auto"/>
                <w:sz w:val="24"/>
                <w:szCs w:val="24"/>
                <w:highlight w:val="none"/>
                <w:lang w:val="en-US" w:eastAsia="zh-CN"/>
              </w:rPr>
            </w:pPr>
          </w:p>
        </w:tc>
      </w:tr>
      <w:tr w14:paraId="04A83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081B9D6">
            <w:pPr>
              <w:pStyle w:val="2"/>
              <w:keepNext/>
              <w:spacing w:after="0"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计划管理</w:t>
            </w:r>
          </w:p>
        </w:tc>
        <w:tc>
          <w:tcPr>
            <w:tcW w:w="1257" w:type="dxa"/>
            <w:noWrap w:val="0"/>
            <w:vAlign w:val="center"/>
          </w:tcPr>
          <w:p w14:paraId="5DF016FA">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w:t>
            </w:r>
          </w:p>
        </w:tc>
        <w:tc>
          <w:tcPr>
            <w:tcW w:w="1295" w:type="dxa"/>
            <w:noWrap w:val="0"/>
            <w:vAlign w:val="center"/>
          </w:tcPr>
          <w:p w14:paraId="11FE5840">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施工员</w:t>
            </w:r>
          </w:p>
        </w:tc>
        <w:tc>
          <w:tcPr>
            <w:tcW w:w="982" w:type="dxa"/>
            <w:noWrap w:val="0"/>
            <w:vAlign w:val="center"/>
          </w:tcPr>
          <w:p w14:paraId="6F71D9EA">
            <w:pPr>
              <w:jc w:val="center"/>
              <w:rPr>
                <w:rFonts w:hint="eastAsia" w:ascii="宋体" w:hAnsi="宋体" w:eastAsia="宋体" w:cs="宋体"/>
                <w:color w:val="auto"/>
                <w:sz w:val="24"/>
                <w:szCs w:val="24"/>
                <w:highlight w:val="none"/>
              </w:rPr>
            </w:pPr>
          </w:p>
        </w:tc>
        <w:tc>
          <w:tcPr>
            <w:tcW w:w="4705" w:type="dxa"/>
            <w:noWrap w:val="0"/>
            <w:vAlign w:val="center"/>
          </w:tcPr>
          <w:p w14:paraId="22786574">
            <w:pPr>
              <w:keepNext/>
              <w:spacing w:after="0" w:line="440" w:lineRule="exact"/>
              <w:ind w:left="63" w:right="63"/>
              <w:rPr>
                <w:rFonts w:hint="eastAsia" w:ascii="宋体" w:hAnsi="宋体" w:eastAsia="宋体" w:cs="宋体"/>
                <w:color w:val="auto"/>
                <w:sz w:val="24"/>
                <w:szCs w:val="24"/>
                <w:highlight w:val="none"/>
                <w:lang w:val="en-US" w:eastAsia="zh-CN"/>
              </w:rPr>
            </w:pPr>
          </w:p>
        </w:tc>
      </w:tr>
      <w:tr w14:paraId="518C6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3D968F8">
            <w:pPr>
              <w:pStyle w:val="2"/>
              <w:keepNext/>
              <w:spacing w:after="0"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安全管理</w:t>
            </w:r>
          </w:p>
        </w:tc>
        <w:tc>
          <w:tcPr>
            <w:tcW w:w="1257" w:type="dxa"/>
            <w:noWrap w:val="0"/>
            <w:vAlign w:val="center"/>
          </w:tcPr>
          <w:p w14:paraId="58BAADE1">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w:t>
            </w:r>
          </w:p>
        </w:tc>
        <w:tc>
          <w:tcPr>
            <w:tcW w:w="1295" w:type="dxa"/>
            <w:noWrap w:val="0"/>
            <w:vAlign w:val="center"/>
          </w:tcPr>
          <w:p w14:paraId="760685AB">
            <w:pPr>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安全员</w:t>
            </w:r>
          </w:p>
        </w:tc>
        <w:tc>
          <w:tcPr>
            <w:tcW w:w="982" w:type="dxa"/>
            <w:noWrap w:val="0"/>
            <w:vAlign w:val="center"/>
          </w:tcPr>
          <w:p w14:paraId="77107264">
            <w:pPr>
              <w:spacing w:line="440" w:lineRule="exact"/>
              <w:jc w:val="center"/>
              <w:rPr>
                <w:rFonts w:hint="eastAsia" w:ascii="宋体" w:hAnsi="宋体" w:eastAsia="宋体" w:cs="宋体"/>
                <w:color w:val="auto"/>
                <w:sz w:val="24"/>
                <w:szCs w:val="24"/>
                <w:highlight w:val="none"/>
              </w:rPr>
            </w:pPr>
          </w:p>
        </w:tc>
        <w:tc>
          <w:tcPr>
            <w:tcW w:w="4705" w:type="dxa"/>
            <w:noWrap w:val="0"/>
            <w:vAlign w:val="center"/>
          </w:tcPr>
          <w:p w14:paraId="2B121576">
            <w:pPr>
              <w:keepNext/>
              <w:spacing w:after="0" w:line="440" w:lineRule="exact"/>
              <w:ind w:left="63" w:right="63"/>
              <w:rPr>
                <w:rFonts w:hint="eastAsia" w:ascii="宋体" w:hAnsi="宋体" w:eastAsia="宋体" w:cs="宋体"/>
                <w:color w:val="auto"/>
                <w:sz w:val="24"/>
                <w:szCs w:val="24"/>
                <w:highlight w:val="none"/>
                <w:lang w:val="en-US" w:eastAsia="zh-CN"/>
              </w:rPr>
            </w:pPr>
          </w:p>
        </w:tc>
      </w:tr>
      <w:tr w14:paraId="0F5A2A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27A9B869">
            <w:pPr>
              <w:pStyle w:val="2"/>
              <w:keepNext/>
              <w:spacing w:after="0" w:line="440" w:lineRule="exact"/>
              <w:ind w:left="63" w:right="63"/>
              <w:rPr>
                <w:rFonts w:hint="eastAsia" w:ascii="宋体" w:hAnsi="宋体" w:eastAsia="宋体" w:cs="宋体"/>
                <w:color w:val="auto"/>
                <w:sz w:val="28"/>
                <w:szCs w:val="30"/>
                <w:highlight w:val="none"/>
              </w:rPr>
            </w:pPr>
            <w:r>
              <w:rPr>
                <w:rFonts w:hint="eastAsia" w:ascii="宋体" w:hAnsi="宋体" w:eastAsia="宋体" w:cs="宋体"/>
                <w:color w:val="auto"/>
                <w:sz w:val="28"/>
                <w:szCs w:val="30"/>
                <w:highlight w:val="none"/>
              </w:rPr>
              <w:t>其他人员</w:t>
            </w:r>
          </w:p>
        </w:tc>
        <w:tc>
          <w:tcPr>
            <w:tcW w:w="1257" w:type="dxa"/>
            <w:shd w:val="clear" w:color="auto" w:fill="auto"/>
            <w:noWrap w:val="0"/>
            <w:vAlign w:val="center"/>
          </w:tcPr>
          <w:p w14:paraId="0B4330FF">
            <w:pPr>
              <w:spacing w:line="440" w:lineRule="exact"/>
              <w:jc w:val="center"/>
              <w:rPr>
                <w:rFonts w:hint="eastAsia" w:ascii="宋体" w:hAnsi="宋体" w:eastAsia="宋体" w:cs="宋体"/>
                <w:color w:val="auto"/>
                <w:kern w:val="2"/>
                <w:sz w:val="22"/>
                <w:szCs w:val="22"/>
                <w:highlight w:val="none"/>
                <w:shd w:val="clear" w:color="auto" w:fill="auto"/>
                <w:lang w:val="en-US" w:eastAsia="zh-CN" w:bidi="ar-SA"/>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"https://jsy.xjjs.gov.cn/staff/p0ryk3-kguue0-014es" \t "https://jsy.xjjs.gov.cn/company/_blank"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en-US" w:eastAsia="zh-CN" w:bidi="ar-SA"/>
              </w:rPr>
              <w:t xml:space="preserve">   </w:t>
            </w:r>
          </w:p>
        </w:tc>
        <w:tc>
          <w:tcPr>
            <w:tcW w:w="1295" w:type="dxa"/>
            <w:noWrap w:val="0"/>
            <w:vAlign w:val="center"/>
          </w:tcPr>
          <w:p w14:paraId="1AB41A2E">
            <w:pPr>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资料员</w:t>
            </w:r>
          </w:p>
        </w:tc>
        <w:tc>
          <w:tcPr>
            <w:tcW w:w="982" w:type="dxa"/>
            <w:noWrap w:val="0"/>
            <w:vAlign w:val="center"/>
          </w:tcPr>
          <w:p w14:paraId="5A251D1C">
            <w:pPr>
              <w:spacing w:line="440" w:lineRule="exact"/>
              <w:jc w:val="both"/>
              <w:rPr>
                <w:rFonts w:hint="eastAsia" w:ascii="宋体" w:hAnsi="宋体" w:eastAsia="宋体" w:cs="宋体"/>
                <w:color w:val="auto"/>
                <w:sz w:val="24"/>
                <w:szCs w:val="24"/>
                <w:highlight w:val="none"/>
              </w:rPr>
            </w:pPr>
          </w:p>
        </w:tc>
        <w:tc>
          <w:tcPr>
            <w:tcW w:w="4705" w:type="dxa"/>
            <w:noWrap w:val="0"/>
            <w:vAlign w:val="center"/>
          </w:tcPr>
          <w:p w14:paraId="4FAE3583">
            <w:pPr>
              <w:keepNext/>
              <w:spacing w:after="0" w:line="440" w:lineRule="exact"/>
              <w:ind w:left="63" w:right="63"/>
              <w:rPr>
                <w:rFonts w:hint="eastAsia" w:ascii="宋体" w:hAnsi="宋体" w:eastAsia="宋体" w:cs="宋体"/>
                <w:color w:val="auto"/>
                <w:sz w:val="24"/>
                <w:szCs w:val="24"/>
                <w:highlight w:val="none"/>
                <w:lang w:val="en-US" w:eastAsia="zh-CN"/>
              </w:rPr>
            </w:pPr>
          </w:p>
        </w:tc>
      </w:tr>
      <w:tr w14:paraId="660C22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732578A">
            <w:pPr>
              <w:pStyle w:val="2"/>
              <w:keepNext/>
              <w:spacing w:after="0" w:line="440" w:lineRule="exact"/>
              <w:ind w:left="63" w:right="63"/>
              <w:rPr>
                <w:rFonts w:hint="eastAsia" w:ascii="宋体" w:hAnsi="宋体" w:eastAsia="宋体" w:cs="宋体"/>
                <w:color w:val="auto"/>
                <w:sz w:val="28"/>
                <w:szCs w:val="30"/>
                <w:highlight w:val="none"/>
              </w:rPr>
            </w:pPr>
          </w:p>
        </w:tc>
        <w:tc>
          <w:tcPr>
            <w:tcW w:w="1257" w:type="dxa"/>
            <w:tcBorders>
              <w:bottom w:val="nil"/>
            </w:tcBorders>
            <w:noWrap w:val="0"/>
            <w:vAlign w:val="center"/>
          </w:tcPr>
          <w:p w14:paraId="639C7324">
            <w:pPr>
              <w:spacing w:line="440" w:lineRule="exact"/>
              <w:jc w:val="center"/>
              <w:rPr>
                <w:rFonts w:hint="eastAsia" w:ascii="宋体" w:hAnsi="宋体" w:eastAsia="宋体" w:cs="宋体"/>
                <w:color w:val="auto"/>
                <w:kern w:val="2"/>
                <w:sz w:val="24"/>
                <w:szCs w:val="24"/>
                <w:highlight w:val="none"/>
                <w:lang w:val="en-US" w:eastAsia="zh-CN" w:bidi="ar-SA"/>
              </w:rPr>
            </w:pPr>
          </w:p>
        </w:tc>
        <w:tc>
          <w:tcPr>
            <w:tcW w:w="1295" w:type="dxa"/>
            <w:tcBorders>
              <w:bottom w:val="nil"/>
            </w:tcBorders>
            <w:noWrap w:val="0"/>
            <w:vAlign w:val="center"/>
          </w:tcPr>
          <w:p w14:paraId="0EA76CE4">
            <w:pPr>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标准员</w:t>
            </w:r>
          </w:p>
        </w:tc>
        <w:tc>
          <w:tcPr>
            <w:tcW w:w="982" w:type="dxa"/>
            <w:tcBorders>
              <w:bottom w:val="nil"/>
            </w:tcBorders>
            <w:noWrap w:val="0"/>
            <w:vAlign w:val="center"/>
          </w:tcPr>
          <w:p w14:paraId="77B7A16E">
            <w:pPr>
              <w:pStyle w:val="2"/>
              <w:keepNext/>
              <w:spacing w:after="0" w:line="440" w:lineRule="exact"/>
              <w:ind w:left="63" w:right="63"/>
              <w:rPr>
                <w:rFonts w:hint="eastAsia" w:ascii="宋体" w:hAnsi="宋体" w:eastAsia="宋体" w:cs="宋体"/>
                <w:color w:val="auto"/>
                <w:sz w:val="30"/>
                <w:szCs w:val="30"/>
                <w:highlight w:val="none"/>
                <w:lang w:val="en-US" w:eastAsia="zh-CN"/>
              </w:rPr>
            </w:pPr>
          </w:p>
        </w:tc>
        <w:tc>
          <w:tcPr>
            <w:tcW w:w="4705" w:type="dxa"/>
            <w:tcBorders>
              <w:bottom w:val="nil"/>
            </w:tcBorders>
            <w:noWrap w:val="0"/>
            <w:vAlign w:val="center"/>
          </w:tcPr>
          <w:p w14:paraId="10E94AAA">
            <w:pPr>
              <w:pStyle w:val="2"/>
              <w:keepNext/>
              <w:spacing w:after="0" w:line="440" w:lineRule="exact"/>
              <w:ind w:right="63"/>
              <w:jc w:val="both"/>
              <w:rPr>
                <w:rFonts w:hint="eastAsia" w:ascii="宋体" w:hAnsi="宋体" w:eastAsia="宋体" w:cs="宋体"/>
                <w:color w:val="auto"/>
                <w:sz w:val="30"/>
                <w:szCs w:val="30"/>
                <w:highlight w:val="none"/>
                <w:lang w:val="en-US" w:eastAsia="zh-CN"/>
              </w:rPr>
            </w:pPr>
          </w:p>
        </w:tc>
      </w:tr>
      <w:tr w14:paraId="57982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23AA414">
            <w:pPr>
              <w:pStyle w:val="2"/>
              <w:keepNext/>
              <w:spacing w:after="0" w:line="440" w:lineRule="exact"/>
              <w:ind w:left="63" w:right="63"/>
              <w:rPr>
                <w:rFonts w:hint="eastAsia" w:ascii="宋体" w:hAnsi="宋体" w:eastAsia="宋体" w:cs="宋体"/>
                <w:color w:val="auto"/>
                <w:sz w:val="28"/>
                <w:szCs w:val="30"/>
                <w:highlight w:val="none"/>
              </w:rPr>
            </w:pPr>
          </w:p>
        </w:tc>
        <w:tc>
          <w:tcPr>
            <w:tcW w:w="1257" w:type="dxa"/>
            <w:noWrap w:val="0"/>
            <w:vAlign w:val="center"/>
          </w:tcPr>
          <w:p w14:paraId="5FECE9A4">
            <w:pPr>
              <w:spacing w:line="440" w:lineRule="exact"/>
              <w:jc w:val="center"/>
              <w:rPr>
                <w:rFonts w:hint="eastAsia" w:ascii="宋体" w:hAnsi="宋体" w:eastAsia="宋体" w:cs="宋体"/>
                <w:color w:val="auto"/>
                <w:kern w:val="2"/>
                <w:sz w:val="24"/>
                <w:szCs w:val="24"/>
                <w:highlight w:val="none"/>
                <w:lang w:val="en-US" w:eastAsia="zh-CN" w:bidi="ar-SA"/>
              </w:rPr>
            </w:pPr>
          </w:p>
        </w:tc>
        <w:tc>
          <w:tcPr>
            <w:tcW w:w="1295" w:type="dxa"/>
            <w:noWrap w:val="0"/>
            <w:vAlign w:val="center"/>
          </w:tcPr>
          <w:p w14:paraId="71EF4D75">
            <w:pPr>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机械员</w:t>
            </w:r>
          </w:p>
        </w:tc>
        <w:tc>
          <w:tcPr>
            <w:tcW w:w="982" w:type="dxa"/>
            <w:noWrap w:val="0"/>
            <w:vAlign w:val="center"/>
          </w:tcPr>
          <w:p w14:paraId="7A08A89A">
            <w:pPr>
              <w:pStyle w:val="2"/>
              <w:keepNext/>
              <w:spacing w:after="0" w:line="440" w:lineRule="exact"/>
              <w:ind w:left="63" w:right="63"/>
              <w:rPr>
                <w:rFonts w:hint="eastAsia" w:ascii="宋体" w:hAnsi="宋体" w:eastAsia="宋体" w:cs="宋体"/>
                <w:color w:val="auto"/>
                <w:sz w:val="30"/>
                <w:szCs w:val="30"/>
                <w:highlight w:val="none"/>
                <w:lang w:val="en-US" w:eastAsia="zh-CN"/>
              </w:rPr>
            </w:pPr>
          </w:p>
        </w:tc>
        <w:tc>
          <w:tcPr>
            <w:tcW w:w="4705" w:type="dxa"/>
            <w:noWrap w:val="0"/>
            <w:vAlign w:val="center"/>
          </w:tcPr>
          <w:p w14:paraId="2F2610AC">
            <w:pPr>
              <w:pStyle w:val="2"/>
              <w:keepNext/>
              <w:spacing w:after="0" w:line="440" w:lineRule="exact"/>
              <w:ind w:left="63" w:right="63"/>
              <w:jc w:val="both"/>
              <w:rPr>
                <w:rFonts w:hint="eastAsia" w:ascii="宋体" w:hAnsi="宋体" w:eastAsia="宋体" w:cs="宋体"/>
                <w:color w:val="auto"/>
                <w:sz w:val="30"/>
                <w:szCs w:val="30"/>
                <w:highlight w:val="none"/>
                <w:lang w:val="en-US" w:eastAsia="zh-CN"/>
              </w:rPr>
            </w:pPr>
          </w:p>
        </w:tc>
      </w:tr>
      <w:tr w14:paraId="1CC6C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2C0EC26">
            <w:pPr>
              <w:pStyle w:val="2"/>
              <w:keepNext/>
              <w:spacing w:after="0" w:line="440" w:lineRule="exact"/>
              <w:ind w:left="63" w:right="63"/>
              <w:rPr>
                <w:rFonts w:hint="eastAsia" w:ascii="宋体" w:hAnsi="宋体" w:eastAsia="宋体" w:cs="宋体"/>
                <w:color w:val="auto"/>
                <w:sz w:val="28"/>
                <w:szCs w:val="30"/>
                <w:highlight w:val="none"/>
              </w:rPr>
            </w:pPr>
          </w:p>
        </w:tc>
        <w:tc>
          <w:tcPr>
            <w:tcW w:w="1257" w:type="dxa"/>
            <w:noWrap w:val="0"/>
            <w:vAlign w:val="center"/>
          </w:tcPr>
          <w:p w14:paraId="3463E30C">
            <w:pPr>
              <w:spacing w:line="440" w:lineRule="exact"/>
              <w:jc w:val="both"/>
              <w:rPr>
                <w:rFonts w:hint="eastAsia" w:ascii="宋体" w:hAnsi="宋体" w:eastAsia="宋体" w:cs="宋体"/>
                <w:color w:val="auto"/>
                <w:kern w:val="2"/>
                <w:sz w:val="24"/>
                <w:szCs w:val="24"/>
                <w:highlight w:val="none"/>
                <w:lang w:val="en-US" w:eastAsia="zh-CN" w:bidi="ar-SA"/>
              </w:rPr>
            </w:pPr>
          </w:p>
        </w:tc>
        <w:tc>
          <w:tcPr>
            <w:tcW w:w="1295" w:type="dxa"/>
            <w:noWrap w:val="0"/>
            <w:vAlign w:val="center"/>
          </w:tcPr>
          <w:p w14:paraId="25B287E8">
            <w:pPr>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劳务员</w:t>
            </w:r>
          </w:p>
        </w:tc>
        <w:tc>
          <w:tcPr>
            <w:tcW w:w="982" w:type="dxa"/>
            <w:noWrap w:val="0"/>
            <w:vAlign w:val="center"/>
          </w:tcPr>
          <w:p w14:paraId="5FBFFABA">
            <w:pPr>
              <w:pStyle w:val="2"/>
              <w:keepNext/>
              <w:spacing w:after="0" w:line="440" w:lineRule="exact"/>
              <w:ind w:left="63" w:right="63"/>
              <w:rPr>
                <w:rFonts w:hint="eastAsia" w:ascii="宋体" w:hAnsi="宋体" w:eastAsia="宋体" w:cs="宋体"/>
                <w:color w:val="auto"/>
                <w:sz w:val="30"/>
                <w:szCs w:val="30"/>
                <w:highlight w:val="none"/>
                <w:lang w:val="en-US" w:eastAsia="zh-CN"/>
              </w:rPr>
            </w:pPr>
          </w:p>
        </w:tc>
        <w:tc>
          <w:tcPr>
            <w:tcW w:w="4705" w:type="dxa"/>
            <w:noWrap w:val="0"/>
            <w:vAlign w:val="center"/>
          </w:tcPr>
          <w:p w14:paraId="3E5C7508">
            <w:pPr>
              <w:pStyle w:val="2"/>
              <w:keepNext/>
              <w:spacing w:after="0" w:line="440" w:lineRule="exact"/>
              <w:ind w:left="63" w:right="63"/>
              <w:jc w:val="both"/>
              <w:rPr>
                <w:rFonts w:hint="eastAsia" w:ascii="宋体" w:hAnsi="宋体" w:eastAsia="宋体" w:cs="宋体"/>
                <w:color w:val="auto"/>
                <w:sz w:val="30"/>
                <w:szCs w:val="30"/>
                <w:highlight w:val="none"/>
                <w:lang w:val="en-US" w:eastAsia="zh-CN"/>
              </w:rPr>
            </w:pPr>
          </w:p>
        </w:tc>
      </w:tr>
    </w:tbl>
    <w:p w14:paraId="470924C7">
      <w:pPr>
        <w:adjustRightInd w:val="0"/>
        <w:snapToGrid w:val="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w:t>
      </w:r>
      <w:bookmarkStart w:id="538" w:name="_Toc296346730"/>
      <w:bookmarkStart w:id="539" w:name="_Toc296944568"/>
      <w:bookmarkStart w:id="540" w:name="_Toc296891269"/>
      <w:bookmarkStart w:id="541" w:name="_Toc296503229"/>
      <w:bookmarkStart w:id="542" w:name="_Toc296891057"/>
      <w:bookmarkStart w:id="543" w:name="_Toc296347228"/>
      <w:r>
        <w:rPr>
          <w:rFonts w:hint="eastAsia" w:ascii="宋体" w:hAnsi="宋体" w:eastAsia="宋体" w:cs="宋体"/>
          <w:color w:val="auto"/>
          <w:sz w:val="30"/>
          <w:szCs w:val="30"/>
          <w:highlight w:val="none"/>
        </w:rPr>
        <w:t>件7：</w:t>
      </w:r>
    </w:p>
    <w:bookmarkEnd w:id="538"/>
    <w:bookmarkEnd w:id="539"/>
    <w:bookmarkEnd w:id="540"/>
    <w:bookmarkEnd w:id="541"/>
    <w:bookmarkEnd w:id="542"/>
    <w:bookmarkEnd w:id="543"/>
    <w:p w14:paraId="1F1F8633">
      <w:pPr>
        <w:adjustRightInd w:val="0"/>
        <w:snapToGrid w:val="0"/>
        <w:spacing w:beforeLines="50" w:afterLines="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分包人主要施工管理人员表</w:t>
      </w:r>
    </w:p>
    <w:tbl>
      <w:tblPr>
        <w:tblStyle w:val="25"/>
        <w:tblW w:w="97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68"/>
        <w:gridCol w:w="1416"/>
        <w:gridCol w:w="1133"/>
        <w:gridCol w:w="1133"/>
        <w:gridCol w:w="4246"/>
      </w:tblGrid>
      <w:tr w14:paraId="3A420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6" w:hRule="atLeast"/>
          <w:jc w:val="center"/>
        </w:trPr>
        <w:tc>
          <w:tcPr>
            <w:tcW w:w="1868" w:type="dxa"/>
            <w:tcBorders>
              <w:top w:val="single" w:color="auto" w:sz="12" w:space="0"/>
              <w:bottom w:val="double" w:color="auto" w:sz="6" w:space="0"/>
            </w:tcBorders>
            <w:vAlign w:val="center"/>
          </w:tcPr>
          <w:p w14:paraId="6C34DEE7">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名 称</w:t>
            </w:r>
          </w:p>
        </w:tc>
        <w:tc>
          <w:tcPr>
            <w:tcW w:w="1416" w:type="dxa"/>
            <w:tcBorders>
              <w:top w:val="single" w:color="auto" w:sz="12" w:space="0"/>
              <w:bottom w:val="double" w:color="auto" w:sz="6" w:space="0"/>
            </w:tcBorders>
            <w:vAlign w:val="center"/>
          </w:tcPr>
          <w:p w14:paraId="3E060C14">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姓名</w:t>
            </w:r>
          </w:p>
        </w:tc>
        <w:tc>
          <w:tcPr>
            <w:tcW w:w="1133" w:type="dxa"/>
            <w:tcBorders>
              <w:top w:val="single" w:color="auto" w:sz="12" w:space="0"/>
              <w:bottom w:val="double" w:color="auto" w:sz="6" w:space="0"/>
            </w:tcBorders>
            <w:vAlign w:val="center"/>
          </w:tcPr>
          <w:p w14:paraId="76F6E0CE">
            <w:pPr>
              <w:pStyle w:val="2"/>
              <w:keepNext/>
              <w:snapToGrid w:val="0"/>
              <w:spacing w:line="240" w:lineRule="auto"/>
              <w:ind w:left="63" w:right="63"/>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职务</w:t>
            </w:r>
          </w:p>
        </w:tc>
        <w:tc>
          <w:tcPr>
            <w:tcW w:w="1133" w:type="dxa"/>
            <w:tcBorders>
              <w:top w:val="single" w:color="auto" w:sz="12" w:space="0"/>
              <w:bottom w:val="double" w:color="auto" w:sz="6" w:space="0"/>
            </w:tcBorders>
            <w:vAlign w:val="center"/>
          </w:tcPr>
          <w:p w14:paraId="73C53596">
            <w:pPr>
              <w:pStyle w:val="2"/>
              <w:keepNext/>
              <w:snapToGrid w:val="0"/>
              <w:spacing w:line="240" w:lineRule="auto"/>
              <w:ind w:left="63" w:right="63"/>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职称</w:t>
            </w:r>
          </w:p>
        </w:tc>
        <w:tc>
          <w:tcPr>
            <w:tcW w:w="4246" w:type="dxa"/>
            <w:tcBorders>
              <w:top w:val="single" w:color="auto" w:sz="12" w:space="0"/>
              <w:bottom w:val="double" w:color="auto" w:sz="6" w:space="0"/>
            </w:tcBorders>
            <w:vAlign w:val="center"/>
          </w:tcPr>
          <w:p w14:paraId="27B59E82">
            <w:pPr>
              <w:pStyle w:val="2"/>
              <w:keepNext/>
              <w:snapToGrid w:val="0"/>
              <w:spacing w:line="240" w:lineRule="auto"/>
              <w:ind w:left="63" w:right="63"/>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主要资历、经验及承担过的项目</w:t>
            </w:r>
          </w:p>
        </w:tc>
      </w:tr>
      <w:tr w14:paraId="1D41A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9" w:hRule="atLeast"/>
          <w:jc w:val="center"/>
        </w:trPr>
        <w:tc>
          <w:tcPr>
            <w:tcW w:w="9796" w:type="dxa"/>
            <w:gridSpan w:val="5"/>
            <w:tcBorders>
              <w:top w:val="double" w:color="auto" w:sz="6" w:space="0"/>
              <w:bottom w:val="single" w:color="auto" w:sz="6" w:space="0"/>
            </w:tcBorders>
            <w:vAlign w:val="center"/>
          </w:tcPr>
          <w:p w14:paraId="1741FD94">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一、总部人员</w:t>
            </w:r>
          </w:p>
        </w:tc>
      </w:tr>
      <w:tr w14:paraId="5B97A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9" w:hRule="atLeast"/>
          <w:jc w:val="center"/>
        </w:trPr>
        <w:tc>
          <w:tcPr>
            <w:tcW w:w="1868" w:type="dxa"/>
            <w:tcBorders>
              <w:top w:val="nil"/>
              <w:bottom w:val="nil"/>
            </w:tcBorders>
            <w:vAlign w:val="center"/>
          </w:tcPr>
          <w:p w14:paraId="604ADD03">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项目主管</w:t>
            </w:r>
          </w:p>
        </w:tc>
        <w:tc>
          <w:tcPr>
            <w:tcW w:w="1416" w:type="dxa"/>
            <w:tcBorders>
              <w:top w:val="nil"/>
            </w:tcBorders>
            <w:vAlign w:val="center"/>
          </w:tcPr>
          <w:p w14:paraId="7085ECF2">
            <w:pPr>
              <w:pStyle w:val="2"/>
              <w:keepNext/>
              <w:snapToGrid w:val="0"/>
              <w:spacing w:line="240" w:lineRule="auto"/>
              <w:ind w:left="63" w:right="63"/>
              <w:rPr>
                <w:rFonts w:hint="eastAsia" w:ascii="宋体" w:hAnsi="宋体" w:eastAsia="宋体" w:cs="宋体"/>
                <w:color w:val="auto"/>
                <w:kern w:val="2"/>
                <w:sz w:val="28"/>
                <w:szCs w:val="30"/>
                <w:highlight w:val="none"/>
              </w:rPr>
            </w:pPr>
          </w:p>
        </w:tc>
        <w:tc>
          <w:tcPr>
            <w:tcW w:w="1133" w:type="dxa"/>
            <w:tcBorders>
              <w:top w:val="nil"/>
            </w:tcBorders>
            <w:vAlign w:val="center"/>
          </w:tcPr>
          <w:p w14:paraId="60E2579C">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33" w:type="dxa"/>
            <w:tcBorders>
              <w:top w:val="nil"/>
            </w:tcBorders>
            <w:vAlign w:val="center"/>
          </w:tcPr>
          <w:p w14:paraId="6C542EF2">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4246" w:type="dxa"/>
            <w:tcBorders>
              <w:top w:val="nil"/>
            </w:tcBorders>
            <w:vAlign w:val="center"/>
          </w:tcPr>
          <w:p w14:paraId="1F9B57C0">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0DC17E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868" w:type="dxa"/>
            <w:tcBorders>
              <w:top w:val="single" w:color="auto" w:sz="6" w:space="0"/>
              <w:bottom w:val="nil"/>
            </w:tcBorders>
            <w:vAlign w:val="center"/>
          </w:tcPr>
          <w:p w14:paraId="2892D8B5">
            <w:pPr>
              <w:pStyle w:val="2"/>
              <w:keepNext/>
              <w:snapToGrid w:val="0"/>
              <w:spacing w:line="240" w:lineRule="auto"/>
              <w:ind w:left="63" w:right="63"/>
              <w:rPr>
                <w:rFonts w:hint="eastAsia" w:ascii="宋体" w:hAnsi="宋体" w:eastAsia="宋体" w:cs="宋体"/>
                <w:color w:val="auto"/>
                <w:kern w:val="2"/>
                <w:sz w:val="28"/>
                <w:szCs w:val="30"/>
                <w:highlight w:val="none"/>
              </w:rPr>
            </w:pPr>
          </w:p>
        </w:tc>
        <w:tc>
          <w:tcPr>
            <w:tcW w:w="1416" w:type="dxa"/>
            <w:vAlign w:val="center"/>
          </w:tcPr>
          <w:p w14:paraId="68F1CB6F">
            <w:pPr>
              <w:pStyle w:val="2"/>
              <w:keepNext/>
              <w:snapToGrid w:val="0"/>
              <w:spacing w:line="240" w:lineRule="auto"/>
              <w:ind w:left="63" w:right="63"/>
              <w:rPr>
                <w:rFonts w:hint="eastAsia" w:ascii="宋体" w:hAnsi="宋体" w:eastAsia="宋体" w:cs="宋体"/>
                <w:color w:val="auto"/>
                <w:kern w:val="2"/>
                <w:sz w:val="28"/>
                <w:szCs w:val="30"/>
                <w:highlight w:val="none"/>
              </w:rPr>
            </w:pPr>
          </w:p>
        </w:tc>
        <w:tc>
          <w:tcPr>
            <w:tcW w:w="1133" w:type="dxa"/>
            <w:vAlign w:val="center"/>
          </w:tcPr>
          <w:p w14:paraId="14484808">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33" w:type="dxa"/>
            <w:vAlign w:val="center"/>
          </w:tcPr>
          <w:p w14:paraId="1E1B9296">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4246" w:type="dxa"/>
            <w:vAlign w:val="center"/>
          </w:tcPr>
          <w:p w14:paraId="24982CB8">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44195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868" w:type="dxa"/>
            <w:tcBorders>
              <w:top w:val="nil"/>
              <w:bottom w:val="nil"/>
            </w:tcBorders>
            <w:vAlign w:val="center"/>
          </w:tcPr>
          <w:p w14:paraId="47BBF42A">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其他人员</w:t>
            </w:r>
          </w:p>
        </w:tc>
        <w:tc>
          <w:tcPr>
            <w:tcW w:w="1416" w:type="dxa"/>
            <w:vAlign w:val="center"/>
          </w:tcPr>
          <w:p w14:paraId="6FDA60E4">
            <w:pPr>
              <w:pStyle w:val="2"/>
              <w:keepNext/>
              <w:snapToGrid w:val="0"/>
              <w:spacing w:line="240" w:lineRule="auto"/>
              <w:ind w:left="63" w:right="63"/>
              <w:rPr>
                <w:rFonts w:hint="eastAsia" w:ascii="宋体" w:hAnsi="宋体" w:eastAsia="宋体" w:cs="宋体"/>
                <w:color w:val="auto"/>
                <w:kern w:val="2"/>
                <w:sz w:val="28"/>
                <w:szCs w:val="30"/>
                <w:highlight w:val="none"/>
              </w:rPr>
            </w:pPr>
          </w:p>
        </w:tc>
        <w:tc>
          <w:tcPr>
            <w:tcW w:w="1133" w:type="dxa"/>
            <w:vAlign w:val="center"/>
          </w:tcPr>
          <w:p w14:paraId="6F713022">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33" w:type="dxa"/>
            <w:vAlign w:val="center"/>
          </w:tcPr>
          <w:p w14:paraId="225D7ED2">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4246" w:type="dxa"/>
            <w:vAlign w:val="center"/>
          </w:tcPr>
          <w:p w14:paraId="388C7FCF">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614D0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868" w:type="dxa"/>
            <w:tcBorders>
              <w:top w:val="nil"/>
              <w:bottom w:val="nil"/>
            </w:tcBorders>
            <w:vAlign w:val="center"/>
          </w:tcPr>
          <w:p w14:paraId="022BD174">
            <w:pPr>
              <w:pStyle w:val="2"/>
              <w:keepNext/>
              <w:snapToGrid w:val="0"/>
              <w:spacing w:line="240" w:lineRule="auto"/>
              <w:ind w:left="63" w:right="63"/>
              <w:rPr>
                <w:rFonts w:hint="eastAsia" w:ascii="宋体" w:hAnsi="宋体" w:eastAsia="宋体" w:cs="宋体"/>
                <w:color w:val="auto"/>
                <w:kern w:val="2"/>
                <w:sz w:val="28"/>
                <w:szCs w:val="30"/>
                <w:highlight w:val="none"/>
              </w:rPr>
            </w:pPr>
          </w:p>
        </w:tc>
        <w:tc>
          <w:tcPr>
            <w:tcW w:w="1416" w:type="dxa"/>
            <w:vAlign w:val="center"/>
          </w:tcPr>
          <w:p w14:paraId="2CA9C9BA">
            <w:pPr>
              <w:pStyle w:val="2"/>
              <w:keepNext/>
              <w:snapToGrid w:val="0"/>
              <w:spacing w:line="240" w:lineRule="auto"/>
              <w:ind w:left="63" w:right="63"/>
              <w:rPr>
                <w:rFonts w:hint="eastAsia" w:ascii="宋体" w:hAnsi="宋体" w:eastAsia="宋体" w:cs="宋体"/>
                <w:color w:val="auto"/>
                <w:kern w:val="2"/>
                <w:sz w:val="28"/>
                <w:szCs w:val="30"/>
                <w:highlight w:val="none"/>
              </w:rPr>
            </w:pPr>
          </w:p>
        </w:tc>
        <w:tc>
          <w:tcPr>
            <w:tcW w:w="1133" w:type="dxa"/>
            <w:vAlign w:val="center"/>
          </w:tcPr>
          <w:p w14:paraId="16D85356">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33" w:type="dxa"/>
            <w:vAlign w:val="center"/>
          </w:tcPr>
          <w:p w14:paraId="466CAF7E">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4246" w:type="dxa"/>
            <w:vAlign w:val="center"/>
          </w:tcPr>
          <w:p w14:paraId="6B64026F">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29881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9" w:hRule="atLeast"/>
          <w:jc w:val="center"/>
        </w:trPr>
        <w:tc>
          <w:tcPr>
            <w:tcW w:w="9796" w:type="dxa"/>
            <w:gridSpan w:val="5"/>
            <w:tcBorders>
              <w:top w:val="single" w:color="auto" w:sz="6" w:space="0"/>
              <w:bottom w:val="single" w:color="auto" w:sz="6" w:space="0"/>
            </w:tcBorders>
            <w:vAlign w:val="center"/>
          </w:tcPr>
          <w:p w14:paraId="4CE7C8BA">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二、现场人员</w:t>
            </w:r>
          </w:p>
        </w:tc>
      </w:tr>
      <w:tr w14:paraId="62FD4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9" w:hRule="atLeast"/>
          <w:jc w:val="center"/>
        </w:trPr>
        <w:tc>
          <w:tcPr>
            <w:tcW w:w="1868" w:type="dxa"/>
            <w:tcBorders>
              <w:top w:val="single" w:color="auto" w:sz="6" w:space="0"/>
              <w:bottom w:val="single" w:color="auto" w:sz="6" w:space="0"/>
            </w:tcBorders>
            <w:vAlign w:val="center"/>
          </w:tcPr>
          <w:p w14:paraId="48770B7E">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项目经理</w:t>
            </w:r>
          </w:p>
        </w:tc>
        <w:tc>
          <w:tcPr>
            <w:tcW w:w="1416" w:type="dxa"/>
            <w:vAlign w:val="center"/>
          </w:tcPr>
          <w:p w14:paraId="0905ABB9">
            <w:pPr>
              <w:pStyle w:val="2"/>
              <w:keepNext/>
              <w:snapToGrid w:val="0"/>
              <w:spacing w:line="240" w:lineRule="auto"/>
              <w:ind w:left="63" w:right="63"/>
              <w:rPr>
                <w:rFonts w:hint="eastAsia" w:ascii="宋体" w:hAnsi="宋体" w:eastAsia="宋体" w:cs="宋体"/>
                <w:color w:val="auto"/>
                <w:kern w:val="2"/>
                <w:sz w:val="28"/>
                <w:szCs w:val="30"/>
                <w:highlight w:val="none"/>
              </w:rPr>
            </w:pPr>
          </w:p>
        </w:tc>
        <w:tc>
          <w:tcPr>
            <w:tcW w:w="1133" w:type="dxa"/>
            <w:vAlign w:val="center"/>
          </w:tcPr>
          <w:p w14:paraId="090490EC">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33" w:type="dxa"/>
            <w:vAlign w:val="center"/>
          </w:tcPr>
          <w:p w14:paraId="400BA595">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4246" w:type="dxa"/>
            <w:vAlign w:val="center"/>
          </w:tcPr>
          <w:p w14:paraId="379FF326">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2CE43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9" w:hRule="atLeast"/>
          <w:jc w:val="center"/>
        </w:trPr>
        <w:tc>
          <w:tcPr>
            <w:tcW w:w="1868" w:type="dxa"/>
            <w:tcBorders>
              <w:top w:val="single" w:color="auto" w:sz="6" w:space="0"/>
              <w:bottom w:val="single" w:color="auto" w:sz="6" w:space="0"/>
            </w:tcBorders>
            <w:vAlign w:val="center"/>
          </w:tcPr>
          <w:p w14:paraId="792AD5A6">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项目副经理</w:t>
            </w:r>
          </w:p>
        </w:tc>
        <w:tc>
          <w:tcPr>
            <w:tcW w:w="1416" w:type="dxa"/>
            <w:vAlign w:val="center"/>
          </w:tcPr>
          <w:p w14:paraId="7A43DB46">
            <w:pPr>
              <w:pStyle w:val="2"/>
              <w:keepNext/>
              <w:snapToGrid w:val="0"/>
              <w:spacing w:line="240" w:lineRule="auto"/>
              <w:ind w:left="63" w:right="63"/>
              <w:rPr>
                <w:rFonts w:hint="eastAsia" w:ascii="宋体" w:hAnsi="宋体" w:eastAsia="宋体" w:cs="宋体"/>
                <w:color w:val="auto"/>
                <w:kern w:val="2"/>
                <w:sz w:val="28"/>
                <w:szCs w:val="30"/>
                <w:highlight w:val="none"/>
              </w:rPr>
            </w:pPr>
          </w:p>
        </w:tc>
        <w:tc>
          <w:tcPr>
            <w:tcW w:w="1133" w:type="dxa"/>
            <w:vAlign w:val="center"/>
          </w:tcPr>
          <w:p w14:paraId="1B5D793F">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33" w:type="dxa"/>
            <w:vAlign w:val="center"/>
          </w:tcPr>
          <w:p w14:paraId="316E0EE6">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4246" w:type="dxa"/>
            <w:vAlign w:val="center"/>
          </w:tcPr>
          <w:p w14:paraId="78565B7E">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34397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9" w:hRule="atLeast"/>
          <w:jc w:val="center"/>
        </w:trPr>
        <w:tc>
          <w:tcPr>
            <w:tcW w:w="1868" w:type="dxa"/>
            <w:tcBorders>
              <w:top w:val="single" w:color="auto" w:sz="6" w:space="0"/>
              <w:bottom w:val="single" w:color="auto" w:sz="6" w:space="0"/>
            </w:tcBorders>
            <w:vAlign w:val="center"/>
          </w:tcPr>
          <w:p w14:paraId="1119BF05">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技术负责人</w:t>
            </w:r>
          </w:p>
        </w:tc>
        <w:tc>
          <w:tcPr>
            <w:tcW w:w="1416" w:type="dxa"/>
            <w:vAlign w:val="center"/>
          </w:tcPr>
          <w:p w14:paraId="76998997">
            <w:pPr>
              <w:pStyle w:val="2"/>
              <w:keepNext/>
              <w:snapToGrid w:val="0"/>
              <w:spacing w:line="240" w:lineRule="auto"/>
              <w:ind w:left="63" w:right="63"/>
              <w:rPr>
                <w:rFonts w:hint="eastAsia" w:ascii="宋体" w:hAnsi="宋体" w:eastAsia="宋体" w:cs="宋体"/>
                <w:color w:val="auto"/>
                <w:kern w:val="2"/>
                <w:sz w:val="28"/>
                <w:szCs w:val="30"/>
                <w:highlight w:val="none"/>
              </w:rPr>
            </w:pPr>
          </w:p>
        </w:tc>
        <w:tc>
          <w:tcPr>
            <w:tcW w:w="1133" w:type="dxa"/>
            <w:vAlign w:val="center"/>
          </w:tcPr>
          <w:p w14:paraId="12DDE2EA">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33" w:type="dxa"/>
            <w:vAlign w:val="center"/>
          </w:tcPr>
          <w:p w14:paraId="7EE29E16">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4246" w:type="dxa"/>
            <w:vAlign w:val="center"/>
          </w:tcPr>
          <w:p w14:paraId="4D07DF00">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2E625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9" w:hRule="atLeast"/>
          <w:jc w:val="center"/>
        </w:trPr>
        <w:tc>
          <w:tcPr>
            <w:tcW w:w="1868" w:type="dxa"/>
            <w:tcBorders>
              <w:top w:val="single" w:color="auto" w:sz="6" w:space="0"/>
              <w:bottom w:val="single" w:color="auto" w:sz="6" w:space="0"/>
            </w:tcBorders>
            <w:vAlign w:val="center"/>
          </w:tcPr>
          <w:p w14:paraId="4AE50D73">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造价管理</w:t>
            </w:r>
          </w:p>
        </w:tc>
        <w:tc>
          <w:tcPr>
            <w:tcW w:w="1416" w:type="dxa"/>
            <w:vAlign w:val="center"/>
          </w:tcPr>
          <w:p w14:paraId="769DFC0C">
            <w:pPr>
              <w:pStyle w:val="2"/>
              <w:keepNext/>
              <w:snapToGrid w:val="0"/>
              <w:spacing w:line="240" w:lineRule="auto"/>
              <w:ind w:left="63" w:right="63"/>
              <w:rPr>
                <w:rFonts w:hint="eastAsia" w:ascii="宋体" w:hAnsi="宋体" w:eastAsia="宋体" w:cs="宋体"/>
                <w:color w:val="auto"/>
                <w:kern w:val="2"/>
                <w:sz w:val="28"/>
                <w:szCs w:val="30"/>
                <w:highlight w:val="none"/>
              </w:rPr>
            </w:pPr>
          </w:p>
        </w:tc>
        <w:tc>
          <w:tcPr>
            <w:tcW w:w="1133" w:type="dxa"/>
            <w:vAlign w:val="center"/>
          </w:tcPr>
          <w:p w14:paraId="0C06FDCE">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33" w:type="dxa"/>
            <w:vAlign w:val="center"/>
          </w:tcPr>
          <w:p w14:paraId="275ED2B8">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4246" w:type="dxa"/>
            <w:vAlign w:val="center"/>
          </w:tcPr>
          <w:p w14:paraId="175360AB">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1BC39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9" w:hRule="atLeast"/>
          <w:jc w:val="center"/>
        </w:trPr>
        <w:tc>
          <w:tcPr>
            <w:tcW w:w="1868" w:type="dxa"/>
            <w:tcBorders>
              <w:top w:val="single" w:color="auto" w:sz="6" w:space="0"/>
              <w:bottom w:val="single" w:color="auto" w:sz="6" w:space="0"/>
            </w:tcBorders>
            <w:vAlign w:val="center"/>
          </w:tcPr>
          <w:p w14:paraId="16505FAD">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质量管理</w:t>
            </w:r>
          </w:p>
        </w:tc>
        <w:tc>
          <w:tcPr>
            <w:tcW w:w="1416" w:type="dxa"/>
            <w:vAlign w:val="center"/>
          </w:tcPr>
          <w:p w14:paraId="5FA6F96C">
            <w:pPr>
              <w:pStyle w:val="2"/>
              <w:keepNext/>
              <w:snapToGrid w:val="0"/>
              <w:spacing w:line="240" w:lineRule="auto"/>
              <w:ind w:left="63" w:right="63"/>
              <w:rPr>
                <w:rFonts w:hint="eastAsia" w:ascii="宋体" w:hAnsi="宋体" w:eastAsia="宋体" w:cs="宋体"/>
                <w:color w:val="auto"/>
                <w:kern w:val="2"/>
                <w:sz w:val="28"/>
                <w:szCs w:val="30"/>
                <w:highlight w:val="none"/>
              </w:rPr>
            </w:pPr>
          </w:p>
        </w:tc>
        <w:tc>
          <w:tcPr>
            <w:tcW w:w="1133" w:type="dxa"/>
            <w:vAlign w:val="center"/>
          </w:tcPr>
          <w:p w14:paraId="0C277ED6">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33" w:type="dxa"/>
            <w:vAlign w:val="center"/>
          </w:tcPr>
          <w:p w14:paraId="6FADE54A">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4246" w:type="dxa"/>
            <w:vAlign w:val="center"/>
          </w:tcPr>
          <w:p w14:paraId="24E453D7">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513A8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9" w:hRule="atLeast"/>
          <w:jc w:val="center"/>
        </w:trPr>
        <w:tc>
          <w:tcPr>
            <w:tcW w:w="1868" w:type="dxa"/>
            <w:tcBorders>
              <w:top w:val="single" w:color="auto" w:sz="6" w:space="0"/>
              <w:bottom w:val="single" w:color="auto" w:sz="6" w:space="0"/>
            </w:tcBorders>
            <w:vAlign w:val="center"/>
          </w:tcPr>
          <w:p w14:paraId="2AE0ED54">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材料管理</w:t>
            </w:r>
          </w:p>
        </w:tc>
        <w:tc>
          <w:tcPr>
            <w:tcW w:w="1416" w:type="dxa"/>
            <w:vAlign w:val="center"/>
          </w:tcPr>
          <w:p w14:paraId="196800FF">
            <w:pPr>
              <w:pStyle w:val="2"/>
              <w:keepNext/>
              <w:snapToGrid w:val="0"/>
              <w:spacing w:line="240" w:lineRule="auto"/>
              <w:ind w:left="63" w:right="63"/>
              <w:rPr>
                <w:rFonts w:hint="eastAsia" w:ascii="宋体" w:hAnsi="宋体" w:eastAsia="宋体" w:cs="宋体"/>
                <w:color w:val="auto"/>
                <w:kern w:val="2"/>
                <w:sz w:val="28"/>
                <w:szCs w:val="30"/>
                <w:highlight w:val="none"/>
              </w:rPr>
            </w:pPr>
          </w:p>
        </w:tc>
        <w:tc>
          <w:tcPr>
            <w:tcW w:w="1133" w:type="dxa"/>
            <w:vAlign w:val="center"/>
          </w:tcPr>
          <w:p w14:paraId="31AC958D">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33" w:type="dxa"/>
            <w:vAlign w:val="center"/>
          </w:tcPr>
          <w:p w14:paraId="62DEF400">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4246" w:type="dxa"/>
            <w:vAlign w:val="center"/>
          </w:tcPr>
          <w:p w14:paraId="4D0CB609">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65AF3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9" w:hRule="atLeast"/>
          <w:jc w:val="center"/>
        </w:trPr>
        <w:tc>
          <w:tcPr>
            <w:tcW w:w="1868" w:type="dxa"/>
            <w:tcBorders>
              <w:top w:val="single" w:color="auto" w:sz="6" w:space="0"/>
              <w:bottom w:val="single" w:color="auto" w:sz="6" w:space="0"/>
            </w:tcBorders>
            <w:vAlign w:val="center"/>
          </w:tcPr>
          <w:p w14:paraId="4D9587EE">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计划管理</w:t>
            </w:r>
          </w:p>
        </w:tc>
        <w:tc>
          <w:tcPr>
            <w:tcW w:w="1416" w:type="dxa"/>
            <w:vAlign w:val="center"/>
          </w:tcPr>
          <w:p w14:paraId="1C81AA77">
            <w:pPr>
              <w:pStyle w:val="2"/>
              <w:keepNext/>
              <w:snapToGrid w:val="0"/>
              <w:spacing w:line="240" w:lineRule="auto"/>
              <w:ind w:left="63" w:right="63"/>
              <w:rPr>
                <w:rFonts w:hint="eastAsia" w:ascii="宋体" w:hAnsi="宋体" w:eastAsia="宋体" w:cs="宋体"/>
                <w:color w:val="auto"/>
                <w:kern w:val="2"/>
                <w:sz w:val="28"/>
                <w:szCs w:val="30"/>
                <w:highlight w:val="none"/>
              </w:rPr>
            </w:pPr>
          </w:p>
        </w:tc>
        <w:tc>
          <w:tcPr>
            <w:tcW w:w="1133" w:type="dxa"/>
            <w:vAlign w:val="center"/>
          </w:tcPr>
          <w:p w14:paraId="1BA7502B">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33" w:type="dxa"/>
            <w:vAlign w:val="center"/>
          </w:tcPr>
          <w:p w14:paraId="586796A3">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4246" w:type="dxa"/>
            <w:vAlign w:val="center"/>
          </w:tcPr>
          <w:p w14:paraId="1573D606">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58355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9" w:hRule="atLeast"/>
          <w:jc w:val="center"/>
        </w:trPr>
        <w:tc>
          <w:tcPr>
            <w:tcW w:w="1868" w:type="dxa"/>
            <w:tcBorders>
              <w:top w:val="single" w:color="auto" w:sz="6" w:space="0"/>
              <w:bottom w:val="single" w:color="auto" w:sz="6" w:space="0"/>
            </w:tcBorders>
            <w:vAlign w:val="center"/>
          </w:tcPr>
          <w:p w14:paraId="0F047893">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安全管理</w:t>
            </w:r>
          </w:p>
        </w:tc>
        <w:tc>
          <w:tcPr>
            <w:tcW w:w="1416" w:type="dxa"/>
            <w:vAlign w:val="center"/>
          </w:tcPr>
          <w:p w14:paraId="024AE367">
            <w:pPr>
              <w:pStyle w:val="2"/>
              <w:keepNext/>
              <w:snapToGrid w:val="0"/>
              <w:spacing w:line="240" w:lineRule="auto"/>
              <w:ind w:left="63" w:right="63"/>
              <w:rPr>
                <w:rFonts w:hint="eastAsia" w:ascii="宋体" w:hAnsi="宋体" w:eastAsia="宋体" w:cs="宋体"/>
                <w:color w:val="auto"/>
                <w:kern w:val="2"/>
                <w:sz w:val="28"/>
                <w:szCs w:val="30"/>
                <w:highlight w:val="none"/>
              </w:rPr>
            </w:pPr>
          </w:p>
        </w:tc>
        <w:tc>
          <w:tcPr>
            <w:tcW w:w="1133" w:type="dxa"/>
            <w:vAlign w:val="center"/>
          </w:tcPr>
          <w:p w14:paraId="341A34F2">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33" w:type="dxa"/>
            <w:vAlign w:val="center"/>
          </w:tcPr>
          <w:p w14:paraId="36E0B4E4">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4246" w:type="dxa"/>
            <w:vAlign w:val="center"/>
          </w:tcPr>
          <w:p w14:paraId="4DB6FEC1">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4B7F5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868" w:type="dxa"/>
            <w:vMerge w:val="restart"/>
            <w:tcBorders>
              <w:top w:val="single" w:color="auto" w:sz="6" w:space="0"/>
            </w:tcBorders>
            <w:vAlign w:val="center"/>
          </w:tcPr>
          <w:p w14:paraId="6531176B">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其他人员</w:t>
            </w:r>
          </w:p>
        </w:tc>
        <w:tc>
          <w:tcPr>
            <w:tcW w:w="1416" w:type="dxa"/>
            <w:vAlign w:val="center"/>
          </w:tcPr>
          <w:p w14:paraId="558148A1">
            <w:pPr>
              <w:pStyle w:val="2"/>
              <w:keepNext/>
              <w:snapToGrid w:val="0"/>
              <w:spacing w:line="240" w:lineRule="auto"/>
              <w:ind w:left="63" w:right="63"/>
              <w:rPr>
                <w:rFonts w:hint="eastAsia" w:ascii="宋体" w:hAnsi="宋体" w:eastAsia="宋体" w:cs="宋体"/>
                <w:color w:val="auto"/>
                <w:kern w:val="2"/>
                <w:sz w:val="28"/>
                <w:szCs w:val="30"/>
                <w:highlight w:val="none"/>
              </w:rPr>
            </w:pPr>
          </w:p>
        </w:tc>
        <w:tc>
          <w:tcPr>
            <w:tcW w:w="1133" w:type="dxa"/>
            <w:vAlign w:val="center"/>
          </w:tcPr>
          <w:p w14:paraId="08295624">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33" w:type="dxa"/>
            <w:vAlign w:val="center"/>
          </w:tcPr>
          <w:p w14:paraId="4D203E51">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4246" w:type="dxa"/>
            <w:vAlign w:val="center"/>
          </w:tcPr>
          <w:p w14:paraId="444A1679">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44537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0" w:hRule="atLeast"/>
          <w:jc w:val="center"/>
        </w:trPr>
        <w:tc>
          <w:tcPr>
            <w:tcW w:w="1868" w:type="dxa"/>
            <w:vMerge w:val="continue"/>
            <w:vAlign w:val="center"/>
          </w:tcPr>
          <w:p w14:paraId="367FCB29">
            <w:pPr>
              <w:pStyle w:val="2"/>
              <w:keepNext/>
              <w:snapToGrid w:val="0"/>
              <w:spacing w:line="240" w:lineRule="auto"/>
              <w:ind w:left="63" w:right="63"/>
              <w:rPr>
                <w:rFonts w:hint="eastAsia" w:ascii="宋体" w:hAnsi="宋体" w:eastAsia="宋体" w:cs="宋体"/>
                <w:color w:val="auto"/>
                <w:kern w:val="2"/>
                <w:sz w:val="28"/>
                <w:szCs w:val="30"/>
                <w:highlight w:val="none"/>
              </w:rPr>
            </w:pPr>
          </w:p>
        </w:tc>
        <w:tc>
          <w:tcPr>
            <w:tcW w:w="1416" w:type="dxa"/>
            <w:tcBorders>
              <w:bottom w:val="nil"/>
            </w:tcBorders>
            <w:vAlign w:val="center"/>
          </w:tcPr>
          <w:p w14:paraId="1A2DFF8F">
            <w:pPr>
              <w:pStyle w:val="2"/>
              <w:keepNext/>
              <w:snapToGrid w:val="0"/>
              <w:spacing w:line="240" w:lineRule="auto"/>
              <w:ind w:left="63" w:right="63"/>
              <w:rPr>
                <w:rFonts w:hint="eastAsia" w:ascii="宋体" w:hAnsi="宋体" w:eastAsia="宋体" w:cs="宋体"/>
                <w:color w:val="auto"/>
                <w:kern w:val="2"/>
                <w:sz w:val="28"/>
                <w:szCs w:val="30"/>
                <w:highlight w:val="none"/>
              </w:rPr>
            </w:pPr>
          </w:p>
        </w:tc>
        <w:tc>
          <w:tcPr>
            <w:tcW w:w="1133" w:type="dxa"/>
            <w:tcBorders>
              <w:bottom w:val="nil"/>
            </w:tcBorders>
            <w:vAlign w:val="center"/>
          </w:tcPr>
          <w:p w14:paraId="696D2039">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33" w:type="dxa"/>
            <w:tcBorders>
              <w:bottom w:val="nil"/>
            </w:tcBorders>
            <w:vAlign w:val="center"/>
          </w:tcPr>
          <w:p w14:paraId="657543E1">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4246" w:type="dxa"/>
            <w:tcBorders>
              <w:bottom w:val="nil"/>
            </w:tcBorders>
            <w:vAlign w:val="center"/>
          </w:tcPr>
          <w:p w14:paraId="4B75773E">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75E37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0" w:hRule="atLeast"/>
          <w:jc w:val="center"/>
        </w:trPr>
        <w:tc>
          <w:tcPr>
            <w:tcW w:w="1868" w:type="dxa"/>
            <w:vMerge w:val="continue"/>
            <w:vAlign w:val="center"/>
          </w:tcPr>
          <w:p w14:paraId="3AEB31B0">
            <w:pPr>
              <w:pStyle w:val="2"/>
              <w:keepNext/>
              <w:snapToGrid w:val="0"/>
              <w:spacing w:line="240" w:lineRule="auto"/>
              <w:ind w:left="63" w:right="63"/>
              <w:rPr>
                <w:rFonts w:hint="eastAsia" w:ascii="宋体" w:hAnsi="宋体" w:eastAsia="宋体" w:cs="宋体"/>
                <w:color w:val="auto"/>
                <w:kern w:val="2"/>
                <w:sz w:val="28"/>
                <w:szCs w:val="30"/>
                <w:highlight w:val="none"/>
              </w:rPr>
            </w:pPr>
          </w:p>
        </w:tc>
        <w:tc>
          <w:tcPr>
            <w:tcW w:w="1416" w:type="dxa"/>
            <w:vAlign w:val="center"/>
          </w:tcPr>
          <w:p w14:paraId="47F7FA02">
            <w:pPr>
              <w:pStyle w:val="2"/>
              <w:keepNext/>
              <w:snapToGrid w:val="0"/>
              <w:spacing w:line="240" w:lineRule="auto"/>
              <w:ind w:left="63" w:right="63"/>
              <w:rPr>
                <w:rFonts w:hint="eastAsia" w:ascii="宋体" w:hAnsi="宋体" w:eastAsia="宋体" w:cs="宋体"/>
                <w:color w:val="auto"/>
                <w:kern w:val="2"/>
                <w:sz w:val="28"/>
                <w:szCs w:val="30"/>
                <w:highlight w:val="none"/>
              </w:rPr>
            </w:pPr>
          </w:p>
        </w:tc>
        <w:tc>
          <w:tcPr>
            <w:tcW w:w="1133" w:type="dxa"/>
            <w:vAlign w:val="center"/>
          </w:tcPr>
          <w:p w14:paraId="1273A6B9">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33" w:type="dxa"/>
            <w:vAlign w:val="center"/>
          </w:tcPr>
          <w:p w14:paraId="40BC752B">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4246" w:type="dxa"/>
            <w:vAlign w:val="center"/>
          </w:tcPr>
          <w:p w14:paraId="186E86FE">
            <w:pPr>
              <w:pStyle w:val="2"/>
              <w:keepNext/>
              <w:snapToGrid w:val="0"/>
              <w:spacing w:line="240" w:lineRule="auto"/>
              <w:ind w:left="63" w:right="63"/>
              <w:rPr>
                <w:rFonts w:hint="eastAsia" w:ascii="宋体" w:hAnsi="宋体" w:eastAsia="宋体" w:cs="宋体"/>
                <w:color w:val="auto"/>
                <w:kern w:val="2"/>
                <w:sz w:val="30"/>
                <w:szCs w:val="30"/>
                <w:highlight w:val="none"/>
              </w:rPr>
            </w:pPr>
          </w:p>
        </w:tc>
      </w:tr>
      <w:tr w14:paraId="53FC1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0" w:hRule="atLeast"/>
          <w:jc w:val="center"/>
        </w:trPr>
        <w:tc>
          <w:tcPr>
            <w:tcW w:w="1868" w:type="dxa"/>
            <w:vMerge w:val="continue"/>
            <w:vAlign w:val="center"/>
          </w:tcPr>
          <w:p w14:paraId="73CD6C05">
            <w:pPr>
              <w:pStyle w:val="2"/>
              <w:keepNext/>
              <w:snapToGrid w:val="0"/>
              <w:spacing w:line="240" w:lineRule="auto"/>
              <w:ind w:left="63" w:right="63"/>
              <w:rPr>
                <w:rFonts w:hint="eastAsia" w:ascii="宋体" w:hAnsi="宋体" w:eastAsia="宋体" w:cs="宋体"/>
                <w:color w:val="auto"/>
                <w:kern w:val="2"/>
                <w:sz w:val="28"/>
                <w:szCs w:val="30"/>
                <w:highlight w:val="none"/>
              </w:rPr>
            </w:pPr>
          </w:p>
        </w:tc>
        <w:tc>
          <w:tcPr>
            <w:tcW w:w="1416" w:type="dxa"/>
            <w:vAlign w:val="center"/>
          </w:tcPr>
          <w:p w14:paraId="2D23AE66">
            <w:pPr>
              <w:pStyle w:val="2"/>
              <w:keepNext/>
              <w:snapToGrid w:val="0"/>
              <w:spacing w:line="240" w:lineRule="auto"/>
              <w:ind w:left="63" w:right="63"/>
              <w:rPr>
                <w:rFonts w:hint="eastAsia" w:ascii="宋体" w:hAnsi="宋体" w:eastAsia="宋体" w:cs="宋体"/>
                <w:color w:val="auto"/>
                <w:kern w:val="2"/>
                <w:sz w:val="28"/>
                <w:szCs w:val="30"/>
                <w:highlight w:val="none"/>
              </w:rPr>
            </w:pPr>
          </w:p>
        </w:tc>
        <w:tc>
          <w:tcPr>
            <w:tcW w:w="1133" w:type="dxa"/>
            <w:vAlign w:val="center"/>
          </w:tcPr>
          <w:p w14:paraId="532E0D05">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1133" w:type="dxa"/>
            <w:vAlign w:val="center"/>
          </w:tcPr>
          <w:p w14:paraId="26C5AAAE">
            <w:pPr>
              <w:pStyle w:val="2"/>
              <w:keepNext/>
              <w:snapToGrid w:val="0"/>
              <w:spacing w:line="240" w:lineRule="auto"/>
              <w:ind w:left="63" w:right="63"/>
              <w:rPr>
                <w:rFonts w:hint="eastAsia" w:ascii="宋体" w:hAnsi="宋体" w:eastAsia="宋体" w:cs="宋体"/>
                <w:color w:val="auto"/>
                <w:kern w:val="2"/>
                <w:sz w:val="30"/>
                <w:szCs w:val="30"/>
                <w:highlight w:val="none"/>
              </w:rPr>
            </w:pPr>
          </w:p>
        </w:tc>
        <w:tc>
          <w:tcPr>
            <w:tcW w:w="4246" w:type="dxa"/>
            <w:vAlign w:val="center"/>
          </w:tcPr>
          <w:p w14:paraId="204CE02A">
            <w:pPr>
              <w:pStyle w:val="2"/>
              <w:keepNext/>
              <w:snapToGrid w:val="0"/>
              <w:spacing w:line="240" w:lineRule="auto"/>
              <w:ind w:left="63" w:right="63"/>
              <w:rPr>
                <w:rFonts w:hint="eastAsia" w:ascii="宋体" w:hAnsi="宋体" w:eastAsia="宋体" w:cs="宋体"/>
                <w:color w:val="auto"/>
                <w:kern w:val="2"/>
                <w:sz w:val="30"/>
                <w:szCs w:val="30"/>
                <w:highlight w:val="none"/>
              </w:rPr>
            </w:pPr>
          </w:p>
        </w:tc>
      </w:tr>
    </w:tbl>
    <w:p w14:paraId="3446A8B7">
      <w:pPr>
        <w:adjustRightInd w:val="0"/>
        <w:snapToGrid w:val="0"/>
        <w:spacing w:line="520" w:lineRule="exact"/>
        <w:rPr>
          <w:rFonts w:hint="eastAsia" w:ascii="宋体" w:hAnsi="宋体" w:eastAsia="宋体" w:cs="宋体"/>
          <w:color w:val="auto"/>
          <w:sz w:val="28"/>
          <w:szCs w:val="28"/>
          <w:highlight w:val="none"/>
        </w:rPr>
      </w:pPr>
      <w:r>
        <w:rPr>
          <w:rFonts w:hint="eastAsia" w:ascii="宋体" w:hAnsi="宋体" w:eastAsia="宋体" w:cs="宋体"/>
          <w:color w:val="auto"/>
          <w:sz w:val="30"/>
          <w:szCs w:val="30"/>
          <w:highlight w:val="none"/>
        </w:rPr>
        <w:br w:type="page"/>
      </w:r>
      <w:bookmarkStart w:id="544" w:name="_Toc267261701"/>
      <w:r>
        <w:rPr>
          <w:rFonts w:hint="eastAsia" w:ascii="宋体" w:hAnsi="宋体" w:eastAsia="宋体" w:cs="宋体"/>
          <w:color w:val="auto"/>
          <w:sz w:val="28"/>
          <w:szCs w:val="28"/>
          <w:highlight w:val="none"/>
        </w:rPr>
        <w:t>附</w:t>
      </w:r>
      <w:bookmarkStart w:id="545" w:name="_Toc296944570"/>
      <w:bookmarkStart w:id="546" w:name="_Toc296503231"/>
      <w:bookmarkStart w:id="547" w:name="_Toc296347230"/>
      <w:bookmarkStart w:id="548" w:name="_Toc296346732"/>
      <w:bookmarkStart w:id="549" w:name="_Toc296891059"/>
      <w:bookmarkStart w:id="550" w:name="_Toc296891271"/>
      <w:r>
        <w:rPr>
          <w:rFonts w:hint="eastAsia" w:ascii="宋体" w:hAnsi="宋体" w:eastAsia="宋体" w:cs="宋体"/>
          <w:color w:val="auto"/>
          <w:sz w:val="28"/>
          <w:szCs w:val="28"/>
          <w:highlight w:val="none"/>
        </w:rPr>
        <w:t>件8：</w:t>
      </w:r>
    </w:p>
    <w:bookmarkEnd w:id="544"/>
    <w:bookmarkEnd w:id="545"/>
    <w:bookmarkEnd w:id="546"/>
    <w:bookmarkEnd w:id="547"/>
    <w:bookmarkEnd w:id="548"/>
    <w:bookmarkEnd w:id="549"/>
    <w:bookmarkEnd w:id="550"/>
    <w:p w14:paraId="733E1812">
      <w:pPr>
        <w:adjustRightInd w:val="0"/>
        <w:snapToGrid w:val="0"/>
        <w:spacing w:beforeLines="50" w:afterLines="50" w:line="520" w:lineRule="exact"/>
        <w:jc w:val="center"/>
        <w:rPr>
          <w:rFonts w:hint="eastAsia" w:ascii="宋体" w:hAnsi="宋体" w:eastAsia="宋体" w:cs="宋体"/>
          <w:b/>
          <w:color w:val="auto"/>
          <w:spacing w:val="100"/>
          <w:sz w:val="44"/>
          <w:szCs w:val="44"/>
          <w:highlight w:val="none"/>
        </w:rPr>
      </w:pPr>
      <w:r>
        <w:rPr>
          <w:rFonts w:hint="eastAsia" w:ascii="宋体" w:hAnsi="宋体" w:eastAsia="宋体" w:cs="宋体"/>
          <w:b/>
          <w:color w:val="auto"/>
          <w:spacing w:val="100"/>
          <w:sz w:val="44"/>
          <w:szCs w:val="44"/>
          <w:highlight w:val="none"/>
        </w:rPr>
        <w:t>履约担保</w:t>
      </w:r>
    </w:p>
    <w:p w14:paraId="40E4DC4A">
      <w:pPr>
        <w:adjustRightInd w:val="0"/>
        <w:snapToGrid w:val="0"/>
        <w:spacing w:line="520" w:lineRule="exact"/>
        <w:rPr>
          <w:rFonts w:hint="eastAsia" w:ascii="宋体" w:hAnsi="宋体" w:eastAsia="宋体" w:cs="宋体"/>
          <w:color w:val="auto"/>
          <w:sz w:val="28"/>
          <w:szCs w:val="28"/>
          <w:highlight w:val="none"/>
          <w:u w:val="single"/>
        </w:rPr>
      </w:pPr>
    </w:p>
    <w:p w14:paraId="720F51B8">
      <w:pPr>
        <w:adjustRightInd w:val="0"/>
        <w:snapToGrid w:val="0"/>
        <w:spacing w:line="52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（发包人名称）：</w:t>
      </w:r>
    </w:p>
    <w:p w14:paraId="2DBCDE91">
      <w:pPr>
        <w:adjustRightInd w:val="0"/>
        <w:snapToGrid w:val="0"/>
        <w:spacing w:line="520" w:lineRule="exact"/>
        <w:rPr>
          <w:rFonts w:hint="eastAsia" w:ascii="宋体" w:hAnsi="宋体" w:eastAsia="宋体" w:cs="宋体"/>
          <w:color w:val="auto"/>
          <w:sz w:val="28"/>
          <w:szCs w:val="28"/>
          <w:highlight w:val="none"/>
        </w:rPr>
      </w:pPr>
    </w:p>
    <w:p w14:paraId="648C505C">
      <w:pPr>
        <w:adjustRightInd w:val="0"/>
        <w:snapToGrid w:val="0"/>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鉴于</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（发包人名称，以下简称“发包人”）与</w:t>
      </w:r>
    </w:p>
    <w:p w14:paraId="00F86B3B">
      <w:pPr>
        <w:adjustRightInd w:val="0"/>
        <w:snapToGrid w:val="0"/>
        <w:spacing w:line="52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（承包人名称）（以下称“承包人”）于</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日就</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（工程名称）施工及有关事项协商一致共同签订《建设工程施工合同》。我方愿意无条件地、不可撤销地就承包人履行与你方签订的合同，向你方提供连带责任担保。 </w:t>
      </w:r>
    </w:p>
    <w:p w14:paraId="00E0869A">
      <w:pPr>
        <w:adjustRightInd w:val="0"/>
        <w:snapToGrid w:val="0"/>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 担保金额人民币（大写）</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47DF21F3">
      <w:pPr>
        <w:adjustRightInd w:val="0"/>
        <w:snapToGrid w:val="0"/>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担保有效期自你方与承包人签订的合同生效之日起至你方签发或应签发工程接收证书之日止。</w:t>
      </w:r>
    </w:p>
    <w:p w14:paraId="5985502E">
      <w:pPr>
        <w:adjustRightInd w:val="0"/>
        <w:snapToGrid w:val="0"/>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 在本担保有效期内，因承包人违反合同约定的义务给你方造成经济损失时，我方在收到你方以书面形式提出的在担保金额内的赔偿要求后，在7天内无条件支付。</w:t>
      </w:r>
    </w:p>
    <w:p w14:paraId="5045F1C7">
      <w:pPr>
        <w:adjustRightInd w:val="0"/>
        <w:snapToGrid w:val="0"/>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 你方和承包人按合同约定变更合同时，我方承担本担保规定的义务不变。</w:t>
      </w:r>
    </w:p>
    <w:p w14:paraId="4713724D">
      <w:pPr>
        <w:adjustRightInd w:val="0"/>
        <w:snapToGrid w:val="0"/>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 因本保函发生的纠纷，可由双方协商解决，协商不成的，任何一方均可提请</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仲裁委员会仲裁。</w:t>
      </w:r>
    </w:p>
    <w:p w14:paraId="674F3BF1">
      <w:pPr>
        <w:adjustRightInd w:val="0"/>
        <w:snapToGrid w:val="0"/>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 本保函自我方法定代表人（或其授权代理人）签字并加盖公章之日起生效。</w:t>
      </w:r>
    </w:p>
    <w:p w14:paraId="290185B3">
      <w:pPr>
        <w:adjustRightInd w:val="0"/>
        <w:snapToGrid w:val="0"/>
        <w:spacing w:line="520" w:lineRule="exact"/>
        <w:rPr>
          <w:rFonts w:hint="eastAsia" w:ascii="宋体" w:hAnsi="宋体" w:eastAsia="宋体" w:cs="宋体"/>
          <w:color w:val="auto"/>
          <w:sz w:val="28"/>
          <w:szCs w:val="28"/>
          <w:highlight w:val="none"/>
        </w:rPr>
      </w:pPr>
    </w:p>
    <w:p w14:paraId="37B21A67">
      <w:pPr>
        <w:adjustRightInd w:val="0"/>
        <w:snapToGrid w:val="0"/>
        <w:spacing w:line="8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担 保 人：</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675F16C3">
      <w:pPr>
        <w:adjustRightInd w:val="0"/>
        <w:snapToGrid w:val="0"/>
        <w:spacing w:line="8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14:paraId="2F39A415">
      <w:pPr>
        <w:adjustRightInd w:val="0"/>
        <w:snapToGrid w:val="0"/>
        <w:spacing w:line="8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p>
    <w:p w14:paraId="1CCD3DC6">
      <w:pPr>
        <w:adjustRightInd w:val="0"/>
        <w:snapToGrid w:val="0"/>
        <w:spacing w:line="8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p>
    <w:p w14:paraId="3511B9FD">
      <w:pPr>
        <w:adjustRightInd w:val="0"/>
        <w:snapToGrid w:val="0"/>
        <w:spacing w:line="80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电    话：</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p>
    <w:p w14:paraId="1396C429">
      <w:pPr>
        <w:adjustRightInd w:val="0"/>
        <w:snapToGrid w:val="0"/>
        <w:spacing w:line="8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    真：</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p>
    <w:p w14:paraId="3D9974ED">
      <w:pPr>
        <w:adjustRightInd w:val="0"/>
        <w:snapToGrid w:val="0"/>
        <w:spacing w:line="520" w:lineRule="exact"/>
        <w:jc w:val="left"/>
        <w:rPr>
          <w:rFonts w:hint="eastAsia" w:ascii="宋体" w:hAnsi="宋体" w:eastAsia="宋体" w:cs="宋体"/>
          <w:color w:val="auto"/>
          <w:sz w:val="28"/>
          <w:szCs w:val="28"/>
          <w:highlight w:val="none"/>
          <w:u w:val="single"/>
        </w:rPr>
      </w:pPr>
    </w:p>
    <w:p w14:paraId="0AA74651">
      <w:pPr>
        <w:adjustRightInd w:val="0"/>
        <w:snapToGrid w:val="0"/>
        <w:spacing w:line="520" w:lineRule="exact"/>
        <w:ind w:left="1772" w:hanging="1772" w:hangingChars="63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E91DC94">
      <w:pPr>
        <w:adjustRightInd w:val="0"/>
        <w:snapToGrid w:val="0"/>
        <w:rPr>
          <w:rFonts w:hint="eastAsia" w:ascii="宋体" w:hAnsi="宋体" w:eastAsia="宋体" w:cs="宋体"/>
          <w:color w:val="auto"/>
          <w:sz w:val="30"/>
          <w:szCs w:val="30"/>
          <w:highlight w:val="none"/>
        </w:rPr>
      </w:pPr>
    </w:p>
    <w:p w14:paraId="2C74FED8">
      <w:pPr>
        <w:adjustRightInd w:val="0"/>
        <w:snapToGrid w:val="0"/>
        <w:spacing w:line="520" w:lineRule="exact"/>
        <w:rPr>
          <w:rFonts w:hint="eastAsia" w:ascii="宋体" w:hAnsi="宋体" w:eastAsia="宋体" w:cs="宋体"/>
          <w:color w:val="auto"/>
          <w:sz w:val="28"/>
          <w:szCs w:val="28"/>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28"/>
          <w:szCs w:val="28"/>
          <w:highlight w:val="none"/>
        </w:rPr>
        <w:t>附</w:t>
      </w:r>
      <w:bookmarkStart w:id="551" w:name="_Toc296503232"/>
      <w:bookmarkStart w:id="552" w:name="_Toc267261702"/>
      <w:bookmarkStart w:id="553" w:name="_Toc296346733"/>
      <w:bookmarkStart w:id="554" w:name="_Toc296891272"/>
      <w:bookmarkStart w:id="555" w:name="_Toc296891060"/>
      <w:bookmarkStart w:id="556" w:name="_Toc296944571"/>
      <w:bookmarkStart w:id="557" w:name="_Toc296347231"/>
      <w:r>
        <w:rPr>
          <w:rFonts w:hint="eastAsia" w:ascii="宋体" w:hAnsi="宋体" w:eastAsia="宋体" w:cs="宋体"/>
          <w:color w:val="auto"/>
          <w:sz w:val="28"/>
          <w:szCs w:val="28"/>
          <w:highlight w:val="none"/>
        </w:rPr>
        <w:t>件9 ：</w:t>
      </w:r>
    </w:p>
    <w:bookmarkEnd w:id="551"/>
    <w:bookmarkEnd w:id="552"/>
    <w:bookmarkEnd w:id="553"/>
    <w:bookmarkEnd w:id="554"/>
    <w:bookmarkEnd w:id="555"/>
    <w:bookmarkEnd w:id="556"/>
    <w:bookmarkEnd w:id="557"/>
    <w:p w14:paraId="56E5C697">
      <w:pPr>
        <w:adjustRightInd w:val="0"/>
        <w:snapToGrid w:val="0"/>
        <w:spacing w:beforeLines="50" w:afterLines="50" w:line="520" w:lineRule="exact"/>
        <w:jc w:val="center"/>
        <w:rPr>
          <w:rFonts w:hint="eastAsia" w:ascii="宋体" w:hAnsi="宋体" w:eastAsia="宋体" w:cs="宋体"/>
          <w:b/>
          <w:color w:val="auto"/>
          <w:spacing w:val="100"/>
          <w:sz w:val="44"/>
          <w:szCs w:val="44"/>
          <w:highlight w:val="none"/>
        </w:rPr>
      </w:pPr>
      <w:r>
        <w:rPr>
          <w:rFonts w:hint="eastAsia" w:ascii="宋体" w:hAnsi="宋体" w:eastAsia="宋体" w:cs="宋体"/>
          <w:b/>
          <w:color w:val="auto"/>
          <w:spacing w:val="100"/>
          <w:sz w:val="44"/>
          <w:szCs w:val="44"/>
          <w:highlight w:val="none"/>
        </w:rPr>
        <w:t>预付款担保</w:t>
      </w:r>
    </w:p>
    <w:p w14:paraId="47522BA0">
      <w:pPr>
        <w:adjustRightInd w:val="0"/>
        <w:snapToGrid w:val="0"/>
        <w:spacing w:line="520" w:lineRule="exact"/>
        <w:rPr>
          <w:rFonts w:hint="eastAsia" w:ascii="宋体" w:hAnsi="宋体" w:eastAsia="宋体" w:cs="宋体"/>
          <w:color w:val="auto"/>
          <w:sz w:val="28"/>
          <w:szCs w:val="28"/>
          <w:highlight w:val="none"/>
          <w:u w:val="single"/>
        </w:rPr>
      </w:pPr>
    </w:p>
    <w:p w14:paraId="41F9F1F3">
      <w:pPr>
        <w:adjustRightInd w:val="0"/>
        <w:snapToGrid w:val="0"/>
        <w:spacing w:line="52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（发包人名称）：</w:t>
      </w:r>
    </w:p>
    <w:p w14:paraId="17594036">
      <w:pPr>
        <w:adjustRightInd w:val="0"/>
        <w:snapToGrid w:val="0"/>
        <w:spacing w:line="520" w:lineRule="exact"/>
        <w:rPr>
          <w:rFonts w:hint="eastAsia" w:ascii="宋体" w:hAnsi="宋体" w:eastAsia="宋体" w:cs="宋体"/>
          <w:color w:val="auto"/>
          <w:sz w:val="28"/>
          <w:szCs w:val="28"/>
          <w:highlight w:val="none"/>
        </w:rPr>
      </w:pPr>
    </w:p>
    <w:p w14:paraId="2F46B0D8">
      <w:pPr>
        <w:adjustRightInd w:val="0"/>
        <w:snapToGrid w:val="0"/>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（承包人名称）（以下称“承包人”）与</w:t>
      </w:r>
    </w:p>
    <w:p w14:paraId="70A2D415">
      <w:pPr>
        <w:adjustRightInd w:val="0"/>
        <w:snapToGrid w:val="0"/>
        <w:spacing w:line="52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（发包人名称）（以下简称“发包人”）</w:t>
      </w:r>
    </w:p>
    <w:p w14:paraId="7B339F58">
      <w:pPr>
        <w:adjustRightInd w:val="0"/>
        <w:snapToGrid w:val="0"/>
        <w:spacing w:line="52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于</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日签订的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0B28FCC9">
      <w:pPr>
        <w:adjustRightInd w:val="0"/>
        <w:snapToGrid w:val="0"/>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 担保金额人民币（大写）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570FD663">
      <w:pPr>
        <w:adjustRightInd w:val="0"/>
        <w:snapToGrid w:val="0"/>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担保有效期自预付款支付给承包人起生效，至你方签发的进度款支付证书说明已完全扣清止。</w:t>
      </w:r>
    </w:p>
    <w:p w14:paraId="0A643DF5">
      <w:pPr>
        <w:adjustRightInd w:val="0"/>
        <w:snapToGrid w:val="0"/>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19BAABC">
      <w:pPr>
        <w:adjustRightInd w:val="0"/>
        <w:snapToGrid w:val="0"/>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 你方和承包人按合同约定变更合同时，我方承担本保函规定的义务不变。</w:t>
      </w:r>
    </w:p>
    <w:p w14:paraId="2933617E">
      <w:pPr>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 因本保函发生的纠纷，可由双方协商解决，协商不成的，任何一方均可提请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仲裁委员会仲裁。</w:t>
      </w:r>
    </w:p>
    <w:p w14:paraId="3EFCBA3B">
      <w:pPr>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 本保函自我方法定代表人（或其授权代理人）签字并加盖公章之日起生效。</w:t>
      </w:r>
    </w:p>
    <w:p w14:paraId="1D7C30F8">
      <w:pPr>
        <w:adjustRightInd w:val="0"/>
        <w:snapToGrid w:val="0"/>
        <w:spacing w:line="520" w:lineRule="exact"/>
        <w:rPr>
          <w:rFonts w:hint="eastAsia" w:ascii="宋体" w:hAnsi="宋体" w:eastAsia="宋体" w:cs="宋体"/>
          <w:color w:val="auto"/>
          <w:sz w:val="28"/>
          <w:szCs w:val="28"/>
          <w:highlight w:val="none"/>
        </w:rPr>
      </w:pPr>
    </w:p>
    <w:p w14:paraId="67D6B11D">
      <w:pPr>
        <w:adjustRightInd w:val="0"/>
        <w:snapToGrid w:val="0"/>
        <w:spacing w:line="8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担保人：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454BBD21">
      <w:pPr>
        <w:adjustRightInd w:val="0"/>
        <w:snapToGrid w:val="0"/>
        <w:spacing w:line="8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14:paraId="445D7F98">
      <w:pPr>
        <w:adjustRightInd w:val="0"/>
        <w:snapToGrid w:val="0"/>
        <w:spacing w:line="8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4526EE70">
      <w:pPr>
        <w:adjustRightInd w:val="0"/>
        <w:snapToGrid w:val="0"/>
        <w:spacing w:line="80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33E9A949">
      <w:pPr>
        <w:adjustRightInd w:val="0"/>
        <w:snapToGrid w:val="0"/>
        <w:spacing w:line="80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电    话：</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16AA17A9">
      <w:pPr>
        <w:adjustRightInd w:val="0"/>
        <w:snapToGrid w:val="0"/>
        <w:spacing w:line="80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传    真：</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10292939">
      <w:pPr>
        <w:adjustRightInd w:val="0"/>
        <w:snapToGrid w:val="0"/>
        <w:spacing w:line="52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0048F3E2">
      <w:pPr>
        <w:adjustRightInd w:val="0"/>
        <w:snapToGrid w:val="0"/>
        <w:spacing w:line="520" w:lineRule="exact"/>
        <w:rPr>
          <w:rFonts w:hint="eastAsia" w:ascii="宋体" w:hAnsi="宋体" w:eastAsia="宋体" w:cs="宋体"/>
          <w:color w:val="auto"/>
          <w:sz w:val="28"/>
          <w:szCs w:val="28"/>
          <w:highlight w:val="none"/>
          <w:u w:val="single"/>
        </w:rPr>
      </w:pPr>
    </w:p>
    <w:p w14:paraId="7061252F">
      <w:pPr>
        <w:adjustRightInd w:val="0"/>
        <w:snapToGrid w:val="0"/>
        <w:spacing w:line="52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5B86DA48">
      <w:pPr>
        <w:adjustRightInd w:val="0"/>
        <w:snapToGrid w:val="0"/>
        <w:spacing w:line="520" w:lineRule="exact"/>
        <w:rPr>
          <w:rFonts w:hint="eastAsia" w:ascii="宋体" w:hAnsi="宋体" w:eastAsia="宋体" w:cs="宋体"/>
          <w:color w:val="auto"/>
          <w:sz w:val="28"/>
          <w:szCs w:val="28"/>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28"/>
          <w:szCs w:val="28"/>
          <w:highlight w:val="none"/>
        </w:rPr>
        <w:t>附</w:t>
      </w:r>
      <w:bookmarkStart w:id="558" w:name="_Toc296503233"/>
      <w:bookmarkStart w:id="559" w:name="_Toc296347232"/>
      <w:bookmarkStart w:id="560" w:name="_Toc296346734"/>
      <w:bookmarkStart w:id="561" w:name="_Toc296891061"/>
      <w:bookmarkStart w:id="562" w:name="_Toc296944572"/>
      <w:bookmarkStart w:id="563" w:name="_Toc296891273"/>
      <w:r>
        <w:rPr>
          <w:rFonts w:hint="eastAsia" w:ascii="宋体" w:hAnsi="宋体" w:eastAsia="宋体" w:cs="宋体"/>
          <w:color w:val="auto"/>
          <w:sz w:val="28"/>
          <w:szCs w:val="28"/>
          <w:highlight w:val="none"/>
        </w:rPr>
        <w:t xml:space="preserve">件10:  </w:t>
      </w:r>
    </w:p>
    <w:bookmarkEnd w:id="558"/>
    <w:bookmarkEnd w:id="559"/>
    <w:bookmarkEnd w:id="560"/>
    <w:bookmarkEnd w:id="561"/>
    <w:bookmarkEnd w:id="562"/>
    <w:bookmarkEnd w:id="563"/>
    <w:p w14:paraId="02764855">
      <w:pPr>
        <w:adjustRightInd w:val="0"/>
        <w:snapToGrid w:val="0"/>
        <w:spacing w:beforeLines="50" w:afterLines="50" w:line="520" w:lineRule="exact"/>
        <w:jc w:val="center"/>
        <w:rPr>
          <w:rFonts w:hint="eastAsia" w:ascii="宋体" w:hAnsi="宋体" w:eastAsia="宋体" w:cs="宋体"/>
          <w:b/>
          <w:color w:val="auto"/>
          <w:spacing w:val="100"/>
          <w:sz w:val="44"/>
          <w:szCs w:val="44"/>
          <w:highlight w:val="none"/>
        </w:rPr>
      </w:pPr>
      <w:r>
        <w:rPr>
          <w:rFonts w:hint="eastAsia" w:ascii="宋体" w:hAnsi="宋体" w:eastAsia="宋体" w:cs="宋体"/>
          <w:b/>
          <w:color w:val="auto"/>
          <w:spacing w:val="100"/>
          <w:sz w:val="44"/>
          <w:szCs w:val="44"/>
          <w:highlight w:val="none"/>
        </w:rPr>
        <w:t>支付担保</w:t>
      </w:r>
    </w:p>
    <w:p w14:paraId="07762E11">
      <w:pPr>
        <w:adjustRightInd w:val="0"/>
        <w:snapToGrid w:val="0"/>
        <w:spacing w:line="52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（承包人）：</w:t>
      </w:r>
    </w:p>
    <w:p w14:paraId="70D8C0BB">
      <w:pPr>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鉴于你方作为承包人已经与</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（发包人名称）（以下称“发包人”）于</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日签订了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（工程名称）《建设工程施工合同》（以下称“主合同”），应发包人的申请，我方愿就发包人履行主合同约定的工程款支付义务以保证的方式向你方提供如下担保：</w:t>
      </w:r>
    </w:p>
    <w:p w14:paraId="46945FC7">
      <w:pPr>
        <w:adjustRightInd w:val="0"/>
        <w:snapToGrid w:val="0"/>
        <w:spacing w:line="52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一、保证的范围及保证金额</w:t>
      </w:r>
    </w:p>
    <w:p w14:paraId="36E7931C">
      <w:pPr>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 我方的保证范围是主合同约定的工程款。</w:t>
      </w:r>
    </w:p>
    <w:p w14:paraId="4E1B7184">
      <w:pPr>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本保函所称主合同约定的工程款是指主合同约定的除工程质量保证金以外的合同价款。</w:t>
      </w:r>
    </w:p>
    <w:p w14:paraId="2544E0E7">
      <w:pPr>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 我方保证的金额是主合同约定的工程款的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%，数额最高不超过人民币元（大写：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238A5177">
      <w:pPr>
        <w:adjustRightInd w:val="0"/>
        <w:snapToGrid w:val="0"/>
        <w:spacing w:line="52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二、保证的方式及保证期间</w:t>
      </w:r>
    </w:p>
    <w:p w14:paraId="1FB1E6A9">
      <w:pPr>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 我方保证的方式为：连带责任保证。</w:t>
      </w:r>
    </w:p>
    <w:p w14:paraId="32D250B8">
      <w:pPr>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我方保证的期间为：自本合同生效之日起至主合同约定的工程款支付完毕之日后</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日内。</w:t>
      </w:r>
    </w:p>
    <w:p w14:paraId="7E69414B">
      <w:pPr>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 你方与发包人协议变更工程款支付日期的，经我方书面同意后，保证期间按照变更后的支付日期做相应调整。</w:t>
      </w:r>
    </w:p>
    <w:p w14:paraId="5241310D">
      <w:pPr>
        <w:adjustRightInd w:val="0"/>
        <w:snapToGrid w:val="0"/>
        <w:spacing w:line="52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三、承担保证责任的形式</w:t>
      </w:r>
    </w:p>
    <w:p w14:paraId="48303683">
      <w:pPr>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我方承担保证责任的形式是代为支付。发包人未按主合同约定向你方支付工程款的，由我方在保证金额内代为支付。</w:t>
      </w:r>
    </w:p>
    <w:p w14:paraId="7445E30D">
      <w:pPr>
        <w:adjustRightInd w:val="0"/>
        <w:snapToGrid w:val="0"/>
        <w:spacing w:line="52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四、代偿的安排</w:t>
      </w:r>
    </w:p>
    <w:p w14:paraId="0F3339F3">
      <w:pPr>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 你方要求我方承担保证责任的，应向我方发出书面索赔通知及发包人未支付主合同约定工程款的证明材料。索赔通知应写明要求索赔的金额，支付款项应到达的账号。</w:t>
      </w:r>
    </w:p>
    <w:p w14:paraId="4FF83F71">
      <w:pPr>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7A68A5A7">
      <w:pPr>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 我方收到你方的书面索赔通知及相应的证明材料后７天内无条件支付。</w:t>
      </w:r>
    </w:p>
    <w:p w14:paraId="0356DABD">
      <w:pPr>
        <w:adjustRightInd w:val="0"/>
        <w:snapToGrid w:val="0"/>
        <w:spacing w:line="52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五、保证责任的解除</w:t>
      </w:r>
    </w:p>
    <w:p w14:paraId="01E35E10">
      <w:pPr>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 在本保函承诺的保证期间内，你方未书面向我方主张保证责任的，自保证期间届满次日起，我方保证责任解除。</w:t>
      </w:r>
    </w:p>
    <w:p w14:paraId="30EBF503">
      <w:pPr>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发包人按主合同约定履行了工程款的全部支付义务的，自本保函承诺的保证期间届满次日起，我方保证责任解除。</w:t>
      </w:r>
    </w:p>
    <w:p w14:paraId="4906A1E1">
      <w:pPr>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 我方按照本保函向你方履行保证责任所支付金额达到本保函保证金额时，自我方向你方支付（支付款项从我方账户划出）之日起，保证责任即解除。</w:t>
      </w:r>
    </w:p>
    <w:p w14:paraId="481BE357">
      <w:pPr>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 按照法律法规的规定或出现应解除我方保证责任的其他情形的，我方在本保函项下的保证责任亦解除。</w:t>
      </w:r>
    </w:p>
    <w:p w14:paraId="3CB32CC2">
      <w:pPr>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 我方解除保证责任后，你方应自我方保证责任解除之日起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个工作日内，将本保函原件返还我方。</w:t>
      </w:r>
    </w:p>
    <w:p w14:paraId="32544E41">
      <w:pPr>
        <w:adjustRightInd w:val="0"/>
        <w:snapToGrid w:val="0"/>
        <w:spacing w:line="52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六、免责条款</w:t>
      </w:r>
    </w:p>
    <w:p w14:paraId="74CC400F">
      <w:pPr>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 因你方违约致使发包人不能履行义务的，我方不承担保证责任。</w:t>
      </w:r>
    </w:p>
    <w:p w14:paraId="6832E9F1">
      <w:pPr>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依照法律法规的规定或你方与发包人的另行约定，免除发包人部分或全部义务的，我方亦免除其相应的保证责任。</w:t>
      </w:r>
    </w:p>
    <w:p w14:paraId="43030038">
      <w:pPr>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310E20F5">
      <w:pPr>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 因不可抗力造成发包人不能履行义务的，我方不承担保证责任。</w:t>
      </w:r>
    </w:p>
    <w:p w14:paraId="779F917E">
      <w:pPr>
        <w:adjustRightInd w:val="0"/>
        <w:snapToGrid w:val="0"/>
        <w:spacing w:line="52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七、争议解决</w:t>
      </w:r>
    </w:p>
    <w:p w14:paraId="26C13AE1">
      <w:pPr>
        <w:adjustRightInd w:val="0"/>
        <w:snapToGrid w:val="0"/>
        <w:spacing w:after="120"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因本保函或本保函相关事项发生的纠纷，可由双方协商解决，协商不成的，按下列第</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种方式解决：</w:t>
      </w:r>
    </w:p>
    <w:p w14:paraId="79FB32DF">
      <w:pPr>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（1）向</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仲裁委员会申请仲裁；</w:t>
      </w:r>
    </w:p>
    <w:p w14:paraId="58230204">
      <w:pPr>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（2）向</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人民法院起诉。</w:t>
      </w:r>
    </w:p>
    <w:p w14:paraId="08A03461">
      <w:pPr>
        <w:adjustRightInd w:val="0"/>
        <w:snapToGrid w:val="0"/>
        <w:spacing w:line="52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八、保函的生效</w:t>
      </w:r>
    </w:p>
    <w:p w14:paraId="5A037215">
      <w:pPr>
        <w:adjustRightInd w:val="0"/>
        <w:snapToGrid w:val="0"/>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本保函自我方法定代表人（或其授权代理人）签字并加盖公章之日起生效。</w:t>
      </w:r>
    </w:p>
    <w:p w14:paraId="31F59608">
      <w:pPr>
        <w:adjustRightInd w:val="0"/>
        <w:snapToGrid w:val="0"/>
        <w:spacing w:line="800" w:lineRule="exact"/>
        <w:ind w:right="6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担保人：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（盖章）</w:t>
      </w:r>
    </w:p>
    <w:p w14:paraId="36DD327F">
      <w:pPr>
        <w:adjustRightInd w:val="0"/>
        <w:snapToGrid w:val="0"/>
        <w:spacing w:line="800" w:lineRule="exact"/>
        <w:ind w:right="1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14:paraId="6CB0C906">
      <w:pPr>
        <w:adjustRightInd w:val="0"/>
        <w:snapToGrid w:val="0"/>
        <w:spacing w:line="80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p>
    <w:p w14:paraId="649573DE">
      <w:pPr>
        <w:adjustRightInd w:val="0"/>
        <w:snapToGrid w:val="0"/>
        <w:spacing w:line="80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p>
    <w:p w14:paraId="2BF07BDE">
      <w:pPr>
        <w:adjustRightInd w:val="0"/>
        <w:snapToGrid w:val="0"/>
        <w:spacing w:line="80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    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p>
    <w:p w14:paraId="4CB8756B">
      <w:pPr>
        <w:adjustRightInd w:val="0"/>
        <w:snapToGrid w:val="0"/>
        <w:spacing w:line="520" w:lineRule="exact"/>
        <w:ind w:right="150" w:firstLine="560" w:firstLineChars="200"/>
        <w:jc w:val="left"/>
        <w:rPr>
          <w:rFonts w:hint="eastAsia" w:ascii="宋体" w:hAnsi="宋体" w:eastAsia="宋体" w:cs="宋体"/>
          <w:color w:val="auto"/>
          <w:sz w:val="28"/>
          <w:szCs w:val="28"/>
          <w:highlight w:val="none"/>
          <w:u w:val="single"/>
        </w:rPr>
      </w:pPr>
    </w:p>
    <w:p w14:paraId="678EC5C7">
      <w:pPr>
        <w:adjustRightInd w:val="0"/>
        <w:snapToGrid w:val="0"/>
        <w:spacing w:line="520" w:lineRule="exact"/>
        <w:ind w:right="150"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32434FD">
      <w:pPr>
        <w:adjustRightInd w:val="0"/>
        <w:snapToGrid w:val="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附件11：</w:t>
      </w:r>
    </w:p>
    <w:p w14:paraId="3C0B4031">
      <w:pPr>
        <w:adjustRightInd w:val="0"/>
        <w:snapToGrid w:val="0"/>
        <w:spacing w:beforeLines="50" w:afterLines="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11-1：材料暂估价表</w:t>
      </w:r>
    </w:p>
    <w:tbl>
      <w:tblPr>
        <w:tblStyle w:val="25"/>
        <w:tblW w:w="8744"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7"/>
        <w:gridCol w:w="1912"/>
        <w:gridCol w:w="820"/>
        <w:gridCol w:w="746"/>
        <w:gridCol w:w="1303"/>
        <w:gridCol w:w="1367"/>
        <w:gridCol w:w="1639"/>
      </w:tblGrid>
      <w:tr w14:paraId="1D8E4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8" w:hRule="atLeast"/>
        </w:trPr>
        <w:tc>
          <w:tcPr>
            <w:tcW w:w="957" w:type="dxa"/>
            <w:tcBorders>
              <w:top w:val="single" w:color="auto" w:sz="12" w:space="0"/>
              <w:bottom w:val="double" w:color="auto" w:sz="6" w:space="0"/>
            </w:tcBorders>
            <w:vAlign w:val="center"/>
          </w:tcPr>
          <w:p w14:paraId="66FE01C1">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序号</w:t>
            </w:r>
          </w:p>
        </w:tc>
        <w:tc>
          <w:tcPr>
            <w:tcW w:w="1912" w:type="dxa"/>
            <w:tcBorders>
              <w:top w:val="single" w:color="auto" w:sz="12" w:space="0"/>
              <w:bottom w:val="double" w:color="auto" w:sz="6" w:space="0"/>
            </w:tcBorders>
            <w:vAlign w:val="center"/>
          </w:tcPr>
          <w:p w14:paraId="4DBEFD5F">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名称</w:t>
            </w:r>
          </w:p>
        </w:tc>
        <w:tc>
          <w:tcPr>
            <w:tcW w:w="820" w:type="dxa"/>
            <w:tcBorders>
              <w:top w:val="single" w:color="auto" w:sz="12" w:space="0"/>
              <w:bottom w:val="double" w:color="auto" w:sz="6" w:space="0"/>
            </w:tcBorders>
            <w:vAlign w:val="center"/>
          </w:tcPr>
          <w:p w14:paraId="1C50415F">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单位</w:t>
            </w:r>
          </w:p>
        </w:tc>
        <w:tc>
          <w:tcPr>
            <w:tcW w:w="746" w:type="dxa"/>
            <w:tcBorders>
              <w:top w:val="single" w:color="auto" w:sz="12" w:space="0"/>
              <w:bottom w:val="double" w:color="auto" w:sz="6" w:space="0"/>
            </w:tcBorders>
            <w:vAlign w:val="center"/>
          </w:tcPr>
          <w:p w14:paraId="38E3A7D6">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数量</w:t>
            </w:r>
          </w:p>
        </w:tc>
        <w:tc>
          <w:tcPr>
            <w:tcW w:w="1303" w:type="dxa"/>
            <w:tcBorders>
              <w:top w:val="single" w:color="auto" w:sz="12" w:space="0"/>
              <w:bottom w:val="double" w:color="auto" w:sz="6" w:space="0"/>
            </w:tcBorders>
            <w:vAlign w:val="center"/>
          </w:tcPr>
          <w:p w14:paraId="0EEC4FCA">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单价（元）</w:t>
            </w:r>
          </w:p>
        </w:tc>
        <w:tc>
          <w:tcPr>
            <w:tcW w:w="1367" w:type="dxa"/>
            <w:tcBorders>
              <w:top w:val="single" w:color="auto" w:sz="12" w:space="0"/>
              <w:bottom w:val="double" w:color="auto" w:sz="6" w:space="0"/>
            </w:tcBorders>
            <w:vAlign w:val="center"/>
          </w:tcPr>
          <w:p w14:paraId="14C0C452">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合价（元）</w:t>
            </w:r>
          </w:p>
        </w:tc>
        <w:tc>
          <w:tcPr>
            <w:tcW w:w="1639" w:type="dxa"/>
            <w:tcBorders>
              <w:top w:val="single" w:color="auto" w:sz="12" w:space="0"/>
              <w:bottom w:val="double" w:color="auto" w:sz="6" w:space="0"/>
            </w:tcBorders>
            <w:vAlign w:val="center"/>
          </w:tcPr>
          <w:p w14:paraId="2D5AE9EF">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备注</w:t>
            </w:r>
          </w:p>
        </w:tc>
      </w:tr>
      <w:tr w14:paraId="3F600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957" w:type="dxa"/>
            <w:tcBorders>
              <w:top w:val="double" w:color="auto" w:sz="6" w:space="0"/>
              <w:bottom w:val="single" w:color="auto" w:sz="6" w:space="0"/>
            </w:tcBorders>
          </w:tcPr>
          <w:p w14:paraId="2A4149ED">
            <w:pPr>
              <w:pStyle w:val="2"/>
              <w:keepNext/>
              <w:snapToGrid w:val="0"/>
              <w:spacing w:line="240" w:lineRule="auto"/>
              <w:ind w:left="63" w:right="63"/>
              <w:rPr>
                <w:rFonts w:hint="eastAsia" w:ascii="宋体" w:hAnsi="宋体" w:eastAsia="宋体" w:cs="宋体"/>
                <w:color w:val="auto"/>
                <w:kern w:val="2"/>
                <w:sz w:val="28"/>
                <w:szCs w:val="30"/>
                <w:highlight w:val="none"/>
                <w:lang w:val="en-US" w:eastAsia="zh-CN"/>
              </w:rPr>
            </w:pPr>
            <w:r>
              <w:rPr>
                <w:rFonts w:hint="eastAsia" w:ascii="宋体" w:hAnsi="宋体" w:eastAsia="宋体" w:cs="宋体"/>
                <w:color w:val="auto"/>
                <w:kern w:val="2"/>
                <w:sz w:val="28"/>
                <w:szCs w:val="30"/>
                <w:highlight w:val="none"/>
                <w:lang w:val="en-US" w:eastAsia="zh-CN"/>
              </w:rPr>
              <w:t>/</w:t>
            </w:r>
          </w:p>
        </w:tc>
        <w:tc>
          <w:tcPr>
            <w:tcW w:w="1912" w:type="dxa"/>
            <w:tcBorders>
              <w:top w:val="double" w:color="auto" w:sz="6" w:space="0"/>
              <w:bottom w:val="single" w:color="auto" w:sz="6" w:space="0"/>
            </w:tcBorders>
          </w:tcPr>
          <w:p w14:paraId="281FF519">
            <w:pPr>
              <w:pStyle w:val="2"/>
              <w:keepNext/>
              <w:snapToGrid w:val="0"/>
              <w:spacing w:line="240" w:lineRule="auto"/>
              <w:ind w:left="63" w:right="63"/>
              <w:rPr>
                <w:rFonts w:hint="eastAsia" w:ascii="宋体" w:hAnsi="宋体" w:eastAsia="宋体" w:cs="宋体"/>
                <w:color w:val="auto"/>
                <w:kern w:val="2"/>
                <w:sz w:val="28"/>
                <w:szCs w:val="30"/>
                <w:highlight w:val="none"/>
                <w:lang w:val="en-US" w:eastAsia="zh-CN"/>
              </w:rPr>
            </w:pPr>
            <w:r>
              <w:rPr>
                <w:rFonts w:hint="eastAsia" w:ascii="宋体" w:hAnsi="宋体" w:eastAsia="宋体" w:cs="宋体"/>
                <w:color w:val="auto"/>
                <w:kern w:val="2"/>
                <w:sz w:val="28"/>
                <w:szCs w:val="30"/>
                <w:highlight w:val="none"/>
                <w:lang w:val="en-US" w:eastAsia="zh-CN"/>
              </w:rPr>
              <w:t>/</w:t>
            </w:r>
          </w:p>
        </w:tc>
        <w:tc>
          <w:tcPr>
            <w:tcW w:w="820" w:type="dxa"/>
            <w:tcBorders>
              <w:top w:val="double" w:color="auto" w:sz="6" w:space="0"/>
              <w:bottom w:val="single" w:color="auto" w:sz="6" w:space="0"/>
            </w:tcBorders>
          </w:tcPr>
          <w:p w14:paraId="1764F8F2">
            <w:pPr>
              <w:pStyle w:val="2"/>
              <w:keepNext/>
              <w:snapToGrid w:val="0"/>
              <w:spacing w:line="240" w:lineRule="auto"/>
              <w:ind w:left="63" w:right="63"/>
              <w:rPr>
                <w:rFonts w:hint="eastAsia" w:ascii="宋体" w:hAnsi="宋体" w:eastAsia="宋体" w:cs="宋体"/>
                <w:color w:val="auto"/>
                <w:kern w:val="2"/>
                <w:sz w:val="28"/>
                <w:szCs w:val="30"/>
                <w:highlight w:val="none"/>
                <w:lang w:val="en-US" w:eastAsia="zh-CN"/>
              </w:rPr>
            </w:pPr>
            <w:r>
              <w:rPr>
                <w:rFonts w:hint="eastAsia" w:ascii="宋体" w:hAnsi="宋体" w:eastAsia="宋体" w:cs="宋体"/>
                <w:color w:val="auto"/>
                <w:kern w:val="2"/>
                <w:sz w:val="28"/>
                <w:szCs w:val="30"/>
                <w:highlight w:val="none"/>
                <w:lang w:val="en-US" w:eastAsia="zh-CN"/>
              </w:rPr>
              <w:t>/</w:t>
            </w:r>
          </w:p>
        </w:tc>
        <w:tc>
          <w:tcPr>
            <w:tcW w:w="746" w:type="dxa"/>
            <w:tcBorders>
              <w:top w:val="double" w:color="auto" w:sz="6" w:space="0"/>
              <w:bottom w:val="single" w:color="auto" w:sz="6" w:space="0"/>
            </w:tcBorders>
          </w:tcPr>
          <w:p w14:paraId="120A8713">
            <w:pPr>
              <w:pStyle w:val="2"/>
              <w:keepNext/>
              <w:snapToGrid w:val="0"/>
              <w:spacing w:line="240" w:lineRule="auto"/>
              <w:ind w:left="63" w:right="63"/>
              <w:rPr>
                <w:rFonts w:hint="eastAsia" w:ascii="宋体" w:hAnsi="宋体" w:eastAsia="宋体" w:cs="宋体"/>
                <w:color w:val="auto"/>
                <w:kern w:val="2"/>
                <w:sz w:val="28"/>
                <w:szCs w:val="30"/>
                <w:highlight w:val="none"/>
                <w:lang w:val="en-US" w:eastAsia="zh-CN"/>
              </w:rPr>
            </w:pPr>
            <w:r>
              <w:rPr>
                <w:rFonts w:hint="eastAsia" w:ascii="宋体" w:hAnsi="宋体" w:eastAsia="宋体" w:cs="宋体"/>
                <w:color w:val="auto"/>
                <w:kern w:val="2"/>
                <w:sz w:val="28"/>
                <w:szCs w:val="30"/>
                <w:highlight w:val="none"/>
                <w:lang w:val="en-US" w:eastAsia="zh-CN"/>
              </w:rPr>
              <w:t>/</w:t>
            </w:r>
          </w:p>
        </w:tc>
        <w:tc>
          <w:tcPr>
            <w:tcW w:w="1303" w:type="dxa"/>
            <w:tcBorders>
              <w:top w:val="double" w:color="auto" w:sz="6" w:space="0"/>
              <w:bottom w:val="single" w:color="auto" w:sz="6" w:space="0"/>
            </w:tcBorders>
          </w:tcPr>
          <w:p w14:paraId="34D76FFE">
            <w:pPr>
              <w:pStyle w:val="2"/>
              <w:keepNext/>
              <w:snapToGrid w:val="0"/>
              <w:spacing w:line="240" w:lineRule="auto"/>
              <w:ind w:left="63" w:right="63"/>
              <w:rPr>
                <w:rFonts w:hint="eastAsia" w:ascii="宋体" w:hAnsi="宋体" w:eastAsia="宋体" w:cs="宋体"/>
                <w:color w:val="auto"/>
                <w:kern w:val="2"/>
                <w:sz w:val="28"/>
                <w:szCs w:val="30"/>
                <w:highlight w:val="none"/>
                <w:lang w:val="en-US" w:eastAsia="zh-CN"/>
              </w:rPr>
            </w:pPr>
            <w:r>
              <w:rPr>
                <w:rFonts w:hint="eastAsia" w:ascii="宋体" w:hAnsi="宋体" w:eastAsia="宋体" w:cs="宋体"/>
                <w:color w:val="auto"/>
                <w:kern w:val="2"/>
                <w:sz w:val="28"/>
                <w:szCs w:val="30"/>
                <w:highlight w:val="none"/>
                <w:lang w:val="en-US" w:eastAsia="zh-CN"/>
              </w:rPr>
              <w:t>/</w:t>
            </w:r>
          </w:p>
        </w:tc>
        <w:tc>
          <w:tcPr>
            <w:tcW w:w="1367" w:type="dxa"/>
            <w:tcBorders>
              <w:top w:val="double" w:color="auto" w:sz="6" w:space="0"/>
              <w:bottom w:val="single" w:color="auto" w:sz="6" w:space="0"/>
            </w:tcBorders>
          </w:tcPr>
          <w:p w14:paraId="36EB4900">
            <w:pPr>
              <w:pStyle w:val="2"/>
              <w:keepNext/>
              <w:snapToGrid w:val="0"/>
              <w:spacing w:line="240" w:lineRule="auto"/>
              <w:ind w:left="63" w:right="63"/>
              <w:rPr>
                <w:rFonts w:hint="eastAsia" w:ascii="宋体" w:hAnsi="宋体" w:eastAsia="宋体" w:cs="宋体"/>
                <w:color w:val="auto"/>
                <w:kern w:val="2"/>
                <w:sz w:val="28"/>
                <w:szCs w:val="30"/>
                <w:highlight w:val="none"/>
                <w:lang w:val="en-US" w:eastAsia="zh-CN"/>
              </w:rPr>
            </w:pPr>
            <w:r>
              <w:rPr>
                <w:rFonts w:hint="eastAsia" w:ascii="宋体" w:hAnsi="宋体" w:eastAsia="宋体" w:cs="宋体"/>
                <w:color w:val="auto"/>
                <w:kern w:val="2"/>
                <w:sz w:val="28"/>
                <w:szCs w:val="30"/>
                <w:highlight w:val="none"/>
                <w:lang w:val="en-US" w:eastAsia="zh-CN"/>
              </w:rPr>
              <w:t>/</w:t>
            </w:r>
          </w:p>
        </w:tc>
        <w:tc>
          <w:tcPr>
            <w:tcW w:w="1639" w:type="dxa"/>
            <w:tcBorders>
              <w:top w:val="double" w:color="auto" w:sz="6" w:space="0"/>
              <w:bottom w:val="single" w:color="auto" w:sz="6" w:space="0"/>
            </w:tcBorders>
          </w:tcPr>
          <w:p w14:paraId="6D9EE210">
            <w:pPr>
              <w:pStyle w:val="2"/>
              <w:keepNext/>
              <w:snapToGrid w:val="0"/>
              <w:spacing w:line="240" w:lineRule="auto"/>
              <w:ind w:left="63" w:right="63"/>
              <w:rPr>
                <w:rFonts w:hint="eastAsia" w:ascii="宋体" w:hAnsi="宋体" w:eastAsia="宋体" w:cs="宋体"/>
                <w:color w:val="auto"/>
                <w:kern w:val="2"/>
                <w:sz w:val="28"/>
                <w:szCs w:val="30"/>
                <w:highlight w:val="none"/>
                <w:lang w:val="en-US" w:eastAsia="zh-CN"/>
              </w:rPr>
            </w:pPr>
            <w:r>
              <w:rPr>
                <w:rFonts w:hint="eastAsia" w:ascii="宋体" w:hAnsi="宋体" w:eastAsia="宋体" w:cs="宋体"/>
                <w:color w:val="auto"/>
                <w:kern w:val="2"/>
                <w:sz w:val="28"/>
                <w:szCs w:val="30"/>
                <w:highlight w:val="none"/>
                <w:lang w:val="en-US" w:eastAsia="zh-CN"/>
              </w:rPr>
              <w:t>/</w:t>
            </w:r>
          </w:p>
        </w:tc>
      </w:tr>
      <w:tr w14:paraId="1838D5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957" w:type="dxa"/>
            <w:tcBorders>
              <w:top w:val="nil"/>
            </w:tcBorders>
            <w:vAlign w:val="top"/>
          </w:tcPr>
          <w:p w14:paraId="5E4C7F27">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912" w:type="dxa"/>
            <w:tcBorders>
              <w:top w:val="nil"/>
            </w:tcBorders>
            <w:vAlign w:val="top"/>
          </w:tcPr>
          <w:p w14:paraId="1D92EB27">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20" w:type="dxa"/>
            <w:tcBorders>
              <w:top w:val="nil"/>
            </w:tcBorders>
            <w:vAlign w:val="top"/>
          </w:tcPr>
          <w:p w14:paraId="709F7656">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46" w:type="dxa"/>
            <w:tcBorders>
              <w:top w:val="nil"/>
            </w:tcBorders>
            <w:vAlign w:val="top"/>
          </w:tcPr>
          <w:p w14:paraId="5F0253AD">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03" w:type="dxa"/>
            <w:tcBorders>
              <w:top w:val="nil"/>
            </w:tcBorders>
            <w:vAlign w:val="top"/>
          </w:tcPr>
          <w:p w14:paraId="77B77D4E">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67" w:type="dxa"/>
            <w:tcBorders>
              <w:top w:val="nil"/>
            </w:tcBorders>
            <w:vAlign w:val="top"/>
          </w:tcPr>
          <w:p w14:paraId="423F9BFD">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639" w:type="dxa"/>
            <w:tcBorders>
              <w:top w:val="nil"/>
            </w:tcBorders>
            <w:vAlign w:val="top"/>
          </w:tcPr>
          <w:p w14:paraId="2E6C83E1">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5C0A92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957" w:type="dxa"/>
            <w:vAlign w:val="top"/>
          </w:tcPr>
          <w:p w14:paraId="66B39B2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912" w:type="dxa"/>
            <w:vAlign w:val="top"/>
          </w:tcPr>
          <w:p w14:paraId="27FA7921">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20" w:type="dxa"/>
            <w:vAlign w:val="top"/>
          </w:tcPr>
          <w:p w14:paraId="444CD07C">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46" w:type="dxa"/>
            <w:vAlign w:val="top"/>
          </w:tcPr>
          <w:p w14:paraId="2C6E80F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03" w:type="dxa"/>
            <w:vAlign w:val="top"/>
          </w:tcPr>
          <w:p w14:paraId="19996062">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67" w:type="dxa"/>
            <w:vAlign w:val="top"/>
          </w:tcPr>
          <w:p w14:paraId="45CD3E32">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639" w:type="dxa"/>
            <w:vAlign w:val="top"/>
          </w:tcPr>
          <w:p w14:paraId="69C70E5F">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5B958B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957" w:type="dxa"/>
            <w:vAlign w:val="top"/>
          </w:tcPr>
          <w:p w14:paraId="004F0B9A">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912" w:type="dxa"/>
            <w:vAlign w:val="top"/>
          </w:tcPr>
          <w:p w14:paraId="7CB59F25">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20" w:type="dxa"/>
            <w:vAlign w:val="top"/>
          </w:tcPr>
          <w:p w14:paraId="7BDED56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46" w:type="dxa"/>
            <w:vAlign w:val="top"/>
          </w:tcPr>
          <w:p w14:paraId="66DE6534">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03" w:type="dxa"/>
            <w:vAlign w:val="top"/>
          </w:tcPr>
          <w:p w14:paraId="76A537BC">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67" w:type="dxa"/>
            <w:vAlign w:val="top"/>
          </w:tcPr>
          <w:p w14:paraId="6C0F5282">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639" w:type="dxa"/>
            <w:vAlign w:val="top"/>
          </w:tcPr>
          <w:p w14:paraId="1650232D">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639046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957" w:type="dxa"/>
            <w:vAlign w:val="top"/>
          </w:tcPr>
          <w:p w14:paraId="2435B704">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912" w:type="dxa"/>
            <w:vAlign w:val="top"/>
          </w:tcPr>
          <w:p w14:paraId="136DCD0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20" w:type="dxa"/>
            <w:vAlign w:val="top"/>
          </w:tcPr>
          <w:p w14:paraId="5BFBC2FF">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46" w:type="dxa"/>
            <w:vAlign w:val="top"/>
          </w:tcPr>
          <w:p w14:paraId="2F8B1D24">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03" w:type="dxa"/>
            <w:vAlign w:val="top"/>
          </w:tcPr>
          <w:p w14:paraId="55846F4C">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67" w:type="dxa"/>
            <w:vAlign w:val="top"/>
          </w:tcPr>
          <w:p w14:paraId="1A5124FF">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639" w:type="dxa"/>
            <w:vAlign w:val="top"/>
          </w:tcPr>
          <w:p w14:paraId="33CDAC9F">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454B4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957" w:type="dxa"/>
            <w:vAlign w:val="top"/>
          </w:tcPr>
          <w:p w14:paraId="4815D2D5">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912" w:type="dxa"/>
            <w:vAlign w:val="top"/>
          </w:tcPr>
          <w:p w14:paraId="6A08DA55">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20" w:type="dxa"/>
            <w:vAlign w:val="top"/>
          </w:tcPr>
          <w:p w14:paraId="2B5CB9BD">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46" w:type="dxa"/>
            <w:vAlign w:val="top"/>
          </w:tcPr>
          <w:p w14:paraId="118B496B">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03" w:type="dxa"/>
            <w:vAlign w:val="top"/>
          </w:tcPr>
          <w:p w14:paraId="5E0C2AA6">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67" w:type="dxa"/>
            <w:vAlign w:val="top"/>
          </w:tcPr>
          <w:p w14:paraId="718E1AC7">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639" w:type="dxa"/>
            <w:vAlign w:val="top"/>
          </w:tcPr>
          <w:p w14:paraId="07D6187C">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31D6A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957" w:type="dxa"/>
            <w:vAlign w:val="top"/>
          </w:tcPr>
          <w:p w14:paraId="7EA6896F">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912" w:type="dxa"/>
            <w:vAlign w:val="top"/>
          </w:tcPr>
          <w:p w14:paraId="300CD1DB">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20" w:type="dxa"/>
            <w:vAlign w:val="top"/>
          </w:tcPr>
          <w:p w14:paraId="176E70B5">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46" w:type="dxa"/>
            <w:vAlign w:val="top"/>
          </w:tcPr>
          <w:p w14:paraId="35B6B57E">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03" w:type="dxa"/>
            <w:vAlign w:val="top"/>
          </w:tcPr>
          <w:p w14:paraId="6886FF5D">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67" w:type="dxa"/>
            <w:vAlign w:val="top"/>
          </w:tcPr>
          <w:p w14:paraId="05213DE4">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639" w:type="dxa"/>
            <w:vAlign w:val="top"/>
          </w:tcPr>
          <w:p w14:paraId="5828F3DB">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06E952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957" w:type="dxa"/>
            <w:vAlign w:val="top"/>
          </w:tcPr>
          <w:p w14:paraId="2EDABD4D">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912" w:type="dxa"/>
            <w:vAlign w:val="top"/>
          </w:tcPr>
          <w:p w14:paraId="43C48E9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20" w:type="dxa"/>
            <w:vAlign w:val="top"/>
          </w:tcPr>
          <w:p w14:paraId="06D8488C">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46" w:type="dxa"/>
            <w:vAlign w:val="top"/>
          </w:tcPr>
          <w:p w14:paraId="661C19E7">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03" w:type="dxa"/>
            <w:vAlign w:val="top"/>
          </w:tcPr>
          <w:p w14:paraId="67AF93E5">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67" w:type="dxa"/>
            <w:vAlign w:val="top"/>
          </w:tcPr>
          <w:p w14:paraId="488910B2">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639" w:type="dxa"/>
            <w:vAlign w:val="top"/>
          </w:tcPr>
          <w:p w14:paraId="43B00315">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3258D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957" w:type="dxa"/>
            <w:vAlign w:val="top"/>
          </w:tcPr>
          <w:p w14:paraId="3E4750E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912" w:type="dxa"/>
            <w:vAlign w:val="top"/>
          </w:tcPr>
          <w:p w14:paraId="6BD2D55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20" w:type="dxa"/>
            <w:vAlign w:val="top"/>
          </w:tcPr>
          <w:p w14:paraId="42EF81A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46" w:type="dxa"/>
            <w:vAlign w:val="top"/>
          </w:tcPr>
          <w:p w14:paraId="6DA4EF90">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03" w:type="dxa"/>
            <w:vAlign w:val="top"/>
          </w:tcPr>
          <w:p w14:paraId="44B70C8C">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67" w:type="dxa"/>
            <w:vAlign w:val="top"/>
          </w:tcPr>
          <w:p w14:paraId="362116B9">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639" w:type="dxa"/>
            <w:vAlign w:val="top"/>
          </w:tcPr>
          <w:p w14:paraId="2E24CACC">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1A5A4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957" w:type="dxa"/>
            <w:vAlign w:val="top"/>
          </w:tcPr>
          <w:p w14:paraId="56BA97E9">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912" w:type="dxa"/>
            <w:vAlign w:val="top"/>
          </w:tcPr>
          <w:p w14:paraId="1959E569">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20" w:type="dxa"/>
            <w:vAlign w:val="top"/>
          </w:tcPr>
          <w:p w14:paraId="76559E6E">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46" w:type="dxa"/>
            <w:vAlign w:val="top"/>
          </w:tcPr>
          <w:p w14:paraId="592122CF">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03" w:type="dxa"/>
            <w:vAlign w:val="top"/>
          </w:tcPr>
          <w:p w14:paraId="53AD470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67" w:type="dxa"/>
            <w:vAlign w:val="top"/>
          </w:tcPr>
          <w:p w14:paraId="62BC7B66">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639" w:type="dxa"/>
            <w:vAlign w:val="top"/>
          </w:tcPr>
          <w:p w14:paraId="791DDE6B">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29120F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957" w:type="dxa"/>
            <w:vAlign w:val="top"/>
          </w:tcPr>
          <w:p w14:paraId="334539D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912" w:type="dxa"/>
            <w:vAlign w:val="top"/>
          </w:tcPr>
          <w:p w14:paraId="463E6765">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20" w:type="dxa"/>
            <w:vAlign w:val="top"/>
          </w:tcPr>
          <w:p w14:paraId="5FBEA5FD">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46" w:type="dxa"/>
            <w:vAlign w:val="top"/>
          </w:tcPr>
          <w:p w14:paraId="5A655AB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03" w:type="dxa"/>
            <w:vAlign w:val="top"/>
          </w:tcPr>
          <w:p w14:paraId="2FC34400">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67" w:type="dxa"/>
            <w:vAlign w:val="top"/>
          </w:tcPr>
          <w:p w14:paraId="27087EA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639" w:type="dxa"/>
            <w:vAlign w:val="top"/>
          </w:tcPr>
          <w:p w14:paraId="53F6EB80">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1CE1F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957" w:type="dxa"/>
            <w:vAlign w:val="top"/>
          </w:tcPr>
          <w:p w14:paraId="1C4F0936">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912" w:type="dxa"/>
            <w:vAlign w:val="top"/>
          </w:tcPr>
          <w:p w14:paraId="1818A8AA">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20" w:type="dxa"/>
            <w:vAlign w:val="top"/>
          </w:tcPr>
          <w:p w14:paraId="78007519">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46" w:type="dxa"/>
            <w:vAlign w:val="top"/>
          </w:tcPr>
          <w:p w14:paraId="668A89D9">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03" w:type="dxa"/>
            <w:vAlign w:val="top"/>
          </w:tcPr>
          <w:p w14:paraId="264183F1">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67" w:type="dxa"/>
            <w:vAlign w:val="top"/>
          </w:tcPr>
          <w:p w14:paraId="53B1369B">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639" w:type="dxa"/>
            <w:vAlign w:val="top"/>
          </w:tcPr>
          <w:p w14:paraId="5F8B42CA">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1D899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957" w:type="dxa"/>
            <w:vAlign w:val="top"/>
          </w:tcPr>
          <w:p w14:paraId="7D96170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912" w:type="dxa"/>
            <w:vAlign w:val="top"/>
          </w:tcPr>
          <w:p w14:paraId="22174244">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20" w:type="dxa"/>
            <w:vAlign w:val="top"/>
          </w:tcPr>
          <w:p w14:paraId="3E17E03F">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46" w:type="dxa"/>
            <w:vAlign w:val="top"/>
          </w:tcPr>
          <w:p w14:paraId="6293709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03" w:type="dxa"/>
            <w:vAlign w:val="top"/>
          </w:tcPr>
          <w:p w14:paraId="17FF9CE6">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67" w:type="dxa"/>
            <w:vAlign w:val="top"/>
          </w:tcPr>
          <w:p w14:paraId="6EB44A54">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639" w:type="dxa"/>
            <w:vAlign w:val="top"/>
          </w:tcPr>
          <w:p w14:paraId="76074B6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0B3D6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957" w:type="dxa"/>
            <w:vAlign w:val="top"/>
          </w:tcPr>
          <w:p w14:paraId="43DC4BF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912" w:type="dxa"/>
            <w:vAlign w:val="top"/>
          </w:tcPr>
          <w:p w14:paraId="6FD38972">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20" w:type="dxa"/>
            <w:vAlign w:val="top"/>
          </w:tcPr>
          <w:p w14:paraId="012FE894">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46" w:type="dxa"/>
            <w:vAlign w:val="top"/>
          </w:tcPr>
          <w:p w14:paraId="2F7F90BC">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03" w:type="dxa"/>
            <w:vAlign w:val="top"/>
          </w:tcPr>
          <w:p w14:paraId="26ED2D44">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67" w:type="dxa"/>
            <w:vAlign w:val="top"/>
          </w:tcPr>
          <w:p w14:paraId="78A3568C">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639" w:type="dxa"/>
            <w:vAlign w:val="top"/>
          </w:tcPr>
          <w:p w14:paraId="4352ED30">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25B0E5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957" w:type="dxa"/>
            <w:vAlign w:val="top"/>
          </w:tcPr>
          <w:p w14:paraId="39FEA99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912" w:type="dxa"/>
            <w:vAlign w:val="top"/>
          </w:tcPr>
          <w:p w14:paraId="10196747">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20" w:type="dxa"/>
            <w:vAlign w:val="top"/>
          </w:tcPr>
          <w:p w14:paraId="4343AFCA">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46" w:type="dxa"/>
            <w:vAlign w:val="top"/>
          </w:tcPr>
          <w:p w14:paraId="532516EA">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03" w:type="dxa"/>
            <w:vAlign w:val="top"/>
          </w:tcPr>
          <w:p w14:paraId="5B22224E">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67" w:type="dxa"/>
            <w:vAlign w:val="top"/>
          </w:tcPr>
          <w:p w14:paraId="023E6FB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639" w:type="dxa"/>
            <w:vAlign w:val="top"/>
          </w:tcPr>
          <w:p w14:paraId="63D12F6F">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48084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957" w:type="dxa"/>
            <w:vAlign w:val="top"/>
          </w:tcPr>
          <w:p w14:paraId="5E8F331D">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912" w:type="dxa"/>
            <w:vAlign w:val="top"/>
          </w:tcPr>
          <w:p w14:paraId="0138B7B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20" w:type="dxa"/>
            <w:vAlign w:val="top"/>
          </w:tcPr>
          <w:p w14:paraId="281F6239">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46" w:type="dxa"/>
            <w:vAlign w:val="top"/>
          </w:tcPr>
          <w:p w14:paraId="1324475F">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03" w:type="dxa"/>
            <w:vAlign w:val="top"/>
          </w:tcPr>
          <w:p w14:paraId="40F2C5A0">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67" w:type="dxa"/>
            <w:vAlign w:val="top"/>
          </w:tcPr>
          <w:p w14:paraId="46BB645A">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639" w:type="dxa"/>
            <w:vAlign w:val="top"/>
          </w:tcPr>
          <w:p w14:paraId="40292EEE">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3BC25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6" w:hRule="atLeast"/>
        </w:trPr>
        <w:tc>
          <w:tcPr>
            <w:tcW w:w="957" w:type="dxa"/>
            <w:vAlign w:val="top"/>
          </w:tcPr>
          <w:p w14:paraId="27F7EA52">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912" w:type="dxa"/>
            <w:vAlign w:val="top"/>
          </w:tcPr>
          <w:p w14:paraId="13BFF1FB">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20" w:type="dxa"/>
            <w:vAlign w:val="top"/>
          </w:tcPr>
          <w:p w14:paraId="51085FF5">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46" w:type="dxa"/>
            <w:vAlign w:val="top"/>
          </w:tcPr>
          <w:p w14:paraId="3CAAF1D6">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03" w:type="dxa"/>
            <w:vAlign w:val="top"/>
          </w:tcPr>
          <w:p w14:paraId="75D0354B">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67" w:type="dxa"/>
            <w:vAlign w:val="top"/>
          </w:tcPr>
          <w:p w14:paraId="3E6C2C12">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639" w:type="dxa"/>
            <w:vAlign w:val="top"/>
          </w:tcPr>
          <w:p w14:paraId="03C48002">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bl>
    <w:p w14:paraId="458ADA6F">
      <w:pPr>
        <w:adjustRightInd w:val="0"/>
        <w:snapToGrid w:val="0"/>
        <w:spacing w:beforeLines="50" w:afterLines="50"/>
        <w:rPr>
          <w:rFonts w:hint="eastAsia" w:ascii="宋体" w:hAnsi="宋体" w:eastAsia="宋体" w:cs="宋体"/>
          <w:color w:val="auto"/>
          <w:sz w:val="30"/>
          <w:szCs w:val="30"/>
          <w:highlight w:val="none"/>
        </w:rPr>
      </w:pPr>
    </w:p>
    <w:p w14:paraId="30D2C790">
      <w:pPr>
        <w:adjustRightInd w:val="0"/>
        <w:snapToGrid w:val="0"/>
        <w:spacing w:beforeLines="50" w:afterLines="50"/>
        <w:jc w:val="center"/>
        <w:rPr>
          <w:rFonts w:hint="eastAsia" w:ascii="宋体" w:hAnsi="宋体" w:eastAsia="宋体" w:cs="宋体"/>
          <w:b/>
          <w:color w:val="auto"/>
          <w:sz w:val="36"/>
          <w:szCs w:val="36"/>
          <w:highlight w:val="none"/>
        </w:rPr>
      </w:pPr>
      <w:r>
        <w:rPr>
          <w:rFonts w:hint="eastAsia" w:ascii="宋体" w:hAnsi="宋体" w:eastAsia="宋体" w:cs="宋体"/>
          <w:color w:val="auto"/>
          <w:sz w:val="30"/>
          <w:szCs w:val="30"/>
          <w:highlight w:val="none"/>
        </w:rPr>
        <w:br w:type="page"/>
      </w:r>
      <w:r>
        <w:rPr>
          <w:rFonts w:hint="eastAsia" w:ascii="宋体" w:hAnsi="宋体" w:eastAsia="宋体" w:cs="宋体"/>
          <w:b/>
          <w:color w:val="auto"/>
          <w:sz w:val="36"/>
          <w:szCs w:val="36"/>
          <w:highlight w:val="none"/>
        </w:rPr>
        <w:t>11-2：工程设备暂估价表</w:t>
      </w:r>
    </w:p>
    <w:tbl>
      <w:tblPr>
        <w:tblStyle w:val="25"/>
        <w:tblW w:w="9255"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3"/>
        <w:gridCol w:w="2024"/>
        <w:gridCol w:w="868"/>
        <w:gridCol w:w="790"/>
        <w:gridCol w:w="1379"/>
        <w:gridCol w:w="1446"/>
        <w:gridCol w:w="1735"/>
      </w:tblGrid>
      <w:tr w14:paraId="79A358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6" w:hRule="atLeast"/>
        </w:trPr>
        <w:tc>
          <w:tcPr>
            <w:tcW w:w="1013" w:type="dxa"/>
            <w:tcBorders>
              <w:top w:val="single" w:color="auto" w:sz="12" w:space="0"/>
              <w:bottom w:val="double" w:color="auto" w:sz="6" w:space="0"/>
            </w:tcBorders>
            <w:vAlign w:val="center"/>
          </w:tcPr>
          <w:p w14:paraId="6A74564D">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序号</w:t>
            </w:r>
          </w:p>
        </w:tc>
        <w:tc>
          <w:tcPr>
            <w:tcW w:w="2024" w:type="dxa"/>
            <w:tcBorders>
              <w:top w:val="single" w:color="auto" w:sz="12" w:space="0"/>
              <w:bottom w:val="double" w:color="auto" w:sz="6" w:space="0"/>
            </w:tcBorders>
            <w:vAlign w:val="center"/>
          </w:tcPr>
          <w:p w14:paraId="0618E820">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名称</w:t>
            </w:r>
          </w:p>
        </w:tc>
        <w:tc>
          <w:tcPr>
            <w:tcW w:w="868" w:type="dxa"/>
            <w:tcBorders>
              <w:top w:val="single" w:color="auto" w:sz="12" w:space="0"/>
              <w:bottom w:val="double" w:color="auto" w:sz="6" w:space="0"/>
            </w:tcBorders>
            <w:vAlign w:val="center"/>
          </w:tcPr>
          <w:p w14:paraId="5501CC17">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单位</w:t>
            </w:r>
          </w:p>
        </w:tc>
        <w:tc>
          <w:tcPr>
            <w:tcW w:w="790" w:type="dxa"/>
            <w:tcBorders>
              <w:top w:val="single" w:color="auto" w:sz="12" w:space="0"/>
              <w:bottom w:val="double" w:color="auto" w:sz="6" w:space="0"/>
            </w:tcBorders>
            <w:vAlign w:val="center"/>
          </w:tcPr>
          <w:p w14:paraId="764FE1D7">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数量</w:t>
            </w:r>
          </w:p>
        </w:tc>
        <w:tc>
          <w:tcPr>
            <w:tcW w:w="1379" w:type="dxa"/>
            <w:tcBorders>
              <w:top w:val="single" w:color="auto" w:sz="12" w:space="0"/>
              <w:bottom w:val="double" w:color="auto" w:sz="6" w:space="0"/>
            </w:tcBorders>
            <w:vAlign w:val="center"/>
          </w:tcPr>
          <w:p w14:paraId="387B71AF">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单价（元）</w:t>
            </w:r>
          </w:p>
        </w:tc>
        <w:tc>
          <w:tcPr>
            <w:tcW w:w="1446" w:type="dxa"/>
            <w:tcBorders>
              <w:top w:val="single" w:color="auto" w:sz="12" w:space="0"/>
              <w:bottom w:val="double" w:color="auto" w:sz="6" w:space="0"/>
            </w:tcBorders>
            <w:vAlign w:val="center"/>
          </w:tcPr>
          <w:p w14:paraId="18BAC1A6">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合价（元）</w:t>
            </w:r>
          </w:p>
        </w:tc>
        <w:tc>
          <w:tcPr>
            <w:tcW w:w="1735" w:type="dxa"/>
            <w:tcBorders>
              <w:top w:val="single" w:color="auto" w:sz="12" w:space="0"/>
              <w:bottom w:val="double" w:color="auto" w:sz="6" w:space="0"/>
            </w:tcBorders>
            <w:vAlign w:val="center"/>
          </w:tcPr>
          <w:p w14:paraId="13E4568A">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备注</w:t>
            </w:r>
          </w:p>
        </w:tc>
      </w:tr>
      <w:tr w14:paraId="69641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tcBorders>
              <w:top w:val="double" w:color="auto" w:sz="6" w:space="0"/>
              <w:bottom w:val="single" w:color="auto" w:sz="6" w:space="0"/>
            </w:tcBorders>
            <w:vAlign w:val="top"/>
          </w:tcPr>
          <w:p w14:paraId="547E4D3F">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tcBorders>
              <w:top w:val="double" w:color="auto" w:sz="6" w:space="0"/>
              <w:bottom w:val="single" w:color="auto" w:sz="6" w:space="0"/>
            </w:tcBorders>
            <w:vAlign w:val="top"/>
          </w:tcPr>
          <w:p w14:paraId="234F3491">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tcBorders>
              <w:top w:val="double" w:color="auto" w:sz="6" w:space="0"/>
              <w:bottom w:val="single" w:color="auto" w:sz="6" w:space="0"/>
            </w:tcBorders>
            <w:vAlign w:val="top"/>
          </w:tcPr>
          <w:p w14:paraId="7D5F25E4">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tcBorders>
              <w:top w:val="double" w:color="auto" w:sz="6" w:space="0"/>
              <w:bottom w:val="single" w:color="auto" w:sz="6" w:space="0"/>
            </w:tcBorders>
            <w:vAlign w:val="top"/>
          </w:tcPr>
          <w:p w14:paraId="0D7350A9">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tcBorders>
              <w:top w:val="double" w:color="auto" w:sz="6" w:space="0"/>
              <w:bottom w:val="single" w:color="auto" w:sz="6" w:space="0"/>
            </w:tcBorders>
            <w:vAlign w:val="top"/>
          </w:tcPr>
          <w:p w14:paraId="34994A35">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tcBorders>
              <w:top w:val="double" w:color="auto" w:sz="6" w:space="0"/>
              <w:bottom w:val="single" w:color="auto" w:sz="6" w:space="0"/>
            </w:tcBorders>
            <w:vAlign w:val="top"/>
          </w:tcPr>
          <w:p w14:paraId="2BEE5411">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tcBorders>
              <w:top w:val="double" w:color="auto" w:sz="6" w:space="0"/>
              <w:bottom w:val="single" w:color="auto" w:sz="6" w:space="0"/>
            </w:tcBorders>
            <w:vAlign w:val="top"/>
          </w:tcPr>
          <w:p w14:paraId="07BADE70">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7C494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tcBorders>
              <w:top w:val="nil"/>
            </w:tcBorders>
            <w:vAlign w:val="top"/>
          </w:tcPr>
          <w:p w14:paraId="504F003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tcBorders>
              <w:top w:val="nil"/>
            </w:tcBorders>
            <w:vAlign w:val="top"/>
          </w:tcPr>
          <w:p w14:paraId="5C973421">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tcBorders>
              <w:top w:val="nil"/>
            </w:tcBorders>
            <w:vAlign w:val="top"/>
          </w:tcPr>
          <w:p w14:paraId="3BAFF4A1">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tcBorders>
              <w:top w:val="nil"/>
            </w:tcBorders>
            <w:vAlign w:val="top"/>
          </w:tcPr>
          <w:p w14:paraId="0AD588E6">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tcBorders>
              <w:top w:val="nil"/>
            </w:tcBorders>
            <w:vAlign w:val="top"/>
          </w:tcPr>
          <w:p w14:paraId="72B4E51E">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tcBorders>
              <w:top w:val="nil"/>
            </w:tcBorders>
            <w:vAlign w:val="top"/>
          </w:tcPr>
          <w:p w14:paraId="2BC84737">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tcBorders>
              <w:top w:val="nil"/>
            </w:tcBorders>
            <w:vAlign w:val="top"/>
          </w:tcPr>
          <w:p w14:paraId="0C3677BA">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51E403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vAlign w:val="top"/>
          </w:tcPr>
          <w:p w14:paraId="422A4E07">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6DABD995">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7D0EB7C0">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5AD0DA75">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6C8F5CCD">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5197580C">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767AE61A">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47F1B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8" w:hRule="atLeast"/>
        </w:trPr>
        <w:tc>
          <w:tcPr>
            <w:tcW w:w="1013" w:type="dxa"/>
            <w:vAlign w:val="top"/>
          </w:tcPr>
          <w:p w14:paraId="770AE854">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411A3D0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1183650C">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010B8E71">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73703FB0">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33B26CFB">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055EFBEF">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51FE0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vAlign w:val="top"/>
          </w:tcPr>
          <w:p w14:paraId="27F227FD">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1D544B56">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32F54C95">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09440E0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60942652">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5A87F359">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3D1FA482">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3C3DF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vAlign w:val="top"/>
          </w:tcPr>
          <w:p w14:paraId="2F7FE7D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716F5ACB">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29BB4C5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46DE9269">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58F4017E">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164FB005">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04533F1B">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49F78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vAlign w:val="top"/>
          </w:tcPr>
          <w:p w14:paraId="4EDED8DB">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213C1E84">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62DBD621">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192B3422">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30964AD9">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56603F61">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706F52EE">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7B024F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vAlign w:val="top"/>
          </w:tcPr>
          <w:p w14:paraId="3A443F0F">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7A5DCCD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678E0B3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7926246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1A192327">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4C8A7B41">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4452D142">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31651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8" w:hRule="atLeast"/>
        </w:trPr>
        <w:tc>
          <w:tcPr>
            <w:tcW w:w="1013" w:type="dxa"/>
            <w:vAlign w:val="top"/>
          </w:tcPr>
          <w:p w14:paraId="607CB270">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4540D32F">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490E225E">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665989AA">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0C51BB00">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174FAAD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2FEDB7B4">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6D97F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vAlign w:val="top"/>
          </w:tcPr>
          <w:p w14:paraId="56F6E52D">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525E6CB9">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75AB56C6">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64BA898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3D6F9A2F">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43EF449E">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24D1E19E">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5BA3D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vAlign w:val="top"/>
          </w:tcPr>
          <w:p w14:paraId="01E48A70">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5FAE0109">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4B1614D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49C65221">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735872DC">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3870EE26">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423A05A7">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7BD55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vAlign w:val="top"/>
          </w:tcPr>
          <w:p w14:paraId="4793BFAD">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6299000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77D033AE">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344C1FD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50F60880">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3FF20E60">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0A746AD0">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20D4F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vAlign w:val="top"/>
          </w:tcPr>
          <w:p w14:paraId="691B3B17">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79BD9DE6">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051A68CA">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249DC477">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554AE32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69396B0A">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394EE37E">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15691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8" w:hRule="atLeast"/>
        </w:trPr>
        <w:tc>
          <w:tcPr>
            <w:tcW w:w="1013" w:type="dxa"/>
            <w:vAlign w:val="top"/>
          </w:tcPr>
          <w:p w14:paraId="3E533AD4">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6909798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063DF6E5">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3A20961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731EFF14">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43C96BE4">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2BD487D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5817B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vAlign w:val="top"/>
          </w:tcPr>
          <w:p w14:paraId="0771DFA7">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4EE9012A">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3336F561">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063D0E50">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2EFE472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670026BB">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2748FD91">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1A05BD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vAlign w:val="top"/>
          </w:tcPr>
          <w:p w14:paraId="0E74027D">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3C9E9A80">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1BAA4EF4">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522E1A2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623C5F2D">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35C4939A">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787EC911">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504B3B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vAlign w:val="top"/>
          </w:tcPr>
          <w:p w14:paraId="0FAAEAF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6EE71F5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0A4080BF">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6153A9EB">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76DC6CEA">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4A41634B">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53AAEB9E">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74D68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8" w:hRule="atLeast"/>
        </w:trPr>
        <w:tc>
          <w:tcPr>
            <w:tcW w:w="1013" w:type="dxa"/>
            <w:vAlign w:val="top"/>
          </w:tcPr>
          <w:p w14:paraId="6949C19C">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229B793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2E7CF8B7">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7E2A761E">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7AB0BB96">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4E172ECE">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1CFB31ED">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16F95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vAlign w:val="top"/>
          </w:tcPr>
          <w:p w14:paraId="4B78C534">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3E74B6E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7C8BDEA9">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6CBABBD9">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37F3F389">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32415B1E">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7C46EF77">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bl>
    <w:p w14:paraId="577CDAD2">
      <w:pPr>
        <w:adjustRightInd w:val="0"/>
        <w:snapToGrid w:val="0"/>
        <w:rPr>
          <w:rFonts w:hint="eastAsia" w:ascii="宋体" w:hAnsi="宋体" w:eastAsia="宋体" w:cs="宋体"/>
          <w:color w:val="auto"/>
          <w:sz w:val="30"/>
          <w:szCs w:val="30"/>
          <w:highlight w:val="none"/>
        </w:rPr>
      </w:pPr>
    </w:p>
    <w:p w14:paraId="06C1CF02">
      <w:pPr>
        <w:adjustRightInd w:val="0"/>
        <w:snapToGrid w:val="0"/>
        <w:spacing w:beforeLines="50" w:afterLines="50"/>
        <w:jc w:val="center"/>
        <w:rPr>
          <w:rFonts w:hint="eastAsia" w:ascii="宋体" w:hAnsi="宋体" w:eastAsia="宋体" w:cs="宋体"/>
          <w:b/>
          <w:color w:val="auto"/>
          <w:sz w:val="36"/>
          <w:szCs w:val="36"/>
          <w:highlight w:val="none"/>
        </w:rPr>
      </w:pPr>
      <w:r>
        <w:rPr>
          <w:rFonts w:hint="eastAsia" w:ascii="宋体" w:hAnsi="宋体" w:eastAsia="宋体" w:cs="宋体"/>
          <w:color w:val="auto"/>
          <w:sz w:val="30"/>
          <w:szCs w:val="30"/>
          <w:highlight w:val="none"/>
        </w:rPr>
        <w:br w:type="page"/>
      </w:r>
      <w:r>
        <w:rPr>
          <w:rFonts w:hint="eastAsia" w:ascii="宋体" w:hAnsi="宋体" w:eastAsia="宋体" w:cs="宋体"/>
          <w:b/>
          <w:color w:val="auto"/>
          <w:sz w:val="36"/>
          <w:szCs w:val="36"/>
          <w:highlight w:val="none"/>
        </w:rPr>
        <w:t>11-3：专业工程暂估价表</w:t>
      </w:r>
    </w:p>
    <w:tbl>
      <w:tblPr>
        <w:tblStyle w:val="25"/>
        <w:tblW w:w="9255"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3"/>
        <w:gridCol w:w="2024"/>
        <w:gridCol w:w="868"/>
        <w:gridCol w:w="790"/>
        <w:gridCol w:w="1379"/>
        <w:gridCol w:w="1446"/>
        <w:gridCol w:w="1735"/>
      </w:tblGrid>
      <w:tr w14:paraId="59E4D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6" w:hRule="atLeast"/>
        </w:trPr>
        <w:tc>
          <w:tcPr>
            <w:tcW w:w="1013" w:type="dxa"/>
            <w:tcBorders>
              <w:top w:val="single" w:color="auto" w:sz="12" w:space="0"/>
              <w:bottom w:val="double" w:color="auto" w:sz="6" w:space="0"/>
            </w:tcBorders>
            <w:vAlign w:val="center"/>
          </w:tcPr>
          <w:p w14:paraId="3108C2E5">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序号</w:t>
            </w:r>
          </w:p>
        </w:tc>
        <w:tc>
          <w:tcPr>
            <w:tcW w:w="2024" w:type="dxa"/>
            <w:tcBorders>
              <w:top w:val="single" w:color="auto" w:sz="12" w:space="0"/>
              <w:bottom w:val="double" w:color="auto" w:sz="6" w:space="0"/>
            </w:tcBorders>
            <w:vAlign w:val="center"/>
          </w:tcPr>
          <w:p w14:paraId="09DB8C51">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名称</w:t>
            </w:r>
          </w:p>
        </w:tc>
        <w:tc>
          <w:tcPr>
            <w:tcW w:w="868" w:type="dxa"/>
            <w:tcBorders>
              <w:top w:val="single" w:color="auto" w:sz="12" w:space="0"/>
              <w:bottom w:val="double" w:color="auto" w:sz="6" w:space="0"/>
            </w:tcBorders>
            <w:vAlign w:val="center"/>
          </w:tcPr>
          <w:p w14:paraId="54C805C8">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单位</w:t>
            </w:r>
          </w:p>
        </w:tc>
        <w:tc>
          <w:tcPr>
            <w:tcW w:w="790" w:type="dxa"/>
            <w:tcBorders>
              <w:top w:val="single" w:color="auto" w:sz="12" w:space="0"/>
              <w:bottom w:val="double" w:color="auto" w:sz="6" w:space="0"/>
            </w:tcBorders>
            <w:vAlign w:val="center"/>
          </w:tcPr>
          <w:p w14:paraId="4300D323">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数量</w:t>
            </w:r>
          </w:p>
        </w:tc>
        <w:tc>
          <w:tcPr>
            <w:tcW w:w="1379" w:type="dxa"/>
            <w:tcBorders>
              <w:top w:val="single" w:color="auto" w:sz="12" w:space="0"/>
              <w:bottom w:val="double" w:color="auto" w:sz="6" w:space="0"/>
            </w:tcBorders>
            <w:vAlign w:val="center"/>
          </w:tcPr>
          <w:p w14:paraId="57B43264">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单价（元）</w:t>
            </w:r>
          </w:p>
        </w:tc>
        <w:tc>
          <w:tcPr>
            <w:tcW w:w="1446" w:type="dxa"/>
            <w:tcBorders>
              <w:top w:val="single" w:color="auto" w:sz="12" w:space="0"/>
              <w:bottom w:val="double" w:color="auto" w:sz="6" w:space="0"/>
            </w:tcBorders>
            <w:vAlign w:val="center"/>
          </w:tcPr>
          <w:p w14:paraId="1BF4161B">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合价（元）</w:t>
            </w:r>
          </w:p>
        </w:tc>
        <w:tc>
          <w:tcPr>
            <w:tcW w:w="1735" w:type="dxa"/>
            <w:tcBorders>
              <w:top w:val="single" w:color="auto" w:sz="12" w:space="0"/>
              <w:bottom w:val="double" w:color="auto" w:sz="6" w:space="0"/>
            </w:tcBorders>
            <w:vAlign w:val="center"/>
          </w:tcPr>
          <w:p w14:paraId="7529C6E3">
            <w:pPr>
              <w:pStyle w:val="2"/>
              <w:keepNext/>
              <w:snapToGrid w:val="0"/>
              <w:spacing w:line="240" w:lineRule="auto"/>
              <w:ind w:left="63" w:right="63"/>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rPr>
              <w:t>备注</w:t>
            </w:r>
          </w:p>
        </w:tc>
      </w:tr>
      <w:tr w14:paraId="0B9AD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tcBorders>
              <w:top w:val="double" w:color="auto" w:sz="6" w:space="0"/>
              <w:bottom w:val="single" w:color="auto" w:sz="6" w:space="0"/>
            </w:tcBorders>
            <w:vAlign w:val="top"/>
          </w:tcPr>
          <w:p w14:paraId="563F5A2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tcBorders>
              <w:top w:val="double" w:color="auto" w:sz="6" w:space="0"/>
              <w:bottom w:val="single" w:color="auto" w:sz="6" w:space="0"/>
            </w:tcBorders>
            <w:vAlign w:val="top"/>
          </w:tcPr>
          <w:p w14:paraId="08260A70">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tcBorders>
              <w:top w:val="double" w:color="auto" w:sz="6" w:space="0"/>
              <w:bottom w:val="single" w:color="auto" w:sz="6" w:space="0"/>
            </w:tcBorders>
            <w:vAlign w:val="top"/>
          </w:tcPr>
          <w:p w14:paraId="02BEF39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tcBorders>
              <w:top w:val="double" w:color="auto" w:sz="6" w:space="0"/>
              <w:bottom w:val="single" w:color="auto" w:sz="6" w:space="0"/>
            </w:tcBorders>
            <w:vAlign w:val="top"/>
          </w:tcPr>
          <w:p w14:paraId="1BD6C98E">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tcBorders>
              <w:top w:val="double" w:color="auto" w:sz="6" w:space="0"/>
              <w:bottom w:val="single" w:color="auto" w:sz="6" w:space="0"/>
            </w:tcBorders>
            <w:vAlign w:val="top"/>
          </w:tcPr>
          <w:p w14:paraId="5063B7C7">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tcBorders>
              <w:top w:val="double" w:color="auto" w:sz="6" w:space="0"/>
              <w:bottom w:val="single" w:color="auto" w:sz="6" w:space="0"/>
            </w:tcBorders>
            <w:vAlign w:val="top"/>
          </w:tcPr>
          <w:p w14:paraId="2E6A6D71">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tcBorders>
              <w:top w:val="double" w:color="auto" w:sz="6" w:space="0"/>
              <w:bottom w:val="single" w:color="auto" w:sz="6" w:space="0"/>
            </w:tcBorders>
            <w:vAlign w:val="top"/>
          </w:tcPr>
          <w:p w14:paraId="001AB2CE">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69130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tcBorders>
              <w:top w:val="nil"/>
            </w:tcBorders>
            <w:vAlign w:val="top"/>
          </w:tcPr>
          <w:p w14:paraId="0F1FFB07">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tcBorders>
              <w:top w:val="nil"/>
            </w:tcBorders>
            <w:vAlign w:val="top"/>
          </w:tcPr>
          <w:p w14:paraId="325E8607">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tcBorders>
              <w:top w:val="nil"/>
            </w:tcBorders>
            <w:vAlign w:val="top"/>
          </w:tcPr>
          <w:p w14:paraId="43768F86">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tcBorders>
              <w:top w:val="nil"/>
            </w:tcBorders>
            <w:vAlign w:val="top"/>
          </w:tcPr>
          <w:p w14:paraId="332499BF">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tcBorders>
              <w:top w:val="nil"/>
            </w:tcBorders>
            <w:vAlign w:val="top"/>
          </w:tcPr>
          <w:p w14:paraId="37067A67">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tcBorders>
              <w:top w:val="nil"/>
            </w:tcBorders>
            <w:vAlign w:val="top"/>
          </w:tcPr>
          <w:p w14:paraId="45311B4E">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tcBorders>
              <w:top w:val="nil"/>
            </w:tcBorders>
            <w:vAlign w:val="top"/>
          </w:tcPr>
          <w:p w14:paraId="1575A247">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69E37F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vAlign w:val="top"/>
          </w:tcPr>
          <w:p w14:paraId="6A5F73F6">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7A74211F">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623F2B04">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650B6C9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00EED28D">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120E9519">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6BC216B6">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31F38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8" w:hRule="atLeast"/>
        </w:trPr>
        <w:tc>
          <w:tcPr>
            <w:tcW w:w="1013" w:type="dxa"/>
            <w:vAlign w:val="top"/>
          </w:tcPr>
          <w:p w14:paraId="6C285675">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44F0FD16">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5CE76A8A">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34BA1687">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3EF1CEC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79E8B922">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3F7EFBAD">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3E6326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vAlign w:val="top"/>
          </w:tcPr>
          <w:p w14:paraId="63CF1F4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7803B086">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11308E16">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766576FB">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408103FC">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50A10087">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3460073E">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6F7030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8" w:hRule="atLeast"/>
        </w:trPr>
        <w:tc>
          <w:tcPr>
            <w:tcW w:w="1013" w:type="dxa"/>
            <w:vAlign w:val="top"/>
          </w:tcPr>
          <w:p w14:paraId="67CEC2AC">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034276FA">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07B7F1FC">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6D8487D4">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3A7B1C26">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78AF5D00">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1E5FE372">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08D80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vAlign w:val="top"/>
          </w:tcPr>
          <w:p w14:paraId="6423B4E4">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7813F4AB">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5E9CBF8F">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7D3DA9D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2E6FA484">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098214AE">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5F207534">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77FD2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vAlign w:val="top"/>
          </w:tcPr>
          <w:p w14:paraId="5556E816">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09FBA6B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1808A35D">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056B1D4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3162ACF2">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70987E5B">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5D57EC2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2D961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vAlign w:val="top"/>
          </w:tcPr>
          <w:p w14:paraId="4593CA6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010563BD">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76C00065">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617A1572">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297BCE57">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2979B31F">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38F81EB4">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370537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vAlign w:val="top"/>
          </w:tcPr>
          <w:p w14:paraId="0DF35056">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586AD7A6">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30EC245F">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6EE01601">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0D8A3C29">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3E4C8B1B">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6A6D2130">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102FE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8" w:hRule="atLeast"/>
        </w:trPr>
        <w:tc>
          <w:tcPr>
            <w:tcW w:w="1013" w:type="dxa"/>
            <w:vAlign w:val="top"/>
          </w:tcPr>
          <w:p w14:paraId="34AD77C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7491FE3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4C1ED1A0">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77AFD34C">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62260610">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0DFE2B35">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03F75291">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2F484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vAlign w:val="top"/>
          </w:tcPr>
          <w:p w14:paraId="009D742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634D1FBB">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000A8DD7">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675AC057">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6F7D53CB">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4D292D1C">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223FCDF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135F1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vAlign w:val="top"/>
          </w:tcPr>
          <w:p w14:paraId="71FA0AE1">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322E8A2F">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77182EDF">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5DA931AF">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11BAAB8F">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45D7E0BC">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5B86507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510A86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vAlign w:val="top"/>
          </w:tcPr>
          <w:p w14:paraId="3F30DA51">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5E0D1EB4">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4C9371AA">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60EB5161">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51000024">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2808EF76">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5EDBD90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3EFF8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vAlign w:val="top"/>
          </w:tcPr>
          <w:p w14:paraId="31147BA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26A939EE">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0A7D9496">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197A9E3B">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5BF6EB38">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11E9D311">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2565F30B">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7A846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8" w:hRule="atLeast"/>
        </w:trPr>
        <w:tc>
          <w:tcPr>
            <w:tcW w:w="1013" w:type="dxa"/>
            <w:vAlign w:val="top"/>
          </w:tcPr>
          <w:p w14:paraId="1D07244F">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7672DDDC">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47B52AAA">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6683D133">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7527D069">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435EED37">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7E0F0D09">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r w14:paraId="36C35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13" w:type="dxa"/>
            <w:vAlign w:val="top"/>
          </w:tcPr>
          <w:p w14:paraId="5B1DDF3B">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2024" w:type="dxa"/>
            <w:vAlign w:val="top"/>
          </w:tcPr>
          <w:p w14:paraId="70E2CD69">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868" w:type="dxa"/>
            <w:vAlign w:val="top"/>
          </w:tcPr>
          <w:p w14:paraId="033D5FFF">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790" w:type="dxa"/>
            <w:vAlign w:val="top"/>
          </w:tcPr>
          <w:p w14:paraId="35F34379">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379" w:type="dxa"/>
            <w:vAlign w:val="top"/>
          </w:tcPr>
          <w:p w14:paraId="325875E0">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446" w:type="dxa"/>
            <w:vAlign w:val="top"/>
          </w:tcPr>
          <w:p w14:paraId="483AC1A9">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c>
          <w:tcPr>
            <w:tcW w:w="1735" w:type="dxa"/>
            <w:vAlign w:val="top"/>
          </w:tcPr>
          <w:p w14:paraId="3D02FE35">
            <w:pPr>
              <w:pStyle w:val="2"/>
              <w:keepNext/>
              <w:snapToGrid w:val="0"/>
              <w:spacing w:line="240" w:lineRule="auto"/>
              <w:ind w:left="66" w:leftChars="30" w:right="66" w:rightChars="30"/>
              <w:rPr>
                <w:rFonts w:hint="eastAsia" w:ascii="宋体" w:hAnsi="宋体" w:eastAsia="宋体" w:cs="宋体"/>
                <w:color w:val="auto"/>
                <w:kern w:val="2"/>
                <w:sz w:val="28"/>
                <w:szCs w:val="30"/>
                <w:highlight w:val="none"/>
              </w:rPr>
            </w:pPr>
            <w:r>
              <w:rPr>
                <w:rFonts w:hint="eastAsia" w:ascii="宋体" w:hAnsi="宋体" w:eastAsia="宋体" w:cs="宋体"/>
                <w:color w:val="auto"/>
                <w:kern w:val="2"/>
                <w:sz w:val="28"/>
                <w:szCs w:val="30"/>
                <w:highlight w:val="none"/>
                <w:lang w:val="en-US" w:eastAsia="zh-CN"/>
              </w:rPr>
              <w:t>/</w:t>
            </w:r>
          </w:p>
        </w:tc>
      </w:tr>
    </w:tbl>
    <w:p w14:paraId="199766C8">
      <w:pPr>
        <w:rPr>
          <w:rFonts w:hint="eastAsia" w:ascii="宋体" w:hAnsi="宋体" w:eastAsia="宋体" w:cs="宋体"/>
          <w:color w:val="auto"/>
          <w:highlight w:val="none"/>
        </w:rPr>
      </w:pPr>
    </w:p>
    <w:p w14:paraId="2C95BB4C">
      <w:pPr>
        <w:spacing w:line="316" w:lineRule="auto"/>
        <w:rPr>
          <w:rFonts w:hint="eastAsia" w:ascii="宋体" w:hAnsi="宋体" w:eastAsia="宋体" w:cs="宋体"/>
          <w:color w:val="auto"/>
          <w:sz w:val="21"/>
          <w:highlight w:val="none"/>
        </w:rPr>
      </w:pPr>
    </w:p>
    <w:p w14:paraId="09E1C793">
      <w:pPr>
        <w:pStyle w:val="22"/>
        <w:rPr>
          <w:rFonts w:hint="eastAsia" w:ascii="宋体" w:hAnsi="宋体" w:eastAsia="宋体" w:cs="宋体"/>
          <w:color w:val="auto"/>
          <w:highlight w:val="none"/>
        </w:rPr>
      </w:pPr>
    </w:p>
    <w:p w14:paraId="2DFAFFAE">
      <w:pPr>
        <w:pStyle w:val="8"/>
        <w:rPr>
          <w:rFonts w:hint="eastAsia" w:ascii="宋体" w:hAnsi="宋体" w:eastAsia="宋体" w:cs="宋体"/>
          <w:color w:val="auto"/>
          <w:highlight w:val="none"/>
        </w:rPr>
      </w:pPr>
    </w:p>
    <w:p w14:paraId="2DC63832">
      <w:pPr>
        <w:rPr>
          <w:rFonts w:hint="eastAsia" w:ascii="宋体" w:hAnsi="宋体" w:eastAsia="宋体" w:cs="宋体"/>
          <w:color w:val="auto"/>
          <w:highlight w:val="none"/>
        </w:rPr>
      </w:pPr>
    </w:p>
    <w:p w14:paraId="15140EB9">
      <w:pPr>
        <w:pStyle w:val="22"/>
        <w:rPr>
          <w:rFonts w:hint="eastAsia" w:ascii="宋体" w:hAnsi="宋体" w:eastAsia="宋体" w:cs="宋体"/>
          <w:color w:val="auto"/>
          <w:highlight w:val="none"/>
        </w:rPr>
      </w:pPr>
    </w:p>
    <w:p w14:paraId="68533B6A">
      <w:pPr>
        <w:pStyle w:val="8"/>
        <w:rPr>
          <w:rFonts w:hint="eastAsia" w:ascii="宋体" w:hAnsi="宋体" w:eastAsia="宋体" w:cs="宋体"/>
          <w:color w:val="auto"/>
          <w:highlight w:val="none"/>
        </w:rPr>
      </w:pPr>
    </w:p>
    <w:p w14:paraId="4C87D324">
      <w:pPr>
        <w:rPr>
          <w:rFonts w:hint="eastAsia" w:ascii="宋体" w:hAnsi="宋体" w:eastAsia="宋体" w:cs="宋体"/>
          <w:color w:val="auto"/>
          <w:highlight w:val="none"/>
        </w:rPr>
      </w:pPr>
    </w:p>
    <w:p w14:paraId="33252651">
      <w:pPr>
        <w:spacing w:before="101" w:line="227" w:lineRule="auto"/>
        <w:ind w:left="2746"/>
        <w:outlineLvl w:val="1"/>
        <w:rPr>
          <w:rFonts w:hint="eastAsia" w:ascii="宋体" w:hAnsi="宋体" w:eastAsia="宋体" w:cs="宋体"/>
          <w:color w:val="auto"/>
          <w:sz w:val="31"/>
          <w:szCs w:val="31"/>
          <w:highlight w:val="none"/>
        </w:rPr>
      </w:pPr>
      <w:r>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t>第二节</w:t>
      </w:r>
      <w:r>
        <w:rPr>
          <w:rFonts w:hint="eastAsia" w:ascii="宋体" w:hAnsi="宋体" w:eastAsia="宋体" w:cs="宋体"/>
          <w:color w:val="auto"/>
          <w:spacing w:val="8"/>
          <w:sz w:val="31"/>
          <w:szCs w:val="31"/>
          <w:highlight w:val="none"/>
        </w:rPr>
        <w:t xml:space="preserve">  </w:t>
      </w:r>
      <w:r>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t>合</w:t>
      </w:r>
      <w:r>
        <w:rPr>
          <w:rFonts w:hint="eastAsia" w:ascii="宋体" w:hAnsi="宋体" w:eastAsia="宋体" w:cs="宋体"/>
          <w:color w:val="auto"/>
          <w:spacing w:val="8"/>
          <w:sz w:val="31"/>
          <w:szCs w:val="31"/>
          <w:highlight w:val="none"/>
        </w:rPr>
        <w:t xml:space="preserve"> </w:t>
      </w:r>
      <w:r>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t>同</w:t>
      </w:r>
      <w:r>
        <w:rPr>
          <w:rFonts w:hint="eastAsia" w:ascii="宋体" w:hAnsi="宋体" w:eastAsia="宋体" w:cs="宋体"/>
          <w:color w:val="auto"/>
          <w:spacing w:val="8"/>
          <w:sz w:val="31"/>
          <w:szCs w:val="31"/>
          <w:highlight w:val="none"/>
        </w:rPr>
        <w:t xml:space="preserve"> </w:t>
      </w:r>
      <w:r>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t>文</w:t>
      </w:r>
      <w:r>
        <w:rPr>
          <w:rFonts w:hint="eastAsia" w:ascii="宋体" w:hAnsi="宋体" w:eastAsia="宋体" w:cs="宋体"/>
          <w:color w:val="auto"/>
          <w:spacing w:val="8"/>
          <w:sz w:val="31"/>
          <w:szCs w:val="31"/>
          <w:highlight w:val="none"/>
        </w:rPr>
        <w:t xml:space="preserve"> </w:t>
      </w:r>
      <w:r>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t>件</w:t>
      </w:r>
      <w:r>
        <w:rPr>
          <w:rFonts w:hint="eastAsia" w:ascii="宋体" w:hAnsi="宋体" w:eastAsia="宋体" w:cs="宋体"/>
          <w:color w:val="auto"/>
          <w:spacing w:val="8"/>
          <w:sz w:val="31"/>
          <w:szCs w:val="31"/>
          <w:highlight w:val="none"/>
        </w:rPr>
        <w:t xml:space="preserve"> </w:t>
      </w:r>
      <w:r>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t>格</w:t>
      </w:r>
      <w:r>
        <w:rPr>
          <w:rFonts w:hint="eastAsia" w:ascii="宋体" w:hAnsi="宋体" w:eastAsia="宋体" w:cs="宋体"/>
          <w:color w:val="auto"/>
          <w:spacing w:val="8"/>
          <w:sz w:val="31"/>
          <w:szCs w:val="31"/>
          <w:highlight w:val="none"/>
        </w:rPr>
        <w:t xml:space="preserve"> </w:t>
      </w:r>
      <w:r>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t>式</w:t>
      </w:r>
    </w:p>
    <w:p w14:paraId="69DA2FE7">
      <w:pPr>
        <w:spacing w:line="377" w:lineRule="auto"/>
        <w:rPr>
          <w:rFonts w:hint="eastAsia" w:ascii="宋体" w:hAnsi="宋体" w:eastAsia="宋体" w:cs="宋体"/>
          <w:color w:val="auto"/>
          <w:sz w:val="21"/>
          <w:highlight w:val="none"/>
        </w:rPr>
      </w:pPr>
    </w:p>
    <w:p w14:paraId="489FCFE4">
      <w:pPr>
        <w:spacing w:before="65" w:line="271" w:lineRule="exact"/>
        <w:rPr>
          <w:rFonts w:hint="eastAsia" w:ascii="宋体" w:hAnsi="宋体" w:eastAsia="宋体" w:cs="宋体"/>
          <w:color w:val="auto"/>
          <w:sz w:val="24"/>
          <w:szCs w:val="24"/>
          <w:highlight w:val="none"/>
        </w:rPr>
      </w:pPr>
      <w:bookmarkStart w:id="564" w:name="_bookmark61"/>
      <w:bookmarkEnd w:id="564"/>
      <w:r>
        <w:rPr>
          <w:rFonts w:hint="eastAsia" w:ascii="宋体" w:hAnsi="宋体" w:eastAsia="宋体" w:cs="宋体"/>
          <w:color w:val="auto"/>
          <w:spacing w:val="8"/>
          <w:position w:val="1"/>
          <w:sz w:val="24"/>
          <w:szCs w:val="24"/>
          <w:highlight w:val="none"/>
          <w14:textOutline w14:w="3795" w14:cap="sq" w14:cmpd="sng">
            <w14:solidFill>
              <w14:srgbClr w14:val="000000"/>
            </w14:solidFill>
            <w14:prstDash w14:val="solid"/>
            <w14:bevel/>
          </w14:textOutline>
        </w:rPr>
        <w:t>1</w:t>
      </w:r>
      <w:r>
        <w:rPr>
          <w:rFonts w:hint="eastAsia" w:ascii="宋体" w:hAnsi="宋体" w:eastAsia="宋体" w:cs="宋体"/>
          <w:color w:val="auto"/>
          <w:spacing w:val="6"/>
          <w:position w:val="1"/>
          <w:sz w:val="24"/>
          <w:szCs w:val="24"/>
          <w:highlight w:val="none"/>
          <w14:textOutline w14:w="3795" w14:cap="sq" w14:cmpd="sng">
            <w14:solidFill>
              <w14:srgbClr w14:val="000000"/>
            </w14:solidFill>
            <w14:prstDash w14:val="solid"/>
            <w14:bevel/>
          </w14:textOutline>
        </w:rPr>
        <w:t>.合同文件格式</w:t>
      </w:r>
    </w:p>
    <w:p w14:paraId="1387C091">
      <w:pPr>
        <w:spacing w:before="228" w:line="462" w:lineRule="auto"/>
        <w:ind w:left="18" w:right="72" w:firstLine="401"/>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1.</w:t>
      </w:r>
      <w:r>
        <w:rPr>
          <w:rFonts w:hint="eastAsia" w:ascii="宋体" w:hAnsi="宋体" w:eastAsia="宋体" w:cs="宋体"/>
          <w:color w:val="auto"/>
          <w:spacing w:val="19"/>
          <w:sz w:val="24"/>
          <w:szCs w:val="24"/>
          <w:highlight w:val="none"/>
        </w:rPr>
        <w:t>1</w:t>
      </w:r>
      <w:r>
        <w:rPr>
          <w:rFonts w:hint="eastAsia" w:ascii="宋体" w:hAnsi="宋体" w:eastAsia="宋体" w:cs="宋体"/>
          <w:color w:val="auto"/>
          <w:spacing w:val="10"/>
          <w:sz w:val="24"/>
          <w:szCs w:val="24"/>
          <w:highlight w:val="none"/>
        </w:rPr>
        <w:t xml:space="preserve"> 依据设计文件的要求，本工程招标项目的材料、设备、施工必须达到现行中华人民共和国以及</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3"/>
          <w:sz w:val="24"/>
          <w:szCs w:val="24"/>
          <w:highlight w:val="none"/>
        </w:rPr>
        <w:t>自</w:t>
      </w:r>
      <w:r>
        <w:rPr>
          <w:rFonts w:hint="eastAsia" w:ascii="宋体" w:hAnsi="宋体" w:eastAsia="宋体" w:cs="宋体"/>
          <w:color w:val="auto"/>
          <w:spacing w:val="7"/>
          <w:sz w:val="24"/>
          <w:szCs w:val="24"/>
          <w:highlight w:val="none"/>
        </w:rPr>
        <w:t>治区和行业的工程建设标准、规范的要求。</w:t>
      </w:r>
    </w:p>
    <w:p w14:paraId="0978714B">
      <w:pPr>
        <w:spacing w:before="1" w:line="460" w:lineRule="auto"/>
        <w:ind w:left="7" w:right="143" w:firstLine="417"/>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1.2 建设工程施工合同的“合同条件”采用国家工商行政管理局和建设部颁发的《建设工程施工</w:t>
      </w:r>
      <w:r>
        <w:rPr>
          <w:rFonts w:hint="eastAsia" w:ascii="宋体" w:hAnsi="宋体" w:eastAsia="宋体" w:cs="宋体"/>
          <w:color w:val="auto"/>
          <w:spacing w:val="6"/>
          <w:sz w:val="24"/>
          <w:szCs w:val="24"/>
          <w:highlight w:val="none"/>
        </w:rPr>
        <w:t>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 xml:space="preserve">同》  ( </w:t>
      </w:r>
      <w:r>
        <w:rPr>
          <w:rFonts w:hint="eastAsia" w:ascii="宋体" w:hAnsi="宋体" w:eastAsia="宋体" w:cs="宋体"/>
          <w:color w:val="auto"/>
          <w:sz w:val="24"/>
          <w:szCs w:val="24"/>
          <w:highlight w:val="none"/>
          <w:u w:val="single" w:color="auto"/>
          <w14:textOutline w14:w="3795" w14:cap="sq" w14:cmpd="sng">
            <w14:solidFill>
              <w14:srgbClr w14:val="000000"/>
            </w14:solidFill>
            <w14:prstDash w14:val="solid"/>
            <w14:bevel/>
          </w14:textOutline>
        </w:rPr>
        <w:t>GF</w:t>
      </w:r>
      <w:r>
        <w:rPr>
          <w:rFonts w:hint="eastAsia" w:ascii="宋体" w:hAnsi="宋体" w:eastAsia="宋体" w:cs="宋体"/>
          <w:color w:val="auto"/>
          <w:spacing w:val="2"/>
          <w:sz w:val="24"/>
          <w:szCs w:val="24"/>
          <w:highlight w:val="none"/>
          <w:u w:val="single" w:color="auto"/>
          <w14:textOutline w14:w="3795" w14:cap="sq" w14:cmpd="sng">
            <w14:solidFill>
              <w14:srgbClr w14:val="000000"/>
            </w14:solidFill>
            <w14:prstDash w14:val="solid"/>
            <w14:bevel/>
          </w14:textOutline>
        </w:rPr>
        <w:t>-2017-0</w:t>
      </w:r>
      <w:r>
        <w:rPr>
          <w:rFonts w:hint="eastAsia" w:ascii="宋体" w:hAnsi="宋体" w:eastAsia="宋体" w:cs="宋体"/>
          <w:color w:val="auto"/>
          <w:spacing w:val="1"/>
          <w:sz w:val="24"/>
          <w:szCs w:val="24"/>
          <w:highlight w:val="none"/>
          <w:u w:val="single" w:color="auto"/>
          <w14:textOutline w14:w="3795" w14:cap="sq" w14:cmpd="sng">
            <w14:solidFill>
              <w14:srgbClr w14:val="000000"/>
            </w14:solidFill>
            <w14:prstDash w14:val="solid"/>
            <w14:bevel/>
          </w14:textOutline>
        </w:rPr>
        <w:t>201</w:t>
      </w:r>
      <w:r>
        <w:rPr>
          <w:rFonts w:hint="eastAsia" w:ascii="宋体" w:hAnsi="宋体" w:eastAsia="宋体" w:cs="宋体"/>
          <w:color w:val="auto"/>
          <w:spacing w:val="1"/>
          <w:sz w:val="24"/>
          <w:szCs w:val="24"/>
          <w:highlight w:val="none"/>
        </w:rPr>
        <w:t xml:space="preserve"> ) 的合同条件。</w:t>
      </w:r>
    </w:p>
    <w:p w14:paraId="02651060">
      <w:pPr>
        <w:spacing w:line="227" w:lineRule="auto"/>
        <w:ind w:left="41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7"/>
          <w:sz w:val="24"/>
          <w:szCs w:val="24"/>
          <w:highlight w:val="none"/>
        </w:rPr>
        <w:t>.3 合同协议条款将由建设单位 (发包人) 与中标单位 (承包人) 结合本工程具体情况协商后签订。</w:t>
      </w:r>
    </w:p>
    <w:p w14:paraId="302E2A2A">
      <w:pPr>
        <w:rPr>
          <w:rFonts w:hint="eastAsia" w:ascii="宋体" w:hAnsi="宋体" w:eastAsia="宋体" w:cs="宋体"/>
          <w:color w:val="auto"/>
          <w:sz w:val="24"/>
          <w:szCs w:val="24"/>
          <w:highlight w:val="none"/>
        </w:rPr>
        <w:sectPr>
          <w:pgSz w:w="11906" w:h="16839"/>
          <w:pgMar w:top="1440" w:right="1080" w:bottom="1440" w:left="1080" w:header="907" w:footer="996" w:gutter="0"/>
          <w:pgNumType w:fmt="decimal"/>
          <w:cols w:space="720" w:num="1"/>
        </w:sectPr>
      </w:pPr>
    </w:p>
    <w:p w14:paraId="3BBFAEC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07768E0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0552A27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5586914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5834DB6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193811A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p>
    <w:p w14:paraId="1A04F6A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p>
    <w:p w14:paraId="707DCA7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p>
    <w:p w14:paraId="0D776F6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p>
    <w:p w14:paraId="000E9EBE">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44"/>
          <w:highlight w:val="none"/>
        </w:rPr>
      </w:pPr>
    </w:p>
    <w:p w14:paraId="39BF133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p>
    <w:p w14:paraId="52190B6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p>
    <w:p w14:paraId="65BA98C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p>
    <w:p w14:paraId="4066D16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p>
    <w:p w14:paraId="743E4F6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p>
    <w:p w14:paraId="2B20512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r>
        <w:rPr>
          <w:rFonts w:hint="eastAsia" w:ascii="宋体" w:hAnsi="宋体" w:eastAsia="宋体" w:cs="宋体"/>
          <w:b/>
          <w:color w:val="auto"/>
          <w:sz w:val="44"/>
          <w:highlight w:val="none"/>
        </w:rPr>
        <w:t>第二卷</w:t>
      </w:r>
    </w:p>
    <w:p w14:paraId="454B537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p>
    <w:p w14:paraId="62515A3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p>
    <w:p w14:paraId="01BC1DC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p>
    <w:p w14:paraId="0B5EDE9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p>
    <w:p w14:paraId="70FA2BC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p>
    <w:p w14:paraId="6049917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p>
    <w:p w14:paraId="399BA7B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p>
    <w:p w14:paraId="1015CC3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p>
    <w:p w14:paraId="4B53C676">
      <w:pPr>
        <w:pStyle w:val="4"/>
        <w:outlineLvl w:val="9"/>
        <w:rPr>
          <w:rFonts w:hint="eastAsia" w:ascii="宋体" w:hAnsi="宋体" w:eastAsia="宋体" w:cs="宋体"/>
          <w:b/>
          <w:color w:val="auto"/>
          <w:sz w:val="44"/>
          <w:highlight w:val="none"/>
        </w:rPr>
      </w:pPr>
    </w:p>
    <w:p w14:paraId="44E10D3D">
      <w:pPr>
        <w:spacing w:before="161" w:line="228" w:lineRule="auto"/>
        <w:ind w:firstLine="1767" w:firstLineChars="400"/>
        <w:outlineLvl w:val="0"/>
        <w:rPr>
          <w:rFonts w:hint="eastAsia" w:ascii="宋体" w:hAnsi="宋体" w:eastAsia="宋体" w:cs="宋体"/>
          <w:color w:val="auto"/>
          <w:sz w:val="31"/>
          <w:szCs w:val="31"/>
          <w:highlight w:val="none"/>
        </w:rPr>
      </w:pPr>
      <w:bookmarkStart w:id="565" w:name="_Toc261618216"/>
      <w:bookmarkStart w:id="566" w:name="_Toc11839"/>
      <w:r>
        <w:rPr>
          <w:rFonts w:hint="eastAsia" w:ascii="宋体" w:hAnsi="宋体" w:eastAsia="宋体" w:cs="宋体"/>
          <w:b/>
          <w:color w:val="auto"/>
          <w:sz w:val="44"/>
          <w:szCs w:val="44"/>
          <w:highlight w:val="none"/>
        </w:rPr>
        <w:t xml:space="preserve">第五章 </w:t>
      </w:r>
      <w:bookmarkEnd w:id="565"/>
      <w:r>
        <w:rPr>
          <w:rFonts w:hint="eastAsia" w:ascii="宋体" w:hAnsi="宋体" w:eastAsia="宋体" w:cs="宋体"/>
          <w:b/>
          <w:color w:val="auto"/>
          <w:sz w:val="44"/>
          <w:szCs w:val="44"/>
          <w:highlight w:val="none"/>
          <w:lang w:val="en-US" w:eastAsia="zh-CN"/>
        </w:rPr>
        <w:t>项目采购需求及技术规格</w:t>
      </w:r>
      <w:bookmarkEnd w:id="566"/>
    </w:p>
    <w:p w14:paraId="076E9B6C">
      <w:pPr>
        <w:pStyle w:val="2"/>
        <w:spacing w:line="477" w:lineRule="auto"/>
        <w:rPr>
          <w:rFonts w:hint="eastAsia" w:ascii="宋体" w:hAnsi="宋体" w:eastAsia="宋体" w:cs="宋体"/>
          <w:color w:val="auto"/>
          <w:highlight w:val="none"/>
        </w:rPr>
      </w:pPr>
    </w:p>
    <w:p w14:paraId="587E945C">
      <w:pPr>
        <w:spacing w:before="91" w:line="223" w:lineRule="auto"/>
        <w:ind w:left="37"/>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一、项目概况</w:t>
      </w:r>
    </w:p>
    <w:p w14:paraId="3CEAE33B">
      <w:pPr>
        <w:spacing w:before="287" w:line="222" w:lineRule="auto"/>
        <w:ind w:left="34"/>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t>项目名称：喀什光电保护盖板产业链项目土地平整 </w:t>
      </w:r>
    </w:p>
    <w:p w14:paraId="31E3F2A7">
      <w:pPr>
        <w:spacing w:before="287" w:line="222" w:lineRule="auto"/>
        <w:ind w:left="34"/>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采购单位：喀什中亚南亚工业园区管理委员会</w:t>
      </w:r>
    </w:p>
    <w:p w14:paraId="00F1001C">
      <w:pPr>
        <w:pStyle w:val="23"/>
        <w:spacing w:before="75" w:beforeAutospacing="0" w:after="75" w:afterAutospacing="0" w:line="360" w:lineRule="auto"/>
        <w:rPr>
          <w:rFonts w:hint="eastAsia" w:ascii="宋体" w:hAnsi="宋体" w:eastAsia="宋体" w:cs="宋体"/>
          <w:color w:val="auto"/>
          <w:sz w:val="28"/>
          <w:szCs w:val="28"/>
          <w:highlight w:val="none"/>
        </w:rPr>
      </w:pPr>
      <w:r>
        <w:rPr>
          <w:rFonts w:hint="eastAsia" w:ascii="宋体" w:hAnsi="宋体" w:eastAsia="宋体" w:cs="宋体"/>
          <w:color w:val="auto"/>
          <w:spacing w:val="-1"/>
          <w:kern w:val="2"/>
          <w:sz w:val="28"/>
          <w:szCs w:val="28"/>
          <w:highlight w:val="none"/>
          <w:lang w:val="en-US" w:eastAsia="zh-CN" w:bidi="ar-SA"/>
        </w:rPr>
        <w:t>采购内容：场地平整68590.90m2及土方开挖、回填等等相关内容。（详细工程量清单及要求见磋商文件）。</w:t>
      </w:r>
      <w:r>
        <w:rPr>
          <w:rFonts w:hint="eastAsia" w:ascii="宋体" w:hAnsi="宋体" w:eastAsia="宋体" w:cs="宋体"/>
          <w:color w:val="auto"/>
          <w:spacing w:val="-4"/>
          <w:sz w:val="28"/>
          <w:szCs w:val="28"/>
          <w:highlight w:val="none"/>
        </w:rPr>
        <w:t>工</w:t>
      </w:r>
      <w:r>
        <w:rPr>
          <w:rFonts w:hint="eastAsia" w:ascii="宋体" w:hAnsi="宋体" w:eastAsia="宋体" w:cs="宋体"/>
          <w:color w:val="auto"/>
          <w:spacing w:val="-5"/>
          <w:sz w:val="28"/>
          <w:szCs w:val="28"/>
          <w:highlight w:val="none"/>
        </w:rPr>
        <w:t>期为</w:t>
      </w:r>
      <w:r>
        <w:rPr>
          <w:rFonts w:hint="eastAsia" w:ascii="宋体" w:hAnsi="宋体" w:eastAsia="宋体" w:cs="宋体"/>
          <w:color w:val="auto"/>
          <w:spacing w:val="-27"/>
          <w:sz w:val="28"/>
          <w:szCs w:val="28"/>
          <w:highlight w:val="none"/>
        </w:rPr>
        <w:t xml:space="preserve"> </w:t>
      </w:r>
      <w:r>
        <w:rPr>
          <w:rFonts w:hint="eastAsia" w:ascii="宋体" w:hAnsi="宋体" w:eastAsia="宋体" w:cs="宋体"/>
          <w:color w:val="auto"/>
          <w:spacing w:val="-5"/>
          <w:sz w:val="28"/>
          <w:szCs w:val="28"/>
          <w:highlight w:val="none"/>
        </w:rPr>
        <w:t>15</w:t>
      </w:r>
      <w:r>
        <w:rPr>
          <w:rFonts w:hint="eastAsia" w:ascii="宋体" w:hAnsi="宋体" w:eastAsia="宋体" w:cs="宋体"/>
          <w:color w:val="auto"/>
          <w:spacing w:val="-50"/>
          <w:sz w:val="28"/>
          <w:szCs w:val="28"/>
          <w:highlight w:val="none"/>
        </w:rPr>
        <w:t xml:space="preserve"> </w:t>
      </w:r>
      <w:r>
        <w:rPr>
          <w:rFonts w:hint="eastAsia" w:ascii="宋体" w:hAnsi="宋体" w:eastAsia="宋体" w:cs="宋体"/>
          <w:color w:val="auto"/>
          <w:spacing w:val="-5"/>
          <w:sz w:val="28"/>
          <w:szCs w:val="28"/>
          <w:highlight w:val="none"/>
        </w:rPr>
        <w:t>天，</w:t>
      </w:r>
    </w:p>
    <w:p w14:paraId="2B01D5B7">
      <w:pPr>
        <w:spacing w:before="48" w:line="223" w:lineRule="auto"/>
        <w:ind w:left="32"/>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建设地点：喀什市（采购人指定地点）</w:t>
      </w:r>
    </w:p>
    <w:p w14:paraId="630C3015">
      <w:pPr>
        <w:spacing w:before="287" w:line="395" w:lineRule="auto"/>
        <w:ind w:left="36" w:right="127" w:hanging="2"/>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采购范围及内容：竞争性磋商文件、工程量清单</w:t>
      </w:r>
      <w:r>
        <w:rPr>
          <w:rFonts w:hint="eastAsia" w:ascii="宋体" w:hAnsi="宋体" w:eastAsia="宋体" w:cs="宋体"/>
          <w:color w:val="auto"/>
          <w:spacing w:val="1"/>
          <w:sz w:val="28"/>
          <w:szCs w:val="28"/>
          <w:highlight w:val="none"/>
        </w:rPr>
        <w:t>所示范围的全部工</w:t>
      </w:r>
      <w:r>
        <w:rPr>
          <w:rFonts w:hint="eastAsia" w:ascii="宋体" w:hAnsi="宋体" w:eastAsia="宋体" w:cs="宋体"/>
          <w:color w:val="auto"/>
          <w:spacing w:val="-2"/>
          <w:sz w:val="28"/>
          <w:szCs w:val="28"/>
          <w:highlight w:val="none"/>
        </w:rPr>
        <w:t>作内容。（具体参数详见工程量清单）</w:t>
      </w:r>
    </w:p>
    <w:p w14:paraId="371B9565">
      <w:pPr>
        <w:spacing w:before="48" w:line="223" w:lineRule="auto"/>
        <w:ind w:left="41"/>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二、适用规范标准</w:t>
      </w:r>
    </w:p>
    <w:p w14:paraId="6D95E123">
      <w:pPr>
        <w:spacing w:before="286" w:line="220" w:lineRule="auto"/>
        <w:ind w:left="44"/>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1.</w:t>
      </w:r>
      <w:r>
        <w:rPr>
          <w:rFonts w:hint="eastAsia" w:ascii="宋体" w:hAnsi="宋体" w:eastAsia="宋体" w:cs="宋体"/>
          <w:color w:val="auto"/>
          <w:spacing w:val="57"/>
          <w:sz w:val="28"/>
          <w:szCs w:val="28"/>
          <w:highlight w:val="none"/>
        </w:rPr>
        <w:t xml:space="preserve"> </w:t>
      </w:r>
      <w:r>
        <w:rPr>
          <w:rFonts w:hint="eastAsia" w:ascii="宋体" w:hAnsi="宋体" w:eastAsia="宋体" w:cs="宋体"/>
          <w:color w:val="auto"/>
          <w:spacing w:val="-5"/>
          <w:sz w:val="28"/>
          <w:szCs w:val="28"/>
          <w:highlight w:val="none"/>
        </w:rPr>
        <w:t>国家、行业、项目所在地规范名录</w:t>
      </w:r>
    </w:p>
    <w:p w14:paraId="4351DA8E">
      <w:pPr>
        <w:spacing w:before="291" w:line="220" w:lineRule="auto"/>
        <w:ind w:left="27"/>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2.</w:t>
      </w:r>
      <w:r>
        <w:rPr>
          <w:rFonts w:hint="eastAsia" w:ascii="宋体" w:hAnsi="宋体" w:eastAsia="宋体" w:cs="宋体"/>
          <w:color w:val="auto"/>
          <w:spacing w:val="57"/>
          <w:sz w:val="28"/>
          <w:szCs w:val="28"/>
          <w:highlight w:val="none"/>
        </w:rPr>
        <w:t xml:space="preserve"> </w:t>
      </w:r>
      <w:r>
        <w:rPr>
          <w:rFonts w:hint="eastAsia" w:ascii="宋体" w:hAnsi="宋体" w:eastAsia="宋体" w:cs="宋体"/>
          <w:color w:val="auto"/>
          <w:spacing w:val="-4"/>
          <w:sz w:val="28"/>
          <w:szCs w:val="28"/>
          <w:highlight w:val="none"/>
        </w:rPr>
        <w:t>国家、行业、项目所在地标准名录</w:t>
      </w:r>
    </w:p>
    <w:p w14:paraId="6A04EE99">
      <w:pPr>
        <w:spacing w:before="290" w:line="220" w:lineRule="auto"/>
        <w:ind w:left="29"/>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3.</w:t>
      </w:r>
      <w:r>
        <w:rPr>
          <w:rFonts w:hint="eastAsia" w:ascii="宋体" w:hAnsi="宋体" w:eastAsia="宋体" w:cs="宋体"/>
          <w:color w:val="auto"/>
          <w:spacing w:val="55"/>
          <w:sz w:val="28"/>
          <w:szCs w:val="28"/>
          <w:highlight w:val="none"/>
        </w:rPr>
        <w:t xml:space="preserve"> </w:t>
      </w:r>
      <w:r>
        <w:rPr>
          <w:rFonts w:hint="eastAsia" w:ascii="宋体" w:hAnsi="宋体" w:eastAsia="宋体" w:cs="宋体"/>
          <w:color w:val="auto"/>
          <w:spacing w:val="-4"/>
          <w:sz w:val="28"/>
          <w:szCs w:val="28"/>
          <w:highlight w:val="none"/>
        </w:rPr>
        <w:t>国家、行业、项目所在地规程名录</w:t>
      </w:r>
    </w:p>
    <w:p w14:paraId="1936CC3C">
      <w:pPr>
        <w:spacing w:before="290" w:line="221" w:lineRule="auto"/>
        <w:ind w:left="40"/>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三、供应商需要自备的工作条件</w:t>
      </w:r>
    </w:p>
    <w:p w14:paraId="5D783AB9">
      <w:pPr>
        <w:spacing w:before="289" w:line="221" w:lineRule="auto"/>
        <w:ind w:left="44"/>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1. 供应商自备的工作手册：如本项目必备的规范标准、图集等</w:t>
      </w:r>
    </w:p>
    <w:p w14:paraId="7ADAE6CF">
      <w:pPr>
        <w:spacing w:before="289" w:line="317" w:lineRule="auto"/>
        <w:ind w:left="32" w:right="125" w:hanging="5"/>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2. 供应商自备的办公设备：如电脑、软件、打印机、复印机、照相</w:t>
      </w:r>
      <w:r>
        <w:rPr>
          <w:rFonts w:hint="eastAsia" w:ascii="宋体" w:hAnsi="宋体" w:eastAsia="宋体" w:cs="宋体"/>
          <w:color w:val="auto"/>
          <w:spacing w:val="12"/>
          <w:sz w:val="28"/>
          <w:szCs w:val="28"/>
          <w:highlight w:val="none"/>
        </w:rPr>
        <w:t xml:space="preserve"> </w:t>
      </w:r>
      <w:r>
        <w:rPr>
          <w:rFonts w:hint="eastAsia" w:ascii="宋体" w:hAnsi="宋体" w:eastAsia="宋体" w:cs="宋体"/>
          <w:color w:val="auto"/>
          <w:spacing w:val="-5"/>
          <w:sz w:val="28"/>
          <w:szCs w:val="28"/>
          <w:highlight w:val="none"/>
        </w:rPr>
        <w:t>机等</w:t>
      </w:r>
    </w:p>
    <w:p w14:paraId="4F8FCA3D">
      <w:pPr>
        <w:spacing w:before="286" w:line="220" w:lineRule="auto"/>
        <w:ind w:left="29"/>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3. 供应商自备的交通工具：如出行车辆、设备车辆等</w:t>
      </w:r>
    </w:p>
    <w:p w14:paraId="044A2333">
      <w:pPr>
        <w:spacing w:before="290" w:line="221" w:lineRule="auto"/>
        <w:ind w:left="22"/>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4. 供应商自备的安全设施：如安全帽、安全带、安全鞋、手电筒等</w:t>
      </w:r>
    </w:p>
    <w:p w14:paraId="46A1912C">
      <w:pPr>
        <w:spacing w:before="291" w:line="316" w:lineRule="auto"/>
        <w:ind w:left="45" w:right="126" w:firstLine="19"/>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四、服务要求：</w:t>
      </w:r>
      <w:r>
        <w:rPr>
          <w:rFonts w:hint="eastAsia" w:ascii="宋体" w:hAnsi="宋体" w:eastAsia="宋体" w:cs="宋体"/>
          <w:color w:val="auto"/>
          <w:sz w:val="28"/>
          <w:szCs w:val="28"/>
          <w:highlight w:val="none"/>
        </w:rPr>
        <w:t xml:space="preserve">供应商需在施工期间需做好防尘措施、安全紧急避 </w:t>
      </w:r>
      <w:r>
        <w:rPr>
          <w:rFonts w:hint="eastAsia" w:ascii="宋体" w:hAnsi="宋体" w:eastAsia="宋体" w:cs="宋体"/>
          <w:color w:val="auto"/>
          <w:spacing w:val="-2"/>
          <w:sz w:val="28"/>
          <w:szCs w:val="28"/>
          <w:highlight w:val="none"/>
        </w:rPr>
        <w:t>险措施、尽量避免扰民施工，确保施工人员安全的情况下施工。</w:t>
      </w:r>
    </w:p>
    <w:p w14:paraId="64AC0841">
      <w:pPr>
        <w:spacing w:before="180" w:line="223" w:lineRule="auto"/>
        <w:ind w:left="37"/>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五、采购人权利和义务</w:t>
      </w:r>
    </w:p>
    <w:p w14:paraId="4D555296">
      <w:pPr>
        <w:spacing w:before="285" w:line="221" w:lineRule="auto"/>
        <w:ind w:left="44"/>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1、负责提供项目相关资料，指定建设范围。</w:t>
      </w:r>
    </w:p>
    <w:p w14:paraId="346A0126">
      <w:pPr>
        <w:spacing w:before="288" w:line="221" w:lineRule="auto"/>
        <w:ind w:left="27"/>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2、负责对施工现场安全生产质量的监督、检查。</w:t>
      </w:r>
    </w:p>
    <w:p w14:paraId="00D7104D">
      <w:pPr>
        <w:spacing w:before="288" w:line="221" w:lineRule="auto"/>
        <w:ind w:left="29"/>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3、负责对建设完毕后的设施组织验收工作。</w:t>
      </w:r>
    </w:p>
    <w:p w14:paraId="77CA20B5">
      <w:pPr>
        <w:spacing w:before="289" w:line="223" w:lineRule="auto"/>
        <w:ind w:left="34"/>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六、供应商权利和义务</w:t>
      </w:r>
    </w:p>
    <w:p w14:paraId="1E887707">
      <w:pPr>
        <w:spacing w:before="287" w:line="348" w:lineRule="auto"/>
        <w:ind w:left="30" w:right="125" w:firstLine="14"/>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1、负责组织施工机械、车辆及人员等按时进</w:t>
      </w:r>
      <w:r>
        <w:rPr>
          <w:rFonts w:hint="eastAsia" w:ascii="宋体" w:hAnsi="宋体" w:eastAsia="宋体" w:cs="宋体"/>
          <w:color w:val="auto"/>
          <w:spacing w:val="-4"/>
          <w:sz w:val="28"/>
          <w:szCs w:val="28"/>
          <w:highlight w:val="none"/>
        </w:rPr>
        <w:t>入施工现场，保证工期</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2"/>
          <w:sz w:val="28"/>
          <w:szCs w:val="28"/>
          <w:highlight w:val="none"/>
        </w:rPr>
        <w:t>顺利完成。供应商自备施工人员及机械设备。机械设备、人工</w:t>
      </w:r>
      <w:r>
        <w:rPr>
          <w:rFonts w:hint="eastAsia" w:ascii="宋体" w:hAnsi="宋体" w:eastAsia="宋体" w:cs="宋体"/>
          <w:color w:val="auto"/>
          <w:spacing w:val="1"/>
          <w:sz w:val="28"/>
          <w:szCs w:val="28"/>
          <w:highlight w:val="none"/>
        </w:rPr>
        <w:t>及垃</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2"/>
          <w:sz w:val="28"/>
          <w:szCs w:val="28"/>
          <w:highlight w:val="none"/>
        </w:rPr>
        <w:t>圾清运手续费等各类费用由供应商自行承担。</w:t>
      </w:r>
    </w:p>
    <w:p w14:paraId="44C5F633">
      <w:pPr>
        <w:spacing w:before="287" w:line="349" w:lineRule="auto"/>
        <w:ind w:left="31" w:right="125" w:hanging="4"/>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2、应做到文明施工，并按照相关规定，做好围挡、扬尘、噪音等防</w:t>
      </w:r>
      <w:r>
        <w:rPr>
          <w:rFonts w:hint="eastAsia" w:ascii="宋体" w:hAnsi="宋体" w:eastAsia="宋体" w:cs="宋体"/>
          <w:color w:val="auto"/>
          <w:spacing w:val="7"/>
          <w:sz w:val="28"/>
          <w:szCs w:val="28"/>
          <w:highlight w:val="none"/>
        </w:rPr>
        <w:t xml:space="preserve"> </w:t>
      </w:r>
      <w:r>
        <w:rPr>
          <w:rFonts w:hint="eastAsia" w:ascii="宋体" w:hAnsi="宋体" w:eastAsia="宋体" w:cs="宋体"/>
          <w:color w:val="auto"/>
          <w:spacing w:val="2"/>
          <w:sz w:val="28"/>
          <w:szCs w:val="28"/>
          <w:highlight w:val="none"/>
        </w:rPr>
        <w:t>护措施，确保施工现场、道路及周边环境整洁，因违反有关</w:t>
      </w:r>
      <w:r>
        <w:rPr>
          <w:rFonts w:hint="eastAsia" w:ascii="宋体" w:hAnsi="宋体" w:eastAsia="宋体" w:cs="宋体"/>
          <w:color w:val="auto"/>
          <w:spacing w:val="1"/>
          <w:sz w:val="28"/>
          <w:szCs w:val="28"/>
          <w:highlight w:val="none"/>
        </w:rPr>
        <w:t>规定造</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
          <w:sz w:val="28"/>
          <w:szCs w:val="28"/>
          <w:highlight w:val="none"/>
        </w:rPr>
        <w:t>成的损失和处罚均由供应商承担。</w:t>
      </w:r>
    </w:p>
    <w:p w14:paraId="4DA26F02">
      <w:pPr>
        <w:spacing w:before="283" w:line="318" w:lineRule="auto"/>
        <w:ind w:left="38" w:right="123" w:hanging="9"/>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3、供应商不得对工程转包或分包，否则采购人可单方解除本协议且</w:t>
      </w:r>
      <w:r>
        <w:rPr>
          <w:rFonts w:hint="eastAsia" w:ascii="宋体" w:hAnsi="宋体" w:eastAsia="宋体" w:cs="宋体"/>
          <w:color w:val="auto"/>
          <w:spacing w:val="9"/>
          <w:sz w:val="28"/>
          <w:szCs w:val="28"/>
          <w:highlight w:val="none"/>
        </w:rPr>
        <w:t xml:space="preserve"> </w:t>
      </w:r>
      <w:r>
        <w:rPr>
          <w:rFonts w:hint="eastAsia" w:ascii="宋体" w:hAnsi="宋体" w:eastAsia="宋体" w:cs="宋体"/>
          <w:color w:val="auto"/>
          <w:spacing w:val="-6"/>
          <w:sz w:val="28"/>
          <w:szCs w:val="28"/>
          <w:highlight w:val="none"/>
        </w:rPr>
        <w:t>不承担违约责任。</w:t>
      </w:r>
    </w:p>
    <w:p w14:paraId="13FB567C">
      <w:pPr>
        <w:spacing w:before="286" w:line="317" w:lineRule="auto"/>
        <w:ind w:left="47" w:right="127" w:hanging="25"/>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4、供应商主动接受采购人的监督，施工工作结束时，须经采购人验</w:t>
      </w:r>
      <w:r>
        <w:rPr>
          <w:rFonts w:hint="eastAsia" w:ascii="宋体" w:hAnsi="宋体" w:eastAsia="宋体" w:cs="宋体"/>
          <w:color w:val="auto"/>
          <w:spacing w:val="12"/>
          <w:sz w:val="28"/>
          <w:szCs w:val="28"/>
          <w:highlight w:val="none"/>
        </w:rPr>
        <w:t xml:space="preserve"> </w:t>
      </w:r>
      <w:r>
        <w:rPr>
          <w:rFonts w:hint="eastAsia" w:ascii="宋体" w:hAnsi="宋体" w:eastAsia="宋体" w:cs="宋体"/>
          <w:color w:val="auto"/>
          <w:spacing w:val="-4"/>
          <w:sz w:val="28"/>
          <w:szCs w:val="28"/>
          <w:highlight w:val="none"/>
        </w:rPr>
        <w:t>收合格后方可撒离施工现场。</w:t>
      </w:r>
    </w:p>
    <w:p w14:paraId="3F76E199">
      <w:pPr>
        <w:spacing w:before="286" w:line="224" w:lineRule="auto"/>
        <w:ind w:left="38"/>
        <w:rPr>
          <w:rFonts w:hint="eastAsia" w:ascii="宋体" w:hAnsi="宋体" w:eastAsia="宋体" w:cs="宋体"/>
          <w:color w:val="auto"/>
          <w:sz w:val="28"/>
          <w:szCs w:val="28"/>
          <w:highlight w:val="none"/>
        </w:rPr>
      </w:pPr>
      <w:r>
        <w:rPr>
          <w:rFonts w:hint="eastAsia" w:ascii="宋体" w:hAnsi="宋体" w:eastAsia="宋体" w:cs="宋体"/>
          <w:b/>
          <w:bCs/>
          <w:color w:val="auto"/>
          <w:spacing w:val="-6"/>
          <w:sz w:val="28"/>
          <w:szCs w:val="28"/>
          <w:highlight w:val="none"/>
        </w:rPr>
        <w:t>七、施工安全</w:t>
      </w:r>
    </w:p>
    <w:p w14:paraId="6D2D52F8">
      <w:pPr>
        <w:spacing w:before="283" w:line="348" w:lineRule="auto"/>
        <w:ind w:left="31" w:right="125" w:firstLine="12"/>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1、供应商应遵守工程建设安全生产有关管理</w:t>
      </w:r>
      <w:r>
        <w:rPr>
          <w:rFonts w:hint="eastAsia" w:ascii="宋体" w:hAnsi="宋体" w:eastAsia="宋体" w:cs="宋体"/>
          <w:color w:val="auto"/>
          <w:spacing w:val="-4"/>
          <w:sz w:val="28"/>
          <w:szCs w:val="28"/>
          <w:highlight w:val="none"/>
        </w:rPr>
        <w:t>规定，制定安全生产施</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2"/>
          <w:sz w:val="28"/>
          <w:szCs w:val="28"/>
          <w:highlight w:val="none"/>
        </w:rPr>
        <w:t>工措施，严格按安全标准组织施工。随时接受安全检查人员</w:t>
      </w:r>
      <w:r>
        <w:rPr>
          <w:rFonts w:hint="eastAsia" w:ascii="宋体" w:hAnsi="宋体" w:eastAsia="宋体" w:cs="宋体"/>
          <w:color w:val="auto"/>
          <w:spacing w:val="1"/>
          <w:sz w:val="28"/>
          <w:szCs w:val="28"/>
          <w:highlight w:val="none"/>
        </w:rPr>
        <w:t>依法实</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2"/>
          <w:sz w:val="28"/>
          <w:szCs w:val="28"/>
          <w:highlight w:val="none"/>
        </w:rPr>
        <w:t>施的监督检查，采取必要的安全防护措施，消除事故隐患。</w:t>
      </w:r>
    </w:p>
    <w:p w14:paraId="5D0B8072">
      <w:pPr>
        <w:spacing w:before="290" w:line="317" w:lineRule="auto"/>
        <w:ind w:left="35" w:right="104" w:hanging="8"/>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2、供应商在施工过程中所造成的工伤等事故或给第三方造成人身、</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3"/>
          <w:sz w:val="28"/>
          <w:szCs w:val="28"/>
          <w:highlight w:val="none"/>
        </w:rPr>
        <w:t>财产损失，概由供应商负责。</w:t>
      </w:r>
    </w:p>
    <w:p w14:paraId="4AEC30D9">
      <w:pPr>
        <w:spacing w:before="290" w:line="317" w:lineRule="auto"/>
        <w:ind w:left="35" w:right="104" w:hanging="8"/>
        <w:rPr>
          <w:rFonts w:hint="eastAsia" w:ascii="宋体" w:hAnsi="宋体" w:eastAsia="宋体" w:cs="宋体"/>
          <w:color w:val="auto"/>
          <w:spacing w:val="-2"/>
          <w:sz w:val="28"/>
          <w:szCs w:val="28"/>
          <w:highlight w:val="none"/>
        </w:rPr>
      </w:pPr>
      <w:r>
        <w:rPr>
          <w:rFonts w:hint="eastAsia" w:ascii="宋体" w:hAnsi="宋体" w:eastAsia="宋体" w:cs="宋体"/>
          <w:color w:val="auto"/>
          <w:spacing w:val="-2"/>
          <w:sz w:val="28"/>
          <w:szCs w:val="28"/>
          <w:highlight w:val="none"/>
        </w:rPr>
        <w:t>3、供应商在施工过程中应做好安全防护工作，如因供应商安全措施不当，造成的一切损失由供应商承担。</w:t>
      </w:r>
    </w:p>
    <w:p w14:paraId="175BCB07">
      <w:pPr>
        <w:spacing w:before="286" w:line="395" w:lineRule="auto"/>
        <w:ind w:left="35" w:right="126" w:hanging="13"/>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4、供应商按照约定的要求做好施工现场地下管线和邻近建筑物、构</w:t>
      </w:r>
      <w:r>
        <w:rPr>
          <w:rFonts w:hint="eastAsia" w:ascii="宋体" w:hAnsi="宋体" w:eastAsia="宋体" w:cs="宋体"/>
          <w:color w:val="auto"/>
          <w:spacing w:val="13"/>
          <w:sz w:val="28"/>
          <w:szCs w:val="28"/>
          <w:highlight w:val="none"/>
        </w:rPr>
        <w:t xml:space="preserve"> </w:t>
      </w:r>
      <w:r>
        <w:rPr>
          <w:rFonts w:hint="eastAsia" w:ascii="宋体" w:hAnsi="宋体" w:eastAsia="宋体" w:cs="宋体"/>
          <w:color w:val="auto"/>
          <w:spacing w:val="-6"/>
          <w:sz w:val="28"/>
          <w:szCs w:val="28"/>
          <w:highlight w:val="none"/>
        </w:rPr>
        <w:t>筑物的保护工作。</w:t>
      </w:r>
    </w:p>
    <w:p w14:paraId="4E981E32">
      <w:pPr>
        <w:spacing w:before="48" w:line="223" w:lineRule="auto"/>
        <w:ind w:left="31"/>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八、项目商务要求</w:t>
      </w:r>
    </w:p>
    <w:p w14:paraId="437E8FB0">
      <w:pPr>
        <w:spacing w:before="285" w:line="223" w:lineRule="auto"/>
        <w:ind w:left="33"/>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（一）服务时间</w:t>
      </w:r>
    </w:p>
    <w:p w14:paraId="581E041C">
      <w:pPr>
        <w:spacing w:before="285" w:line="222" w:lineRule="auto"/>
        <w:ind w:left="36"/>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具体按双方签订合同执行。</w:t>
      </w:r>
    </w:p>
    <w:p w14:paraId="00A12AEA">
      <w:pPr>
        <w:spacing w:before="287" w:line="223" w:lineRule="auto"/>
        <w:ind w:left="33"/>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（二）服务地点</w:t>
      </w:r>
    </w:p>
    <w:p w14:paraId="177F029B">
      <w:pPr>
        <w:spacing w:before="286" w:line="223" w:lineRule="auto"/>
        <w:ind w:left="38"/>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实施地点：喀什市 （采购人指定地点）</w:t>
      </w:r>
    </w:p>
    <w:p w14:paraId="1196E667">
      <w:pPr>
        <w:spacing w:before="285" w:line="223" w:lineRule="auto"/>
        <w:ind w:left="33"/>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（三）报价要求</w:t>
      </w:r>
    </w:p>
    <w:p w14:paraId="3D3C4E87">
      <w:pPr>
        <w:spacing w:before="284" w:line="402" w:lineRule="auto"/>
        <w:ind w:left="41" w:right="162" w:hanging="1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投标报价包括完成本项目所需的成本、人工费、及各种应纳的税费等。因成交供应商自身原因造成的意外事故皆由其自行承担责任，</w:t>
      </w:r>
      <w:r>
        <w:rPr>
          <w:rFonts w:hint="eastAsia" w:ascii="宋体" w:hAnsi="宋体" w:eastAsia="宋体" w:cs="宋体"/>
          <w:color w:val="auto"/>
          <w:spacing w:val="7"/>
          <w:sz w:val="28"/>
          <w:szCs w:val="28"/>
          <w:highlight w:val="none"/>
        </w:rPr>
        <w:t xml:space="preserve"> </w:t>
      </w:r>
      <w:r>
        <w:rPr>
          <w:rFonts w:hint="eastAsia" w:ascii="宋体" w:hAnsi="宋体" w:eastAsia="宋体" w:cs="宋体"/>
          <w:color w:val="auto"/>
          <w:spacing w:val="-4"/>
          <w:sz w:val="28"/>
          <w:szCs w:val="28"/>
          <w:highlight w:val="none"/>
        </w:rPr>
        <w:t>与采购人无关。</w:t>
      </w:r>
    </w:p>
    <w:p w14:paraId="061C6901">
      <w:pPr>
        <w:spacing w:before="287" w:line="404" w:lineRule="auto"/>
        <w:ind w:left="34" w:right="125" w:hanging="1"/>
        <w:rPr>
          <w:rFonts w:hint="eastAsia" w:ascii="宋体" w:hAnsi="宋体" w:eastAsia="宋体" w:cs="宋体"/>
          <w:color w:val="auto"/>
          <w:spacing w:val="-1"/>
          <w:sz w:val="28"/>
          <w:szCs w:val="28"/>
          <w:highlight w:val="none"/>
        </w:rPr>
      </w:pPr>
      <w:r>
        <w:rPr>
          <w:rFonts w:hint="eastAsia" w:ascii="宋体" w:hAnsi="宋体" w:eastAsia="宋体" w:cs="宋体"/>
          <w:color w:val="auto"/>
          <w:spacing w:val="-6"/>
          <w:sz w:val="28"/>
          <w:szCs w:val="28"/>
          <w:highlight w:val="none"/>
        </w:rPr>
        <w:t>（</w:t>
      </w:r>
      <w:r>
        <w:rPr>
          <w:rFonts w:hint="eastAsia" w:ascii="宋体" w:hAnsi="宋体" w:eastAsia="宋体" w:cs="宋体"/>
          <w:color w:val="auto"/>
          <w:spacing w:val="-6"/>
          <w:sz w:val="28"/>
          <w:szCs w:val="28"/>
          <w:highlight w:val="none"/>
          <w:lang w:val="en-US" w:eastAsia="zh-CN"/>
        </w:rPr>
        <w:t>四</w:t>
      </w:r>
      <w:r>
        <w:rPr>
          <w:rFonts w:hint="eastAsia" w:ascii="宋体" w:hAnsi="宋体" w:eastAsia="宋体" w:cs="宋体"/>
          <w:color w:val="auto"/>
          <w:spacing w:val="-6"/>
          <w:sz w:val="28"/>
          <w:szCs w:val="28"/>
          <w:highlight w:val="none"/>
        </w:rPr>
        <w:t>）成交通知书发出后在</w:t>
      </w:r>
      <w:r>
        <w:rPr>
          <w:rFonts w:hint="eastAsia" w:ascii="宋体" w:hAnsi="宋体" w:eastAsia="宋体" w:cs="宋体"/>
          <w:color w:val="auto"/>
          <w:spacing w:val="-40"/>
          <w:sz w:val="28"/>
          <w:szCs w:val="28"/>
          <w:highlight w:val="none"/>
        </w:rPr>
        <w:t xml:space="preserve"> </w:t>
      </w:r>
      <w:r>
        <w:rPr>
          <w:rFonts w:hint="eastAsia" w:ascii="宋体" w:hAnsi="宋体" w:eastAsia="宋体" w:cs="宋体"/>
          <w:color w:val="auto"/>
          <w:spacing w:val="-6"/>
          <w:sz w:val="28"/>
          <w:szCs w:val="28"/>
          <w:highlight w:val="none"/>
        </w:rPr>
        <w:t>30 日内签订政府采购合同，若第一成交</w:t>
      </w:r>
      <w:r>
        <w:rPr>
          <w:rFonts w:hint="eastAsia" w:ascii="宋体" w:hAnsi="宋体" w:eastAsia="宋体" w:cs="宋体"/>
          <w:color w:val="auto"/>
          <w:spacing w:val="2"/>
          <w:sz w:val="28"/>
          <w:szCs w:val="28"/>
          <w:highlight w:val="none"/>
        </w:rPr>
        <w:t>人拒绝签订政府采购合同，将取消成交资格，应当</w:t>
      </w:r>
      <w:r>
        <w:rPr>
          <w:rFonts w:hint="eastAsia" w:ascii="宋体" w:hAnsi="宋体" w:eastAsia="宋体" w:cs="宋体"/>
          <w:color w:val="auto"/>
          <w:spacing w:val="1"/>
          <w:sz w:val="28"/>
          <w:szCs w:val="28"/>
          <w:highlight w:val="none"/>
        </w:rPr>
        <w:t>承担相应的法律</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2"/>
          <w:sz w:val="28"/>
          <w:szCs w:val="28"/>
          <w:highlight w:val="none"/>
        </w:rPr>
        <w:t>责任。采购人可以按照评审报告推荐的成交候选人</w:t>
      </w:r>
      <w:r>
        <w:rPr>
          <w:rFonts w:hint="eastAsia" w:ascii="宋体" w:hAnsi="宋体" w:eastAsia="宋体" w:cs="宋体"/>
          <w:color w:val="auto"/>
          <w:spacing w:val="1"/>
          <w:sz w:val="28"/>
          <w:szCs w:val="28"/>
          <w:highlight w:val="none"/>
        </w:rPr>
        <w:t>名单排序，确定</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
          <w:sz w:val="28"/>
          <w:szCs w:val="28"/>
          <w:highlight w:val="none"/>
        </w:rPr>
        <w:t>下一候选人为成交人，也可以重新开展政府采购活动。</w:t>
      </w:r>
    </w:p>
    <w:p w14:paraId="10DC8A54">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44"/>
          <w:highlight w:val="none"/>
        </w:rPr>
      </w:pPr>
    </w:p>
    <w:p w14:paraId="43FCB6D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p>
    <w:p w14:paraId="1E775E9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p>
    <w:p w14:paraId="48A0389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p>
    <w:p w14:paraId="18C50CE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p>
    <w:p w14:paraId="3B83A88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p>
    <w:p w14:paraId="43272F3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p>
    <w:p w14:paraId="60436CAE">
      <w:pPr>
        <w:pStyle w:val="4"/>
        <w:outlineLvl w:val="9"/>
        <w:rPr>
          <w:rFonts w:hint="eastAsia" w:ascii="宋体" w:hAnsi="宋体" w:eastAsia="宋体" w:cs="宋体"/>
          <w:b/>
          <w:color w:val="auto"/>
          <w:sz w:val="44"/>
          <w:highlight w:val="none"/>
        </w:rPr>
      </w:pPr>
    </w:p>
    <w:p w14:paraId="65BCA8AC">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44"/>
          <w:highlight w:val="none"/>
        </w:rPr>
      </w:pPr>
    </w:p>
    <w:p w14:paraId="7A89819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p>
    <w:p w14:paraId="3C364CC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p>
    <w:p w14:paraId="2905928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highlight w:val="none"/>
        </w:rPr>
      </w:pPr>
      <w:r>
        <w:rPr>
          <w:rFonts w:hint="eastAsia" w:ascii="宋体" w:hAnsi="宋体" w:eastAsia="宋体" w:cs="宋体"/>
          <w:b/>
          <w:color w:val="auto"/>
          <w:sz w:val="44"/>
          <w:highlight w:val="none"/>
        </w:rPr>
        <w:t>第三卷</w:t>
      </w:r>
    </w:p>
    <w:p w14:paraId="04C9750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1CF748A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32FF138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53455ED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1A76EE4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057BBE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4C44F77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509B1C9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6282B5C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67EF381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65DD9FD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1698307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4063184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5517E63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0ACE80F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1360F2E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52618A3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0B5F0C6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4387DC5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596B6F0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7F98577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086F1D7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452E4F1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2339115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35CE6C7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07F018F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204BD36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5A4FD5D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6DC8EF8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142B82E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786CED0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62201EA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641001E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6DAA0A6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szCs w:val="44"/>
          <w:highlight w:val="none"/>
        </w:rPr>
      </w:pPr>
      <w:bookmarkStart w:id="567" w:name="_Toc118925"/>
    </w:p>
    <w:p w14:paraId="7B30C290">
      <w:pPr>
        <w:pStyle w:val="4"/>
        <w:outlineLvl w:val="9"/>
        <w:rPr>
          <w:rFonts w:hint="eastAsia" w:ascii="宋体" w:hAnsi="宋体" w:eastAsia="宋体" w:cs="宋体"/>
          <w:color w:val="auto"/>
          <w:highlight w:val="none"/>
        </w:rPr>
      </w:pPr>
    </w:p>
    <w:p w14:paraId="46A6254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szCs w:val="44"/>
          <w:highlight w:val="none"/>
        </w:rPr>
      </w:pPr>
    </w:p>
    <w:p w14:paraId="40CF38E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szCs w:val="44"/>
          <w:highlight w:val="none"/>
        </w:rPr>
      </w:pPr>
    </w:p>
    <w:p w14:paraId="5E8A8BB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第六章  </w:t>
      </w:r>
      <w:r>
        <w:rPr>
          <w:rFonts w:hint="eastAsia" w:ascii="宋体" w:hAnsi="宋体" w:eastAsia="宋体" w:cs="宋体"/>
          <w:b/>
          <w:color w:val="auto"/>
          <w:sz w:val="44"/>
          <w:szCs w:val="44"/>
          <w:highlight w:val="none"/>
          <w:lang w:val="en-US" w:eastAsia="zh-CN"/>
        </w:rPr>
        <w:t>响应</w:t>
      </w:r>
      <w:r>
        <w:rPr>
          <w:rFonts w:hint="eastAsia" w:ascii="宋体" w:hAnsi="宋体" w:eastAsia="宋体" w:cs="宋体"/>
          <w:b/>
          <w:color w:val="auto"/>
          <w:sz w:val="44"/>
          <w:szCs w:val="44"/>
          <w:highlight w:val="none"/>
          <w:lang w:eastAsia="zh-CN"/>
        </w:rPr>
        <w:t>文件</w:t>
      </w:r>
      <w:r>
        <w:rPr>
          <w:rFonts w:hint="eastAsia" w:ascii="宋体" w:hAnsi="宋体" w:eastAsia="宋体" w:cs="宋体"/>
          <w:b/>
          <w:color w:val="auto"/>
          <w:sz w:val="44"/>
          <w:szCs w:val="44"/>
          <w:highlight w:val="none"/>
        </w:rPr>
        <w:t>格式</w:t>
      </w:r>
      <w:bookmarkEnd w:id="567"/>
    </w:p>
    <w:p w14:paraId="56372EE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1"/>
          <w:highlight w:val="none"/>
        </w:rPr>
      </w:pPr>
    </w:p>
    <w:p w14:paraId="4D50178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1"/>
          <w:highlight w:val="none"/>
        </w:rPr>
      </w:pPr>
    </w:p>
    <w:p w14:paraId="2D7EBCC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1"/>
          <w:highlight w:val="none"/>
        </w:rPr>
      </w:pPr>
    </w:p>
    <w:p w14:paraId="5544726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1"/>
          <w:highlight w:val="none"/>
        </w:rPr>
      </w:pPr>
    </w:p>
    <w:p w14:paraId="37723B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1"/>
          <w:highlight w:val="none"/>
        </w:rPr>
      </w:pPr>
    </w:p>
    <w:p w14:paraId="71F4090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1"/>
          <w:highlight w:val="none"/>
        </w:rPr>
      </w:pPr>
    </w:p>
    <w:p w14:paraId="3328DFC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1"/>
          <w:highlight w:val="none"/>
        </w:rPr>
      </w:pPr>
    </w:p>
    <w:p w14:paraId="53996B6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1"/>
          <w:highlight w:val="none"/>
        </w:rPr>
      </w:pPr>
    </w:p>
    <w:p w14:paraId="5820D93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1"/>
          <w:highlight w:val="none"/>
        </w:rPr>
      </w:pPr>
    </w:p>
    <w:p w14:paraId="4DBC013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1"/>
          <w:highlight w:val="none"/>
        </w:rPr>
      </w:pPr>
    </w:p>
    <w:p w14:paraId="5FA8C30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1"/>
          <w:highlight w:val="none"/>
        </w:rPr>
      </w:pPr>
    </w:p>
    <w:p w14:paraId="7DF96F1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1"/>
          <w:highlight w:val="none"/>
        </w:rPr>
      </w:pPr>
    </w:p>
    <w:p w14:paraId="2A912FF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1"/>
          <w:highlight w:val="none"/>
        </w:rPr>
      </w:pPr>
    </w:p>
    <w:p w14:paraId="178DC3F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1"/>
          <w:highlight w:val="none"/>
        </w:rPr>
      </w:pPr>
    </w:p>
    <w:p w14:paraId="24FAF1B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1"/>
          <w:highlight w:val="none"/>
        </w:rPr>
      </w:pPr>
    </w:p>
    <w:p w14:paraId="42F665C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1"/>
          <w:highlight w:val="none"/>
        </w:rPr>
      </w:pPr>
    </w:p>
    <w:p w14:paraId="3BF1D40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1"/>
          <w:highlight w:val="none"/>
        </w:rPr>
      </w:pPr>
    </w:p>
    <w:p w14:paraId="0C7AB5F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1"/>
          <w:highlight w:val="none"/>
        </w:rPr>
      </w:pPr>
    </w:p>
    <w:p w14:paraId="20BBDE2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1"/>
          <w:highlight w:val="none"/>
        </w:rPr>
      </w:pPr>
    </w:p>
    <w:p w14:paraId="767D3C7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1"/>
          <w:highlight w:val="none"/>
        </w:rPr>
      </w:pPr>
    </w:p>
    <w:p w14:paraId="35F6C90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1"/>
          <w:highlight w:val="none"/>
        </w:rPr>
      </w:pPr>
    </w:p>
    <w:p w14:paraId="624DD1A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1"/>
          <w:highlight w:val="none"/>
        </w:rPr>
      </w:pPr>
    </w:p>
    <w:p w14:paraId="247ACBA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52"/>
          <w:szCs w:val="52"/>
          <w:highlight w:val="none"/>
          <w:lang w:eastAsia="zh-CN"/>
        </w:rPr>
      </w:pPr>
      <w:r>
        <w:rPr>
          <w:rFonts w:hint="eastAsia" w:ascii="宋体" w:hAnsi="宋体" w:eastAsia="宋体" w:cs="宋体"/>
          <w:b/>
          <w:color w:val="auto"/>
          <w:sz w:val="52"/>
          <w:szCs w:val="52"/>
          <w:highlight w:val="none"/>
          <w:lang w:eastAsia="zh-CN"/>
        </w:rPr>
        <w:br w:type="page"/>
      </w:r>
    </w:p>
    <w:p w14:paraId="00ADA63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52"/>
          <w:szCs w:val="52"/>
          <w:highlight w:val="none"/>
          <w:lang w:eastAsia="zh-CN"/>
        </w:rPr>
      </w:pPr>
    </w:p>
    <w:p w14:paraId="6E48A14E">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52"/>
          <w:szCs w:val="52"/>
          <w:highlight w:val="none"/>
          <w:lang w:eastAsia="zh-CN"/>
        </w:rPr>
      </w:pPr>
    </w:p>
    <w:p w14:paraId="2C12731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32"/>
          <w:szCs w:val="32"/>
          <w:highlight w:val="none"/>
        </w:rPr>
      </w:pPr>
      <w:r>
        <w:rPr>
          <w:rFonts w:hint="eastAsia" w:ascii="宋体" w:hAnsi="宋体" w:eastAsia="宋体" w:cs="宋体"/>
          <w:b/>
          <w:bCs/>
          <w:color w:val="auto"/>
          <w:sz w:val="44"/>
          <w:szCs w:val="44"/>
          <w:highlight w:val="none"/>
          <w:lang w:val="en-US" w:eastAsia="zh-CN"/>
        </w:rPr>
        <w:t>喀什光电保护盖板产业链项目土地平整</w:t>
      </w:r>
    </w:p>
    <w:p w14:paraId="31288DCA">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32"/>
          <w:szCs w:val="32"/>
          <w:highlight w:val="none"/>
        </w:rPr>
      </w:pPr>
    </w:p>
    <w:p w14:paraId="7C9E5BD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32"/>
          <w:szCs w:val="32"/>
          <w:highlight w:val="none"/>
        </w:rPr>
      </w:pPr>
    </w:p>
    <w:p w14:paraId="4AD04F1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32"/>
          <w:szCs w:val="32"/>
          <w:highlight w:val="none"/>
        </w:rPr>
      </w:pPr>
    </w:p>
    <w:p w14:paraId="32B787F4">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32"/>
          <w:szCs w:val="32"/>
          <w:highlight w:val="none"/>
        </w:rPr>
      </w:pPr>
    </w:p>
    <w:p w14:paraId="373987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响应</w:t>
      </w:r>
      <w:r>
        <w:rPr>
          <w:rFonts w:hint="eastAsia" w:ascii="宋体" w:hAnsi="宋体" w:eastAsia="宋体" w:cs="宋体"/>
          <w:b/>
          <w:color w:val="auto"/>
          <w:sz w:val="32"/>
          <w:szCs w:val="32"/>
          <w:highlight w:val="none"/>
          <w:lang w:eastAsia="zh-CN"/>
        </w:rPr>
        <w:t>文件</w:t>
      </w:r>
    </w:p>
    <w:p w14:paraId="16FD11D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（招标编号：）</w:t>
      </w:r>
    </w:p>
    <w:p w14:paraId="7EB5BA5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5F8C9CA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0614180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0842C451">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highlight w:val="none"/>
        </w:rPr>
      </w:pPr>
    </w:p>
    <w:p w14:paraId="670E056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17F6E9C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0A8D411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highlight w:val="none"/>
        </w:rPr>
      </w:pPr>
    </w:p>
    <w:p w14:paraId="202A694F">
      <w:pPr>
        <w:pageBreakBefore w:val="0"/>
        <w:kinsoku/>
        <w:overflowPunct/>
        <w:topLinePunct w:val="0"/>
        <w:bidi w:val="0"/>
        <w:spacing w:beforeAutospacing="0" w:after="0" w:afterAutospacing="0" w:line="600" w:lineRule="auto"/>
        <w:ind w:left="0" w:leftChars="0" w:right="0"/>
        <w:textAlignment w:val="auto"/>
        <w:rPr>
          <w:rFonts w:hint="eastAsia" w:ascii="宋体" w:hAnsi="宋体" w:eastAsia="宋体" w:cs="宋体"/>
          <w:color w:val="auto"/>
          <w:highlight w:val="none"/>
        </w:rPr>
      </w:pPr>
    </w:p>
    <w:p w14:paraId="4233F09C">
      <w:pPr>
        <w:pageBreakBefore w:val="0"/>
        <w:kinsoku/>
        <w:overflowPunct/>
        <w:topLinePunct w:val="0"/>
        <w:bidi w:val="0"/>
        <w:spacing w:beforeAutospacing="0" w:after="0" w:afterAutospacing="0" w:line="600" w:lineRule="auto"/>
        <w:ind w:left="0" w:leftChars="0" w:right="0"/>
        <w:jc w:val="center"/>
        <w:textAlignment w:val="auto"/>
        <w:rPr>
          <w:rFonts w:hint="eastAsia" w:ascii="宋体" w:hAnsi="宋体" w:eastAsia="宋体" w:cs="宋体"/>
          <w:color w:val="auto"/>
          <w:sz w:val="96"/>
          <w:szCs w:val="96"/>
          <w:highlight w:val="none"/>
        </w:rPr>
      </w:pPr>
      <w:r>
        <w:rPr>
          <w:rFonts w:hint="eastAsia" w:ascii="宋体" w:hAnsi="宋体" w:eastAsia="宋体" w:cs="宋体"/>
          <w:color w:val="auto"/>
          <w:sz w:val="28"/>
          <w:highlight w:val="none"/>
          <w:lang w:eastAsia="zh-CN"/>
        </w:rPr>
        <w:t>供应商</w:t>
      </w:r>
      <w:r>
        <w:rPr>
          <w:rFonts w:hint="eastAsia" w:ascii="宋体" w:hAnsi="宋体" w:eastAsia="宋体" w:cs="宋体"/>
          <w:color w:val="auto"/>
          <w:sz w:val="28"/>
          <w:highlight w:val="none"/>
        </w:rPr>
        <w:t>：</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1"/>
          <w:highlight w:val="none"/>
          <w:u w:val="single" w:color="000000"/>
          <w:lang w:val="en-US" w:eastAsia="zh-CN"/>
        </w:rPr>
        <w:t xml:space="preserve">    </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8"/>
          <w:highlight w:val="none"/>
        </w:rPr>
        <w:t>（盖</w:t>
      </w:r>
      <w:r>
        <w:rPr>
          <w:rFonts w:hint="eastAsia" w:ascii="宋体" w:hAnsi="宋体" w:eastAsia="宋体" w:cs="宋体"/>
          <w:color w:val="auto"/>
          <w:sz w:val="28"/>
          <w:highlight w:val="none"/>
          <w:lang w:val="en-US" w:eastAsia="zh-CN"/>
        </w:rPr>
        <w:t>公</w:t>
      </w:r>
      <w:r>
        <w:rPr>
          <w:rFonts w:hint="eastAsia" w:ascii="宋体" w:hAnsi="宋体" w:eastAsia="宋体" w:cs="宋体"/>
          <w:color w:val="auto"/>
          <w:sz w:val="28"/>
          <w:highlight w:val="none"/>
        </w:rPr>
        <w:t>章）</w:t>
      </w:r>
    </w:p>
    <w:p w14:paraId="38E6B970">
      <w:pPr>
        <w:pageBreakBefore w:val="0"/>
        <w:kinsoku/>
        <w:overflowPunct/>
        <w:topLinePunct w:val="0"/>
        <w:bidi w:val="0"/>
        <w:spacing w:beforeAutospacing="0" w:after="0" w:afterAutospacing="0" w:line="600" w:lineRule="auto"/>
        <w:ind w:left="0" w:leftChars="0" w:right="0"/>
        <w:jc w:val="center"/>
        <w:textAlignment w:val="auto"/>
        <w:rPr>
          <w:rFonts w:hint="eastAsia" w:ascii="宋体" w:hAnsi="宋体" w:eastAsia="宋体" w:cs="宋体"/>
          <w:color w:val="auto"/>
          <w:highlight w:val="none"/>
        </w:rPr>
      </w:pPr>
      <w:r>
        <w:rPr>
          <w:rFonts w:hint="eastAsia" w:ascii="宋体" w:hAnsi="宋体" w:eastAsia="宋体" w:cs="宋体"/>
          <w:color w:val="auto"/>
          <w:sz w:val="28"/>
          <w:highlight w:val="none"/>
        </w:rPr>
        <w:t>法定代表人或其委托代理人：</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8"/>
          <w:highlight w:val="none"/>
        </w:rPr>
        <w:t>（签字</w:t>
      </w:r>
      <w:r>
        <w:rPr>
          <w:rFonts w:hint="eastAsia" w:ascii="宋体" w:hAnsi="宋体" w:eastAsia="宋体" w:cs="宋体"/>
          <w:color w:val="auto"/>
          <w:sz w:val="28"/>
          <w:highlight w:val="none"/>
          <w:lang w:val="en-US" w:eastAsia="zh-CN"/>
        </w:rPr>
        <w:t>或盖章</w:t>
      </w:r>
      <w:r>
        <w:rPr>
          <w:rFonts w:hint="eastAsia" w:ascii="宋体" w:hAnsi="宋体" w:eastAsia="宋体" w:cs="宋体"/>
          <w:color w:val="auto"/>
          <w:sz w:val="28"/>
          <w:highlight w:val="none"/>
        </w:rPr>
        <w:t>）</w:t>
      </w:r>
    </w:p>
    <w:p w14:paraId="4A10D6C0">
      <w:pPr>
        <w:pageBreakBefore w:val="0"/>
        <w:kinsoku/>
        <w:overflowPunct/>
        <w:topLinePunct w:val="0"/>
        <w:bidi w:val="0"/>
        <w:spacing w:beforeAutospacing="0" w:after="0" w:afterAutospacing="0" w:line="600" w:lineRule="auto"/>
        <w:ind w:left="0" w:leftChars="0" w:right="0"/>
        <w:jc w:val="center"/>
        <w:textAlignment w:val="auto"/>
        <w:rPr>
          <w:rFonts w:hint="eastAsia" w:ascii="宋体" w:hAnsi="宋体" w:eastAsia="宋体" w:cs="宋体"/>
          <w:color w:val="auto"/>
          <w:highlight w:val="none"/>
        </w:rPr>
      </w:pPr>
      <w:r>
        <w:rPr>
          <w:rFonts w:hint="eastAsia" w:ascii="宋体" w:hAnsi="宋体" w:eastAsia="宋体" w:cs="宋体"/>
          <w:color w:val="auto"/>
          <w:sz w:val="28"/>
          <w:highlight w:val="none"/>
        </w:rPr>
        <w:t xml:space="preserve"> </w:t>
      </w:r>
    </w:p>
    <w:p w14:paraId="2150C68E">
      <w:pPr>
        <w:pageBreakBefore w:val="0"/>
        <w:tabs>
          <w:tab w:val="center" w:pos="4320"/>
          <w:tab w:val="center" w:pos="8723"/>
        </w:tabs>
        <w:kinsoku/>
        <w:overflowPunct/>
        <w:topLinePunct w:val="0"/>
        <w:bidi w:val="0"/>
        <w:spacing w:beforeAutospacing="0" w:after="0" w:afterAutospacing="0" w:line="600" w:lineRule="auto"/>
        <w:ind w:left="0" w:leftChars="0" w:right="0" w:firstLine="3360" w:firstLineChars="1600"/>
        <w:textAlignment w:val="auto"/>
        <w:rPr>
          <w:rFonts w:hint="eastAsia" w:ascii="宋体" w:hAnsi="宋体" w:eastAsia="宋体" w:cs="宋体"/>
          <w:b/>
          <w:color w:val="auto"/>
          <w:sz w:val="28"/>
          <w:szCs w:val="28"/>
          <w:highlight w:val="none"/>
        </w:rPr>
        <w:sectPr>
          <w:footerReference r:id="rId13" w:type="default"/>
          <w:pgSz w:w="11906" w:h="16839"/>
          <w:pgMar w:top="1440" w:right="1080" w:bottom="1440" w:left="1080" w:header="964" w:footer="996" w:gutter="0"/>
          <w:pgNumType w:fmt="decimal"/>
          <w:cols w:space="720" w:num="1"/>
        </w:sectPr>
      </w:pP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8"/>
          <w:highlight w:val="none"/>
        </w:rPr>
        <w:t>年</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8"/>
          <w:highlight w:val="none"/>
        </w:rPr>
        <w:t>月</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1"/>
          <w:highlight w:val="none"/>
          <w:u w:val="single" w:color="000000"/>
        </w:rPr>
        <w:t xml:space="preserve">    </w:t>
      </w:r>
      <w:r>
        <w:rPr>
          <w:rFonts w:hint="eastAsia" w:ascii="宋体" w:hAnsi="宋体" w:eastAsia="宋体" w:cs="宋体"/>
          <w:color w:val="auto"/>
          <w:sz w:val="28"/>
          <w:highlight w:val="none"/>
        </w:rPr>
        <w:t>日</w:t>
      </w:r>
      <w:r>
        <w:rPr>
          <w:rFonts w:hint="eastAsia" w:ascii="宋体" w:hAnsi="宋体" w:eastAsia="宋体" w:cs="宋体"/>
          <w:color w:val="auto"/>
          <w:sz w:val="21"/>
          <w:highlight w:val="none"/>
        </w:rPr>
        <w:t xml:space="preserve"> </w:t>
      </w:r>
      <w:bookmarkStart w:id="568" w:name="_Toc118926"/>
    </w:p>
    <w:p w14:paraId="66C8E0BC">
      <w:pPr>
        <w:spacing w:before="161" w:line="228" w:lineRule="auto"/>
        <w:ind w:firstLine="2164" w:firstLineChars="700"/>
        <w:jc w:val="both"/>
        <w:outlineLvl w:val="0"/>
        <w:rPr>
          <w:rFonts w:hint="eastAsia" w:ascii="宋体" w:hAnsi="宋体" w:eastAsia="宋体" w:cs="宋体"/>
          <w:color w:val="auto"/>
          <w:sz w:val="31"/>
          <w:szCs w:val="31"/>
          <w:highlight w:val="none"/>
        </w:rPr>
      </w:pPr>
      <w:bookmarkStart w:id="569" w:name="_Toc12021"/>
      <w:r>
        <w:rPr>
          <w:rFonts w:hint="eastAsia" w:ascii="宋体" w:hAnsi="宋体" w:eastAsia="宋体" w:cs="宋体"/>
          <w:b/>
          <w:bCs/>
          <w:color w:val="auto"/>
          <w:spacing w:val="-1"/>
          <w:sz w:val="31"/>
          <w:szCs w:val="31"/>
          <w:highlight w:val="none"/>
        </w:rPr>
        <w:t>第2章</w:t>
      </w:r>
      <w:r>
        <w:rPr>
          <w:rFonts w:hint="eastAsia" w:ascii="宋体" w:hAnsi="宋体" w:eastAsia="宋体" w:cs="宋体"/>
          <w:color w:val="auto"/>
          <w:spacing w:val="19"/>
          <w:sz w:val="31"/>
          <w:szCs w:val="31"/>
          <w:highlight w:val="none"/>
        </w:rPr>
        <w:t xml:space="preserve">   </w:t>
      </w:r>
      <w:r>
        <w:rPr>
          <w:rFonts w:hint="eastAsia" w:ascii="宋体" w:hAnsi="宋体" w:eastAsia="宋体" w:cs="宋体"/>
          <w:b/>
          <w:bCs/>
          <w:color w:val="auto"/>
          <w:spacing w:val="-1"/>
          <w:sz w:val="31"/>
          <w:szCs w:val="31"/>
          <w:highlight w:val="none"/>
        </w:rPr>
        <w:t>响应文件格式</w:t>
      </w:r>
      <w:bookmarkEnd w:id="569"/>
    </w:p>
    <w:p w14:paraId="62A26ED0">
      <w:pPr>
        <w:pStyle w:val="2"/>
        <w:spacing w:line="358" w:lineRule="auto"/>
        <w:rPr>
          <w:rFonts w:hint="eastAsia" w:ascii="宋体" w:hAnsi="宋体" w:eastAsia="宋体" w:cs="宋体"/>
          <w:color w:val="auto"/>
          <w:highlight w:val="none"/>
        </w:rPr>
      </w:pPr>
    </w:p>
    <w:p w14:paraId="5F02801E">
      <w:pPr>
        <w:spacing w:before="75" w:line="231" w:lineRule="auto"/>
        <w:ind w:left="2483"/>
        <w:outlineLvl w:val="1"/>
        <w:rPr>
          <w:rFonts w:hint="eastAsia" w:ascii="宋体" w:hAnsi="宋体" w:eastAsia="宋体" w:cs="宋体"/>
          <w:color w:val="auto"/>
          <w:sz w:val="23"/>
          <w:szCs w:val="23"/>
          <w:highlight w:val="none"/>
        </w:rPr>
      </w:pPr>
      <w:r>
        <w:rPr>
          <w:rFonts w:hint="eastAsia" w:ascii="宋体" w:hAnsi="宋体" w:eastAsia="宋体" w:cs="宋体"/>
          <w:b/>
          <w:bCs/>
          <w:color w:val="auto"/>
          <w:spacing w:val="6"/>
          <w:sz w:val="23"/>
          <w:szCs w:val="23"/>
          <w:highlight w:val="none"/>
        </w:rPr>
        <w:t>第一部分</w:t>
      </w:r>
      <w:r>
        <w:rPr>
          <w:rFonts w:hint="eastAsia" w:ascii="宋体" w:hAnsi="宋体" w:eastAsia="宋体" w:cs="宋体"/>
          <w:color w:val="auto"/>
          <w:spacing w:val="6"/>
          <w:sz w:val="23"/>
          <w:szCs w:val="23"/>
          <w:highlight w:val="none"/>
        </w:rPr>
        <w:t xml:space="preserve"> </w:t>
      </w:r>
      <w:r>
        <w:rPr>
          <w:rFonts w:hint="eastAsia" w:ascii="宋体" w:hAnsi="宋体" w:eastAsia="宋体" w:cs="宋体"/>
          <w:b/>
          <w:bCs/>
          <w:color w:val="auto"/>
          <w:spacing w:val="6"/>
          <w:sz w:val="23"/>
          <w:szCs w:val="23"/>
          <w:highlight w:val="none"/>
        </w:rPr>
        <w:t>开标一览表及资格证明文件</w:t>
      </w:r>
    </w:p>
    <w:p w14:paraId="3AF6F2C0">
      <w:pPr>
        <w:pStyle w:val="2"/>
        <w:spacing w:line="259" w:lineRule="auto"/>
        <w:rPr>
          <w:rFonts w:hint="eastAsia" w:ascii="宋体" w:hAnsi="宋体" w:eastAsia="宋体" w:cs="宋体"/>
          <w:color w:val="auto"/>
          <w:highlight w:val="none"/>
        </w:rPr>
      </w:pPr>
    </w:p>
    <w:p w14:paraId="008EA84E">
      <w:pPr>
        <w:spacing w:before="22" w:line="247" w:lineRule="auto"/>
        <w:ind w:left="27" w:right="131" w:firstLine="55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1、开标一览表（见响应文件格式一）;</w:t>
      </w:r>
    </w:p>
    <w:p w14:paraId="45D91F0E">
      <w:pPr>
        <w:spacing w:before="22" w:line="247" w:lineRule="auto"/>
        <w:ind w:left="27" w:right="131" w:firstLine="55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2、具有相应的营业执照副本原件扫描件（须加盖本单位章） ;</w:t>
      </w:r>
    </w:p>
    <w:p w14:paraId="101AC9C8">
      <w:pPr>
        <w:spacing w:before="22" w:line="247" w:lineRule="auto"/>
        <w:ind w:left="27" w:right="131" w:firstLine="55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3、法定代表人授权委托书及被委托人身份证（法定代表人投标提供法定 代表人身份证明及身份证）见响应文件格式二，自然人投标的无需提供;</w:t>
      </w:r>
    </w:p>
    <w:p w14:paraId="7C2869D4">
      <w:pPr>
        <w:spacing w:before="22" w:line="247" w:lineRule="auto"/>
        <w:ind w:left="27" w:right="131" w:firstLine="55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4、参与政府采购活动前3年内未被列入失信、重大税收违法案件、财政部门禁止参加政府采购活动的承诺书；</w:t>
      </w:r>
    </w:p>
    <w:p w14:paraId="4D89F2A1">
      <w:pPr>
        <w:spacing w:before="22" w:line="247" w:lineRule="auto"/>
        <w:ind w:left="27" w:right="131" w:firstLine="55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有依法缴纳税收和社会保障资金的良好记录；（投标单位需提供2024年1月至今任一月的税收和社保缴纳记录；税收可提供由投标单位所在地税务部门出具的“0”申报证明或无欠税证明。（原件、复印件、影印件均可，留存复印件或影印件）；</w:t>
      </w:r>
    </w:p>
    <w:p w14:paraId="13C67090">
      <w:pPr>
        <w:spacing w:before="22" w:line="247" w:lineRule="auto"/>
        <w:ind w:left="27" w:right="131" w:firstLine="55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6、提供2022或2023年度的财务审计报告(成立不满一年的提供开标前一个月内有效银行资信证明）；</w:t>
      </w:r>
    </w:p>
    <w:p w14:paraId="0954871E">
      <w:pPr>
        <w:spacing w:before="22" w:line="247" w:lineRule="auto"/>
        <w:ind w:left="27" w:right="131" w:firstLine="55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7、投标单位（供应商）其法人参加本次采购活动前三年内，在经营活动中没有重大违法记录的声明及对本次项目《反商业贿赂承诺书》；</w:t>
      </w:r>
    </w:p>
    <w:p w14:paraId="70C3AD1B">
      <w:pPr>
        <w:spacing w:before="22" w:line="247" w:lineRule="auto"/>
        <w:ind w:left="27" w:right="131" w:firstLine="55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信用中国”（https://www.creditchina.gov.cn/）网站列入失信被执行人和重大税收违法失信主体的、被“中国政府采购网”（http://www.ccgp.gov.cn/）网站列入政府采购严重违法失信行为记录名单（处罚期限尚未届满的）的投标人，及“国家企业信用信息公示系统”（http://www.gsxt.gov.cn/index.html）被列入经营异常名录、严重违法失信企业名单（黑名单），不得参与本项目的政府采购活动。</w:t>
      </w:r>
    </w:p>
    <w:p w14:paraId="6025063B">
      <w:pPr>
        <w:spacing w:before="22" w:line="247" w:lineRule="auto"/>
        <w:ind w:left="27" w:right="131" w:firstLine="55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9、资质要求：具备市政公用工程施工总承包三级及以上资质等级、有效的安全生产许可证；项目负责人具备市政公用工程二级及以上注册建造师执业资格且具有有效的安全生产考核证B证。</w:t>
      </w:r>
    </w:p>
    <w:p w14:paraId="041DFBD3">
      <w:pPr>
        <w:spacing w:before="22" w:line="247" w:lineRule="auto"/>
        <w:ind w:left="27" w:right="131" w:firstLine="55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10、供应商须知资料表要求的其他资格证明文件;</w:t>
      </w:r>
    </w:p>
    <w:p w14:paraId="79506FD1">
      <w:pPr>
        <w:spacing w:line="228" w:lineRule="auto"/>
        <w:rPr>
          <w:rFonts w:hint="eastAsia" w:ascii="宋体" w:hAnsi="宋体" w:eastAsia="宋体" w:cs="宋体"/>
          <w:color w:val="auto"/>
          <w:sz w:val="23"/>
          <w:szCs w:val="23"/>
          <w:highlight w:val="none"/>
        </w:rPr>
        <w:sectPr>
          <w:footerReference r:id="rId14" w:type="default"/>
          <w:pgSz w:w="11906" w:h="16838"/>
          <w:pgMar w:top="1431" w:right="1785" w:bottom="1171" w:left="1785" w:header="1134" w:footer="996" w:gutter="0"/>
          <w:pgNumType w:fmt="decimal"/>
          <w:cols w:space="720" w:num="1"/>
        </w:sectPr>
      </w:pPr>
    </w:p>
    <w:p w14:paraId="3C304756">
      <w:pPr>
        <w:spacing w:before="48" w:line="231" w:lineRule="auto"/>
        <w:ind w:left="3271"/>
        <w:outlineLvl w:val="1"/>
        <w:rPr>
          <w:rFonts w:hint="eastAsia" w:ascii="宋体" w:hAnsi="宋体" w:eastAsia="宋体" w:cs="宋体"/>
          <w:color w:val="auto"/>
          <w:sz w:val="23"/>
          <w:szCs w:val="23"/>
          <w:highlight w:val="none"/>
        </w:rPr>
      </w:pPr>
      <w:bookmarkStart w:id="570" w:name="bookmark98"/>
      <w:bookmarkEnd w:id="570"/>
      <w:r>
        <w:rPr>
          <w:rFonts w:hint="eastAsia" w:ascii="宋体" w:hAnsi="宋体" w:eastAsia="宋体" w:cs="宋体"/>
          <w:b/>
          <w:bCs/>
          <w:color w:val="auto"/>
          <w:spacing w:val="5"/>
          <w:sz w:val="23"/>
          <w:szCs w:val="23"/>
          <w:highlight w:val="none"/>
        </w:rPr>
        <w:t>1</w:t>
      </w:r>
      <w:r>
        <w:rPr>
          <w:rFonts w:hint="eastAsia" w:ascii="宋体" w:hAnsi="宋体" w:eastAsia="宋体" w:cs="宋体"/>
          <w:color w:val="auto"/>
          <w:spacing w:val="5"/>
          <w:sz w:val="23"/>
          <w:szCs w:val="23"/>
          <w:highlight w:val="none"/>
        </w:rPr>
        <w:t xml:space="preserve">  </w:t>
      </w:r>
      <w:r>
        <w:rPr>
          <w:rFonts w:hint="eastAsia" w:ascii="宋体" w:hAnsi="宋体" w:eastAsia="宋体" w:cs="宋体"/>
          <w:b/>
          <w:bCs/>
          <w:color w:val="auto"/>
          <w:spacing w:val="5"/>
          <w:sz w:val="23"/>
          <w:szCs w:val="23"/>
          <w:highlight w:val="none"/>
        </w:rPr>
        <w:t>开标一览表（响应文件格式一）</w:t>
      </w:r>
    </w:p>
    <w:p w14:paraId="3B940CAF">
      <w:pPr>
        <w:pStyle w:val="2"/>
        <w:spacing w:line="284" w:lineRule="auto"/>
        <w:rPr>
          <w:rFonts w:hint="eastAsia" w:ascii="宋体" w:hAnsi="宋体" w:eastAsia="宋体" w:cs="宋体"/>
          <w:color w:val="auto"/>
          <w:highlight w:val="none"/>
        </w:rPr>
      </w:pPr>
    </w:p>
    <w:p w14:paraId="225C1230">
      <w:pPr>
        <w:pStyle w:val="2"/>
        <w:spacing w:line="285" w:lineRule="auto"/>
        <w:rPr>
          <w:rFonts w:hint="eastAsia" w:ascii="宋体" w:hAnsi="宋体" w:eastAsia="宋体" w:cs="宋体"/>
          <w:color w:val="auto"/>
          <w:highlight w:val="none"/>
        </w:rPr>
      </w:pPr>
    </w:p>
    <w:p w14:paraId="55D971C1">
      <w:pPr>
        <w:spacing w:before="75" w:line="231" w:lineRule="auto"/>
        <w:ind w:left="4520"/>
        <w:outlineLvl w:val="1"/>
        <w:rPr>
          <w:rFonts w:hint="eastAsia" w:ascii="宋体" w:hAnsi="宋体" w:eastAsia="宋体" w:cs="宋体"/>
          <w:color w:val="auto"/>
          <w:sz w:val="23"/>
          <w:szCs w:val="23"/>
          <w:highlight w:val="none"/>
        </w:rPr>
      </w:pPr>
      <w:bookmarkStart w:id="571" w:name="bookmark95"/>
      <w:bookmarkEnd w:id="571"/>
      <w:r>
        <w:rPr>
          <w:rFonts w:hint="eastAsia" w:ascii="宋体" w:hAnsi="宋体" w:eastAsia="宋体" w:cs="宋体"/>
          <w:b/>
          <w:bCs/>
          <w:color w:val="auto"/>
          <w:spacing w:val="5"/>
          <w:sz w:val="23"/>
          <w:szCs w:val="23"/>
          <w:highlight w:val="none"/>
        </w:rPr>
        <w:t>开标一览表</w:t>
      </w:r>
    </w:p>
    <w:p w14:paraId="7BF6324E">
      <w:pPr>
        <w:pStyle w:val="2"/>
        <w:spacing w:line="285" w:lineRule="auto"/>
        <w:rPr>
          <w:rFonts w:hint="eastAsia" w:ascii="宋体" w:hAnsi="宋体" w:eastAsia="宋体" w:cs="宋体"/>
          <w:color w:val="auto"/>
          <w:highlight w:val="none"/>
        </w:rPr>
      </w:pPr>
    </w:p>
    <w:p w14:paraId="4676AAB5">
      <w:pPr>
        <w:pStyle w:val="2"/>
        <w:spacing w:line="285" w:lineRule="auto"/>
        <w:rPr>
          <w:rFonts w:hint="eastAsia" w:ascii="宋体" w:hAnsi="宋体" w:eastAsia="宋体" w:cs="宋体"/>
          <w:color w:val="auto"/>
          <w:highlight w:val="none"/>
        </w:rPr>
      </w:pPr>
    </w:p>
    <w:p w14:paraId="50429B2D">
      <w:pPr>
        <w:spacing w:before="75" w:line="229" w:lineRule="auto"/>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项目名称：</w:t>
      </w:r>
      <w:r>
        <w:rPr>
          <w:rFonts w:hint="eastAsia" w:ascii="宋体" w:hAnsi="宋体" w:eastAsia="宋体" w:cs="宋体"/>
          <w:color w:val="auto"/>
          <w:spacing w:val="1"/>
          <w:sz w:val="23"/>
          <w:szCs w:val="23"/>
          <w:highlight w:val="none"/>
        </w:rPr>
        <w:t xml:space="preserve">                     </w:t>
      </w:r>
      <w:r>
        <w:rPr>
          <w:rFonts w:hint="eastAsia" w:ascii="宋体" w:hAnsi="宋体" w:eastAsia="宋体" w:cs="宋体"/>
          <w:color w:val="auto"/>
          <w:spacing w:val="-3"/>
          <w:sz w:val="23"/>
          <w:szCs w:val="23"/>
          <w:highlight w:val="none"/>
        </w:rPr>
        <w:t>项目编号：</w:t>
      </w:r>
      <w:r>
        <w:rPr>
          <w:rFonts w:hint="eastAsia" w:ascii="宋体" w:hAnsi="宋体" w:eastAsia="宋体" w:cs="宋体"/>
          <w:color w:val="auto"/>
          <w:spacing w:val="2"/>
          <w:sz w:val="23"/>
          <w:szCs w:val="23"/>
          <w:highlight w:val="none"/>
        </w:rPr>
        <w:t xml:space="preserve">                  </w:t>
      </w:r>
      <w:r>
        <w:rPr>
          <w:rFonts w:hint="eastAsia" w:ascii="宋体" w:hAnsi="宋体" w:eastAsia="宋体" w:cs="宋体"/>
          <w:color w:val="auto"/>
          <w:spacing w:val="-3"/>
          <w:sz w:val="23"/>
          <w:szCs w:val="23"/>
          <w:highlight w:val="none"/>
        </w:rPr>
        <w:t>包号：</w:t>
      </w:r>
    </w:p>
    <w:p w14:paraId="5C60FD98">
      <w:pPr>
        <w:spacing w:before="27" w:line="221" w:lineRule="auto"/>
        <w:rPr>
          <w:rFonts w:hint="eastAsia" w:ascii="宋体" w:hAnsi="宋体" w:eastAsia="宋体" w:cs="宋体"/>
          <w:color w:val="auto"/>
          <w:sz w:val="23"/>
          <w:szCs w:val="23"/>
          <w:highlight w:val="none"/>
        </w:rPr>
      </w:pPr>
      <w:r>
        <w:rPr>
          <w:rFonts w:hint="eastAsia" w:ascii="宋体" w:hAnsi="宋体" w:eastAsia="宋体" w:cs="宋体"/>
          <w:b/>
          <w:bCs/>
          <w:color w:val="auto"/>
          <w:spacing w:val="5"/>
          <w:sz w:val="23"/>
          <w:szCs w:val="23"/>
          <w:highlight w:val="none"/>
        </w:rPr>
        <w:t>报价单位：人民币</w:t>
      </w:r>
      <w:r>
        <w:rPr>
          <w:rFonts w:hint="eastAsia" w:ascii="宋体" w:hAnsi="宋体" w:eastAsia="宋体" w:cs="宋体"/>
          <w:color w:val="auto"/>
          <w:spacing w:val="16"/>
          <w:sz w:val="23"/>
          <w:szCs w:val="23"/>
          <w:highlight w:val="none"/>
        </w:rPr>
        <w:t xml:space="preserve">  </w:t>
      </w:r>
      <w:r>
        <w:rPr>
          <w:rFonts w:hint="eastAsia" w:ascii="宋体" w:hAnsi="宋体" w:eastAsia="宋体" w:cs="宋体"/>
          <w:b/>
          <w:bCs/>
          <w:color w:val="auto"/>
          <w:spacing w:val="5"/>
          <w:sz w:val="23"/>
          <w:szCs w:val="23"/>
          <w:highlight w:val="none"/>
        </w:rPr>
        <w:t>元</w:t>
      </w:r>
    </w:p>
    <w:tbl>
      <w:tblPr>
        <w:tblStyle w:val="40"/>
        <w:tblW w:w="98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7"/>
        <w:gridCol w:w="2409"/>
        <w:gridCol w:w="2038"/>
        <w:gridCol w:w="2218"/>
        <w:gridCol w:w="1460"/>
      </w:tblGrid>
      <w:tr w14:paraId="2EC3F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707" w:type="dxa"/>
            <w:tcBorders>
              <w:right w:val="single" w:color="000000" w:sz="6" w:space="0"/>
            </w:tcBorders>
            <w:vAlign w:val="top"/>
          </w:tcPr>
          <w:p w14:paraId="6D84338D">
            <w:pPr>
              <w:spacing w:before="263" w:line="229" w:lineRule="auto"/>
              <w:ind w:left="48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项目名称</w:t>
            </w:r>
          </w:p>
        </w:tc>
        <w:tc>
          <w:tcPr>
            <w:tcW w:w="2409" w:type="dxa"/>
            <w:tcBorders>
              <w:left w:val="single" w:color="000000" w:sz="6" w:space="0"/>
            </w:tcBorders>
            <w:vAlign w:val="top"/>
          </w:tcPr>
          <w:p w14:paraId="20D07BE9">
            <w:pPr>
              <w:spacing w:before="263" w:line="231" w:lineRule="auto"/>
              <w:ind w:left="734"/>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投标报价</w:t>
            </w:r>
          </w:p>
        </w:tc>
        <w:tc>
          <w:tcPr>
            <w:tcW w:w="2038" w:type="dxa"/>
            <w:tcBorders>
              <w:top w:val="single" w:color="000000" w:sz="6" w:space="0"/>
            </w:tcBorders>
            <w:vAlign w:val="top"/>
          </w:tcPr>
          <w:p w14:paraId="086C1541">
            <w:pPr>
              <w:spacing w:before="263" w:line="229" w:lineRule="auto"/>
              <w:ind w:left="435"/>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磋商保证金</w:t>
            </w:r>
          </w:p>
        </w:tc>
        <w:tc>
          <w:tcPr>
            <w:tcW w:w="2218" w:type="dxa"/>
            <w:tcBorders>
              <w:top w:val="single" w:color="000000" w:sz="6" w:space="0"/>
            </w:tcBorders>
            <w:vAlign w:val="top"/>
          </w:tcPr>
          <w:p w14:paraId="356C3A4A">
            <w:pPr>
              <w:spacing w:before="263" w:line="231" w:lineRule="auto"/>
              <w:ind w:left="89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工期</w:t>
            </w:r>
          </w:p>
        </w:tc>
        <w:tc>
          <w:tcPr>
            <w:tcW w:w="1460" w:type="dxa"/>
            <w:tcBorders>
              <w:top w:val="single" w:color="000000" w:sz="6" w:space="0"/>
              <w:right w:val="single" w:color="000000" w:sz="6" w:space="0"/>
            </w:tcBorders>
            <w:vAlign w:val="top"/>
          </w:tcPr>
          <w:p w14:paraId="76BF22A2">
            <w:pPr>
              <w:spacing w:before="263" w:line="233" w:lineRule="auto"/>
              <w:ind w:left="504"/>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备注</w:t>
            </w:r>
          </w:p>
        </w:tc>
      </w:tr>
      <w:tr w14:paraId="3E128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9" w:hRule="atLeast"/>
        </w:trPr>
        <w:tc>
          <w:tcPr>
            <w:tcW w:w="1707" w:type="dxa"/>
            <w:vAlign w:val="top"/>
          </w:tcPr>
          <w:p w14:paraId="189A7A53">
            <w:pPr>
              <w:rPr>
                <w:rFonts w:hint="eastAsia" w:ascii="宋体" w:hAnsi="宋体" w:eastAsia="宋体" w:cs="宋体"/>
                <w:color w:val="auto"/>
                <w:sz w:val="21"/>
                <w:highlight w:val="none"/>
              </w:rPr>
            </w:pPr>
          </w:p>
        </w:tc>
        <w:tc>
          <w:tcPr>
            <w:tcW w:w="2409" w:type="dxa"/>
            <w:vAlign w:val="top"/>
          </w:tcPr>
          <w:p w14:paraId="155E3F58">
            <w:pPr>
              <w:spacing w:line="249" w:lineRule="auto"/>
              <w:rPr>
                <w:rFonts w:hint="eastAsia" w:ascii="宋体" w:hAnsi="宋体" w:eastAsia="宋体" w:cs="宋体"/>
                <w:color w:val="auto"/>
                <w:sz w:val="21"/>
                <w:highlight w:val="none"/>
              </w:rPr>
            </w:pPr>
          </w:p>
          <w:p w14:paraId="36D1E64A">
            <w:pPr>
              <w:spacing w:line="249" w:lineRule="auto"/>
              <w:rPr>
                <w:rFonts w:hint="eastAsia" w:ascii="宋体" w:hAnsi="宋体" w:eastAsia="宋体" w:cs="宋体"/>
                <w:color w:val="auto"/>
                <w:sz w:val="21"/>
                <w:highlight w:val="none"/>
              </w:rPr>
            </w:pPr>
          </w:p>
          <w:p w14:paraId="3F9ABFE0">
            <w:pPr>
              <w:spacing w:before="75" w:line="242" w:lineRule="auto"/>
              <w:ind w:left="17" w:right="1740" w:firstLine="2"/>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大写：</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5"/>
                <w:sz w:val="23"/>
                <w:szCs w:val="23"/>
                <w:highlight w:val="none"/>
              </w:rPr>
              <w:t>小写：</w:t>
            </w:r>
          </w:p>
        </w:tc>
        <w:tc>
          <w:tcPr>
            <w:tcW w:w="2038" w:type="dxa"/>
            <w:vAlign w:val="top"/>
          </w:tcPr>
          <w:p w14:paraId="0CBBFD73">
            <w:pPr>
              <w:rPr>
                <w:rFonts w:hint="eastAsia" w:ascii="宋体" w:hAnsi="宋体" w:eastAsia="宋体" w:cs="宋体"/>
                <w:color w:val="auto"/>
                <w:sz w:val="21"/>
                <w:highlight w:val="none"/>
              </w:rPr>
            </w:pPr>
          </w:p>
        </w:tc>
        <w:tc>
          <w:tcPr>
            <w:tcW w:w="2218" w:type="dxa"/>
            <w:vAlign w:val="top"/>
          </w:tcPr>
          <w:p w14:paraId="63CD8EF5">
            <w:pPr>
              <w:rPr>
                <w:rFonts w:hint="eastAsia" w:ascii="宋体" w:hAnsi="宋体" w:eastAsia="宋体" w:cs="宋体"/>
                <w:color w:val="auto"/>
                <w:sz w:val="21"/>
                <w:highlight w:val="none"/>
              </w:rPr>
            </w:pPr>
          </w:p>
        </w:tc>
        <w:tc>
          <w:tcPr>
            <w:tcW w:w="1460" w:type="dxa"/>
            <w:tcBorders>
              <w:right w:val="nil"/>
            </w:tcBorders>
            <w:vAlign w:val="top"/>
          </w:tcPr>
          <w:p w14:paraId="429EDD59">
            <w:pPr>
              <w:rPr>
                <w:rFonts w:hint="eastAsia" w:ascii="宋体" w:hAnsi="宋体" w:eastAsia="宋体" w:cs="宋体"/>
                <w:color w:val="auto"/>
                <w:sz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rightMargin">
                        <wp:posOffset>-3810</wp:posOffset>
                      </wp:positionH>
                      <wp:positionV relativeFrom="topMargin">
                        <wp:posOffset>635</wp:posOffset>
                      </wp:positionV>
                      <wp:extent cx="6350" cy="1087755"/>
                      <wp:effectExtent l="1905" t="0" r="6985" b="9525"/>
                      <wp:wrapNone/>
                      <wp:docPr id="4" name="任意多边形 4"/>
                      <wp:cNvGraphicFramePr/>
                      <a:graphic xmlns:a="http://schemas.openxmlformats.org/drawingml/2006/main">
                        <a:graphicData uri="http://schemas.microsoft.com/office/word/2010/wordprocessingShape">
                          <wps:wsp>
                            <wps:cNvSpPr/>
                            <wps:spPr>
                              <a:xfrm>
                                <a:off x="0" y="0"/>
                                <a:ext cx="6350" cy="1087755"/>
                              </a:xfrm>
                              <a:custGeom>
                                <a:avLst/>
                                <a:gdLst/>
                                <a:ahLst/>
                                <a:cxnLst/>
                                <a:pathLst>
                                  <a:path w="10" h="1713">
                                    <a:moveTo>
                                      <a:pt x="4" y="0"/>
                                    </a:moveTo>
                                    <a:lnTo>
                                      <a:pt x="4" y="1712"/>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72.7pt;margin-top:0.3pt;height:85.65pt;width:0.5pt;mso-position-horizontal-relative:page;mso-position-vertical-relative:page;z-index:251662336;mso-width-relative:page;mso-height-relative:page;" filled="f" stroked="t" coordsize="10,1713" o:gfxdata="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uYTwj0wAAAAMBAAAPAAAAAAAAAAEAIAAAACIAAABkcnMvZG93bnJl&#10;di54bWxQSwECFAAUAAAACACHTuJABnWNHjsCAACWBAAADgAAAAAAAAABACAAAAAiAQAAZHJzL2Uy&#10;b0RvYy54bWxQSwUGAAAAAAYABgBZAQAAzwUAAAAA&#10;" path="m4,0l4,1712e">
                      <v:fill on="f" focussize="0,0"/>
                      <v:stroke weight="0.48pt" color="#000000" joinstyle="bevel"/>
                      <v:imagedata o:title=""/>
                      <o:lock v:ext="edit" aspectratio="f"/>
                    </v:shape>
                  </w:pict>
                </mc:Fallback>
              </mc:AlternateContent>
            </w:r>
          </w:p>
        </w:tc>
      </w:tr>
    </w:tbl>
    <w:p w14:paraId="723DA320">
      <w:pPr>
        <w:pStyle w:val="2"/>
        <w:spacing w:line="291" w:lineRule="auto"/>
        <w:rPr>
          <w:rFonts w:hint="eastAsia" w:ascii="宋体" w:hAnsi="宋体" w:eastAsia="宋体" w:cs="宋体"/>
          <w:color w:val="auto"/>
          <w:highlight w:val="none"/>
        </w:rPr>
      </w:pPr>
    </w:p>
    <w:p w14:paraId="657AC03C">
      <w:pPr>
        <w:pStyle w:val="2"/>
        <w:spacing w:line="291" w:lineRule="auto"/>
        <w:rPr>
          <w:rFonts w:hint="eastAsia" w:ascii="宋体" w:hAnsi="宋体" w:eastAsia="宋体" w:cs="宋体"/>
          <w:color w:val="auto"/>
          <w:highlight w:val="none"/>
        </w:rPr>
      </w:pPr>
    </w:p>
    <w:p w14:paraId="62758AE3">
      <w:pPr>
        <w:spacing w:before="75" w:line="485" w:lineRule="auto"/>
        <w:ind w:left="1242" w:right="2983" w:hanging="6"/>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供应商名称（单位盖章）：</w:t>
      </w:r>
      <w:r>
        <w:rPr>
          <w:rFonts w:hint="eastAsia" w:ascii="宋体" w:hAnsi="宋体" w:eastAsia="宋体" w:cs="宋体"/>
          <w:color w:val="auto"/>
          <w:spacing w:val="-13"/>
          <w:sz w:val="23"/>
          <w:szCs w:val="23"/>
          <w:highlight w:val="none"/>
        </w:rPr>
        <w:t xml:space="preserve"> </w:t>
      </w:r>
      <w:r>
        <w:rPr>
          <w:rFonts w:hint="eastAsia" w:ascii="宋体" w:hAnsi="宋体" w:eastAsia="宋体" w:cs="宋体"/>
          <w:color w:val="auto"/>
          <w:spacing w:val="5"/>
          <w:sz w:val="23"/>
          <w:szCs w:val="23"/>
          <w:highlight w:val="none"/>
          <w:u w:val="single" w:color="auto"/>
        </w:rPr>
        <w:t xml:space="preserve">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1"/>
          <w:sz w:val="23"/>
          <w:szCs w:val="23"/>
          <w:highlight w:val="none"/>
        </w:rPr>
        <w:t xml:space="preserve"> </w:t>
      </w:r>
      <w:r>
        <w:rPr>
          <w:rFonts w:hint="eastAsia" w:ascii="宋体" w:hAnsi="宋体" w:eastAsia="宋体" w:cs="宋体"/>
          <w:color w:val="auto"/>
          <w:spacing w:val="7"/>
          <w:sz w:val="23"/>
          <w:szCs w:val="23"/>
          <w:highlight w:val="none"/>
        </w:rPr>
        <w:t>法定代表人或委托代理(签字):</w:t>
      </w:r>
      <w:r>
        <w:rPr>
          <w:rFonts w:hint="eastAsia" w:ascii="宋体" w:hAnsi="宋体" w:eastAsia="宋体" w:cs="宋体"/>
          <w:color w:val="auto"/>
          <w:sz w:val="23"/>
          <w:szCs w:val="23"/>
          <w:highlight w:val="none"/>
          <w:u w:val="single" w:color="auto"/>
        </w:rPr>
        <w:t xml:space="preserve">                </w:t>
      </w:r>
    </w:p>
    <w:p w14:paraId="7E9D8479">
      <w:pPr>
        <w:spacing w:before="38" w:line="231" w:lineRule="auto"/>
        <w:ind w:left="1421"/>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注:1、此表中，投标总价应和投标分项报价表的报价一致。</w:t>
      </w:r>
    </w:p>
    <w:p w14:paraId="3FB48CDC">
      <w:pPr>
        <w:pStyle w:val="2"/>
        <w:spacing w:line="242" w:lineRule="auto"/>
        <w:rPr>
          <w:rFonts w:hint="eastAsia" w:ascii="宋体" w:hAnsi="宋体" w:eastAsia="宋体" w:cs="宋体"/>
          <w:color w:val="auto"/>
          <w:highlight w:val="none"/>
        </w:rPr>
      </w:pPr>
    </w:p>
    <w:p w14:paraId="50FAAEC3">
      <w:pPr>
        <w:pStyle w:val="2"/>
        <w:spacing w:line="242" w:lineRule="auto"/>
        <w:rPr>
          <w:rFonts w:hint="eastAsia" w:ascii="宋体" w:hAnsi="宋体" w:eastAsia="宋体" w:cs="宋体"/>
          <w:color w:val="auto"/>
          <w:highlight w:val="none"/>
        </w:rPr>
      </w:pPr>
    </w:p>
    <w:p w14:paraId="0D5295EE">
      <w:pPr>
        <w:pStyle w:val="2"/>
        <w:spacing w:line="242" w:lineRule="auto"/>
        <w:rPr>
          <w:rFonts w:hint="eastAsia" w:ascii="宋体" w:hAnsi="宋体" w:eastAsia="宋体" w:cs="宋体"/>
          <w:color w:val="auto"/>
          <w:highlight w:val="none"/>
        </w:rPr>
      </w:pPr>
    </w:p>
    <w:p w14:paraId="7878BACF">
      <w:pPr>
        <w:pStyle w:val="2"/>
        <w:spacing w:line="243" w:lineRule="auto"/>
        <w:rPr>
          <w:rFonts w:hint="eastAsia" w:ascii="宋体" w:hAnsi="宋体" w:eastAsia="宋体" w:cs="宋体"/>
          <w:color w:val="auto"/>
          <w:highlight w:val="none"/>
        </w:rPr>
      </w:pPr>
    </w:p>
    <w:p w14:paraId="3273E849">
      <w:pPr>
        <w:pStyle w:val="2"/>
        <w:spacing w:line="243" w:lineRule="auto"/>
        <w:rPr>
          <w:rFonts w:hint="eastAsia" w:ascii="宋体" w:hAnsi="宋体" w:eastAsia="宋体" w:cs="宋体"/>
          <w:color w:val="auto"/>
          <w:highlight w:val="none"/>
        </w:rPr>
      </w:pPr>
    </w:p>
    <w:p w14:paraId="6326EA64">
      <w:pPr>
        <w:pStyle w:val="2"/>
        <w:spacing w:line="243" w:lineRule="auto"/>
        <w:rPr>
          <w:rFonts w:hint="eastAsia" w:ascii="宋体" w:hAnsi="宋体" w:eastAsia="宋体" w:cs="宋体"/>
          <w:color w:val="auto"/>
          <w:highlight w:val="none"/>
        </w:rPr>
      </w:pPr>
    </w:p>
    <w:p w14:paraId="41C60999">
      <w:pPr>
        <w:pStyle w:val="2"/>
        <w:spacing w:line="243" w:lineRule="auto"/>
        <w:rPr>
          <w:rFonts w:hint="eastAsia" w:ascii="宋体" w:hAnsi="宋体" w:eastAsia="宋体" w:cs="宋体"/>
          <w:color w:val="auto"/>
          <w:highlight w:val="none"/>
        </w:rPr>
      </w:pPr>
    </w:p>
    <w:p w14:paraId="5F4FBE02">
      <w:pPr>
        <w:pStyle w:val="2"/>
        <w:spacing w:line="243" w:lineRule="auto"/>
        <w:rPr>
          <w:rFonts w:hint="eastAsia" w:ascii="宋体" w:hAnsi="宋体" w:eastAsia="宋体" w:cs="宋体"/>
          <w:color w:val="auto"/>
          <w:highlight w:val="none"/>
        </w:rPr>
      </w:pPr>
    </w:p>
    <w:p w14:paraId="526604E7">
      <w:pPr>
        <w:pStyle w:val="2"/>
        <w:spacing w:line="243" w:lineRule="auto"/>
        <w:rPr>
          <w:rFonts w:hint="eastAsia" w:ascii="宋体" w:hAnsi="宋体" w:eastAsia="宋体" w:cs="宋体"/>
          <w:color w:val="auto"/>
          <w:highlight w:val="none"/>
        </w:rPr>
      </w:pPr>
    </w:p>
    <w:p w14:paraId="183C7C7B">
      <w:pPr>
        <w:pStyle w:val="2"/>
        <w:spacing w:line="243" w:lineRule="auto"/>
        <w:rPr>
          <w:rFonts w:hint="eastAsia" w:ascii="宋体" w:hAnsi="宋体" w:eastAsia="宋体" w:cs="宋体"/>
          <w:color w:val="auto"/>
          <w:highlight w:val="none"/>
        </w:rPr>
      </w:pPr>
    </w:p>
    <w:p w14:paraId="2E39166E">
      <w:pPr>
        <w:pStyle w:val="2"/>
        <w:spacing w:line="243" w:lineRule="auto"/>
        <w:rPr>
          <w:rFonts w:hint="eastAsia" w:ascii="宋体" w:hAnsi="宋体" w:eastAsia="宋体" w:cs="宋体"/>
          <w:color w:val="auto"/>
          <w:highlight w:val="none"/>
        </w:rPr>
      </w:pPr>
    </w:p>
    <w:p w14:paraId="3F74F141">
      <w:pPr>
        <w:spacing w:before="75" w:line="229" w:lineRule="auto"/>
        <w:ind w:left="1845"/>
        <w:outlineLvl w:val="1"/>
        <w:rPr>
          <w:rFonts w:hint="eastAsia" w:ascii="宋体" w:hAnsi="宋体" w:eastAsia="宋体" w:cs="宋体"/>
          <w:color w:val="auto"/>
          <w:sz w:val="23"/>
          <w:szCs w:val="23"/>
          <w:highlight w:val="none"/>
        </w:rPr>
      </w:pPr>
      <w:bookmarkStart w:id="572" w:name="bookmark100"/>
      <w:bookmarkEnd w:id="572"/>
      <w:r>
        <w:rPr>
          <w:rFonts w:hint="eastAsia" w:ascii="宋体" w:hAnsi="宋体" w:eastAsia="宋体" w:cs="宋体"/>
          <w:b/>
          <w:bCs/>
          <w:color w:val="auto"/>
          <w:spacing w:val="6"/>
          <w:sz w:val="23"/>
          <w:szCs w:val="23"/>
          <w:highlight w:val="none"/>
        </w:rPr>
        <w:t>2</w:t>
      </w:r>
      <w:r>
        <w:rPr>
          <w:rFonts w:hint="eastAsia" w:ascii="宋体" w:hAnsi="宋体" w:eastAsia="宋体" w:cs="宋体"/>
          <w:color w:val="auto"/>
          <w:spacing w:val="6"/>
          <w:sz w:val="23"/>
          <w:szCs w:val="23"/>
          <w:highlight w:val="none"/>
        </w:rPr>
        <w:t xml:space="preserve">  </w:t>
      </w:r>
      <w:r>
        <w:rPr>
          <w:rFonts w:hint="eastAsia" w:ascii="宋体" w:hAnsi="宋体" w:eastAsia="宋体" w:cs="宋体"/>
          <w:b/>
          <w:bCs/>
          <w:color w:val="auto"/>
          <w:spacing w:val="6"/>
          <w:sz w:val="23"/>
          <w:szCs w:val="23"/>
          <w:highlight w:val="none"/>
        </w:rPr>
        <w:t>具有相应的营业执照副本原件扫描件（须加盖本单位章）</w:t>
      </w:r>
      <w:r>
        <w:rPr>
          <w:rFonts w:hint="eastAsia" w:ascii="宋体" w:hAnsi="宋体" w:eastAsia="宋体" w:cs="宋体"/>
          <w:color w:val="auto"/>
          <w:spacing w:val="-43"/>
          <w:sz w:val="23"/>
          <w:szCs w:val="23"/>
          <w:highlight w:val="none"/>
        </w:rPr>
        <w:t xml:space="preserve"> </w:t>
      </w:r>
      <w:r>
        <w:rPr>
          <w:rFonts w:hint="eastAsia" w:ascii="宋体" w:hAnsi="宋体" w:eastAsia="宋体" w:cs="宋体"/>
          <w:b/>
          <w:bCs/>
          <w:color w:val="auto"/>
          <w:spacing w:val="6"/>
          <w:sz w:val="23"/>
          <w:szCs w:val="23"/>
          <w:highlight w:val="none"/>
        </w:rPr>
        <w:t>;</w:t>
      </w:r>
    </w:p>
    <w:p w14:paraId="14E07304">
      <w:pPr>
        <w:pStyle w:val="2"/>
        <w:spacing w:line="261" w:lineRule="auto"/>
        <w:rPr>
          <w:rFonts w:hint="eastAsia" w:ascii="宋体" w:hAnsi="宋体" w:eastAsia="宋体" w:cs="宋体"/>
          <w:color w:val="auto"/>
          <w:highlight w:val="none"/>
        </w:rPr>
      </w:pPr>
    </w:p>
    <w:p w14:paraId="438835CB">
      <w:pPr>
        <w:spacing w:before="76"/>
        <w:ind w:left="2137" w:right="974" w:hanging="964"/>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rPr>
        <w:t>说明：1.提供有效的营业执照等证明文件原件扫描件，原件扫描件上应加</w:t>
      </w:r>
      <w:r>
        <w:rPr>
          <w:rFonts w:hint="eastAsia" w:ascii="宋体" w:hAnsi="宋体" w:eastAsia="宋体" w:cs="宋体"/>
          <w:color w:val="auto"/>
          <w:spacing w:val="3"/>
          <w:sz w:val="23"/>
          <w:szCs w:val="23"/>
          <w:highlight w:val="none"/>
        </w:rPr>
        <w:t xml:space="preserve"> </w:t>
      </w:r>
      <w:r>
        <w:rPr>
          <w:rFonts w:hint="eastAsia" w:ascii="宋体" w:hAnsi="宋体" w:eastAsia="宋体" w:cs="宋体"/>
          <w:color w:val="auto"/>
          <w:sz w:val="23"/>
          <w:szCs w:val="23"/>
          <w:highlight w:val="none"/>
        </w:rPr>
        <w:t>盖本单位章。</w:t>
      </w:r>
    </w:p>
    <w:p w14:paraId="4BA36E61">
      <w:pPr>
        <w:spacing w:before="26" w:line="231" w:lineRule="auto"/>
        <w:ind w:left="1950"/>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2. 供应商为自然人的，应提供身份证明的原件扫描件。</w:t>
      </w:r>
    </w:p>
    <w:p w14:paraId="6AD1D669">
      <w:pPr>
        <w:spacing w:before="24" w:line="231" w:lineRule="auto"/>
        <w:ind w:left="1952"/>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3.联合体投标应提供联合体各方满足以上</w:t>
      </w:r>
      <w:r>
        <w:rPr>
          <w:rFonts w:hint="eastAsia" w:ascii="宋体" w:hAnsi="宋体" w:eastAsia="宋体" w:cs="宋体"/>
          <w:color w:val="auto"/>
          <w:spacing w:val="7"/>
          <w:sz w:val="23"/>
          <w:szCs w:val="23"/>
          <w:highlight w:val="none"/>
        </w:rPr>
        <w:t>要求的证明文件。</w:t>
      </w:r>
    </w:p>
    <w:p w14:paraId="18E24A3D">
      <w:pPr>
        <w:spacing w:line="231" w:lineRule="auto"/>
        <w:rPr>
          <w:rFonts w:hint="eastAsia" w:ascii="宋体" w:hAnsi="宋体" w:eastAsia="宋体" w:cs="宋体"/>
          <w:color w:val="auto"/>
          <w:sz w:val="23"/>
          <w:szCs w:val="23"/>
          <w:highlight w:val="none"/>
        </w:rPr>
        <w:sectPr>
          <w:footerReference r:id="rId15" w:type="default"/>
          <w:pgSz w:w="11906" w:h="16838"/>
          <w:pgMar w:top="1427" w:right="945" w:bottom="1171" w:left="1118" w:header="1134" w:footer="996" w:gutter="0"/>
          <w:pgNumType w:fmt="decimal"/>
          <w:cols w:space="720" w:num="1"/>
        </w:sectPr>
      </w:pPr>
    </w:p>
    <w:p w14:paraId="7447EA73">
      <w:pPr>
        <w:spacing w:before="75" w:line="231" w:lineRule="auto"/>
        <w:ind w:left="597"/>
        <w:outlineLvl w:val="1"/>
        <w:rPr>
          <w:rFonts w:hint="eastAsia" w:ascii="宋体" w:hAnsi="宋体" w:eastAsia="宋体" w:cs="宋体"/>
          <w:color w:val="auto"/>
          <w:sz w:val="23"/>
          <w:szCs w:val="23"/>
          <w:highlight w:val="none"/>
        </w:rPr>
      </w:pPr>
      <w:bookmarkStart w:id="573" w:name="bookmark152"/>
      <w:bookmarkEnd w:id="573"/>
      <w:bookmarkStart w:id="574" w:name="bookmark102"/>
      <w:bookmarkEnd w:id="574"/>
      <w:r>
        <w:rPr>
          <w:rFonts w:hint="eastAsia" w:ascii="宋体" w:hAnsi="宋体" w:eastAsia="宋体" w:cs="宋体"/>
          <w:b/>
          <w:bCs/>
          <w:color w:val="auto"/>
          <w:spacing w:val="6"/>
          <w:sz w:val="23"/>
          <w:szCs w:val="23"/>
          <w:highlight w:val="none"/>
        </w:rPr>
        <w:t>3</w:t>
      </w:r>
      <w:r>
        <w:rPr>
          <w:rFonts w:hint="eastAsia" w:ascii="宋体" w:hAnsi="宋体" w:eastAsia="宋体" w:cs="宋体"/>
          <w:color w:val="auto"/>
          <w:spacing w:val="6"/>
          <w:sz w:val="23"/>
          <w:szCs w:val="23"/>
          <w:highlight w:val="none"/>
        </w:rPr>
        <w:t xml:space="preserve">  </w:t>
      </w:r>
      <w:r>
        <w:rPr>
          <w:rFonts w:hint="eastAsia" w:ascii="宋体" w:hAnsi="宋体" w:eastAsia="宋体" w:cs="宋体"/>
          <w:b/>
          <w:bCs/>
          <w:color w:val="auto"/>
          <w:spacing w:val="6"/>
          <w:sz w:val="23"/>
          <w:szCs w:val="23"/>
          <w:highlight w:val="none"/>
        </w:rPr>
        <w:t>法定代表人授权委托书及被委托人身份证（法定代表人投标提供法</w:t>
      </w:r>
      <w:r>
        <w:rPr>
          <w:rFonts w:hint="eastAsia" w:ascii="宋体" w:hAnsi="宋体" w:eastAsia="宋体" w:cs="宋体"/>
          <w:b/>
          <w:bCs/>
          <w:color w:val="auto"/>
          <w:spacing w:val="5"/>
          <w:sz w:val="23"/>
          <w:szCs w:val="23"/>
          <w:highlight w:val="none"/>
        </w:rPr>
        <w:t>定代表人身份证明及身份证）见响应文件格式二，自然人</w:t>
      </w:r>
      <w:r>
        <w:rPr>
          <w:rFonts w:hint="eastAsia" w:ascii="宋体" w:hAnsi="宋体" w:eastAsia="宋体" w:cs="宋体"/>
          <w:b/>
          <w:bCs/>
          <w:color w:val="auto"/>
          <w:spacing w:val="4"/>
          <w:sz w:val="23"/>
          <w:szCs w:val="23"/>
          <w:highlight w:val="none"/>
        </w:rPr>
        <w:t>投标的无需提供;</w:t>
      </w:r>
    </w:p>
    <w:p w14:paraId="7C439D4E">
      <w:pPr>
        <w:pStyle w:val="2"/>
        <w:spacing w:before="102" w:line="233" w:lineRule="auto"/>
        <w:ind w:left="3161"/>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法定代表人身份证明</w:t>
      </w:r>
    </w:p>
    <w:p w14:paraId="475469A5">
      <w:pPr>
        <w:pStyle w:val="2"/>
        <w:tabs>
          <w:tab w:val="left" w:pos="1665"/>
        </w:tabs>
        <w:spacing w:after="0" w:line="240" w:lineRule="auto"/>
        <w:ind w:left="0" w:right="0"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color="auto"/>
        </w:rPr>
        <w:tab/>
      </w:r>
      <w:r>
        <w:rPr>
          <w:rFonts w:hint="eastAsia" w:ascii="宋体" w:hAnsi="宋体" w:eastAsia="宋体" w:cs="宋体"/>
          <w:color w:val="auto"/>
          <w:spacing w:val="-62"/>
          <w:sz w:val="28"/>
          <w:szCs w:val="28"/>
          <w:highlight w:val="none"/>
        </w:rPr>
        <w:t xml:space="preserve"> </w:t>
      </w:r>
      <w:r>
        <w:rPr>
          <w:rFonts w:hint="eastAsia" w:ascii="宋体" w:hAnsi="宋体" w:eastAsia="宋体" w:cs="宋体"/>
          <w:color w:val="auto"/>
          <w:spacing w:val="-10"/>
          <w:sz w:val="28"/>
          <w:szCs w:val="28"/>
          <w:highlight w:val="none"/>
        </w:rPr>
        <w:t>同志，现任我单位</w:t>
      </w:r>
      <w:r>
        <w:rPr>
          <w:rFonts w:hint="eastAsia" w:ascii="宋体" w:hAnsi="宋体" w:eastAsia="宋体" w:cs="宋体"/>
          <w:color w:val="auto"/>
          <w:spacing w:val="2"/>
          <w:sz w:val="28"/>
          <w:szCs w:val="28"/>
          <w:highlight w:val="none"/>
          <w:u w:val="single" w:color="auto"/>
        </w:rPr>
        <w:t xml:space="preserve">            </w:t>
      </w:r>
      <w:r>
        <w:rPr>
          <w:rFonts w:hint="eastAsia" w:ascii="宋体" w:hAnsi="宋体" w:eastAsia="宋体" w:cs="宋体"/>
          <w:color w:val="auto"/>
          <w:spacing w:val="-81"/>
          <w:sz w:val="28"/>
          <w:szCs w:val="28"/>
          <w:highlight w:val="none"/>
        </w:rPr>
        <w:t xml:space="preserve"> </w:t>
      </w:r>
      <w:r>
        <w:rPr>
          <w:rFonts w:hint="eastAsia" w:ascii="宋体" w:hAnsi="宋体" w:eastAsia="宋体" w:cs="宋体"/>
          <w:color w:val="auto"/>
          <w:spacing w:val="-10"/>
          <w:sz w:val="28"/>
          <w:szCs w:val="28"/>
          <w:highlight w:val="none"/>
        </w:rPr>
        <w:t>职务，为法定代表人，特</w:t>
      </w:r>
      <w:r>
        <w:rPr>
          <w:rFonts w:hint="eastAsia" w:ascii="宋体" w:hAnsi="宋体" w:eastAsia="宋体" w:cs="宋体"/>
          <w:color w:val="auto"/>
          <w:spacing w:val="-11"/>
          <w:sz w:val="28"/>
          <w:szCs w:val="28"/>
          <w:highlight w:val="none"/>
        </w:rPr>
        <w:t>此证</w:t>
      </w:r>
      <w:r>
        <w:rPr>
          <w:rFonts w:hint="eastAsia" w:ascii="宋体" w:hAnsi="宋体" w:eastAsia="宋体" w:cs="宋体"/>
          <w:color w:val="auto"/>
          <w:spacing w:val="-20"/>
          <w:sz w:val="28"/>
          <w:szCs w:val="28"/>
          <w:highlight w:val="none"/>
        </w:rPr>
        <w:t>明。</w:t>
      </w:r>
    </w:p>
    <w:p w14:paraId="2DB14DFB">
      <w:pPr>
        <w:pStyle w:val="2"/>
        <w:spacing w:before="17" w:line="231" w:lineRule="auto"/>
        <w:ind w:left="290"/>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签发日期：</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6"/>
          <w:sz w:val="28"/>
          <w:szCs w:val="28"/>
          <w:highlight w:val="none"/>
        </w:rPr>
        <w:t>单位：</w:t>
      </w:r>
    </w:p>
    <w:p w14:paraId="653C9FF0">
      <w:pPr>
        <w:pStyle w:val="2"/>
        <w:spacing w:before="230" w:line="233" w:lineRule="auto"/>
        <w:ind w:left="303"/>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 xml:space="preserve">附：代表人性别：               </w:t>
      </w:r>
      <w:r>
        <w:rPr>
          <w:rFonts w:hint="eastAsia" w:ascii="宋体" w:hAnsi="宋体" w:eastAsia="宋体" w:cs="宋体"/>
          <w:color w:val="auto"/>
          <w:spacing w:val="-3"/>
          <w:sz w:val="28"/>
          <w:szCs w:val="28"/>
          <w:highlight w:val="none"/>
        </w:rPr>
        <w:t>年龄：          身份证号码：</w:t>
      </w:r>
    </w:p>
    <w:p w14:paraId="54D4BAA1">
      <w:pPr>
        <w:pStyle w:val="2"/>
        <w:spacing w:before="227" w:line="233" w:lineRule="auto"/>
        <w:ind w:left="279"/>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联系电话：</w:t>
      </w:r>
    </w:p>
    <w:p w14:paraId="1863756F">
      <w:pPr>
        <w:pStyle w:val="2"/>
        <w:spacing w:before="226" w:line="233" w:lineRule="auto"/>
        <w:ind w:left="298"/>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营业执照号码：</w:t>
      </w:r>
      <w:r>
        <w:rPr>
          <w:rFonts w:hint="eastAsia" w:ascii="宋体" w:hAnsi="宋体" w:eastAsia="宋体" w:cs="宋体"/>
          <w:color w:val="auto"/>
          <w:spacing w:val="3"/>
          <w:sz w:val="28"/>
          <w:szCs w:val="28"/>
          <w:highlight w:val="none"/>
        </w:rPr>
        <w:t xml:space="preserve">                 </w:t>
      </w:r>
      <w:r>
        <w:rPr>
          <w:rFonts w:hint="eastAsia" w:ascii="宋体" w:hAnsi="宋体" w:eastAsia="宋体" w:cs="宋体"/>
          <w:color w:val="auto"/>
          <w:spacing w:val="-8"/>
          <w:sz w:val="28"/>
          <w:szCs w:val="28"/>
          <w:highlight w:val="none"/>
        </w:rPr>
        <w:t>经济性质：</w:t>
      </w:r>
    </w:p>
    <w:p w14:paraId="71927D2A">
      <w:pPr>
        <w:pStyle w:val="2"/>
        <w:spacing w:before="226" w:line="237" w:lineRule="auto"/>
        <w:ind w:left="1"/>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说明：</w:t>
      </w:r>
    </w:p>
    <w:p w14:paraId="02A0E69F">
      <w:pPr>
        <w:pStyle w:val="2"/>
        <w:spacing w:before="103" w:line="344" w:lineRule="auto"/>
        <w:ind w:left="17" w:right="1568" w:firstLine="295"/>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1、法定代表人为企业事业单位、国家机关、社会团体的主要行政负责</w:t>
      </w:r>
      <w:r>
        <w:rPr>
          <w:rFonts w:hint="eastAsia" w:ascii="宋体" w:hAnsi="宋体" w:eastAsia="宋体" w:cs="宋体"/>
          <w:color w:val="auto"/>
          <w:spacing w:val="7"/>
          <w:sz w:val="28"/>
          <w:szCs w:val="28"/>
          <w:highlight w:val="none"/>
        </w:rPr>
        <w:t xml:space="preserve"> </w:t>
      </w:r>
      <w:r>
        <w:rPr>
          <w:rFonts w:hint="eastAsia" w:ascii="宋体" w:hAnsi="宋体" w:eastAsia="宋体" w:cs="宋体"/>
          <w:color w:val="auto"/>
          <w:spacing w:val="-13"/>
          <w:sz w:val="28"/>
          <w:szCs w:val="28"/>
          <w:highlight w:val="none"/>
        </w:rPr>
        <w:t>人。</w:t>
      </w:r>
    </w:p>
    <w:p w14:paraId="08760B32">
      <w:pPr>
        <w:pStyle w:val="2"/>
        <w:spacing w:before="76" w:line="229" w:lineRule="auto"/>
        <w:ind w:left="285"/>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2、内容必须填写真实、清楚、涂改无效，不得转让。</w:t>
      </w:r>
    </w:p>
    <w:p w14:paraId="2BD474EE">
      <w:pPr>
        <w:pStyle w:val="2"/>
        <w:spacing w:line="240" w:lineRule="auto"/>
        <w:ind w:left="0" w:right="0" w:firstLine="0"/>
        <w:rPr>
          <w:rFonts w:hint="eastAsia" w:ascii="宋体" w:hAnsi="宋体" w:eastAsia="宋体" w:cs="宋体"/>
          <w:color w:val="auto"/>
          <w:sz w:val="21"/>
          <w:highlight w:val="none"/>
        </w:rPr>
      </w:pPr>
      <w:r>
        <w:rPr>
          <w:rFonts w:hint="eastAsia" w:ascii="宋体" w:hAnsi="宋体" w:eastAsia="宋体" w:cs="宋体"/>
          <w:color w:val="auto"/>
          <w:spacing w:val="-2"/>
          <w:sz w:val="28"/>
          <w:szCs w:val="28"/>
          <w:highlight w:val="none"/>
        </w:rPr>
        <w:t>3、将此证明书原件提交采购代理机构作为响应文件附件。</w:t>
      </w:r>
      <w:r>
        <w:rPr>
          <w:rFonts w:hint="eastAsia" w:ascii="宋体" w:hAnsi="宋体" w:eastAsia="宋体" w:cs="宋体"/>
          <w:color w:val="auto"/>
          <w:spacing w:val="6"/>
          <w:sz w:val="28"/>
          <w:szCs w:val="28"/>
          <w:highlight w:val="none"/>
        </w:rPr>
        <w:t xml:space="preserve"> </w:t>
      </w:r>
      <w:r>
        <w:rPr>
          <w:rFonts w:hint="eastAsia" w:ascii="宋体" w:hAnsi="宋体" w:eastAsia="宋体" w:cs="宋体"/>
          <w:color w:val="auto"/>
          <w:spacing w:val="-1"/>
          <w:sz w:val="28"/>
          <w:szCs w:val="28"/>
          <w:highlight w:val="none"/>
        </w:rPr>
        <w:t>(为避免废标，请供应商务必提供本附件)</w:t>
      </w:r>
    </w:p>
    <w:p w14:paraId="475A2D70">
      <w:pPr>
        <w:spacing w:line="244" w:lineRule="auto"/>
        <w:rPr>
          <w:rFonts w:hint="eastAsia" w:ascii="宋体" w:hAnsi="宋体" w:eastAsia="宋体" w:cs="宋体"/>
          <w:color w:val="auto"/>
          <w:sz w:val="21"/>
          <w:highlight w:val="none"/>
        </w:rPr>
      </w:pPr>
    </w:p>
    <w:p w14:paraId="7450CC82">
      <w:pPr>
        <w:spacing w:line="2510" w:lineRule="exact"/>
        <w:ind w:firstLine="234"/>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g">
            <w:drawing>
              <wp:anchor distT="0" distB="0" distL="114300" distR="114300" simplePos="0" relativeHeight="251663360" behindDoc="0" locked="0" layoutInCell="1" allowOverlap="1">
                <wp:simplePos x="0" y="0"/>
                <wp:positionH relativeFrom="column">
                  <wp:posOffset>2908935</wp:posOffset>
                </wp:positionH>
                <wp:positionV relativeFrom="paragraph">
                  <wp:posOffset>14605</wp:posOffset>
                </wp:positionV>
                <wp:extent cx="2625725" cy="1572895"/>
                <wp:effectExtent l="12700" t="0" r="13335" b="45085"/>
                <wp:wrapNone/>
                <wp:docPr id="17" name="组合 17"/>
                <wp:cNvGraphicFramePr/>
                <a:graphic xmlns:a="http://schemas.openxmlformats.org/drawingml/2006/main">
                  <a:graphicData uri="http://schemas.microsoft.com/office/word/2010/wordprocessingGroup">
                    <wpg:wgp>
                      <wpg:cNvGrpSpPr/>
                      <wpg:grpSpPr>
                        <a:xfrm>
                          <a:off x="0" y="0"/>
                          <a:ext cx="2625725" cy="1572895"/>
                          <a:chOff x="0" y="0"/>
                          <a:chExt cx="4135" cy="2476"/>
                        </a:xfrm>
                      </wpg:grpSpPr>
                      <pic:pic xmlns:pic="http://schemas.openxmlformats.org/drawingml/2006/picture">
                        <pic:nvPicPr>
                          <pic:cNvPr id="15" name="图片 3"/>
                          <pic:cNvPicPr>
                            <a:picLocks noChangeAspect="1"/>
                          </pic:cNvPicPr>
                        </pic:nvPicPr>
                        <pic:blipFill>
                          <a:blip r:embed="rId39"/>
                          <a:stretch>
                            <a:fillRect/>
                          </a:stretch>
                        </pic:blipFill>
                        <pic:spPr>
                          <a:xfrm>
                            <a:off x="0" y="0"/>
                            <a:ext cx="4135" cy="2476"/>
                          </a:xfrm>
                          <a:prstGeom prst="rect">
                            <a:avLst/>
                          </a:prstGeom>
                          <a:noFill/>
                          <a:ln>
                            <a:noFill/>
                          </a:ln>
                        </pic:spPr>
                      </pic:pic>
                      <wps:wsp>
                        <wps:cNvPr id="16" name="文本框 16"/>
                        <wps:cNvSpPr txBox="1"/>
                        <wps:spPr>
                          <a:xfrm>
                            <a:off x="-20" y="-20"/>
                            <a:ext cx="4175" cy="2555"/>
                          </a:xfrm>
                          <a:prstGeom prst="rect">
                            <a:avLst/>
                          </a:prstGeom>
                          <a:noFill/>
                          <a:ln>
                            <a:noFill/>
                          </a:ln>
                        </wps:spPr>
                        <wps:txbx>
                          <w:txbxContent>
                            <w:p w14:paraId="12CA4CC1">
                              <w:pPr>
                                <w:spacing w:line="287" w:lineRule="auto"/>
                                <w:rPr>
                                  <w:rFonts w:ascii="Arial"/>
                                  <w:sz w:val="21"/>
                                </w:rPr>
                              </w:pPr>
                            </w:p>
                            <w:p w14:paraId="2F171E90">
                              <w:pPr>
                                <w:spacing w:line="287" w:lineRule="auto"/>
                                <w:rPr>
                                  <w:rFonts w:ascii="Arial"/>
                                  <w:sz w:val="21"/>
                                </w:rPr>
                              </w:pPr>
                            </w:p>
                            <w:p w14:paraId="2EF20001">
                              <w:pPr>
                                <w:spacing w:line="287" w:lineRule="auto"/>
                                <w:rPr>
                                  <w:rFonts w:ascii="Arial"/>
                                  <w:sz w:val="21"/>
                                </w:rPr>
                              </w:pPr>
                            </w:p>
                            <w:p w14:paraId="08A9B50F">
                              <w:pPr>
                                <w:spacing w:line="288" w:lineRule="auto"/>
                                <w:rPr>
                                  <w:rFonts w:ascii="Arial"/>
                                  <w:sz w:val="21"/>
                                </w:rPr>
                              </w:pPr>
                            </w:p>
                            <w:p w14:paraId="521EED0A">
                              <w:pPr>
                                <w:spacing w:before="65" w:line="228" w:lineRule="auto"/>
                                <w:ind w:left="730"/>
                                <w:rPr>
                                  <w:rFonts w:ascii="宋体" w:hAnsi="宋体" w:eastAsia="宋体" w:cs="宋体"/>
                                  <w:sz w:val="20"/>
                                  <w:szCs w:val="20"/>
                                </w:rPr>
                              </w:pPr>
                              <w:r>
                                <w:rPr>
                                  <w:rFonts w:ascii="宋体" w:hAnsi="宋体" w:eastAsia="宋体" w:cs="宋体"/>
                                  <w:spacing w:val="9"/>
                                  <w:sz w:val="20"/>
                                  <w:szCs w:val="20"/>
                                </w:rPr>
                                <w:t>法定代表人身份证复印件反面</w:t>
                              </w:r>
                            </w:p>
                          </w:txbxContent>
                        </wps:txbx>
                        <wps:bodyPr lIns="0" tIns="0" rIns="0" bIns="0" upright="1"/>
                      </wps:wsp>
                    </wpg:wgp>
                  </a:graphicData>
                </a:graphic>
              </wp:anchor>
            </w:drawing>
          </mc:Choice>
          <mc:Fallback>
            <w:pict>
              <v:group id="_x0000_s1026" o:spid="_x0000_s1026" o:spt="203" style="position:absolute;left:0pt;margin-left:229.05pt;margin-top:1.15pt;height:123.85pt;width:206.75pt;z-index:251663360;mso-width-relative:page;mso-height-relative:page;" coordsize="4135,2476" o:gfxdata="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">
                <o:lock v:ext="edit" aspectratio="f"/>
                <v:shape id="图片 3" o:spid="_x0000_s1026" o:spt="75" type="#_x0000_t75" style="position:absolute;left:0;top:0;height:2476;width:4135;" filled="f" o:preferrelative="t" stroked="f" coordsize="21600,21600" o:gfxdata="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JyXbLgAAADbAAAA&#10;DwAAAAAAAAABACAAAAAiAAAAZHJzL2Rvd25yZXYueG1sUEsBAhQAFAAAAAgAh07iQDMvBZ47AAAA&#10;OQAAABAAAAAAAAAAAQAgAAAABwEAAGRycy9zaGFwZXhtbC54bWxQSwUGAAAAAAYABgBbAQAAsQMA&#10;AAAA&#10;">
                  <v:fill on="f" focussize="0,0"/>
                  <v:stroke on="f"/>
                  <v:imagedata r:id="rId39" o:title=""/>
                  <o:lock v:ext="edit" aspectratio="t"/>
                </v:shape>
                <v:shape id="_x0000_s1026" o:spid="_x0000_s1026" o:spt="202" type="#_x0000_t202" style="position:absolute;left:-20;top:-20;height:2555;width:4175;"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2CA4CC1">
                        <w:pPr>
                          <w:spacing w:line="287" w:lineRule="auto"/>
                          <w:rPr>
                            <w:rFonts w:ascii="Arial"/>
                            <w:sz w:val="21"/>
                          </w:rPr>
                        </w:pPr>
                      </w:p>
                      <w:p w14:paraId="2F171E90">
                        <w:pPr>
                          <w:spacing w:line="287" w:lineRule="auto"/>
                          <w:rPr>
                            <w:rFonts w:ascii="Arial"/>
                            <w:sz w:val="21"/>
                          </w:rPr>
                        </w:pPr>
                      </w:p>
                      <w:p w14:paraId="2EF20001">
                        <w:pPr>
                          <w:spacing w:line="287" w:lineRule="auto"/>
                          <w:rPr>
                            <w:rFonts w:ascii="Arial"/>
                            <w:sz w:val="21"/>
                          </w:rPr>
                        </w:pPr>
                      </w:p>
                      <w:p w14:paraId="08A9B50F">
                        <w:pPr>
                          <w:spacing w:line="288" w:lineRule="auto"/>
                          <w:rPr>
                            <w:rFonts w:ascii="Arial"/>
                            <w:sz w:val="21"/>
                          </w:rPr>
                        </w:pPr>
                      </w:p>
                      <w:p w14:paraId="521EED0A">
                        <w:pPr>
                          <w:spacing w:before="65" w:line="228" w:lineRule="auto"/>
                          <w:ind w:left="730"/>
                          <w:rPr>
                            <w:rFonts w:ascii="宋体" w:hAnsi="宋体" w:eastAsia="宋体" w:cs="宋体"/>
                            <w:sz w:val="20"/>
                            <w:szCs w:val="20"/>
                          </w:rPr>
                        </w:pPr>
                        <w:r>
                          <w:rPr>
                            <w:rFonts w:ascii="宋体" w:hAnsi="宋体" w:eastAsia="宋体" w:cs="宋体"/>
                            <w:spacing w:val="9"/>
                            <w:sz w:val="20"/>
                            <w:szCs w:val="20"/>
                          </w:rPr>
                          <w:t>法定代表人身份证复印件反面</w:t>
                        </w:r>
                      </w:p>
                    </w:txbxContent>
                  </v:textbox>
                </v:shape>
              </v:group>
            </w:pict>
          </mc:Fallback>
        </mc:AlternateContent>
      </w:r>
      <w:r>
        <w:rPr>
          <w:rFonts w:hint="eastAsia" w:ascii="宋体" w:hAnsi="宋体" w:eastAsia="宋体" w:cs="宋体"/>
          <w:color w:val="auto"/>
          <w:position w:val="-50"/>
          <w:highlight w:val="none"/>
        </w:rPr>
        <mc:AlternateContent>
          <mc:Choice Requires="wpg">
            <w:drawing>
              <wp:inline distT="0" distB="0" distL="114300" distR="114300">
                <wp:extent cx="2343150" cy="1593850"/>
                <wp:effectExtent l="12700" t="0" r="21590" b="24130"/>
                <wp:docPr id="5" name="组合 5"/>
                <wp:cNvGraphicFramePr/>
                <a:graphic xmlns:a="http://schemas.openxmlformats.org/drawingml/2006/main">
                  <a:graphicData uri="http://schemas.microsoft.com/office/word/2010/wordprocessingGroup">
                    <wpg:wgp>
                      <wpg:cNvGrpSpPr/>
                      <wpg:grpSpPr>
                        <a:xfrm>
                          <a:off x="0" y="0"/>
                          <a:ext cx="2343150" cy="1593850"/>
                          <a:chOff x="0" y="0"/>
                          <a:chExt cx="3690" cy="2510"/>
                        </a:xfrm>
                      </wpg:grpSpPr>
                      <pic:pic xmlns:pic="http://schemas.openxmlformats.org/drawingml/2006/picture">
                        <pic:nvPicPr>
                          <pic:cNvPr id="2" name="图片 6"/>
                          <pic:cNvPicPr>
                            <a:picLocks noChangeAspect="1"/>
                          </pic:cNvPicPr>
                        </pic:nvPicPr>
                        <pic:blipFill>
                          <a:blip r:embed="rId40"/>
                          <a:stretch>
                            <a:fillRect/>
                          </a:stretch>
                        </pic:blipFill>
                        <pic:spPr>
                          <a:xfrm>
                            <a:off x="0" y="0"/>
                            <a:ext cx="3690" cy="2510"/>
                          </a:xfrm>
                          <a:prstGeom prst="rect">
                            <a:avLst/>
                          </a:prstGeom>
                          <a:noFill/>
                          <a:ln>
                            <a:noFill/>
                          </a:ln>
                        </pic:spPr>
                      </pic:pic>
                      <wps:wsp>
                        <wps:cNvPr id="3" name="文本框 3"/>
                        <wps:cNvSpPr txBox="1"/>
                        <wps:spPr>
                          <a:xfrm>
                            <a:off x="-20" y="-20"/>
                            <a:ext cx="3730" cy="2550"/>
                          </a:xfrm>
                          <a:prstGeom prst="rect">
                            <a:avLst/>
                          </a:prstGeom>
                          <a:noFill/>
                          <a:ln>
                            <a:noFill/>
                          </a:ln>
                        </wps:spPr>
                        <wps:txbx>
                          <w:txbxContent>
                            <w:p w14:paraId="467C8B0F">
                              <w:pPr>
                                <w:spacing w:line="285" w:lineRule="auto"/>
                                <w:rPr>
                                  <w:rFonts w:ascii="Arial"/>
                                  <w:sz w:val="21"/>
                                </w:rPr>
                              </w:pPr>
                            </w:p>
                            <w:p w14:paraId="36934F2B">
                              <w:pPr>
                                <w:spacing w:line="285" w:lineRule="auto"/>
                                <w:rPr>
                                  <w:rFonts w:ascii="Arial"/>
                                  <w:sz w:val="21"/>
                                </w:rPr>
                              </w:pPr>
                            </w:p>
                            <w:p w14:paraId="55328E3D">
                              <w:pPr>
                                <w:spacing w:line="285" w:lineRule="auto"/>
                                <w:rPr>
                                  <w:rFonts w:ascii="Arial"/>
                                  <w:sz w:val="21"/>
                                </w:rPr>
                              </w:pPr>
                            </w:p>
                            <w:p w14:paraId="7A19247D">
                              <w:pPr>
                                <w:spacing w:line="286" w:lineRule="auto"/>
                                <w:rPr>
                                  <w:rFonts w:ascii="Arial"/>
                                  <w:sz w:val="21"/>
                                </w:rPr>
                              </w:pPr>
                            </w:p>
                            <w:p w14:paraId="417E8393">
                              <w:pPr>
                                <w:spacing w:before="65" w:line="228" w:lineRule="auto"/>
                                <w:ind w:left="720"/>
                                <w:rPr>
                                  <w:rFonts w:ascii="宋体" w:hAnsi="宋体" w:eastAsia="宋体" w:cs="宋体"/>
                                  <w:sz w:val="20"/>
                                  <w:szCs w:val="20"/>
                                </w:rPr>
                              </w:pPr>
                              <w:r>
                                <w:rPr>
                                  <w:rFonts w:ascii="宋体" w:hAnsi="宋体" w:eastAsia="宋体" w:cs="宋体"/>
                                  <w:spacing w:val="9"/>
                                  <w:sz w:val="20"/>
                                  <w:szCs w:val="20"/>
                                </w:rPr>
                                <w:t>法定代表人身份证复印件</w:t>
                              </w:r>
                            </w:p>
                          </w:txbxContent>
                        </wps:txbx>
                        <wps:bodyPr lIns="0" tIns="0" rIns="0" bIns="0" upright="1"/>
                      </wps:wsp>
                    </wpg:wgp>
                  </a:graphicData>
                </a:graphic>
              </wp:inline>
            </w:drawing>
          </mc:Choice>
          <mc:Fallback>
            <w:pict>
              <v:group id="_x0000_s1026" o:spid="_x0000_s1026" o:spt="203" style="height:125.5pt;width:184.5pt;" coordsize="3690,2510" o:gfxdata="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">
                <o:lock v:ext="edit" aspectratio="f"/>
                <v:shape id="图片 6" o:spid="_x0000_s1026" o:spt="75" type="#_x0000_t75" style="position:absolute;left:0;top:0;height:2510;width:3690;" filled="f" o:preferrelative="t" stroked="f" coordsize="21600,21600" o:gfxdata="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eyGLbsAAADa&#10;AAAADwAAAAAAAAABACAAAAAiAAAAZHJzL2Rvd25yZXYueG1sUEsBAhQAFAAAAAgAh07iQDMvBZ47&#10;AAAAOQAAABAAAAAAAAAAAQAgAAAACgEAAGRycy9zaGFwZXhtbC54bWxQSwUGAAAAAAYABgBbAQAA&#10;tAMAAAAA&#10;">
                  <v:fill on="f" focussize="0,0"/>
                  <v:stroke on="f"/>
                  <v:imagedata r:id="rId40" o:title=""/>
                  <o:lock v:ext="edit" aspectratio="t"/>
                </v:shape>
                <v:shape id="_x0000_s1026" o:spid="_x0000_s1026" o:spt="202" type="#_x0000_t202" style="position:absolute;left:-20;top:-20;height:2550;width:373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67C8B0F">
                        <w:pPr>
                          <w:spacing w:line="285" w:lineRule="auto"/>
                          <w:rPr>
                            <w:rFonts w:ascii="Arial"/>
                            <w:sz w:val="21"/>
                          </w:rPr>
                        </w:pPr>
                      </w:p>
                      <w:p w14:paraId="36934F2B">
                        <w:pPr>
                          <w:spacing w:line="285" w:lineRule="auto"/>
                          <w:rPr>
                            <w:rFonts w:ascii="Arial"/>
                            <w:sz w:val="21"/>
                          </w:rPr>
                        </w:pPr>
                      </w:p>
                      <w:p w14:paraId="55328E3D">
                        <w:pPr>
                          <w:spacing w:line="285" w:lineRule="auto"/>
                          <w:rPr>
                            <w:rFonts w:ascii="Arial"/>
                            <w:sz w:val="21"/>
                          </w:rPr>
                        </w:pPr>
                      </w:p>
                      <w:p w14:paraId="7A19247D">
                        <w:pPr>
                          <w:spacing w:line="286" w:lineRule="auto"/>
                          <w:rPr>
                            <w:rFonts w:ascii="Arial"/>
                            <w:sz w:val="21"/>
                          </w:rPr>
                        </w:pPr>
                      </w:p>
                      <w:p w14:paraId="417E8393">
                        <w:pPr>
                          <w:spacing w:before="65" w:line="228" w:lineRule="auto"/>
                          <w:ind w:left="720"/>
                          <w:rPr>
                            <w:rFonts w:ascii="宋体" w:hAnsi="宋体" w:eastAsia="宋体" w:cs="宋体"/>
                            <w:sz w:val="20"/>
                            <w:szCs w:val="20"/>
                          </w:rPr>
                        </w:pPr>
                        <w:r>
                          <w:rPr>
                            <w:rFonts w:ascii="宋体" w:hAnsi="宋体" w:eastAsia="宋体" w:cs="宋体"/>
                            <w:spacing w:val="9"/>
                            <w:sz w:val="20"/>
                            <w:szCs w:val="20"/>
                          </w:rPr>
                          <w:t>法定代表人身份证复印件</w:t>
                        </w:r>
                      </w:p>
                    </w:txbxContent>
                  </v:textbox>
                </v:shape>
                <w10:wrap type="none"/>
                <w10:anchorlock/>
              </v:group>
            </w:pict>
          </mc:Fallback>
        </mc:AlternateContent>
      </w:r>
    </w:p>
    <w:p w14:paraId="1F1C1935">
      <w:pPr>
        <w:pStyle w:val="2"/>
        <w:tabs>
          <w:tab w:val="left" w:pos="7215"/>
          <w:tab w:val="left" w:pos="7354"/>
        </w:tabs>
        <w:spacing w:before="129" w:line="327" w:lineRule="auto"/>
        <w:ind w:left="944" w:right="3013" w:hanging="15"/>
        <w:jc w:val="both"/>
        <w:rPr>
          <w:rFonts w:hint="eastAsia" w:ascii="宋体" w:hAnsi="宋体" w:eastAsia="宋体" w:cs="宋体"/>
          <w:color w:val="auto"/>
          <w:sz w:val="28"/>
          <w:szCs w:val="28"/>
          <w:highlight w:val="none"/>
          <w:u w:val="single" w:color="auto"/>
        </w:rPr>
      </w:pPr>
      <w:r>
        <w:rPr>
          <w:rFonts w:hint="eastAsia" w:ascii="宋体" w:hAnsi="宋体" w:eastAsia="宋体" w:cs="宋体"/>
          <w:color w:val="auto"/>
          <w:spacing w:val="-3"/>
          <w:sz w:val="28"/>
          <w:szCs w:val="28"/>
          <w:highlight w:val="none"/>
        </w:rPr>
        <w:t>供应商（公章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color="auto"/>
        </w:rPr>
        <w:tab/>
      </w:r>
    </w:p>
    <w:p w14:paraId="16BB4A3F">
      <w:pPr>
        <w:pStyle w:val="2"/>
        <w:tabs>
          <w:tab w:val="left" w:pos="7215"/>
          <w:tab w:val="left" w:pos="7354"/>
        </w:tabs>
        <w:spacing w:before="129" w:line="327" w:lineRule="auto"/>
        <w:ind w:left="944" w:right="3013" w:hanging="15"/>
        <w:jc w:val="both"/>
        <w:rPr>
          <w:rFonts w:hint="eastAsia" w:ascii="宋体" w:hAnsi="宋体" w:eastAsia="宋体" w:cs="宋体"/>
          <w:color w:val="auto"/>
          <w:sz w:val="28"/>
          <w:szCs w:val="28"/>
          <w:highlight w:val="none"/>
          <w:u w:val="single" w:color="auto"/>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3"/>
          <w:sz w:val="28"/>
          <w:szCs w:val="28"/>
          <w:highlight w:val="none"/>
        </w:rPr>
        <w:t>法定代表人（签字或盖章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color="auto"/>
        </w:rPr>
        <w:tab/>
      </w:r>
    </w:p>
    <w:p w14:paraId="1FB3C4FE">
      <w:pPr>
        <w:pStyle w:val="2"/>
        <w:tabs>
          <w:tab w:val="left" w:pos="7215"/>
          <w:tab w:val="left" w:pos="7354"/>
        </w:tabs>
        <w:spacing w:before="129" w:line="327" w:lineRule="auto"/>
        <w:ind w:left="944" w:right="3013" w:hanging="15"/>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color="auto"/>
        </w:rPr>
        <w:tab/>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5"/>
          <w:sz w:val="28"/>
          <w:szCs w:val="28"/>
          <w:highlight w:val="none"/>
        </w:rPr>
        <w:t>日期：</w:t>
      </w:r>
      <w:r>
        <w:rPr>
          <w:rFonts w:hint="eastAsia" w:ascii="宋体" w:hAnsi="宋体" w:eastAsia="宋体" w:cs="宋体"/>
          <w:color w:val="auto"/>
          <w:spacing w:val="-5"/>
          <w:sz w:val="28"/>
          <w:szCs w:val="28"/>
          <w:highlight w:val="none"/>
          <w:u w:val="single" w:color="auto"/>
        </w:rPr>
        <w:t xml:space="preserve">                                                  </w:t>
      </w:r>
    </w:p>
    <w:p w14:paraId="0C5B3303">
      <w:pPr>
        <w:pStyle w:val="2"/>
        <w:spacing w:before="176" w:line="233" w:lineRule="auto"/>
        <w:ind w:left="3032"/>
        <w:rPr>
          <w:rFonts w:hint="eastAsia" w:ascii="宋体" w:hAnsi="宋体" w:eastAsia="宋体" w:cs="宋体"/>
          <w:b/>
          <w:bCs/>
          <w:color w:val="auto"/>
          <w:spacing w:val="-5"/>
          <w:sz w:val="28"/>
          <w:szCs w:val="28"/>
          <w:highlight w:val="none"/>
        </w:rPr>
        <w:sectPr>
          <w:footerReference r:id="rId16" w:type="default"/>
          <w:pgSz w:w="11906" w:h="16838"/>
          <w:pgMar w:top="1440" w:right="1800" w:bottom="1440" w:left="1800" w:header="0" w:footer="866" w:gutter="0"/>
          <w:pgNumType w:fmt="decimal"/>
          <w:cols w:space="720" w:num="1"/>
        </w:sectPr>
      </w:pPr>
    </w:p>
    <w:p w14:paraId="6C643EE9">
      <w:pPr>
        <w:pStyle w:val="2"/>
        <w:spacing w:before="176" w:line="233" w:lineRule="auto"/>
        <w:ind w:left="3032"/>
        <w:outlineLvl w:val="2"/>
        <w:rPr>
          <w:rFonts w:hint="eastAsia" w:ascii="宋体" w:hAnsi="宋体" w:eastAsia="宋体" w:cs="宋体"/>
          <w:color w:val="auto"/>
          <w:sz w:val="28"/>
          <w:szCs w:val="28"/>
          <w:highlight w:val="none"/>
        </w:rPr>
      </w:pPr>
      <w:bookmarkStart w:id="575" w:name="_Toc25269"/>
      <w:r>
        <w:rPr>
          <w:rFonts w:hint="eastAsia" w:ascii="宋体" w:hAnsi="宋体" w:eastAsia="宋体" w:cs="宋体"/>
          <w:b/>
          <w:bCs/>
          <w:color w:val="auto"/>
          <w:spacing w:val="-5"/>
          <w:sz w:val="28"/>
          <w:szCs w:val="28"/>
          <w:highlight w:val="none"/>
        </w:rPr>
        <w:t>法定代表人授权委托书</w:t>
      </w:r>
      <w:bookmarkEnd w:id="575"/>
    </w:p>
    <w:p w14:paraId="66B82742">
      <w:pPr>
        <w:pStyle w:val="2"/>
        <w:spacing w:line="240" w:lineRule="auto"/>
        <w:ind w:right="0" w:firstLine="810" w:firstLineChars="300"/>
        <w:jc w:val="both"/>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本授权书声明：注册于</w:t>
      </w:r>
      <w:r>
        <w:rPr>
          <w:rFonts w:hint="eastAsia" w:ascii="宋体" w:hAnsi="宋体" w:eastAsia="宋体" w:cs="宋体"/>
          <w:color w:val="auto"/>
          <w:spacing w:val="-5"/>
          <w:sz w:val="28"/>
          <w:szCs w:val="28"/>
          <w:highlight w:val="none"/>
          <w:u w:val="single" w:color="auto"/>
        </w:rPr>
        <w:t>（国家或地区的名称）</w:t>
      </w:r>
      <w:r>
        <w:rPr>
          <w:rFonts w:hint="eastAsia" w:ascii="宋体" w:hAnsi="宋体" w:eastAsia="宋体" w:cs="宋体"/>
          <w:color w:val="auto"/>
          <w:spacing w:val="-5"/>
          <w:sz w:val="28"/>
          <w:szCs w:val="28"/>
          <w:highlight w:val="none"/>
        </w:rPr>
        <w:t>的（</w:t>
      </w:r>
      <w:r>
        <w:rPr>
          <w:rFonts w:hint="eastAsia" w:ascii="宋体" w:hAnsi="宋体" w:eastAsia="宋体" w:cs="宋体"/>
          <w:i/>
          <w:iCs/>
          <w:color w:val="auto"/>
          <w:spacing w:val="-5"/>
          <w:sz w:val="28"/>
          <w:szCs w:val="28"/>
          <w:highlight w:val="none"/>
          <w:u w:val="single" w:color="auto"/>
        </w:rPr>
        <w:t>供应商</w:t>
      </w:r>
      <w:r>
        <w:rPr>
          <w:rFonts w:hint="eastAsia" w:ascii="宋体" w:hAnsi="宋体" w:eastAsia="宋体" w:cs="宋体"/>
          <w:color w:val="auto"/>
          <w:spacing w:val="-5"/>
          <w:sz w:val="28"/>
          <w:szCs w:val="28"/>
          <w:highlight w:val="none"/>
        </w:rPr>
        <w:t>）的</w:t>
      </w:r>
      <w:r>
        <w:rPr>
          <w:rFonts w:hint="eastAsia" w:ascii="宋体" w:hAnsi="宋体" w:eastAsia="宋体" w:cs="宋体"/>
          <w:color w:val="auto"/>
          <w:spacing w:val="-6"/>
          <w:sz w:val="28"/>
          <w:szCs w:val="28"/>
          <w:highlight w:val="none"/>
        </w:rPr>
        <w:t>在下面</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4"/>
          <w:sz w:val="28"/>
          <w:szCs w:val="28"/>
          <w:highlight w:val="none"/>
        </w:rPr>
        <w:t>签字的（</w:t>
      </w:r>
      <w:r>
        <w:rPr>
          <w:rFonts w:hint="eastAsia" w:ascii="宋体" w:hAnsi="宋体" w:eastAsia="宋体" w:cs="宋体"/>
          <w:i/>
          <w:iCs/>
          <w:color w:val="auto"/>
          <w:spacing w:val="-4"/>
          <w:sz w:val="28"/>
          <w:szCs w:val="28"/>
          <w:highlight w:val="none"/>
          <w:u w:val="single" w:color="auto"/>
        </w:rPr>
        <w:t>法人代表姓名、职务</w:t>
      </w:r>
      <w:r>
        <w:rPr>
          <w:rFonts w:hint="eastAsia" w:ascii="宋体" w:hAnsi="宋体" w:eastAsia="宋体" w:cs="宋体"/>
          <w:color w:val="auto"/>
          <w:spacing w:val="-4"/>
          <w:sz w:val="28"/>
          <w:szCs w:val="28"/>
          <w:highlight w:val="none"/>
        </w:rPr>
        <w:t>）代表我单位授</w:t>
      </w:r>
      <w:r>
        <w:rPr>
          <w:rFonts w:hint="eastAsia" w:ascii="宋体" w:hAnsi="宋体" w:eastAsia="宋体" w:cs="宋体"/>
          <w:color w:val="auto"/>
          <w:spacing w:val="-5"/>
          <w:sz w:val="28"/>
          <w:szCs w:val="28"/>
          <w:highlight w:val="none"/>
        </w:rPr>
        <w:t>权（</w:t>
      </w:r>
      <w:r>
        <w:rPr>
          <w:rFonts w:hint="eastAsia" w:ascii="宋体" w:hAnsi="宋体" w:eastAsia="宋体" w:cs="宋体"/>
          <w:i/>
          <w:iCs/>
          <w:color w:val="auto"/>
          <w:spacing w:val="-5"/>
          <w:sz w:val="28"/>
          <w:szCs w:val="28"/>
          <w:highlight w:val="none"/>
          <w:u w:val="single" w:color="auto"/>
        </w:rPr>
        <w:t>单位名称</w:t>
      </w:r>
      <w:r>
        <w:rPr>
          <w:rFonts w:hint="eastAsia" w:ascii="宋体" w:hAnsi="宋体" w:eastAsia="宋体" w:cs="宋体"/>
          <w:color w:val="auto"/>
          <w:spacing w:val="-5"/>
          <w:sz w:val="28"/>
          <w:szCs w:val="28"/>
          <w:highlight w:val="none"/>
        </w:rPr>
        <w:t>）的在下面签</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
          <w:sz w:val="28"/>
          <w:szCs w:val="28"/>
          <w:highlight w:val="none"/>
        </w:rPr>
        <w:t>字的（</w:t>
      </w:r>
      <w:r>
        <w:rPr>
          <w:rFonts w:hint="eastAsia" w:ascii="宋体" w:hAnsi="宋体" w:eastAsia="宋体" w:cs="宋体"/>
          <w:i/>
          <w:iCs/>
          <w:color w:val="auto"/>
          <w:spacing w:val="1"/>
          <w:sz w:val="28"/>
          <w:szCs w:val="28"/>
          <w:highlight w:val="none"/>
          <w:u w:val="single" w:color="auto"/>
        </w:rPr>
        <w:t>被授权人的姓名、职务</w:t>
      </w:r>
      <w:r>
        <w:rPr>
          <w:rFonts w:hint="eastAsia" w:ascii="宋体" w:hAnsi="宋体" w:eastAsia="宋体" w:cs="宋体"/>
          <w:color w:val="auto"/>
          <w:spacing w:val="1"/>
          <w:sz w:val="28"/>
          <w:szCs w:val="28"/>
          <w:highlight w:val="none"/>
        </w:rPr>
        <w:t>）为我单位的合法</w:t>
      </w:r>
      <w:r>
        <w:rPr>
          <w:rFonts w:hint="eastAsia" w:ascii="宋体" w:hAnsi="宋体" w:eastAsia="宋体" w:cs="宋体"/>
          <w:color w:val="auto"/>
          <w:sz w:val="28"/>
          <w:szCs w:val="28"/>
          <w:highlight w:val="none"/>
        </w:rPr>
        <w:t>代理人，就（</w:t>
      </w:r>
      <w:r>
        <w:rPr>
          <w:rFonts w:hint="eastAsia" w:ascii="宋体" w:hAnsi="宋体" w:eastAsia="宋体" w:cs="宋体"/>
          <w:i/>
          <w:iCs/>
          <w:color w:val="auto"/>
          <w:sz w:val="28"/>
          <w:szCs w:val="28"/>
          <w:highlight w:val="none"/>
          <w:u w:val="single" w:color="auto"/>
        </w:rPr>
        <w:t>项目名称</w:t>
      </w:r>
      <w:r>
        <w:rPr>
          <w:rFonts w:hint="eastAsia" w:ascii="宋体" w:hAnsi="宋体" w:eastAsia="宋体" w:cs="宋体"/>
          <w:i/>
          <w:iCs/>
          <w:color w:val="auto"/>
          <w:sz w:val="28"/>
          <w:szCs w:val="28"/>
          <w:highlight w:val="none"/>
        </w:rPr>
        <w:t>、</w:t>
      </w:r>
      <w:r>
        <w:rPr>
          <w:rFonts w:hint="eastAsia" w:ascii="宋体" w:hAnsi="宋体" w:eastAsia="宋体" w:cs="宋体"/>
          <w:color w:val="auto"/>
          <w:sz w:val="28"/>
          <w:szCs w:val="28"/>
          <w:highlight w:val="none"/>
        </w:rPr>
        <w:t xml:space="preserve"> </w:t>
      </w:r>
      <w:r>
        <w:rPr>
          <w:rFonts w:hint="eastAsia" w:ascii="宋体" w:hAnsi="宋体" w:eastAsia="宋体" w:cs="宋体"/>
          <w:i/>
          <w:iCs/>
          <w:color w:val="auto"/>
          <w:sz w:val="28"/>
          <w:szCs w:val="28"/>
          <w:highlight w:val="none"/>
          <w:u w:val="single" w:color="auto"/>
        </w:rPr>
        <w:t>编号）的</w:t>
      </w:r>
      <w:r>
        <w:rPr>
          <w:rFonts w:hint="eastAsia" w:ascii="宋体" w:hAnsi="宋体" w:eastAsia="宋体" w:cs="宋体"/>
          <w:color w:val="auto"/>
          <w:sz w:val="28"/>
          <w:szCs w:val="28"/>
          <w:highlight w:val="none"/>
        </w:rPr>
        <w:t>投标，以我单位名义处理一切与之有关的事务。</w:t>
      </w:r>
    </w:p>
    <w:p w14:paraId="435EA4B7">
      <w:pPr>
        <w:pStyle w:val="2"/>
        <w:spacing w:before="327" w:line="225" w:lineRule="auto"/>
        <w:ind w:left="522"/>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本授权书于</w:t>
      </w:r>
      <w:r>
        <w:rPr>
          <w:rFonts w:hint="eastAsia" w:ascii="宋体" w:hAnsi="宋体" w:eastAsia="宋体" w:cs="宋体"/>
          <w:color w:val="auto"/>
          <w:spacing w:val="5"/>
          <w:sz w:val="28"/>
          <w:szCs w:val="28"/>
          <w:highlight w:val="none"/>
          <w:u w:val="single" w:color="auto"/>
        </w:rPr>
        <w:t xml:space="preserve">             </w:t>
      </w:r>
      <w:r>
        <w:rPr>
          <w:rFonts w:hint="eastAsia" w:ascii="宋体" w:hAnsi="宋体" w:eastAsia="宋体" w:cs="宋体"/>
          <w:color w:val="auto"/>
          <w:spacing w:val="-96"/>
          <w:sz w:val="28"/>
          <w:szCs w:val="28"/>
          <w:highlight w:val="none"/>
        </w:rPr>
        <w:t xml:space="preserve"> </w:t>
      </w:r>
      <w:r>
        <w:rPr>
          <w:rFonts w:hint="eastAsia" w:ascii="宋体" w:hAnsi="宋体" w:eastAsia="宋体" w:cs="宋体"/>
          <w:color w:val="auto"/>
          <w:spacing w:val="-6"/>
          <w:sz w:val="28"/>
          <w:szCs w:val="28"/>
          <w:highlight w:val="none"/>
        </w:rPr>
        <w:t>年</w:t>
      </w:r>
      <w:r>
        <w:rPr>
          <w:rFonts w:hint="eastAsia" w:ascii="宋体" w:hAnsi="宋体" w:eastAsia="宋体" w:cs="宋体"/>
          <w:color w:val="auto"/>
          <w:spacing w:val="-6"/>
          <w:sz w:val="28"/>
          <w:szCs w:val="28"/>
          <w:highlight w:val="none"/>
          <w:u w:val="single" w:color="auto"/>
        </w:rPr>
        <w:t xml:space="preserve">      </w:t>
      </w:r>
      <w:r>
        <w:rPr>
          <w:rFonts w:hint="eastAsia" w:ascii="宋体" w:hAnsi="宋体" w:eastAsia="宋体" w:cs="宋体"/>
          <w:color w:val="auto"/>
          <w:spacing w:val="-87"/>
          <w:sz w:val="28"/>
          <w:szCs w:val="28"/>
          <w:highlight w:val="none"/>
        </w:rPr>
        <w:t xml:space="preserve"> </w:t>
      </w:r>
      <w:r>
        <w:rPr>
          <w:rFonts w:hint="eastAsia" w:ascii="宋体" w:hAnsi="宋体" w:eastAsia="宋体" w:cs="宋体"/>
          <w:color w:val="auto"/>
          <w:spacing w:val="-6"/>
          <w:sz w:val="28"/>
          <w:szCs w:val="28"/>
          <w:highlight w:val="none"/>
        </w:rPr>
        <w:t>月</w:t>
      </w:r>
      <w:r>
        <w:rPr>
          <w:rFonts w:hint="eastAsia" w:ascii="宋体" w:hAnsi="宋体" w:eastAsia="宋体" w:cs="宋体"/>
          <w:color w:val="auto"/>
          <w:spacing w:val="2"/>
          <w:sz w:val="28"/>
          <w:szCs w:val="28"/>
          <w:highlight w:val="none"/>
          <w:u w:val="single" w:color="auto"/>
        </w:rPr>
        <w:t xml:space="preserve">      </w:t>
      </w:r>
      <w:r>
        <w:rPr>
          <w:rFonts w:hint="eastAsia" w:ascii="宋体" w:hAnsi="宋体" w:eastAsia="宋体" w:cs="宋体"/>
          <w:color w:val="auto"/>
          <w:spacing w:val="-30"/>
          <w:sz w:val="28"/>
          <w:szCs w:val="28"/>
          <w:highlight w:val="none"/>
        </w:rPr>
        <w:t xml:space="preserve"> </w:t>
      </w:r>
      <w:r>
        <w:rPr>
          <w:rFonts w:hint="eastAsia" w:ascii="宋体" w:hAnsi="宋体" w:eastAsia="宋体" w:cs="宋体"/>
          <w:color w:val="auto"/>
          <w:spacing w:val="-6"/>
          <w:sz w:val="28"/>
          <w:szCs w:val="28"/>
          <w:highlight w:val="none"/>
        </w:rPr>
        <w:t>日签字生效,特此声明。</w:t>
      </w:r>
    </w:p>
    <w:p w14:paraId="001E2D7E">
      <w:pPr>
        <w:spacing w:before="144" w:line="1588" w:lineRule="exact"/>
        <w:ind w:firstLine="24"/>
        <w:rPr>
          <w:rFonts w:hint="eastAsia" w:ascii="宋体" w:hAnsi="宋体" w:eastAsia="宋体" w:cs="宋体"/>
          <w:color w:val="auto"/>
          <w:position w:val="-31"/>
          <w:highlight w:val="none"/>
        </w:rPr>
      </w:pPr>
      <w:r>
        <w:rPr>
          <w:rFonts w:hint="eastAsia" w:ascii="宋体" w:hAnsi="宋体" w:eastAsia="宋体" w:cs="宋体"/>
          <w:color w:val="auto"/>
          <w:highlight w:val="none"/>
        </w:rPr>
        <mc:AlternateContent>
          <mc:Choice Requires="wpg">
            <w:drawing>
              <wp:anchor distT="0" distB="0" distL="114300" distR="114300" simplePos="0" relativeHeight="251664384" behindDoc="0" locked="0" layoutInCell="1" allowOverlap="1">
                <wp:simplePos x="0" y="0"/>
                <wp:positionH relativeFrom="column">
                  <wp:posOffset>3029585</wp:posOffset>
                </wp:positionH>
                <wp:positionV relativeFrom="paragraph">
                  <wp:posOffset>120015</wp:posOffset>
                </wp:positionV>
                <wp:extent cx="2494280" cy="984885"/>
                <wp:effectExtent l="12700" t="0" r="22860" b="38735"/>
                <wp:wrapNone/>
                <wp:docPr id="11" name="组合 11"/>
                <wp:cNvGraphicFramePr/>
                <a:graphic xmlns:a="http://schemas.openxmlformats.org/drawingml/2006/main">
                  <a:graphicData uri="http://schemas.microsoft.com/office/word/2010/wordprocessingGroup">
                    <wpg:wgp>
                      <wpg:cNvGrpSpPr/>
                      <wpg:grpSpPr>
                        <a:xfrm>
                          <a:off x="0" y="0"/>
                          <a:ext cx="2494280" cy="984885"/>
                          <a:chOff x="0" y="0"/>
                          <a:chExt cx="3927" cy="1551"/>
                        </a:xfrm>
                      </wpg:grpSpPr>
                      <pic:pic xmlns:pic="http://schemas.openxmlformats.org/drawingml/2006/picture">
                        <pic:nvPicPr>
                          <pic:cNvPr id="9" name="图片 9"/>
                          <pic:cNvPicPr>
                            <a:picLocks noChangeAspect="1"/>
                          </pic:cNvPicPr>
                        </pic:nvPicPr>
                        <pic:blipFill>
                          <a:blip r:embed="rId41"/>
                          <a:stretch>
                            <a:fillRect/>
                          </a:stretch>
                        </pic:blipFill>
                        <pic:spPr>
                          <a:xfrm>
                            <a:off x="0" y="0"/>
                            <a:ext cx="3927" cy="1551"/>
                          </a:xfrm>
                          <a:prstGeom prst="rect">
                            <a:avLst/>
                          </a:prstGeom>
                          <a:noFill/>
                          <a:ln>
                            <a:noFill/>
                          </a:ln>
                        </pic:spPr>
                      </pic:pic>
                      <wps:wsp>
                        <wps:cNvPr id="10" name="文本框 10"/>
                        <wps:cNvSpPr txBox="1"/>
                        <wps:spPr>
                          <a:xfrm>
                            <a:off x="-20" y="-20"/>
                            <a:ext cx="3967" cy="1628"/>
                          </a:xfrm>
                          <a:prstGeom prst="rect">
                            <a:avLst/>
                          </a:prstGeom>
                          <a:noFill/>
                          <a:ln>
                            <a:noFill/>
                          </a:ln>
                        </wps:spPr>
                        <wps:txbx>
                          <w:txbxContent>
                            <w:p w14:paraId="67BA5F7D">
                              <w:pPr>
                                <w:spacing w:line="276" w:lineRule="auto"/>
                                <w:rPr>
                                  <w:rFonts w:ascii="Arial"/>
                                  <w:sz w:val="21"/>
                                </w:rPr>
                              </w:pPr>
                            </w:p>
                            <w:p w14:paraId="1B4331F8">
                              <w:pPr>
                                <w:spacing w:line="276" w:lineRule="auto"/>
                                <w:rPr>
                                  <w:rFonts w:ascii="Arial"/>
                                  <w:sz w:val="21"/>
                                </w:rPr>
                              </w:pPr>
                            </w:p>
                            <w:p w14:paraId="3BFFDEC7">
                              <w:pPr>
                                <w:spacing w:line="276" w:lineRule="auto"/>
                                <w:rPr>
                                  <w:rFonts w:ascii="Arial"/>
                                  <w:sz w:val="21"/>
                                </w:rPr>
                              </w:pPr>
                            </w:p>
                            <w:p w14:paraId="16BB5987">
                              <w:pPr>
                                <w:spacing w:line="277" w:lineRule="auto"/>
                                <w:rPr>
                                  <w:rFonts w:ascii="Arial"/>
                                  <w:sz w:val="21"/>
                                </w:rPr>
                              </w:pPr>
                            </w:p>
                            <w:p w14:paraId="145B7B38">
                              <w:pPr>
                                <w:spacing w:before="65" w:line="228" w:lineRule="auto"/>
                                <w:ind w:left="269"/>
                                <w:rPr>
                                  <w:rFonts w:ascii="宋体" w:hAnsi="宋体" w:eastAsia="宋体" w:cs="宋体"/>
                                  <w:sz w:val="20"/>
                                  <w:szCs w:val="20"/>
                                </w:rPr>
                              </w:pPr>
                              <w:r>
                                <w:rPr>
                                  <w:rFonts w:ascii="宋体" w:hAnsi="宋体" w:eastAsia="宋体" w:cs="宋体"/>
                                  <w:spacing w:val="9"/>
                                  <w:sz w:val="20"/>
                                  <w:szCs w:val="20"/>
                                </w:rPr>
                                <w:t>授权委托人身份证复印件反面</w:t>
                              </w:r>
                            </w:p>
                          </w:txbxContent>
                        </wps:txbx>
                        <wps:bodyPr lIns="0" tIns="0" rIns="0" bIns="0" upright="1"/>
                      </wps:wsp>
                    </wpg:wgp>
                  </a:graphicData>
                </a:graphic>
              </wp:anchor>
            </w:drawing>
          </mc:Choice>
          <mc:Fallback>
            <w:pict>
              <v:group id="_x0000_s1026" o:spid="_x0000_s1026" o:spt="203" style="position:absolute;left:0pt;margin-left:238.55pt;margin-top:9.45pt;height:77.55pt;width:196.4pt;z-index:251664384;mso-width-relative:page;mso-height-relative:page;" coordsize="3927,1551" o:gfxdata="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">
                <o:lock v:ext="edit" aspectratio="f"/>
                <v:shape id="_x0000_s1026" o:spid="_x0000_s1026" o:spt="75" type="#_x0000_t75" style="position:absolute;left:0;top:0;height:1551;width:3927;" filled="f" o:preferrelative="t" stroked="f" coordsize="21600,21600" o:gfxdata="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z5GO8AAAA&#10;2gAAAA8AAAAAAAAAAQAgAAAAIgAAAGRycy9kb3ducmV2LnhtbFBLAQIUABQAAAAIAIdO4kAzLwWe&#10;OwAAADkAAAAQAAAAAAAAAAEAIAAAAAsBAABkcnMvc2hhcGV4bWwueG1sUEsFBgAAAAAGAAYAWwEA&#10;ALUDAAAAAA==&#10;">
                  <v:fill on="f" focussize="0,0"/>
                  <v:stroke on="f"/>
                  <v:imagedata r:id="rId41" o:title=""/>
                  <o:lock v:ext="edit" aspectratio="t"/>
                </v:shape>
                <v:shape id="_x0000_s1026" o:spid="_x0000_s1026" o:spt="202" type="#_x0000_t202" style="position:absolute;left:-20;top:-20;height:1628;width:3967;"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7BA5F7D">
                        <w:pPr>
                          <w:spacing w:line="276" w:lineRule="auto"/>
                          <w:rPr>
                            <w:rFonts w:ascii="Arial"/>
                            <w:sz w:val="21"/>
                          </w:rPr>
                        </w:pPr>
                      </w:p>
                      <w:p w14:paraId="1B4331F8">
                        <w:pPr>
                          <w:spacing w:line="276" w:lineRule="auto"/>
                          <w:rPr>
                            <w:rFonts w:ascii="Arial"/>
                            <w:sz w:val="21"/>
                          </w:rPr>
                        </w:pPr>
                      </w:p>
                      <w:p w14:paraId="3BFFDEC7">
                        <w:pPr>
                          <w:spacing w:line="276" w:lineRule="auto"/>
                          <w:rPr>
                            <w:rFonts w:ascii="Arial"/>
                            <w:sz w:val="21"/>
                          </w:rPr>
                        </w:pPr>
                      </w:p>
                      <w:p w14:paraId="16BB5987">
                        <w:pPr>
                          <w:spacing w:line="277" w:lineRule="auto"/>
                          <w:rPr>
                            <w:rFonts w:ascii="Arial"/>
                            <w:sz w:val="21"/>
                          </w:rPr>
                        </w:pPr>
                      </w:p>
                      <w:p w14:paraId="145B7B38">
                        <w:pPr>
                          <w:spacing w:before="65" w:line="228" w:lineRule="auto"/>
                          <w:ind w:left="269"/>
                          <w:rPr>
                            <w:rFonts w:ascii="宋体" w:hAnsi="宋体" w:eastAsia="宋体" w:cs="宋体"/>
                            <w:sz w:val="20"/>
                            <w:szCs w:val="20"/>
                          </w:rPr>
                        </w:pPr>
                        <w:r>
                          <w:rPr>
                            <w:rFonts w:ascii="宋体" w:hAnsi="宋体" w:eastAsia="宋体" w:cs="宋体"/>
                            <w:spacing w:val="9"/>
                            <w:sz w:val="20"/>
                            <w:szCs w:val="20"/>
                          </w:rPr>
                          <w:t>授权委托人身份证复印件反面</w:t>
                        </w:r>
                      </w:p>
                    </w:txbxContent>
                  </v:textbox>
                </v:shape>
              </v:group>
            </w:pict>
          </mc:Fallback>
        </mc:AlternateContent>
      </w:r>
      <w:r>
        <w:rPr>
          <w:rFonts w:hint="eastAsia" w:ascii="宋体" w:hAnsi="宋体" w:eastAsia="宋体" w:cs="宋体"/>
          <w:color w:val="auto"/>
          <w:position w:val="-31"/>
          <w:highlight w:val="none"/>
        </w:rPr>
        <mc:AlternateContent>
          <mc:Choice Requires="wpg">
            <w:drawing>
              <wp:inline distT="0" distB="0" distL="114300" distR="114300">
                <wp:extent cx="2327275" cy="1008380"/>
                <wp:effectExtent l="12700" t="0" r="22225" b="15240"/>
                <wp:docPr id="20" name="组合 20"/>
                <wp:cNvGraphicFramePr/>
                <a:graphic xmlns:a="http://schemas.openxmlformats.org/drawingml/2006/main">
                  <a:graphicData uri="http://schemas.microsoft.com/office/word/2010/wordprocessingGroup">
                    <wpg:wgp>
                      <wpg:cNvGrpSpPr/>
                      <wpg:grpSpPr>
                        <a:xfrm>
                          <a:off x="0" y="0"/>
                          <a:ext cx="2327275" cy="1008380"/>
                          <a:chOff x="0" y="0"/>
                          <a:chExt cx="3665" cy="1588"/>
                        </a:xfrm>
                      </wpg:grpSpPr>
                      <pic:pic xmlns:pic="http://schemas.openxmlformats.org/drawingml/2006/picture">
                        <pic:nvPicPr>
                          <pic:cNvPr id="18" name="图片 12"/>
                          <pic:cNvPicPr>
                            <a:picLocks noChangeAspect="1"/>
                          </pic:cNvPicPr>
                        </pic:nvPicPr>
                        <pic:blipFill>
                          <a:blip r:embed="rId42"/>
                          <a:stretch>
                            <a:fillRect/>
                          </a:stretch>
                        </pic:blipFill>
                        <pic:spPr>
                          <a:xfrm>
                            <a:off x="0" y="0"/>
                            <a:ext cx="3665" cy="1588"/>
                          </a:xfrm>
                          <a:prstGeom prst="rect">
                            <a:avLst/>
                          </a:prstGeom>
                          <a:noFill/>
                          <a:ln>
                            <a:noFill/>
                          </a:ln>
                        </pic:spPr>
                      </pic:pic>
                      <wps:wsp>
                        <wps:cNvPr id="19" name="文本框 19"/>
                        <wps:cNvSpPr txBox="1"/>
                        <wps:spPr>
                          <a:xfrm>
                            <a:off x="-20" y="-20"/>
                            <a:ext cx="3705" cy="1628"/>
                          </a:xfrm>
                          <a:prstGeom prst="rect">
                            <a:avLst/>
                          </a:prstGeom>
                          <a:noFill/>
                          <a:ln>
                            <a:noFill/>
                          </a:ln>
                        </wps:spPr>
                        <wps:txbx>
                          <w:txbxContent>
                            <w:p w14:paraId="70CBA139">
                              <w:pPr>
                                <w:spacing w:line="274" w:lineRule="auto"/>
                                <w:rPr>
                                  <w:rFonts w:ascii="Arial"/>
                                  <w:sz w:val="21"/>
                                </w:rPr>
                              </w:pPr>
                            </w:p>
                            <w:p w14:paraId="302BCB76">
                              <w:pPr>
                                <w:spacing w:line="274" w:lineRule="auto"/>
                                <w:rPr>
                                  <w:rFonts w:ascii="Arial"/>
                                  <w:sz w:val="21"/>
                                </w:rPr>
                              </w:pPr>
                            </w:p>
                            <w:p w14:paraId="0675D971">
                              <w:pPr>
                                <w:spacing w:line="274" w:lineRule="auto"/>
                                <w:rPr>
                                  <w:rFonts w:ascii="Arial"/>
                                  <w:sz w:val="21"/>
                                </w:rPr>
                              </w:pPr>
                            </w:p>
                            <w:p w14:paraId="52ED05BB">
                              <w:pPr>
                                <w:spacing w:line="275" w:lineRule="auto"/>
                                <w:rPr>
                                  <w:rFonts w:ascii="Arial"/>
                                  <w:sz w:val="21"/>
                                </w:rPr>
                              </w:pPr>
                            </w:p>
                            <w:p w14:paraId="7C59AA0E">
                              <w:pPr>
                                <w:spacing w:before="65" w:line="228" w:lineRule="auto"/>
                                <w:ind w:left="493"/>
                                <w:rPr>
                                  <w:rFonts w:ascii="宋体" w:hAnsi="宋体" w:eastAsia="宋体" w:cs="宋体"/>
                                  <w:sz w:val="20"/>
                                  <w:szCs w:val="20"/>
                                </w:rPr>
                              </w:pPr>
                              <w:r>
                                <w:rPr>
                                  <w:rFonts w:ascii="宋体" w:hAnsi="宋体" w:eastAsia="宋体" w:cs="宋体"/>
                                  <w:spacing w:val="9"/>
                                  <w:sz w:val="20"/>
                                  <w:szCs w:val="20"/>
                                </w:rPr>
                                <w:t>授权委托人身份证复印件正面</w:t>
                              </w:r>
                            </w:p>
                          </w:txbxContent>
                        </wps:txbx>
                        <wps:bodyPr lIns="0" tIns="0" rIns="0" bIns="0" upright="1"/>
                      </wps:wsp>
                    </wpg:wgp>
                  </a:graphicData>
                </a:graphic>
              </wp:inline>
            </w:drawing>
          </mc:Choice>
          <mc:Fallback>
            <w:pict>
              <v:group id="_x0000_s1026" o:spid="_x0000_s1026" o:spt="203" style="height:79.4pt;width:183.25pt;" coordsize="3665,1588" o:gfxdata="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">
                <o:lock v:ext="edit" aspectratio="f"/>
                <v:shape id="图片 12" o:spid="_x0000_s1026" o:spt="75" type="#_x0000_t75" style="position:absolute;left:0;top:0;height:1588;width:3665;" filled="f" o:preferrelative="t" stroked="f" coordsize="21600,21600" o:gfxdata="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EWWXugAAANsA&#10;AAAPAAAAAAAAAAEAIAAAACIAAABkcnMvZG93bnJldi54bWxQSwECFAAUAAAACACHTuJAMy8FnjsA&#10;AAA5AAAAEAAAAAAAAAABACAAAAAJAQAAZHJzL3NoYXBleG1sLnhtbFBLBQYAAAAABgAGAFsBAACz&#10;AwAAAAA=&#10;">
                  <v:fill on="f" focussize="0,0"/>
                  <v:stroke on="f"/>
                  <v:imagedata r:id="rId42" o:title=""/>
                  <o:lock v:ext="edit" aspectratio="t"/>
                </v:shape>
                <v:shape id="_x0000_s1026" o:spid="_x0000_s1026" o:spt="202" type="#_x0000_t202" style="position:absolute;left:-20;top:-20;height:1628;width:3705;"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0CBA139">
                        <w:pPr>
                          <w:spacing w:line="274" w:lineRule="auto"/>
                          <w:rPr>
                            <w:rFonts w:ascii="Arial"/>
                            <w:sz w:val="21"/>
                          </w:rPr>
                        </w:pPr>
                      </w:p>
                      <w:p w14:paraId="302BCB76">
                        <w:pPr>
                          <w:spacing w:line="274" w:lineRule="auto"/>
                          <w:rPr>
                            <w:rFonts w:ascii="Arial"/>
                            <w:sz w:val="21"/>
                          </w:rPr>
                        </w:pPr>
                      </w:p>
                      <w:p w14:paraId="0675D971">
                        <w:pPr>
                          <w:spacing w:line="274" w:lineRule="auto"/>
                          <w:rPr>
                            <w:rFonts w:ascii="Arial"/>
                            <w:sz w:val="21"/>
                          </w:rPr>
                        </w:pPr>
                      </w:p>
                      <w:p w14:paraId="52ED05BB">
                        <w:pPr>
                          <w:spacing w:line="275" w:lineRule="auto"/>
                          <w:rPr>
                            <w:rFonts w:ascii="Arial"/>
                            <w:sz w:val="21"/>
                          </w:rPr>
                        </w:pPr>
                      </w:p>
                      <w:p w14:paraId="7C59AA0E">
                        <w:pPr>
                          <w:spacing w:before="65" w:line="228" w:lineRule="auto"/>
                          <w:ind w:left="493"/>
                          <w:rPr>
                            <w:rFonts w:ascii="宋体" w:hAnsi="宋体" w:eastAsia="宋体" w:cs="宋体"/>
                            <w:sz w:val="20"/>
                            <w:szCs w:val="20"/>
                          </w:rPr>
                        </w:pPr>
                        <w:r>
                          <w:rPr>
                            <w:rFonts w:ascii="宋体" w:hAnsi="宋体" w:eastAsia="宋体" w:cs="宋体"/>
                            <w:spacing w:val="9"/>
                            <w:sz w:val="20"/>
                            <w:szCs w:val="20"/>
                          </w:rPr>
                          <w:t>授权委托人身份证复印件正面</w:t>
                        </w:r>
                      </w:p>
                    </w:txbxContent>
                  </v:textbox>
                </v:shape>
                <w10:wrap type="none"/>
                <w10:anchorlock/>
              </v:group>
            </w:pict>
          </mc:Fallback>
        </mc:AlternateContent>
      </w:r>
    </w:p>
    <w:p w14:paraId="3467942A">
      <w:pPr>
        <w:spacing w:line="1639" w:lineRule="exact"/>
        <w:rPr>
          <w:rFonts w:hint="eastAsia" w:ascii="宋体" w:hAnsi="宋体" w:eastAsia="宋体" w:cs="宋体"/>
          <w:color w:val="auto"/>
          <w:sz w:val="21"/>
          <w:highlight w:val="none"/>
        </w:rPr>
      </w:pPr>
      <w:r>
        <w:rPr>
          <w:rFonts w:hint="eastAsia" w:ascii="宋体" w:hAnsi="宋体" w:eastAsia="宋体" w:cs="宋体"/>
          <w:color w:val="auto"/>
          <w:highlight w:val="none"/>
        </w:rPr>
        <mc:AlternateContent>
          <mc:Choice Requires="wpg">
            <w:drawing>
              <wp:anchor distT="0" distB="0" distL="114300" distR="114300" simplePos="0" relativeHeight="251665408" behindDoc="0" locked="0" layoutInCell="1" allowOverlap="1">
                <wp:simplePos x="0" y="0"/>
                <wp:positionH relativeFrom="column">
                  <wp:posOffset>3028315</wp:posOffset>
                </wp:positionH>
                <wp:positionV relativeFrom="paragraph">
                  <wp:posOffset>66675</wp:posOffset>
                </wp:positionV>
                <wp:extent cx="2551430" cy="951230"/>
                <wp:effectExtent l="12700" t="0" r="26670" b="41910"/>
                <wp:wrapNone/>
                <wp:docPr id="14" name="组合 14"/>
                <wp:cNvGraphicFramePr/>
                <a:graphic xmlns:a="http://schemas.openxmlformats.org/drawingml/2006/main">
                  <a:graphicData uri="http://schemas.microsoft.com/office/word/2010/wordprocessingGroup">
                    <wpg:wgp>
                      <wpg:cNvGrpSpPr/>
                      <wpg:grpSpPr>
                        <a:xfrm>
                          <a:off x="0" y="0"/>
                          <a:ext cx="2551430" cy="951230"/>
                          <a:chOff x="0" y="0"/>
                          <a:chExt cx="4017" cy="1498"/>
                        </a:xfrm>
                      </wpg:grpSpPr>
                      <pic:pic xmlns:pic="http://schemas.openxmlformats.org/drawingml/2006/picture">
                        <pic:nvPicPr>
                          <pic:cNvPr id="12" name="图片 15"/>
                          <pic:cNvPicPr>
                            <a:picLocks noChangeAspect="1"/>
                          </pic:cNvPicPr>
                        </pic:nvPicPr>
                        <pic:blipFill>
                          <a:blip r:embed="rId43"/>
                          <a:stretch>
                            <a:fillRect/>
                          </a:stretch>
                        </pic:blipFill>
                        <pic:spPr>
                          <a:xfrm>
                            <a:off x="0" y="0"/>
                            <a:ext cx="4017" cy="1498"/>
                          </a:xfrm>
                          <a:prstGeom prst="rect">
                            <a:avLst/>
                          </a:prstGeom>
                          <a:noFill/>
                          <a:ln>
                            <a:noFill/>
                          </a:ln>
                        </pic:spPr>
                      </pic:pic>
                      <wps:wsp>
                        <wps:cNvPr id="13" name="文本框 13"/>
                        <wps:cNvSpPr txBox="1"/>
                        <wps:spPr>
                          <a:xfrm>
                            <a:off x="-20" y="-20"/>
                            <a:ext cx="4057" cy="1576"/>
                          </a:xfrm>
                          <a:prstGeom prst="rect">
                            <a:avLst/>
                          </a:prstGeom>
                          <a:noFill/>
                          <a:ln>
                            <a:noFill/>
                          </a:ln>
                        </wps:spPr>
                        <wps:txbx>
                          <w:txbxContent>
                            <w:p w14:paraId="49D57B50">
                              <w:pPr>
                                <w:spacing w:line="264" w:lineRule="auto"/>
                                <w:rPr>
                                  <w:rFonts w:ascii="Arial"/>
                                  <w:sz w:val="21"/>
                                </w:rPr>
                              </w:pPr>
                            </w:p>
                            <w:p w14:paraId="1C2C61B6">
                              <w:pPr>
                                <w:spacing w:line="264" w:lineRule="auto"/>
                                <w:rPr>
                                  <w:rFonts w:ascii="Arial"/>
                                  <w:sz w:val="21"/>
                                </w:rPr>
                              </w:pPr>
                            </w:p>
                            <w:p w14:paraId="09A5072C">
                              <w:pPr>
                                <w:spacing w:line="265" w:lineRule="auto"/>
                                <w:rPr>
                                  <w:rFonts w:ascii="Arial"/>
                                  <w:sz w:val="21"/>
                                </w:rPr>
                              </w:pPr>
                            </w:p>
                            <w:p w14:paraId="0B004951">
                              <w:pPr>
                                <w:spacing w:before="65" w:line="228" w:lineRule="auto"/>
                                <w:ind w:left="988"/>
                                <w:rPr>
                                  <w:rFonts w:ascii="宋体" w:hAnsi="宋体" w:eastAsia="宋体" w:cs="宋体"/>
                                  <w:sz w:val="20"/>
                                  <w:szCs w:val="20"/>
                                </w:rPr>
                              </w:pPr>
                              <w:r>
                                <w:rPr>
                                  <w:rFonts w:ascii="宋体" w:hAnsi="宋体" w:eastAsia="宋体" w:cs="宋体"/>
                                  <w:spacing w:val="9"/>
                                  <w:sz w:val="20"/>
                                  <w:szCs w:val="20"/>
                                </w:rPr>
                                <w:t>法人身份证复印件反面</w:t>
                              </w:r>
                            </w:p>
                          </w:txbxContent>
                        </wps:txbx>
                        <wps:bodyPr lIns="0" tIns="0" rIns="0" bIns="0" upright="1"/>
                      </wps:wsp>
                    </wpg:wgp>
                  </a:graphicData>
                </a:graphic>
              </wp:anchor>
            </w:drawing>
          </mc:Choice>
          <mc:Fallback>
            <w:pict>
              <v:group id="_x0000_s1026" o:spid="_x0000_s1026" o:spt="203" style="position:absolute;left:0pt;margin-left:238.45pt;margin-top:5.25pt;height:74.9pt;width:200.9pt;z-index:251665408;mso-width-relative:page;mso-height-relative:page;" coordsize="4017,1498" o:gfxdata="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">
                <o:lock v:ext="edit" aspectratio="f"/>
                <v:shape id="图片 15" o:spid="_x0000_s1026" o:spt="75" type="#_x0000_t75" style="position:absolute;left:0;top:0;height:1498;width:4017;" filled="f" o:preferrelative="t" stroked="f" coordsize="21600,21600" o:gfxdata="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zUOZW2AAAA2wAAAA8A&#10;AAAAAAAAAQAgAAAAIgAAAGRycy9kb3ducmV2LnhtbFBLAQIUABQAAAAIAIdO4kAzLwWeOwAAADkA&#10;AAAQAAAAAAAAAAEAIAAAAAUBAABkcnMvc2hhcGV4bWwueG1sUEsFBgAAAAAGAAYAWwEAAK8DAAAA&#10;AA==&#10;">
                  <v:fill on="f" focussize="0,0"/>
                  <v:stroke on="f"/>
                  <v:imagedata r:id="rId43" o:title=""/>
                  <o:lock v:ext="edit" aspectratio="t"/>
                </v:shape>
                <v:shape id="_x0000_s1026" o:spid="_x0000_s1026" o:spt="202" type="#_x0000_t202" style="position:absolute;left:-20;top:-20;height:1576;width:4057;"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9D57B50">
                        <w:pPr>
                          <w:spacing w:line="264" w:lineRule="auto"/>
                          <w:rPr>
                            <w:rFonts w:ascii="Arial"/>
                            <w:sz w:val="21"/>
                          </w:rPr>
                        </w:pPr>
                      </w:p>
                      <w:p w14:paraId="1C2C61B6">
                        <w:pPr>
                          <w:spacing w:line="264" w:lineRule="auto"/>
                          <w:rPr>
                            <w:rFonts w:ascii="Arial"/>
                            <w:sz w:val="21"/>
                          </w:rPr>
                        </w:pPr>
                      </w:p>
                      <w:p w14:paraId="09A5072C">
                        <w:pPr>
                          <w:spacing w:line="265" w:lineRule="auto"/>
                          <w:rPr>
                            <w:rFonts w:ascii="Arial"/>
                            <w:sz w:val="21"/>
                          </w:rPr>
                        </w:pPr>
                      </w:p>
                      <w:p w14:paraId="0B004951">
                        <w:pPr>
                          <w:spacing w:before="65" w:line="228" w:lineRule="auto"/>
                          <w:ind w:left="988"/>
                          <w:rPr>
                            <w:rFonts w:ascii="宋体" w:hAnsi="宋体" w:eastAsia="宋体" w:cs="宋体"/>
                            <w:sz w:val="20"/>
                            <w:szCs w:val="20"/>
                          </w:rPr>
                        </w:pPr>
                        <w:r>
                          <w:rPr>
                            <w:rFonts w:ascii="宋体" w:hAnsi="宋体" w:eastAsia="宋体" w:cs="宋体"/>
                            <w:spacing w:val="9"/>
                            <w:sz w:val="20"/>
                            <w:szCs w:val="20"/>
                          </w:rPr>
                          <w:t>法人身份证复印件反面</w:t>
                        </w:r>
                      </w:p>
                    </w:txbxContent>
                  </v:textbox>
                </v:shape>
              </v:group>
            </w:pict>
          </mc:Fallback>
        </mc:AlternateContent>
      </w:r>
      <w:r>
        <w:rPr>
          <w:rFonts w:hint="eastAsia" w:ascii="宋体" w:hAnsi="宋体" w:eastAsia="宋体" w:cs="宋体"/>
          <w:color w:val="auto"/>
          <w:position w:val="-32"/>
          <w:highlight w:val="none"/>
        </w:rPr>
        <mc:AlternateContent>
          <mc:Choice Requires="wpg">
            <w:drawing>
              <wp:inline distT="0" distB="0" distL="114300" distR="114300">
                <wp:extent cx="2571115" cy="1040765"/>
                <wp:effectExtent l="12700" t="0" r="22225" b="13335"/>
                <wp:docPr id="8" name="组合 8"/>
                <wp:cNvGraphicFramePr/>
                <a:graphic xmlns:a="http://schemas.openxmlformats.org/drawingml/2006/main">
                  <a:graphicData uri="http://schemas.microsoft.com/office/word/2010/wordprocessingGroup">
                    <wpg:wgp>
                      <wpg:cNvGrpSpPr/>
                      <wpg:grpSpPr>
                        <a:xfrm>
                          <a:off x="0" y="0"/>
                          <a:ext cx="2571115" cy="1040765"/>
                          <a:chOff x="0" y="0"/>
                          <a:chExt cx="4048" cy="1638"/>
                        </a:xfrm>
                      </wpg:grpSpPr>
                      <pic:pic xmlns:pic="http://schemas.openxmlformats.org/drawingml/2006/picture">
                        <pic:nvPicPr>
                          <pic:cNvPr id="6" name="图片 18"/>
                          <pic:cNvPicPr>
                            <a:picLocks noChangeAspect="1"/>
                          </pic:cNvPicPr>
                        </pic:nvPicPr>
                        <pic:blipFill>
                          <a:blip r:embed="rId44"/>
                          <a:stretch>
                            <a:fillRect/>
                          </a:stretch>
                        </pic:blipFill>
                        <pic:spPr>
                          <a:xfrm>
                            <a:off x="0" y="0"/>
                            <a:ext cx="4048" cy="1638"/>
                          </a:xfrm>
                          <a:prstGeom prst="rect">
                            <a:avLst/>
                          </a:prstGeom>
                          <a:noFill/>
                          <a:ln>
                            <a:noFill/>
                          </a:ln>
                        </pic:spPr>
                      </pic:pic>
                      <wps:wsp>
                        <wps:cNvPr id="7" name="文本框 7"/>
                        <wps:cNvSpPr txBox="1"/>
                        <wps:spPr>
                          <a:xfrm>
                            <a:off x="-20" y="-20"/>
                            <a:ext cx="4088" cy="1678"/>
                          </a:xfrm>
                          <a:prstGeom prst="rect">
                            <a:avLst/>
                          </a:prstGeom>
                          <a:noFill/>
                          <a:ln>
                            <a:noFill/>
                          </a:ln>
                        </wps:spPr>
                        <wps:txbx>
                          <w:txbxContent>
                            <w:p w14:paraId="27DD4F94">
                              <w:pPr>
                                <w:spacing w:line="266" w:lineRule="auto"/>
                                <w:rPr>
                                  <w:rFonts w:ascii="Arial"/>
                                  <w:sz w:val="21"/>
                                </w:rPr>
                              </w:pPr>
                            </w:p>
                            <w:p w14:paraId="11FB421E">
                              <w:pPr>
                                <w:spacing w:line="266" w:lineRule="auto"/>
                                <w:rPr>
                                  <w:rFonts w:ascii="Arial"/>
                                  <w:sz w:val="21"/>
                                </w:rPr>
                              </w:pPr>
                            </w:p>
                            <w:p w14:paraId="687CC673">
                              <w:pPr>
                                <w:spacing w:line="267" w:lineRule="auto"/>
                                <w:rPr>
                                  <w:rFonts w:ascii="Arial"/>
                                  <w:sz w:val="21"/>
                                </w:rPr>
                              </w:pPr>
                            </w:p>
                            <w:p w14:paraId="4151FD71">
                              <w:pPr>
                                <w:spacing w:before="65" w:line="228" w:lineRule="auto"/>
                                <w:ind w:left="1004"/>
                                <w:rPr>
                                  <w:rFonts w:ascii="宋体" w:hAnsi="宋体" w:eastAsia="宋体" w:cs="宋体"/>
                                  <w:sz w:val="20"/>
                                  <w:szCs w:val="20"/>
                                </w:rPr>
                              </w:pPr>
                              <w:r>
                                <w:rPr>
                                  <w:rFonts w:ascii="宋体" w:hAnsi="宋体" w:eastAsia="宋体" w:cs="宋体"/>
                                  <w:spacing w:val="9"/>
                                  <w:sz w:val="20"/>
                                  <w:szCs w:val="20"/>
                                </w:rPr>
                                <w:t>法人身份证复印件正面</w:t>
                              </w:r>
                            </w:p>
                          </w:txbxContent>
                        </wps:txbx>
                        <wps:bodyPr lIns="0" tIns="0" rIns="0" bIns="0" upright="1"/>
                      </wps:wsp>
                    </wpg:wgp>
                  </a:graphicData>
                </a:graphic>
              </wp:inline>
            </w:drawing>
          </mc:Choice>
          <mc:Fallback>
            <w:pict>
              <v:group id="_x0000_s1026" o:spid="_x0000_s1026" o:spt="203" style="height:81.95pt;width:202.45pt;" coordsize="4048,1638" o:gfxdata="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">
                <o:lock v:ext="edit" aspectratio="f"/>
                <v:shape id="图片 18" o:spid="_x0000_s1026" o:spt="75" type="#_x0000_t75" style="position:absolute;left:0;top:0;height:1638;width:4048;" filled="f" o:preferrelative="t" stroked="f" coordsize="21600,21600" o:gfxdata="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8kJK8AAAA&#10;2gAAAA8AAAAAAAAAAQAgAAAAIgAAAGRycy9kb3ducmV2LnhtbFBLAQIUABQAAAAIAIdO4kAzLwWe&#10;OwAAADkAAAAQAAAAAAAAAAEAIAAAAAsBAABkcnMvc2hhcGV4bWwueG1sUEsFBgAAAAAGAAYAWwEA&#10;ALUDAAAAAA==&#10;">
                  <v:fill on="f" focussize="0,0"/>
                  <v:stroke on="f"/>
                  <v:imagedata r:id="rId44" o:title=""/>
                  <o:lock v:ext="edit" aspectratio="t"/>
                </v:shape>
                <v:shape id="_x0000_s1026" o:spid="_x0000_s1026" o:spt="202" type="#_x0000_t202" style="position:absolute;left:-20;top:-20;height:1678;width:4088;"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7DD4F94">
                        <w:pPr>
                          <w:spacing w:line="266" w:lineRule="auto"/>
                          <w:rPr>
                            <w:rFonts w:ascii="Arial"/>
                            <w:sz w:val="21"/>
                          </w:rPr>
                        </w:pPr>
                      </w:p>
                      <w:p w14:paraId="11FB421E">
                        <w:pPr>
                          <w:spacing w:line="266" w:lineRule="auto"/>
                          <w:rPr>
                            <w:rFonts w:ascii="Arial"/>
                            <w:sz w:val="21"/>
                          </w:rPr>
                        </w:pPr>
                      </w:p>
                      <w:p w14:paraId="687CC673">
                        <w:pPr>
                          <w:spacing w:line="267" w:lineRule="auto"/>
                          <w:rPr>
                            <w:rFonts w:ascii="Arial"/>
                            <w:sz w:val="21"/>
                          </w:rPr>
                        </w:pPr>
                      </w:p>
                      <w:p w14:paraId="4151FD71">
                        <w:pPr>
                          <w:spacing w:before="65" w:line="228" w:lineRule="auto"/>
                          <w:ind w:left="1004"/>
                          <w:rPr>
                            <w:rFonts w:ascii="宋体" w:hAnsi="宋体" w:eastAsia="宋体" w:cs="宋体"/>
                            <w:sz w:val="20"/>
                            <w:szCs w:val="20"/>
                          </w:rPr>
                        </w:pPr>
                        <w:r>
                          <w:rPr>
                            <w:rFonts w:ascii="宋体" w:hAnsi="宋体" w:eastAsia="宋体" w:cs="宋体"/>
                            <w:spacing w:val="9"/>
                            <w:sz w:val="20"/>
                            <w:szCs w:val="20"/>
                          </w:rPr>
                          <w:t>法人身份证复印件正面</w:t>
                        </w:r>
                      </w:p>
                    </w:txbxContent>
                  </v:textbox>
                </v:shape>
                <w10:wrap type="none"/>
                <w10:anchorlock/>
              </v:group>
            </w:pict>
          </mc:Fallback>
        </mc:AlternateContent>
      </w:r>
    </w:p>
    <w:p w14:paraId="239520B3">
      <w:pPr>
        <w:pStyle w:val="2"/>
        <w:spacing w:before="102" w:line="211" w:lineRule="auto"/>
        <w:ind w:left="59" w:right="3649" w:hanging="1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供应商（公章）;</w:t>
      </w:r>
      <w:r>
        <w:rPr>
          <w:rFonts w:hint="eastAsia" w:ascii="宋体" w:hAnsi="宋体" w:eastAsia="宋体" w:cs="宋体"/>
          <w:color w:val="auto"/>
          <w:sz w:val="28"/>
          <w:szCs w:val="28"/>
          <w:highlight w:val="none"/>
          <w:u w:val="single" w:color="auto"/>
        </w:rPr>
        <w:t xml:space="preserve">                                                 </w:t>
      </w:r>
      <w:r>
        <w:rPr>
          <w:rFonts w:hint="eastAsia" w:ascii="宋体" w:hAnsi="宋体" w:eastAsia="宋体" w:cs="宋体"/>
          <w:color w:val="auto"/>
          <w:spacing w:val="-1"/>
          <w:sz w:val="28"/>
          <w:szCs w:val="28"/>
          <w:highlight w:val="none"/>
          <w:u w:val="single" w:color="auto"/>
        </w:rPr>
        <w:t xml:space="preserve">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3"/>
          <w:sz w:val="28"/>
          <w:szCs w:val="28"/>
          <w:highlight w:val="none"/>
        </w:rPr>
        <w:t>法定代表人（签字或盖章</w:t>
      </w:r>
      <w:r>
        <w:rPr>
          <w:rFonts w:hint="eastAsia" w:ascii="宋体" w:hAnsi="宋体" w:eastAsia="宋体" w:cs="宋体"/>
          <w:color w:val="auto"/>
          <w:spacing w:val="1"/>
          <w:sz w:val="28"/>
          <w:szCs w:val="28"/>
          <w:highlight w:val="none"/>
        </w:rPr>
        <w:t>）：</w:t>
      </w:r>
      <w:r>
        <w:rPr>
          <w:rFonts w:hint="eastAsia" w:ascii="宋体" w:hAnsi="宋体" w:eastAsia="宋体" w:cs="宋体"/>
          <w:color w:val="auto"/>
          <w:sz w:val="28"/>
          <w:szCs w:val="28"/>
          <w:highlight w:val="none"/>
          <w:u w:val="single" w:color="auto"/>
        </w:rPr>
        <w:t xml:space="preserve">                            </w:t>
      </w:r>
    </w:p>
    <w:p w14:paraId="76939B07">
      <w:pPr>
        <w:pStyle w:val="2"/>
        <w:spacing w:before="1" w:line="210" w:lineRule="auto"/>
        <w:ind w:left="50"/>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身份证号码：</w:t>
      </w:r>
      <w:r>
        <w:rPr>
          <w:rFonts w:hint="eastAsia" w:ascii="宋体" w:hAnsi="宋体" w:eastAsia="宋体" w:cs="宋体"/>
          <w:color w:val="auto"/>
          <w:spacing w:val="-1"/>
          <w:sz w:val="28"/>
          <w:szCs w:val="28"/>
          <w:highlight w:val="none"/>
          <w:u w:val="single" w:color="auto"/>
        </w:rPr>
        <w:t xml:space="preserve">                </w:t>
      </w:r>
      <w:r>
        <w:rPr>
          <w:rFonts w:hint="eastAsia" w:ascii="宋体" w:hAnsi="宋体" w:eastAsia="宋体" w:cs="宋体"/>
          <w:color w:val="auto"/>
          <w:spacing w:val="2"/>
          <w:sz w:val="28"/>
          <w:szCs w:val="28"/>
          <w:highlight w:val="none"/>
        </w:rPr>
        <w:t xml:space="preserve">     </w:t>
      </w:r>
    </w:p>
    <w:p w14:paraId="3FF74662">
      <w:pPr>
        <w:pStyle w:val="2"/>
        <w:tabs>
          <w:tab w:val="left" w:pos="6749"/>
        </w:tabs>
        <w:spacing w:before="6" w:line="210" w:lineRule="auto"/>
        <w:ind w:left="50" w:right="3649" w:firstLine="6"/>
        <w:jc w:val="both"/>
        <w:rPr>
          <w:rFonts w:hint="eastAsia" w:ascii="宋体" w:hAnsi="宋体" w:eastAsia="宋体" w:cs="宋体"/>
          <w:color w:val="auto"/>
          <w:sz w:val="28"/>
          <w:szCs w:val="28"/>
          <w:highlight w:val="none"/>
          <w:u w:val="single" w:color="auto"/>
        </w:rPr>
      </w:pPr>
      <w:r>
        <w:rPr>
          <w:rFonts w:hint="eastAsia" w:ascii="宋体" w:hAnsi="宋体" w:eastAsia="宋体" w:cs="宋体"/>
          <w:color w:val="auto"/>
          <w:spacing w:val="-5"/>
          <w:sz w:val="28"/>
          <w:szCs w:val="28"/>
          <w:highlight w:val="none"/>
        </w:rPr>
        <w:t>委托代理人：</w:t>
      </w:r>
      <w:r>
        <w:rPr>
          <w:rFonts w:hint="eastAsia" w:ascii="宋体" w:hAnsi="宋体" w:eastAsia="宋体" w:cs="宋体"/>
          <w:color w:val="auto"/>
          <w:sz w:val="28"/>
          <w:szCs w:val="28"/>
          <w:highlight w:val="none"/>
          <w:u w:val="single" w:color="auto"/>
        </w:rPr>
        <w:tab/>
      </w:r>
    </w:p>
    <w:p w14:paraId="7EE557E9">
      <w:pPr>
        <w:pStyle w:val="2"/>
        <w:tabs>
          <w:tab w:val="left" w:pos="6749"/>
        </w:tabs>
        <w:spacing w:before="6" w:line="210" w:lineRule="auto"/>
        <w:ind w:left="50" w:right="3649" w:firstLine="6"/>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4"/>
          <w:sz w:val="28"/>
          <w:szCs w:val="28"/>
          <w:highlight w:val="none"/>
        </w:rPr>
        <w:t>身份证号码：</w:t>
      </w:r>
      <w:r>
        <w:rPr>
          <w:rFonts w:hint="eastAsia" w:ascii="宋体" w:hAnsi="宋体" w:eastAsia="宋体" w:cs="宋体"/>
          <w:color w:val="auto"/>
          <w:sz w:val="28"/>
          <w:szCs w:val="28"/>
          <w:highlight w:val="none"/>
          <w:u w:val="single" w:color="auto"/>
        </w:rPr>
        <w:tab/>
      </w:r>
      <w:r>
        <w:rPr>
          <w:rFonts w:hint="eastAsia" w:ascii="宋体" w:hAnsi="宋体" w:eastAsia="宋体" w:cs="宋体"/>
          <w:color w:val="auto"/>
          <w:sz w:val="28"/>
          <w:szCs w:val="28"/>
          <w:highlight w:val="none"/>
        </w:rPr>
        <w:t xml:space="preserve"> </w:t>
      </w:r>
    </w:p>
    <w:p w14:paraId="2DE72F52">
      <w:pPr>
        <w:pStyle w:val="2"/>
        <w:tabs>
          <w:tab w:val="left" w:pos="6749"/>
        </w:tabs>
        <w:spacing w:before="6" w:line="210" w:lineRule="auto"/>
        <w:ind w:left="50" w:right="3649" w:firstLine="6"/>
        <w:jc w:val="both"/>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详细通讯地址：</w:t>
      </w:r>
      <w:r>
        <w:rPr>
          <w:rFonts w:hint="eastAsia" w:ascii="宋体" w:hAnsi="宋体" w:eastAsia="宋体" w:cs="宋体"/>
          <w:color w:val="auto"/>
          <w:sz w:val="28"/>
          <w:szCs w:val="28"/>
          <w:highlight w:val="none"/>
          <w:u w:val="single" w:color="auto"/>
        </w:rPr>
        <w:tab/>
      </w:r>
      <w:r>
        <w:rPr>
          <w:rFonts w:hint="eastAsia" w:ascii="宋体" w:hAnsi="宋体" w:eastAsia="宋体" w:cs="宋体"/>
          <w:color w:val="auto"/>
          <w:sz w:val="28"/>
          <w:szCs w:val="28"/>
          <w:highlight w:val="none"/>
        </w:rPr>
        <w:t xml:space="preserve"> </w:t>
      </w:r>
    </w:p>
    <w:p w14:paraId="575DA39A">
      <w:pPr>
        <w:pStyle w:val="2"/>
        <w:tabs>
          <w:tab w:val="left" w:pos="6749"/>
        </w:tabs>
        <w:spacing w:before="6" w:line="210" w:lineRule="auto"/>
        <w:ind w:left="50" w:right="3649" w:firstLine="6"/>
        <w:jc w:val="both"/>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邮</w:t>
      </w:r>
      <w:r>
        <w:rPr>
          <w:rFonts w:hint="eastAsia" w:ascii="宋体" w:hAnsi="宋体" w:eastAsia="宋体" w:cs="宋体"/>
          <w:color w:val="auto"/>
          <w:spacing w:val="42"/>
          <w:sz w:val="28"/>
          <w:szCs w:val="28"/>
          <w:highlight w:val="none"/>
        </w:rPr>
        <w:t xml:space="preserve"> </w:t>
      </w:r>
      <w:r>
        <w:rPr>
          <w:rFonts w:hint="eastAsia" w:ascii="宋体" w:hAnsi="宋体" w:eastAsia="宋体" w:cs="宋体"/>
          <w:color w:val="auto"/>
          <w:spacing w:val="-6"/>
          <w:sz w:val="28"/>
          <w:szCs w:val="28"/>
          <w:highlight w:val="none"/>
        </w:rPr>
        <w:t>政</w:t>
      </w:r>
      <w:r>
        <w:rPr>
          <w:rFonts w:hint="eastAsia" w:ascii="宋体" w:hAnsi="宋体" w:eastAsia="宋体" w:cs="宋体"/>
          <w:color w:val="auto"/>
          <w:spacing w:val="41"/>
          <w:sz w:val="28"/>
          <w:szCs w:val="28"/>
          <w:highlight w:val="none"/>
        </w:rPr>
        <w:t xml:space="preserve"> </w:t>
      </w:r>
      <w:r>
        <w:rPr>
          <w:rFonts w:hint="eastAsia" w:ascii="宋体" w:hAnsi="宋体" w:eastAsia="宋体" w:cs="宋体"/>
          <w:color w:val="auto"/>
          <w:spacing w:val="-6"/>
          <w:sz w:val="28"/>
          <w:szCs w:val="28"/>
          <w:highlight w:val="none"/>
        </w:rPr>
        <w:t>编</w:t>
      </w:r>
      <w:r>
        <w:rPr>
          <w:rFonts w:hint="eastAsia" w:ascii="宋体" w:hAnsi="宋体" w:eastAsia="宋体" w:cs="宋体"/>
          <w:color w:val="auto"/>
          <w:spacing w:val="43"/>
          <w:sz w:val="28"/>
          <w:szCs w:val="28"/>
          <w:highlight w:val="none"/>
        </w:rPr>
        <w:t xml:space="preserve"> </w:t>
      </w:r>
      <w:r>
        <w:rPr>
          <w:rFonts w:hint="eastAsia" w:ascii="宋体" w:hAnsi="宋体" w:eastAsia="宋体" w:cs="宋体"/>
          <w:color w:val="auto"/>
          <w:spacing w:val="-6"/>
          <w:sz w:val="28"/>
          <w:szCs w:val="28"/>
          <w:highlight w:val="none"/>
        </w:rPr>
        <w:t>码</w:t>
      </w:r>
      <w:r>
        <w:rPr>
          <w:rFonts w:hint="eastAsia" w:ascii="宋体" w:hAnsi="宋体" w:eastAsia="宋体" w:cs="宋体"/>
          <w:color w:val="auto"/>
          <w:spacing w:val="26"/>
          <w:sz w:val="28"/>
          <w:szCs w:val="28"/>
          <w:highlight w:val="none"/>
        </w:rPr>
        <w:t xml:space="preserve"> </w:t>
      </w:r>
      <w:r>
        <w:rPr>
          <w:rFonts w:hint="eastAsia" w:ascii="宋体" w:hAnsi="宋体" w:eastAsia="宋体" w:cs="宋体"/>
          <w:color w:val="auto"/>
          <w:spacing w:val="-6"/>
          <w:sz w:val="28"/>
          <w:szCs w:val="28"/>
          <w:highlight w:val="none"/>
        </w:rPr>
        <w:t>：</w:t>
      </w:r>
      <w:r>
        <w:rPr>
          <w:rFonts w:hint="eastAsia" w:ascii="宋体" w:hAnsi="宋体" w:eastAsia="宋体" w:cs="宋体"/>
          <w:color w:val="auto"/>
          <w:spacing w:val="-6"/>
          <w:sz w:val="28"/>
          <w:szCs w:val="28"/>
          <w:highlight w:val="none"/>
          <w:u w:val="single" w:color="auto"/>
        </w:rPr>
        <w:t xml:space="preserve">                       </w:t>
      </w:r>
      <w:r>
        <w:rPr>
          <w:rFonts w:hint="eastAsia" w:ascii="宋体" w:hAnsi="宋体" w:eastAsia="宋体" w:cs="宋体"/>
          <w:color w:val="auto"/>
          <w:spacing w:val="-7"/>
          <w:sz w:val="28"/>
          <w:szCs w:val="28"/>
          <w:highlight w:val="none"/>
          <w:u w:val="single" w:color="auto"/>
        </w:rPr>
        <w:t xml:space="preserve">                     </w:t>
      </w:r>
    </w:p>
    <w:p w14:paraId="5E491FEE">
      <w:pPr>
        <w:pStyle w:val="2"/>
        <w:spacing w:before="1" w:line="210" w:lineRule="auto"/>
        <w:ind w:left="40"/>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传</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0"/>
          <w:sz w:val="28"/>
          <w:szCs w:val="28"/>
          <w:highlight w:val="none"/>
        </w:rPr>
        <w:t>真：</w:t>
      </w:r>
      <w:r>
        <w:rPr>
          <w:rFonts w:hint="eastAsia" w:ascii="宋体" w:hAnsi="宋体" w:eastAsia="宋体" w:cs="宋体"/>
          <w:color w:val="auto"/>
          <w:sz w:val="28"/>
          <w:szCs w:val="28"/>
          <w:highlight w:val="none"/>
          <w:u w:val="single" w:color="auto"/>
        </w:rPr>
        <w:t xml:space="preserve">                                          </w:t>
      </w:r>
    </w:p>
    <w:p w14:paraId="0F6F59B8">
      <w:pPr>
        <w:pStyle w:val="2"/>
        <w:spacing w:before="1" w:line="233" w:lineRule="auto"/>
        <w:ind w:left="78"/>
        <w:rPr>
          <w:rFonts w:hint="eastAsia" w:ascii="宋体" w:hAnsi="宋体" w:eastAsia="宋体" w:cs="宋体"/>
          <w:color w:val="auto"/>
          <w:sz w:val="28"/>
          <w:szCs w:val="28"/>
          <w:highlight w:val="none"/>
        </w:rPr>
      </w:pPr>
      <w:r>
        <w:rPr>
          <w:rFonts w:hint="eastAsia" w:ascii="宋体" w:hAnsi="宋体" w:eastAsia="宋体" w:cs="宋体"/>
          <w:color w:val="auto"/>
          <w:spacing w:val="-22"/>
          <w:sz w:val="28"/>
          <w:szCs w:val="28"/>
          <w:highlight w:val="none"/>
        </w:rPr>
        <w:t>电</w:t>
      </w:r>
      <w:r>
        <w:rPr>
          <w:rFonts w:hint="eastAsia" w:ascii="宋体" w:hAnsi="宋体" w:eastAsia="宋体" w:cs="宋体"/>
          <w:color w:val="auto"/>
          <w:spacing w:val="12"/>
          <w:sz w:val="28"/>
          <w:szCs w:val="28"/>
          <w:highlight w:val="none"/>
        </w:rPr>
        <w:t xml:space="preserve">         </w:t>
      </w:r>
      <w:r>
        <w:rPr>
          <w:rFonts w:hint="eastAsia" w:ascii="宋体" w:hAnsi="宋体" w:eastAsia="宋体" w:cs="宋体"/>
          <w:color w:val="auto"/>
          <w:spacing w:val="-22"/>
          <w:sz w:val="28"/>
          <w:szCs w:val="28"/>
          <w:highlight w:val="none"/>
        </w:rPr>
        <w:t>话：</w:t>
      </w:r>
      <w:r>
        <w:rPr>
          <w:rFonts w:hint="eastAsia" w:ascii="宋体" w:hAnsi="宋体" w:eastAsia="宋体" w:cs="宋体"/>
          <w:color w:val="auto"/>
          <w:sz w:val="28"/>
          <w:szCs w:val="28"/>
          <w:highlight w:val="none"/>
          <w:u w:val="single" w:color="auto"/>
        </w:rPr>
        <w:t xml:space="preserve">                                          </w:t>
      </w:r>
    </w:p>
    <w:p w14:paraId="4C25947F">
      <w:pPr>
        <w:pStyle w:val="2"/>
        <w:spacing w:before="102" w:line="221" w:lineRule="auto"/>
        <w:ind w:left="6205"/>
        <w:rPr>
          <w:rFonts w:hint="eastAsia" w:ascii="宋体" w:hAnsi="宋体" w:eastAsia="宋体" w:cs="宋体"/>
          <w:color w:val="auto"/>
          <w:sz w:val="28"/>
          <w:szCs w:val="28"/>
          <w:highlight w:val="none"/>
        </w:rPr>
      </w:pPr>
      <w:r>
        <w:rPr>
          <w:rFonts w:hint="eastAsia" w:ascii="宋体" w:hAnsi="宋体" w:eastAsia="宋体" w:cs="宋体"/>
          <w:color w:val="auto"/>
          <w:spacing w:val="-8"/>
          <w:sz w:val="28"/>
          <w:szCs w:val="28"/>
          <w:highlight w:val="none"/>
        </w:rPr>
        <w:t>年    月</w:t>
      </w:r>
      <w:r>
        <w:rPr>
          <w:rFonts w:hint="eastAsia" w:ascii="宋体" w:hAnsi="宋体" w:eastAsia="宋体" w:cs="宋体"/>
          <w:color w:val="auto"/>
          <w:spacing w:val="12"/>
          <w:sz w:val="28"/>
          <w:szCs w:val="28"/>
          <w:highlight w:val="none"/>
        </w:rPr>
        <w:t xml:space="preserve">    </w:t>
      </w:r>
      <w:r>
        <w:rPr>
          <w:rFonts w:hint="eastAsia" w:ascii="宋体" w:hAnsi="宋体" w:eastAsia="宋体" w:cs="宋体"/>
          <w:color w:val="auto"/>
          <w:spacing w:val="-8"/>
          <w:sz w:val="28"/>
          <w:szCs w:val="28"/>
          <w:highlight w:val="none"/>
        </w:rPr>
        <w:t>日</w:t>
      </w:r>
    </w:p>
    <w:p w14:paraId="145FAD91">
      <w:pPr>
        <w:pStyle w:val="2"/>
        <w:spacing w:line="240" w:lineRule="auto"/>
        <w:ind w:left="0" w:right="0" w:firstLine="0"/>
        <w:jc w:val="both"/>
        <w:rPr>
          <w:rFonts w:hint="eastAsia" w:ascii="宋体" w:hAnsi="宋体" w:eastAsia="宋体" w:cs="宋体"/>
          <w:color w:val="auto"/>
          <w:sz w:val="28"/>
          <w:szCs w:val="28"/>
          <w:highlight w:val="none"/>
        </w:rPr>
      </w:pPr>
    </w:p>
    <w:p w14:paraId="11D39731">
      <w:pPr>
        <w:spacing w:before="49" w:line="229" w:lineRule="auto"/>
        <w:outlineLvl w:val="1"/>
        <w:rPr>
          <w:rFonts w:hint="eastAsia" w:ascii="宋体" w:hAnsi="宋体" w:eastAsia="宋体" w:cs="宋体"/>
          <w:color w:val="auto"/>
          <w:sz w:val="23"/>
          <w:szCs w:val="23"/>
          <w:highlight w:val="none"/>
        </w:rPr>
      </w:pPr>
      <w:r>
        <w:rPr>
          <w:rFonts w:hint="eastAsia" w:ascii="宋体" w:hAnsi="宋体" w:eastAsia="宋体" w:cs="宋体"/>
          <w:b/>
          <w:bCs/>
          <w:color w:val="auto"/>
          <w:spacing w:val="6"/>
          <w:sz w:val="23"/>
          <w:szCs w:val="23"/>
          <w:highlight w:val="none"/>
        </w:rPr>
        <w:t>4</w:t>
      </w:r>
      <w:r>
        <w:rPr>
          <w:rFonts w:hint="eastAsia" w:ascii="宋体" w:hAnsi="宋体" w:eastAsia="宋体" w:cs="宋体"/>
          <w:color w:val="auto"/>
          <w:spacing w:val="6"/>
          <w:sz w:val="23"/>
          <w:szCs w:val="23"/>
          <w:highlight w:val="none"/>
        </w:rPr>
        <w:t xml:space="preserve">  </w:t>
      </w:r>
      <w:r>
        <w:rPr>
          <w:rFonts w:hint="eastAsia" w:ascii="宋体" w:hAnsi="宋体" w:eastAsia="宋体" w:cs="宋体"/>
          <w:color w:val="auto"/>
          <w:sz w:val="24"/>
          <w:szCs w:val="24"/>
          <w:highlight w:val="none"/>
          <w:lang w:val="en-US" w:eastAsia="zh-CN"/>
        </w:rPr>
        <w:t>参与政府采购活动前3年内未被列入失信、重大税收违法案件、财政部门禁止参加政府采购活动的承诺书</w:t>
      </w:r>
      <w:r>
        <w:rPr>
          <w:rFonts w:hint="eastAsia" w:ascii="宋体" w:hAnsi="宋体" w:eastAsia="宋体" w:cs="宋体"/>
          <w:b/>
          <w:bCs/>
          <w:color w:val="auto"/>
          <w:spacing w:val="6"/>
          <w:sz w:val="23"/>
          <w:szCs w:val="23"/>
          <w:highlight w:val="none"/>
        </w:rPr>
        <w:t>；</w:t>
      </w:r>
    </w:p>
    <w:p w14:paraId="19C43150">
      <w:pPr>
        <w:pStyle w:val="2"/>
        <w:spacing w:line="258" w:lineRule="auto"/>
        <w:rPr>
          <w:rFonts w:hint="eastAsia" w:ascii="宋体" w:hAnsi="宋体" w:eastAsia="宋体" w:cs="宋体"/>
          <w:color w:val="auto"/>
          <w:highlight w:val="none"/>
        </w:rPr>
      </w:pPr>
    </w:p>
    <w:p w14:paraId="47ABC473">
      <w:pPr>
        <w:pStyle w:val="2"/>
        <w:spacing w:line="259" w:lineRule="auto"/>
        <w:rPr>
          <w:rFonts w:hint="eastAsia" w:ascii="宋体" w:hAnsi="宋体" w:eastAsia="宋体" w:cs="宋体"/>
          <w:color w:val="auto"/>
          <w:highlight w:val="none"/>
        </w:rPr>
      </w:pPr>
    </w:p>
    <w:p w14:paraId="42260153">
      <w:pPr>
        <w:pStyle w:val="2"/>
        <w:spacing w:line="259" w:lineRule="auto"/>
        <w:rPr>
          <w:rFonts w:hint="eastAsia" w:ascii="宋体" w:hAnsi="宋体" w:eastAsia="宋体" w:cs="宋体"/>
          <w:color w:val="auto"/>
          <w:highlight w:val="none"/>
        </w:rPr>
      </w:pPr>
    </w:p>
    <w:p w14:paraId="221D4FB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bookmarkStart w:id="576" w:name="bookmark106"/>
      <w:bookmarkEnd w:id="576"/>
      <w:bookmarkStart w:id="577" w:name="bookmark153"/>
      <w:bookmarkEnd w:id="577"/>
      <w:r>
        <w:rPr>
          <w:rFonts w:hint="eastAsia" w:ascii="宋体" w:hAnsi="宋体" w:eastAsia="宋体" w:cs="宋体"/>
          <w:b/>
          <w:bCs/>
          <w:color w:val="auto"/>
          <w:spacing w:val="8"/>
          <w:sz w:val="23"/>
          <w:szCs w:val="23"/>
          <w:highlight w:val="none"/>
        </w:rPr>
        <w:t>5</w:t>
      </w:r>
      <w:r>
        <w:rPr>
          <w:rFonts w:hint="eastAsia" w:ascii="宋体" w:hAnsi="宋体" w:eastAsia="宋体" w:cs="宋体"/>
          <w:color w:val="auto"/>
          <w:spacing w:val="8"/>
          <w:sz w:val="23"/>
          <w:szCs w:val="23"/>
          <w:highlight w:val="none"/>
        </w:rPr>
        <w:t xml:space="preserve">  </w:t>
      </w:r>
      <w:r>
        <w:rPr>
          <w:rFonts w:hint="eastAsia" w:ascii="宋体" w:hAnsi="宋体" w:eastAsia="宋体" w:cs="宋体"/>
          <w:color w:val="auto"/>
          <w:sz w:val="24"/>
          <w:szCs w:val="24"/>
          <w:highlight w:val="none"/>
          <w:lang w:val="en-US" w:eastAsia="zh-CN"/>
        </w:rPr>
        <w:t>有依法缴纳税收和社会保障资金的良好记录；（投标单位需提供2024年1月至今任一月的税收和社保缴纳记录；税收可提供由投标单位所在地税务部门出具的“0”申报证明或无欠税证明。（原件、复印件、影印件均可，留存复印件或影印件）</w:t>
      </w:r>
    </w:p>
    <w:p w14:paraId="75444C94">
      <w:pPr>
        <w:spacing w:before="74"/>
        <w:ind w:left="2450" w:right="184" w:hanging="1871"/>
        <w:outlineLvl w:val="1"/>
        <w:rPr>
          <w:rFonts w:hint="eastAsia" w:ascii="宋体" w:hAnsi="宋体" w:eastAsia="宋体" w:cs="宋体"/>
          <w:color w:val="auto"/>
          <w:sz w:val="23"/>
          <w:szCs w:val="23"/>
          <w:highlight w:val="none"/>
        </w:rPr>
      </w:pPr>
      <w:r>
        <w:rPr>
          <w:rFonts w:hint="eastAsia" w:ascii="宋体" w:hAnsi="宋体" w:eastAsia="宋体" w:cs="宋体"/>
          <w:b/>
          <w:bCs/>
          <w:color w:val="auto"/>
          <w:spacing w:val="-10"/>
          <w:sz w:val="23"/>
          <w:szCs w:val="23"/>
          <w:highlight w:val="none"/>
        </w:rPr>
        <w:t>；</w:t>
      </w:r>
    </w:p>
    <w:p w14:paraId="60BE9D27">
      <w:pPr>
        <w:pStyle w:val="2"/>
        <w:spacing w:line="250" w:lineRule="auto"/>
        <w:rPr>
          <w:rFonts w:hint="eastAsia" w:ascii="宋体" w:hAnsi="宋体" w:eastAsia="宋体" w:cs="宋体"/>
          <w:color w:val="auto"/>
          <w:highlight w:val="none"/>
        </w:rPr>
      </w:pPr>
    </w:p>
    <w:p w14:paraId="6287B044">
      <w:pPr>
        <w:pStyle w:val="2"/>
        <w:spacing w:line="250" w:lineRule="auto"/>
        <w:rPr>
          <w:rFonts w:hint="eastAsia" w:ascii="宋体" w:hAnsi="宋体" w:eastAsia="宋体" w:cs="宋体"/>
          <w:color w:val="auto"/>
          <w:highlight w:val="none"/>
        </w:rPr>
      </w:pPr>
    </w:p>
    <w:p w14:paraId="2B8AD334">
      <w:pPr>
        <w:pStyle w:val="2"/>
        <w:spacing w:line="250" w:lineRule="auto"/>
        <w:rPr>
          <w:rFonts w:hint="eastAsia" w:ascii="宋体" w:hAnsi="宋体" w:eastAsia="宋体" w:cs="宋体"/>
          <w:color w:val="auto"/>
          <w:highlight w:val="none"/>
        </w:rPr>
      </w:pPr>
    </w:p>
    <w:p w14:paraId="18E3846A">
      <w:pPr>
        <w:pStyle w:val="2"/>
        <w:spacing w:line="250" w:lineRule="auto"/>
        <w:rPr>
          <w:rFonts w:hint="eastAsia" w:ascii="宋体" w:hAnsi="宋体" w:eastAsia="宋体" w:cs="宋体"/>
          <w:color w:val="auto"/>
          <w:highlight w:val="none"/>
        </w:rPr>
      </w:pPr>
    </w:p>
    <w:p w14:paraId="72950934">
      <w:pPr>
        <w:pStyle w:val="2"/>
        <w:spacing w:line="251" w:lineRule="auto"/>
        <w:rPr>
          <w:rFonts w:hint="eastAsia" w:ascii="宋体" w:hAnsi="宋体" w:eastAsia="宋体" w:cs="宋体"/>
          <w:color w:val="auto"/>
          <w:highlight w:val="none"/>
        </w:rPr>
      </w:pPr>
    </w:p>
    <w:p w14:paraId="7F8167E5">
      <w:pPr>
        <w:pStyle w:val="2"/>
        <w:spacing w:line="251" w:lineRule="auto"/>
        <w:rPr>
          <w:rFonts w:hint="eastAsia" w:ascii="宋体" w:hAnsi="宋体" w:eastAsia="宋体" w:cs="宋体"/>
          <w:color w:val="auto"/>
          <w:highlight w:val="none"/>
        </w:rPr>
      </w:pPr>
    </w:p>
    <w:p w14:paraId="20B5C5D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bookmarkStart w:id="578" w:name="bookmark108"/>
      <w:bookmarkEnd w:id="578"/>
      <w:bookmarkStart w:id="579" w:name="bookmark154"/>
      <w:bookmarkEnd w:id="579"/>
      <w:r>
        <w:rPr>
          <w:rFonts w:hint="eastAsia" w:ascii="宋体" w:hAnsi="宋体" w:eastAsia="宋体" w:cs="宋体"/>
          <w:b/>
          <w:bCs/>
          <w:color w:val="auto"/>
          <w:spacing w:val="6"/>
          <w:sz w:val="23"/>
          <w:szCs w:val="23"/>
          <w:highlight w:val="none"/>
        </w:rPr>
        <w:t>6</w:t>
      </w:r>
      <w:r>
        <w:rPr>
          <w:rFonts w:hint="eastAsia" w:ascii="宋体" w:hAnsi="宋体" w:eastAsia="宋体" w:cs="宋体"/>
          <w:color w:val="auto"/>
          <w:spacing w:val="6"/>
          <w:sz w:val="23"/>
          <w:szCs w:val="23"/>
          <w:highlight w:val="none"/>
        </w:rPr>
        <w:t xml:space="preserve">  </w:t>
      </w:r>
      <w:r>
        <w:rPr>
          <w:rFonts w:hint="eastAsia" w:ascii="宋体" w:hAnsi="宋体" w:eastAsia="宋体" w:cs="宋体"/>
          <w:color w:val="auto"/>
          <w:sz w:val="24"/>
          <w:szCs w:val="24"/>
          <w:highlight w:val="none"/>
          <w:lang w:val="en-US" w:eastAsia="zh-CN"/>
        </w:rPr>
        <w:t>提供2022或2023年度的财务审计报告(成立不满一年的提供开标前一个月内有效银行资信证明）；</w:t>
      </w:r>
    </w:p>
    <w:p w14:paraId="4127E538">
      <w:pPr>
        <w:spacing w:before="25" w:line="232" w:lineRule="auto"/>
        <w:ind w:left="568"/>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说明：</w:t>
      </w:r>
    </w:p>
    <w:p w14:paraId="0F03AF83">
      <w:pPr>
        <w:spacing w:before="22"/>
        <w:ind w:left="573" w:right="136" w:firstLine="4"/>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1、如提供本单位上年度经会计师事务所出具的审计报</w:t>
      </w:r>
      <w:r>
        <w:rPr>
          <w:rFonts w:hint="eastAsia" w:ascii="宋体" w:hAnsi="宋体" w:eastAsia="宋体" w:cs="宋体"/>
          <w:color w:val="auto"/>
          <w:spacing w:val="11"/>
          <w:sz w:val="23"/>
          <w:szCs w:val="23"/>
          <w:highlight w:val="none"/>
        </w:rPr>
        <w:t>告原件扫描件须加</w:t>
      </w:r>
      <w:r>
        <w:rPr>
          <w:rFonts w:hint="eastAsia" w:ascii="宋体" w:hAnsi="宋体" w:eastAsia="宋体" w:cs="宋体"/>
          <w:color w:val="auto"/>
          <w:sz w:val="23"/>
          <w:szCs w:val="23"/>
          <w:highlight w:val="none"/>
        </w:rPr>
        <w:t xml:space="preserve"> 盖本单位章。</w:t>
      </w:r>
    </w:p>
    <w:p w14:paraId="74B91C62">
      <w:pPr>
        <w:spacing w:before="27" w:line="245" w:lineRule="auto"/>
        <w:ind w:left="567" w:right="134" w:hanging="4"/>
        <w:jc w:val="both"/>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2、如提供银行出具的证明文件。银行证明文件可提供原件，也可提供银</w:t>
      </w:r>
      <w:r>
        <w:rPr>
          <w:rFonts w:hint="eastAsia" w:ascii="宋体" w:hAnsi="宋体" w:eastAsia="宋体" w:cs="宋体"/>
          <w:color w:val="auto"/>
          <w:spacing w:val="9"/>
          <w:sz w:val="23"/>
          <w:szCs w:val="23"/>
          <w:highlight w:val="none"/>
        </w:rPr>
        <w:t xml:space="preserve"> </w:t>
      </w:r>
      <w:r>
        <w:rPr>
          <w:rFonts w:hint="eastAsia" w:ascii="宋体" w:hAnsi="宋体" w:eastAsia="宋体" w:cs="宋体"/>
          <w:color w:val="auto"/>
          <w:spacing w:val="8"/>
          <w:sz w:val="23"/>
          <w:szCs w:val="23"/>
          <w:highlight w:val="none"/>
        </w:rPr>
        <w:t>行在开标日前三个月内开具证明文件的原件扫描件。若提供的是原件扫描</w:t>
      </w:r>
      <w:r>
        <w:rPr>
          <w:rFonts w:hint="eastAsia" w:ascii="宋体" w:hAnsi="宋体" w:eastAsia="宋体" w:cs="宋体"/>
          <w:color w:val="auto"/>
          <w:spacing w:val="18"/>
          <w:sz w:val="23"/>
          <w:szCs w:val="23"/>
          <w:highlight w:val="none"/>
        </w:rPr>
        <w:t xml:space="preserve"> </w:t>
      </w:r>
      <w:r>
        <w:rPr>
          <w:rFonts w:hint="eastAsia" w:ascii="宋体" w:hAnsi="宋体" w:eastAsia="宋体" w:cs="宋体"/>
          <w:color w:val="auto"/>
          <w:spacing w:val="8"/>
          <w:sz w:val="23"/>
          <w:szCs w:val="23"/>
          <w:highlight w:val="none"/>
        </w:rPr>
        <w:t>件，招标采购单位保留审核原件的权利。银行出具的证明文件应能说明该</w:t>
      </w:r>
      <w:r>
        <w:rPr>
          <w:rFonts w:hint="eastAsia" w:ascii="宋体" w:hAnsi="宋体" w:eastAsia="宋体" w:cs="宋体"/>
          <w:color w:val="auto"/>
          <w:spacing w:val="18"/>
          <w:sz w:val="23"/>
          <w:szCs w:val="23"/>
          <w:highlight w:val="none"/>
        </w:rPr>
        <w:t xml:space="preserve"> </w:t>
      </w:r>
      <w:r>
        <w:rPr>
          <w:rFonts w:hint="eastAsia" w:ascii="宋体" w:hAnsi="宋体" w:eastAsia="宋体" w:cs="宋体"/>
          <w:color w:val="auto"/>
          <w:spacing w:val="7"/>
          <w:sz w:val="23"/>
          <w:szCs w:val="23"/>
          <w:highlight w:val="none"/>
        </w:rPr>
        <w:t>供应商与银行之间业务往来正常，企业信誉良好等。</w:t>
      </w:r>
    </w:p>
    <w:p w14:paraId="7813833C">
      <w:pPr>
        <w:spacing w:before="27" w:line="241" w:lineRule="auto"/>
        <w:ind w:left="1107" w:right="136" w:hanging="543"/>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3、（本项目不接受联合体投标）如果是联合体投标，联合体各方均需提</w:t>
      </w:r>
      <w:r>
        <w:rPr>
          <w:rFonts w:hint="eastAsia" w:ascii="宋体" w:hAnsi="宋体" w:eastAsia="宋体" w:cs="宋体"/>
          <w:color w:val="auto"/>
          <w:spacing w:val="5"/>
          <w:sz w:val="23"/>
          <w:szCs w:val="23"/>
          <w:highlight w:val="none"/>
        </w:rPr>
        <w:t xml:space="preserve"> </w:t>
      </w:r>
      <w:r>
        <w:rPr>
          <w:rFonts w:hint="eastAsia" w:ascii="宋体" w:hAnsi="宋体" w:eastAsia="宋体" w:cs="宋体"/>
          <w:color w:val="auto"/>
          <w:spacing w:val="1"/>
          <w:sz w:val="23"/>
          <w:szCs w:val="23"/>
          <w:highlight w:val="none"/>
        </w:rPr>
        <w:t>供上述证明。</w:t>
      </w:r>
    </w:p>
    <w:p w14:paraId="639E7D29">
      <w:pPr>
        <w:pStyle w:val="2"/>
        <w:spacing w:line="284" w:lineRule="auto"/>
        <w:rPr>
          <w:rFonts w:hint="eastAsia" w:ascii="宋体" w:hAnsi="宋体" w:eastAsia="宋体" w:cs="宋体"/>
          <w:color w:val="auto"/>
          <w:highlight w:val="none"/>
        </w:rPr>
      </w:pPr>
    </w:p>
    <w:p w14:paraId="68443F16">
      <w:pPr>
        <w:pStyle w:val="2"/>
        <w:spacing w:line="284" w:lineRule="auto"/>
        <w:rPr>
          <w:rFonts w:hint="eastAsia" w:ascii="宋体" w:hAnsi="宋体" w:eastAsia="宋体" w:cs="宋体"/>
          <w:color w:val="auto"/>
          <w:highlight w:val="none"/>
        </w:rPr>
      </w:pPr>
    </w:p>
    <w:p w14:paraId="1660F44C">
      <w:pPr>
        <w:spacing w:before="25" w:line="228" w:lineRule="auto"/>
        <w:ind w:left="29"/>
        <w:rPr>
          <w:rFonts w:hint="eastAsia" w:ascii="宋体" w:hAnsi="宋体" w:eastAsia="宋体" w:cs="宋体"/>
          <w:color w:val="auto"/>
          <w:sz w:val="23"/>
          <w:szCs w:val="23"/>
          <w:highlight w:val="none"/>
        </w:rPr>
      </w:pPr>
      <w:bookmarkStart w:id="580" w:name="bookmark110"/>
      <w:bookmarkEnd w:id="580"/>
      <w:bookmarkStart w:id="581" w:name="bookmark155"/>
      <w:bookmarkEnd w:id="581"/>
      <w:r>
        <w:rPr>
          <w:rFonts w:hint="eastAsia" w:ascii="宋体" w:hAnsi="宋体" w:eastAsia="宋体" w:cs="宋体"/>
          <w:b/>
          <w:bCs/>
          <w:color w:val="auto"/>
          <w:spacing w:val="3"/>
          <w:sz w:val="23"/>
          <w:szCs w:val="23"/>
          <w:highlight w:val="none"/>
        </w:rPr>
        <w:t>7、投标单位（供应商）其法人参加本次采购活动前三年内，在经营活动中没有重大违法记录的声明及对本次项目《反商业贿赂承诺书》；</w:t>
      </w:r>
      <w:r>
        <w:rPr>
          <w:rFonts w:hint="eastAsia" w:ascii="宋体" w:hAnsi="宋体" w:eastAsia="宋体" w:cs="宋体"/>
          <w:b/>
          <w:bCs/>
          <w:color w:val="auto"/>
          <w:spacing w:val="9"/>
          <w:sz w:val="23"/>
          <w:szCs w:val="23"/>
          <w:highlight w:val="none"/>
        </w:rPr>
        <w:t>；</w:t>
      </w:r>
    </w:p>
    <w:p w14:paraId="5F94FB49">
      <w:pPr>
        <w:pStyle w:val="2"/>
        <w:spacing w:line="294" w:lineRule="auto"/>
        <w:rPr>
          <w:rFonts w:hint="eastAsia" w:ascii="宋体" w:hAnsi="宋体" w:eastAsia="宋体" w:cs="宋体"/>
          <w:color w:val="auto"/>
          <w:highlight w:val="none"/>
        </w:rPr>
      </w:pPr>
    </w:p>
    <w:p w14:paraId="2469234F">
      <w:pPr>
        <w:pStyle w:val="2"/>
        <w:spacing w:line="294" w:lineRule="auto"/>
        <w:rPr>
          <w:rFonts w:hint="eastAsia" w:ascii="宋体" w:hAnsi="宋体" w:eastAsia="宋体" w:cs="宋体"/>
          <w:color w:val="auto"/>
          <w:highlight w:val="none"/>
        </w:rPr>
      </w:pPr>
    </w:p>
    <w:p w14:paraId="403B2A15">
      <w:pPr>
        <w:pStyle w:val="2"/>
        <w:spacing w:line="295" w:lineRule="auto"/>
        <w:rPr>
          <w:rFonts w:hint="eastAsia" w:ascii="宋体" w:hAnsi="宋体" w:eastAsia="宋体" w:cs="宋体"/>
          <w:color w:val="auto"/>
          <w:highlight w:val="none"/>
        </w:rPr>
      </w:pPr>
    </w:p>
    <w:p w14:paraId="1A4E2539">
      <w:pPr>
        <w:pStyle w:val="2"/>
        <w:spacing w:line="293" w:lineRule="auto"/>
        <w:rPr>
          <w:rFonts w:hint="eastAsia" w:ascii="宋体" w:hAnsi="宋体" w:eastAsia="宋体" w:cs="宋体"/>
          <w:color w:val="auto"/>
          <w:highlight w:val="none"/>
        </w:rPr>
      </w:pPr>
      <w:bookmarkStart w:id="582" w:name="bookmark112"/>
      <w:bookmarkEnd w:id="582"/>
    </w:p>
    <w:p w14:paraId="5EDC8306">
      <w:pPr>
        <w:spacing w:before="28" w:line="246" w:lineRule="auto"/>
        <w:ind w:left="27" w:right="100" w:firstLine="4"/>
        <w:jc w:val="both"/>
        <w:rPr>
          <w:rFonts w:hint="eastAsia" w:ascii="宋体" w:hAnsi="宋体" w:eastAsia="宋体" w:cs="宋体"/>
          <w:color w:val="auto"/>
          <w:sz w:val="23"/>
          <w:szCs w:val="23"/>
          <w:highlight w:val="none"/>
        </w:rPr>
      </w:pPr>
      <w:bookmarkStart w:id="583" w:name="bookmark114"/>
      <w:bookmarkEnd w:id="583"/>
      <w:bookmarkStart w:id="584" w:name="bookmark156"/>
      <w:bookmarkEnd w:id="584"/>
      <w:r>
        <w:rPr>
          <w:rFonts w:hint="eastAsia" w:ascii="宋体" w:hAnsi="宋体" w:eastAsia="宋体" w:cs="宋体"/>
          <w:b/>
          <w:bCs/>
          <w:color w:val="auto"/>
          <w:spacing w:val="10"/>
          <w:sz w:val="23"/>
          <w:szCs w:val="23"/>
          <w:highlight w:val="none"/>
          <w:lang w:val="en-US" w:eastAsia="zh-CN"/>
        </w:rPr>
        <w:t>8</w:t>
      </w:r>
      <w:r>
        <w:rPr>
          <w:rFonts w:hint="eastAsia" w:ascii="宋体" w:hAnsi="宋体" w:eastAsia="宋体" w:cs="宋体"/>
          <w:color w:val="auto"/>
          <w:spacing w:val="10"/>
          <w:sz w:val="23"/>
          <w:szCs w:val="23"/>
          <w:highlight w:val="none"/>
        </w:rPr>
        <w:t xml:space="preserve">  </w:t>
      </w:r>
      <w:r>
        <w:rPr>
          <w:rFonts w:hint="eastAsia" w:ascii="宋体" w:hAnsi="宋体" w:eastAsia="宋体" w:cs="宋体"/>
          <w:color w:val="auto"/>
          <w:sz w:val="24"/>
          <w:szCs w:val="24"/>
          <w:highlight w:val="none"/>
          <w:lang w:val="en-US" w:eastAsia="zh-CN"/>
        </w:rPr>
        <w:t>信用中国”（https://www.creditchina.gov.cn/）网站列入失信被执行人和重大税收违法失信主体的、被“中国政府采购网”（http://www.ccgp.gov.cn/）网站列入政府采购严重违法失信行为记录名单（处罚期限尚未届满的）的投标人，及“国家企业信用信息公示系统”（http://www.gsxt.gov.cn/index.html）被列入经营异常名录、严重违法失信企业名单（黑名单），不得参与本项目的政府采购活动</w:t>
      </w:r>
      <w:r>
        <w:rPr>
          <w:rFonts w:hint="eastAsia" w:ascii="宋体" w:hAnsi="宋体" w:eastAsia="宋体" w:cs="宋体"/>
          <w:b/>
          <w:bCs/>
          <w:color w:val="auto"/>
          <w:spacing w:val="6"/>
          <w:sz w:val="23"/>
          <w:szCs w:val="23"/>
          <w:highlight w:val="none"/>
        </w:rPr>
        <w:t>。</w:t>
      </w:r>
    </w:p>
    <w:p w14:paraId="581ABFC9">
      <w:pPr>
        <w:spacing w:before="21" w:line="231" w:lineRule="auto"/>
        <w:ind w:left="593"/>
        <w:rPr>
          <w:rFonts w:hint="eastAsia" w:ascii="宋体" w:hAnsi="宋体" w:eastAsia="宋体" w:cs="宋体"/>
          <w:color w:val="auto"/>
          <w:sz w:val="23"/>
          <w:szCs w:val="23"/>
          <w:highlight w:val="none"/>
        </w:rPr>
      </w:pPr>
      <w:bookmarkStart w:id="585" w:name="bookmark158"/>
      <w:bookmarkEnd w:id="585"/>
      <w:bookmarkStart w:id="586" w:name="bookmark117"/>
      <w:bookmarkEnd w:id="586"/>
      <w:bookmarkStart w:id="587" w:name="bookmark118"/>
      <w:bookmarkEnd w:id="587"/>
      <w:bookmarkStart w:id="588" w:name="bookmark116"/>
      <w:bookmarkEnd w:id="588"/>
      <w:r>
        <w:rPr>
          <w:rFonts w:hint="eastAsia" w:ascii="宋体" w:hAnsi="宋体" w:eastAsia="宋体" w:cs="宋体"/>
          <w:b/>
          <w:bCs/>
          <w:color w:val="auto"/>
          <w:spacing w:val="5"/>
          <w:sz w:val="23"/>
          <w:szCs w:val="23"/>
          <w:highlight w:val="none"/>
          <w:lang w:val="en-US" w:eastAsia="zh-CN"/>
        </w:rPr>
        <w:t>9</w:t>
      </w:r>
      <w:r>
        <w:rPr>
          <w:rFonts w:hint="eastAsia" w:ascii="宋体" w:hAnsi="宋体" w:eastAsia="宋体" w:cs="宋体"/>
          <w:b/>
          <w:bCs/>
          <w:color w:val="auto"/>
          <w:spacing w:val="5"/>
          <w:sz w:val="23"/>
          <w:szCs w:val="23"/>
          <w:highlight w:val="none"/>
        </w:rPr>
        <w:t>、【</w:t>
      </w:r>
      <w:r>
        <w:rPr>
          <w:rFonts w:hint="eastAsia" w:ascii="宋体" w:hAnsi="宋体" w:eastAsia="宋体" w:cs="宋体"/>
          <w:color w:val="auto"/>
          <w:sz w:val="24"/>
          <w:szCs w:val="24"/>
          <w:highlight w:val="none"/>
          <w:lang w:val="en-US" w:eastAsia="zh-CN"/>
        </w:rPr>
        <w:t>资质要求：具备市政公用工程施工总承包三级及以上资质等级、有效的安全生产许可证；项目负责人具备市政公用工程二级及以上注册建造师执业资格且具有有效的安全生产考核证B证。</w:t>
      </w:r>
    </w:p>
    <w:p w14:paraId="439048A6">
      <w:pPr>
        <w:pStyle w:val="2"/>
        <w:spacing w:line="292" w:lineRule="auto"/>
        <w:rPr>
          <w:rFonts w:hint="eastAsia" w:ascii="宋体" w:hAnsi="宋体" w:eastAsia="宋体" w:cs="宋体"/>
          <w:color w:val="auto"/>
          <w:highlight w:val="none"/>
        </w:rPr>
      </w:pPr>
    </w:p>
    <w:p w14:paraId="36C1F5AD">
      <w:pPr>
        <w:pStyle w:val="2"/>
        <w:spacing w:line="293" w:lineRule="auto"/>
        <w:rPr>
          <w:rFonts w:hint="eastAsia" w:ascii="宋体" w:hAnsi="宋体" w:eastAsia="宋体" w:cs="宋体"/>
          <w:color w:val="auto"/>
          <w:highlight w:val="none"/>
        </w:rPr>
      </w:pPr>
    </w:p>
    <w:p w14:paraId="0E73AA81">
      <w:pPr>
        <w:pStyle w:val="2"/>
        <w:spacing w:line="293" w:lineRule="auto"/>
        <w:rPr>
          <w:rFonts w:hint="eastAsia" w:ascii="宋体" w:hAnsi="宋体" w:eastAsia="宋体" w:cs="宋体"/>
          <w:color w:val="auto"/>
          <w:highlight w:val="none"/>
        </w:rPr>
      </w:pPr>
    </w:p>
    <w:p w14:paraId="7A8C9F62">
      <w:pPr>
        <w:spacing w:before="75" w:line="228" w:lineRule="auto"/>
        <w:ind w:firstLine="243" w:firstLineChars="100"/>
        <w:outlineLvl w:val="1"/>
        <w:rPr>
          <w:rFonts w:hint="eastAsia" w:ascii="宋体" w:hAnsi="宋体" w:eastAsia="宋体" w:cs="宋体"/>
          <w:color w:val="auto"/>
          <w:sz w:val="23"/>
          <w:szCs w:val="23"/>
          <w:highlight w:val="none"/>
        </w:rPr>
      </w:pPr>
      <w:bookmarkStart w:id="589" w:name="bookmark122"/>
      <w:bookmarkEnd w:id="589"/>
      <w:bookmarkStart w:id="590" w:name="bookmark121"/>
      <w:bookmarkEnd w:id="590"/>
      <w:r>
        <w:rPr>
          <w:rFonts w:hint="eastAsia" w:ascii="宋体" w:hAnsi="宋体" w:eastAsia="宋体" w:cs="宋体"/>
          <w:b/>
          <w:bCs/>
          <w:color w:val="auto"/>
          <w:spacing w:val="6"/>
          <w:sz w:val="23"/>
          <w:szCs w:val="23"/>
          <w:highlight w:val="none"/>
        </w:rPr>
        <w:t>1</w:t>
      </w:r>
      <w:r>
        <w:rPr>
          <w:rFonts w:hint="eastAsia" w:ascii="宋体" w:hAnsi="宋体" w:eastAsia="宋体" w:cs="宋体"/>
          <w:b/>
          <w:bCs/>
          <w:color w:val="auto"/>
          <w:spacing w:val="6"/>
          <w:sz w:val="23"/>
          <w:szCs w:val="23"/>
          <w:highlight w:val="none"/>
          <w:lang w:val="en-US" w:eastAsia="zh-CN"/>
        </w:rPr>
        <w:t>0</w:t>
      </w:r>
      <w:r>
        <w:rPr>
          <w:rFonts w:hint="eastAsia" w:ascii="宋体" w:hAnsi="宋体" w:eastAsia="宋体" w:cs="宋体"/>
          <w:b/>
          <w:bCs/>
          <w:color w:val="auto"/>
          <w:spacing w:val="6"/>
          <w:sz w:val="23"/>
          <w:szCs w:val="23"/>
          <w:highlight w:val="none"/>
        </w:rPr>
        <w:t>、</w:t>
      </w:r>
      <w:r>
        <w:rPr>
          <w:rFonts w:hint="eastAsia" w:ascii="宋体" w:hAnsi="宋体" w:eastAsia="宋体" w:cs="宋体"/>
          <w:color w:val="auto"/>
          <w:spacing w:val="6"/>
          <w:sz w:val="23"/>
          <w:szCs w:val="23"/>
          <w:highlight w:val="none"/>
        </w:rPr>
        <w:t xml:space="preserve"> </w:t>
      </w:r>
      <w:r>
        <w:rPr>
          <w:rFonts w:hint="eastAsia" w:ascii="宋体" w:hAnsi="宋体" w:eastAsia="宋体" w:cs="宋体"/>
          <w:b/>
          <w:bCs/>
          <w:color w:val="auto"/>
          <w:spacing w:val="6"/>
          <w:sz w:val="23"/>
          <w:szCs w:val="23"/>
          <w:highlight w:val="none"/>
        </w:rPr>
        <w:t>供应商须知资料表要求的其他资格证明文件</w:t>
      </w:r>
    </w:p>
    <w:p w14:paraId="039A8F2E">
      <w:pPr>
        <w:pStyle w:val="2"/>
        <w:spacing w:line="293" w:lineRule="auto"/>
        <w:rPr>
          <w:rFonts w:hint="eastAsia" w:ascii="宋体" w:hAnsi="宋体" w:eastAsia="宋体" w:cs="宋体"/>
          <w:color w:val="auto"/>
          <w:highlight w:val="none"/>
        </w:rPr>
      </w:pPr>
    </w:p>
    <w:p w14:paraId="4A84414E">
      <w:pPr>
        <w:pStyle w:val="2"/>
        <w:spacing w:line="294" w:lineRule="auto"/>
        <w:rPr>
          <w:rFonts w:hint="eastAsia" w:ascii="宋体" w:hAnsi="宋体" w:eastAsia="宋体" w:cs="宋体"/>
          <w:color w:val="auto"/>
          <w:highlight w:val="none"/>
        </w:rPr>
      </w:pPr>
    </w:p>
    <w:p w14:paraId="3CAA950F">
      <w:pPr>
        <w:pStyle w:val="2"/>
        <w:spacing w:line="294" w:lineRule="auto"/>
        <w:rPr>
          <w:rFonts w:hint="eastAsia" w:ascii="宋体" w:hAnsi="宋体" w:eastAsia="宋体" w:cs="宋体"/>
          <w:color w:val="auto"/>
          <w:highlight w:val="none"/>
        </w:rPr>
      </w:pPr>
    </w:p>
    <w:p w14:paraId="2320C587">
      <w:pPr>
        <w:spacing w:before="75" w:line="228" w:lineRule="auto"/>
        <w:ind w:left="50"/>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说明：1.应提供</w:t>
      </w:r>
      <w:r>
        <w:rPr>
          <w:rFonts w:hint="eastAsia" w:ascii="宋体" w:hAnsi="宋体" w:eastAsia="宋体" w:cs="宋体"/>
          <w:color w:val="auto"/>
          <w:spacing w:val="8"/>
          <w:sz w:val="23"/>
          <w:szCs w:val="23"/>
          <w:highlight w:val="none"/>
          <w:u w:val="single" w:color="auto"/>
        </w:rPr>
        <w:t>供应商须知资料表</w:t>
      </w:r>
      <w:r>
        <w:rPr>
          <w:rFonts w:hint="eastAsia" w:ascii="宋体" w:hAnsi="宋体" w:eastAsia="宋体" w:cs="宋体"/>
          <w:color w:val="auto"/>
          <w:spacing w:val="8"/>
          <w:sz w:val="23"/>
          <w:szCs w:val="23"/>
          <w:highlight w:val="none"/>
        </w:rPr>
        <w:t>要求的</w:t>
      </w:r>
      <w:r>
        <w:rPr>
          <w:rFonts w:hint="eastAsia" w:ascii="宋体" w:hAnsi="宋体" w:eastAsia="宋体" w:cs="宋体"/>
          <w:color w:val="auto"/>
          <w:spacing w:val="7"/>
          <w:sz w:val="23"/>
          <w:szCs w:val="23"/>
          <w:highlight w:val="none"/>
        </w:rPr>
        <w:t>其他资格证明文件。</w:t>
      </w:r>
    </w:p>
    <w:p w14:paraId="4506056A">
      <w:pPr>
        <w:spacing w:before="25" w:line="229" w:lineRule="auto"/>
        <w:ind w:left="76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2.原件扫描件上应加盖本单位章（自然人投标的无需盖章，需要签字）。</w:t>
      </w:r>
    </w:p>
    <w:p w14:paraId="060311E1">
      <w:pPr>
        <w:spacing w:before="27"/>
        <w:ind w:left="774" w:firstLine="54"/>
        <w:rPr>
          <w:rFonts w:hint="eastAsia" w:ascii="宋体" w:hAnsi="宋体" w:eastAsia="宋体" w:cs="宋体"/>
          <w:color w:val="auto"/>
          <w:sz w:val="23"/>
          <w:szCs w:val="23"/>
          <w:highlight w:val="none"/>
        </w:rPr>
        <w:sectPr>
          <w:footerReference r:id="rId17" w:type="default"/>
          <w:pgSz w:w="11906" w:h="16838"/>
          <w:pgMar w:top="1431" w:right="1160" w:bottom="1102" w:left="1593" w:header="1134" w:footer="926" w:gutter="0"/>
          <w:pgNumType w:fmt="decimal"/>
          <w:cols w:space="720" w:num="1"/>
        </w:sectPr>
      </w:pPr>
      <w:r>
        <w:rPr>
          <w:rFonts w:hint="eastAsia" w:ascii="宋体" w:hAnsi="宋体" w:eastAsia="宋体" w:cs="宋体"/>
          <w:color w:val="auto"/>
          <w:spacing w:val="7"/>
          <w:sz w:val="23"/>
          <w:szCs w:val="23"/>
          <w:highlight w:val="none"/>
        </w:rPr>
        <w:t>3.（本项目接受联合体）如果是联合体投标，联合体各方需提供的满足磋商文件</w:t>
      </w:r>
      <w:r>
        <w:rPr>
          <w:rFonts w:hint="eastAsia" w:ascii="宋体" w:hAnsi="宋体" w:eastAsia="宋体" w:cs="宋体"/>
          <w:color w:val="auto"/>
          <w:spacing w:val="18"/>
          <w:sz w:val="23"/>
          <w:szCs w:val="23"/>
          <w:highlight w:val="none"/>
        </w:rPr>
        <w:t xml:space="preserve"> </w:t>
      </w:r>
      <w:r>
        <w:rPr>
          <w:rFonts w:hint="eastAsia" w:ascii="宋体" w:hAnsi="宋体" w:eastAsia="宋体" w:cs="宋体"/>
          <w:color w:val="auto"/>
          <w:spacing w:val="5"/>
          <w:sz w:val="23"/>
          <w:szCs w:val="23"/>
          <w:highlight w:val="none"/>
        </w:rPr>
        <w:t>要求的其他资格证明文件。</w:t>
      </w:r>
    </w:p>
    <w:p w14:paraId="5D063662">
      <w:pPr>
        <w:spacing w:before="47" w:line="225" w:lineRule="auto"/>
        <w:ind w:left="3178"/>
        <w:outlineLvl w:val="1"/>
        <w:rPr>
          <w:rFonts w:hint="eastAsia" w:ascii="宋体" w:hAnsi="宋体" w:eastAsia="宋体" w:cs="宋体"/>
          <w:color w:val="auto"/>
          <w:sz w:val="23"/>
          <w:szCs w:val="23"/>
          <w:highlight w:val="none"/>
        </w:rPr>
      </w:pPr>
      <w:r>
        <w:rPr>
          <w:rFonts w:hint="eastAsia" w:ascii="宋体" w:hAnsi="宋体" w:eastAsia="宋体" w:cs="宋体"/>
          <w:b/>
          <w:bCs/>
          <w:color w:val="auto"/>
          <w:spacing w:val="4"/>
          <w:sz w:val="23"/>
          <w:szCs w:val="23"/>
          <w:highlight w:val="none"/>
        </w:rPr>
        <w:t>第二部分</w:t>
      </w:r>
      <w:r>
        <w:rPr>
          <w:rFonts w:hint="eastAsia" w:ascii="宋体" w:hAnsi="宋体" w:eastAsia="宋体" w:cs="宋体"/>
          <w:color w:val="auto"/>
          <w:spacing w:val="18"/>
          <w:sz w:val="23"/>
          <w:szCs w:val="23"/>
          <w:highlight w:val="none"/>
        </w:rPr>
        <w:t xml:space="preserve">  </w:t>
      </w:r>
      <w:r>
        <w:rPr>
          <w:rFonts w:hint="eastAsia" w:ascii="宋体" w:hAnsi="宋体" w:eastAsia="宋体" w:cs="宋体"/>
          <w:b/>
          <w:bCs/>
          <w:color w:val="auto"/>
          <w:spacing w:val="4"/>
          <w:sz w:val="23"/>
          <w:szCs w:val="23"/>
          <w:highlight w:val="none"/>
        </w:rPr>
        <w:t>商务及技术文件</w:t>
      </w:r>
    </w:p>
    <w:p w14:paraId="57160FE9">
      <w:pPr>
        <w:pStyle w:val="2"/>
        <w:spacing w:line="264" w:lineRule="auto"/>
        <w:rPr>
          <w:rFonts w:hint="eastAsia" w:ascii="宋体" w:hAnsi="宋体" w:eastAsia="宋体" w:cs="宋体"/>
          <w:color w:val="auto"/>
          <w:highlight w:val="none"/>
        </w:rPr>
      </w:pPr>
    </w:p>
    <w:p w14:paraId="1483F828">
      <w:pPr>
        <w:spacing w:before="75" w:line="225" w:lineRule="auto"/>
        <w:ind w:left="63"/>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1、磋商响应函（响应文件格式四）</w:t>
      </w:r>
    </w:p>
    <w:p w14:paraId="25447D7A">
      <w:pPr>
        <w:spacing w:before="31" w:line="225" w:lineRule="auto"/>
        <w:ind w:left="58"/>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2、投标分项报价表（响应文件格式五）</w:t>
      </w:r>
    </w:p>
    <w:p w14:paraId="107EF5AE">
      <w:pPr>
        <w:spacing w:before="29" w:line="225" w:lineRule="auto"/>
        <w:ind w:left="67"/>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3、建设内容说明一览表（响应文件格式六）</w:t>
      </w:r>
    </w:p>
    <w:p w14:paraId="6333C009">
      <w:pPr>
        <w:spacing w:before="32" w:line="225" w:lineRule="auto"/>
        <w:ind w:left="57"/>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4、商务条款偏离表（响应文件格式七）</w:t>
      </w:r>
    </w:p>
    <w:p w14:paraId="42E07A0E">
      <w:pPr>
        <w:spacing w:before="30" w:line="231" w:lineRule="auto"/>
        <w:ind w:left="60"/>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5、技术规格偏离表（响应文件格式八）</w:t>
      </w:r>
    </w:p>
    <w:p w14:paraId="56CAAE99">
      <w:pPr>
        <w:spacing w:before="25" w:line="243" w:lineRule="auto"/>
        <w:ind w:left="591" w:hanging="542"/>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6、符合《政府采购促进中小企业发展管理办法》、《关</w:t>
      </w:r>
      <w:r>
        <w:rPr>
          <w:rFonts w:hint="eastAsia" w:ascii="宋体" w:hAnsi="宋体" w:eastAsia="宋体" w:cs="宋体"/>
          <w:color w:val="auto"/>
          <w:spacing w:val="12"/>
          <w:sz w:val="23"/>
          <w:szCs w:val="23"/>
          <w:highlight w:val="none"/>
        </w:rPr>
        <w:t>于政府采购支持监狱企业发展</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9"/>
          <w:sz w:val="23"/>
          <w:szCs w:val="23"/>
          <w:highlight w:val="none"/>
        </w:rPr>
        <w:t>有关问题的通知》和《三部门联合发布关于促进残疾人就业政府采购政策的通知》</w:t>
      </w:r>
      <w:r>
        <w:rPr>
          <w:rFonts w:hint="eastAsia" w:ascii="宋体" w:hAnsi="宋体" w:eastAsia="宋体" w:cs="宋体"/>
          <w:color w:val="auto"/>
          <w:spacing w:val="7"/>
          <w:sz w:val="23"/>
          <w:szCs w:val="23"/>
          <w:highlight w:val="none"/>
        </w:rPr>
        <w:t xml:space="preserve"> </w:t>
      </w:r>
      <w:r>
        <w:rPr>
          <w:rFonts w:hint="eastAsia" w:ascii="宋体" w:hAnsi="宋体" w:eastAsia="宋体" w:cs="宋体"/>
          <w:color w:val="auto"/>
          <w:spacing w:val="8"/>
          <w:sz w:val="23"/>
          <w:szCs w:val="23"/>
          <w:highlight w:val="none"/>
        </w:rPr>
        <w:t>价格扣减条件的供应商须提交</w:t>
      </w:r>
    </w:p>
    <w:p w14:paraId="5BD13E55">
      <w:pPr>
        <w:spacing w:before="22" w:line="231" w:lineRule="auto"/>
        <w:ind w:left="49"/>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6-1 中小企业声明函(工程</w:t>
      </w:r>
      <w:r>
        <w:rPr>
          <w:rFonts w:hint="eastAsia" w:ascii="宋体" w:hAnsi="宋体" w:eastAsia="宋体" w:cs="宋体"/>
          <w:color w:val="auto"/>
          <w:spacing w:val="2"/>
          <w:sz w:val="23"/>
          <w:szCs w:val="23"/>
          <w:highlight w:val="none"/>
        </w:rPr>
        <w:t>）（</w:t>
      </w:r>
      <w:r>
        <w:rPr>
          <w:rFonts w:hint="eastAsia" w:ascii="宋体" w:hAnsi="宋体" w:eastAsia="宋体" w:cs="宋体"/>
          <w:color w:val="auto"/>
          <w:spacing w:val="6"/>
          <w:sz w:val="23"/>
          <w:szCs w:val="23"/>
          <w:highlight w:val="none"/>
        </w:rPr>
        <w:t>响应文件格式十一）</w:t>
      </w:r>
    </w:p>
    <w:p w14:paraId="5854125E">
      <w:pPr>
        <w:spacing w:before="25" w:line="228" w:lineRule="auto"/>
        <w:ind w:left="49"/>
        <w:rPr>
          <w:rFonts w:hint="eastAsia" w:ascii="宋体" w:hAnsi="宋体" w:eastAsia="宋体" w:cs="宋体"/>
          <w:color w:val="auto"/>
          <w:spacing w:val="4"/>
          <w:sz w:val="23"/>
          <w:szCs w:val="23"/>
          <w:highlight w:val="none"/>
        </w:rPr>
      </w:pPr>
      <w:r>
        <w:rPr>
          <w:rFonts w:hint="eastAsia" w:ascii="宋体" w:hAnsi="宋体" w:eastAsia="宋体" w:cs="宋体"/>
          <w:color w:val="auto"/>
          <w:spacing w:val="4"/>
          <w:sz w:val="23"/>
          <w:szCs w:val="23"/>
          <w:highlight w:val="none"/>
        </w:rPr>
        <w:t>6-2 《残疾人福利性单位声明函》（响应文件格式十二）</w:t>
      </w:r>
    </w:p>
    <w:p w14:paraId="311A23E2">
      <w:pPr>
        <w:spacing w:before="25" w:line="228" w:lineRule="auto"/>
        <w:ind w:left="49"/>
        <w:rPr>
          <w:rFonts w:hint="eastAsia" w:ascii="宋体" w:hAnsi="宋体" w:eastAsia="宋体" w:cs="宋体"/>
          <w:color w:val="auto"/>
          <w:spacing w:val="4"/>
          <w:sz w:val="23"/>
          <w:szCs w:val="23"/>
          <w:highlight w:val="none"/>
          <w:lang w:val="en-US" w:eastAsia="zh-CN"/>
        </w:rPr>
      </w:pPr>
      <w:r>
        <w:rPr>
          <w:rFonts w:hint="eastAsia" w:ascii="宋体" w:hAnsi="宋体" w:eastAsia="宋体" w:cs="宋体"/>
          <w:color w:val="auto"/>
          <w:spacing w:val="4"/>
          <w:sz w:val="23"/>
          <w:szCs w:val="23"/>
          <w:highlight w:val="none"/>
          <w:lang w:val="en-US" w:eastAsia="zh-CN"/>
        </w:rPr>
        <w:t>6-3 磋商保证金</w:t>
      </w:r>
    </w:p>
    <w:p w14:paraId="6206C7A3">
      <w:pPr>
        <w:spacing w:before="28" w:line="224" w:lineRule="auto"/>
        <w:ind w:left="59"/>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7、供应商关联单位的说明（格式自拟）</w:t>
      </w:r>
    </w:p>
    <w:p w14:paraId="103ED98A">
      <w:pPr>
        <w:spacing w:before="31" w:line="225" w:lineRule="auto"/>
        <w:rPr>
          <w:rFonts w:hint="eastAsia" w:ascii="宋体" w:hAnsi="宋体" w:eastAsia="宋体" w:cs="宋体"/>
          <w:color w:val="auto"/>
          <w:spacing w:val="7"/>
          <w:sz w:val="23"/>
          <w:szCs w:val="23"/>
          <w:highlight w:val="none"/>
        </w:rPr>
      </w:pPr>
      <w:r>
        <w:rPr>
          <w:rFonts w:hint="eastAsia" w:ascii="宋体" w:hAnsi="宋体" w:eastAsia="宋体" w:cs="宋体"/>
          <w:color w:val="auto"/>
          <w:spacing w:val="7"/>
          <w:sz w:val="23"/>
          <w:szCs w:val="23"/>
          <w:highlight w:val="none"/>
        </w:rPr>
        <w:t>8、响应文件还应包括供应商须知第</w:t>
      </w:r>
      <w:r>
        <w:rPr>
          <w:rFonts w:hint="eastAsia" w:ascii="宋体" w:hAnsi="宋体" w:eastAsia="宋体" w:cs="宋体"/>
          <w:color w:val="auto"/>
          <w:spacing w:val="-29"/>
          <w:sz w:val="23"/>
          <w:szCs w:val="23"/>
          <w:highlight w:val="none"/>
        </w:rPr>
        <w:t xml:space="preserve"> </w:t>
      </w:r>
      <w:r>
        <w:rPr>
          <w:rFonts w:hint="eastAsia" w:ascii="宋体" w:hAnsi="宋体" w:eastAsia="宋体" w:cs="宋体"/>
          <w:color w:val="auto"/>
          <w:spacing w:val="7"/>
          <w:sz w:val="23"/>
          <w:szCs w:val="23"/>
          <w:highlight w:val="none"/>
        </w:rPr>
        <w:t>10</w:t>
      </w:r>
      <w:r>
        <w:rPr>
          <w:rFonts w:hint="eastAsia" w:ascii="宋体" w:hAnsi="宋体" w:eastAsia="宋体" w:cs="宋体"/>
          <w:color w:val="auto"/>
          <w:spacing w:val="-40"/>
          <w:sz w:val="23"/>
          <w:szCs w:val="23"/>
          <w:highlight w:val="none"/>
        </w:rPr>
        <w:t xml:space="preserve"> </w:t>
      </w:r>
      <w:r>
        <w:rPr>
          <w:rFonts w:hint="eastAsia" w:ascii="宋体" w:hAnsi="宋体" w:eastAsia="宋体" w:cs="宋体"/>
          <w:color w:val="auto"/>
          <w:spacing w:val="7"/>
          <w:sz w:val="23"/>
          <w:szCs w:val="23"/>
          <w:highlight w:val="none"/>
        </w:rPr>
        <w:t>条的所有技术</w:t>
      </w:r>
    </w:p>
    <w:p w14:paraId="05295174">
      <w:pPr>
        <w:pStyle w:val="22"/>
        <w:spacing w:line="360" w:lineRule="auto"/>
        <w:rPr>
          <w:rFonts w:hint="eastAsia" w:ascii="宋体" w:hAnsi="宋体" w:eastAsia="宋体" w:cs="宋体"/>
          <w:color w:val="auto"/>
          <w:spacing w:val="7"/>
          <w:sz w:val="23"/>
          <w:szCs w:val="23"/>
          <w:highlight w:val="none"/>
          <w:lang w:val="en-US" w:eastAsia="zh-CN"/>
        </w:rPr>
      </w:pPr>
      <w:r>
        <w:rPr>
          <w:rFonts w:hint="eastAsia" w:ascii="宋体" w:hAnsi="宋体" w:eastAsia="宋体" w:cs="宋体"/>
          <w:color w:val="auto"/>
          <w:spacing w:val="7"/>
          <w:sz w:val="23"/>
          <w:szCs w:val="23"/>
          <w:highlight w:val="none"/>
          <w:lang w:val="en-US" w:eastAsia="zh-CN"/>
        </w:rPr>
        <w:t>9</w:t>
      </w:r>
      <w:r>
        <w:rPr>
          <w:rFonts w:hint="eastAsia" w:ascii="宋体" w:hAnsi="宋体" w:eastAsia="宋体" w:cs="宋体"/>
          <w:color w:val="auto"/>
          <w:spacing w:val="7"/>
          <w:kern w:val="2"/>
          <w:sz w:val="23"/>
          <w:szCs w:val="23"/>
          <w:highlight w:val="none"/>
          <w:lang w:val="en-US" w:eastAsia="zh-CN" w:bidi="ar-SA"/>
        </w:rPr>
        <w:t>.已标价工程量清单</w:t>
      </w:r>
    </w:p>
    <w:p w14:paraId="4AE87DCE">
      <w:pPr>
        <w:spacing w:before="31" w:line="225" w:lineRule="auto"/>
        <w:rPr>
          <w:rFonts w:hint="eastAsia" w:ascii="宋体" w:hAnsi="宋体" w:eastAsia="宋体" w:cs="宋体"/>
          <w:color w:val="auto"/>
          <w:spacing w:val="7"/>
          <w:sz w:val="23"/>
          <w:szCs w:val="23"/>
          <w:highlight w:val="none"/>
          <w:lang w:val="en-US" w:eastAsia="zh-CN"/>
        </w:rPr>
        <w:sectPr>
          <w:pgSz w:w="11906" w:h="16839"/>
          <w:pgMar w:top="1440" w:right="1080" w:bottom="1440" w:left="1080" w:header="964" w:footer="996" w:gutter="0"/>
          <w:pgNumType w:fmt="decimal"/>
          <w:cols w:space="720" w:num="1"/>
        </w:sectPr>
      </w:pPr>
      <w:r>
        <w:rPr>
          <w:rFonts w:hint="eastAsia" w:ascii="宋体" w:hAnsi="宋体" w:eastAsia="宋体" w:cs="宋体"/>
          <w:color w:val="auto"/>
          <w:spacing w:val="7"/>
          <w:sz w:val="23"/>
          <w:szCs w:val="23"/>
          <w:highlight w:val="none"/>
          <w:lang w:val="en-US" w:eastAsia="zh-CN"/>
        </w:rPr>
        <w:t>10.最终报价</w:t>
      </w:r>
    </w:p>
    <w:bookmarkEnd w:id="568"/>
    <w:p w14:paraId="452AB97D">
      <w:pPr>
        <w:spacing w:before="47" w:line="225" w:lineRule="auto"/>
        <w:ind w:left="2601"/>
        <w:outlineLvl w:val="1"/>
        <w:rPr>
          <w:rFonts w:hint="eastAsia" w:ascii="宋体" w:hAnsi="宋体" w:eastAsia="宋体" w:cs="宋体"/>
          <w:color w:val="auto"/>
          <w:highlight w:val="none"/>
        </w:rPr>
      </w:pPr>
      <w:r>
        <w:rPr>
          <w:rFonts w:hint="eastAsia" w:ascii="宋体" w:hAnsi="宋体" w:eastAsia="宋体" w:cs="宋体"/>
          <w:b/>
          <w:bCs/>
          <w:color w:val="auto"/>
          <w:spacing w:val="5"/>
          <w:sz w:val="23"/>
          <w:szCs w:val="23"/>
          <w:highlight w:val="none"/>
        </w:rPr>
        <w:t>1</w:t>
      </w:r>
      <w:r>
        <w:rPr>
          <w:rFonts w:hint="eastAsia" w:ascii="宋体" w:hAnsi="宋体" w:eastAsia="宋体" w:cs="宋体"/>
          <w:color w:val="auto"/>
          <w:spacing w:val="5"/>
          <w:sz w:val="23"/>
          <w:szCs w:val="23"/>
          <w:highlight w:val="none"/>
        </w:rPr>
        <w:t xml:space="preserve">  </w:t>
      </w:r>
      <w:r>
        <w:rPr>
          <w:rFonts w:hint="eastAsia" w:ascii="宋体" w:hAnsi="宋体" w:eastAsia="宋体" w:cs="宋体"/>
          <w:b/>
          <w:bCs/>
          <w:color w:val="auto"/>
          <w:spacing w:val="5"/>
          <w:sz w:val="23"/>
          <w:szCs w:val="23"/>
          <w:highlight w:val="none"/>
        </w:rPr>
        <w:t>磋商响应函（响应文件格式四）</w:t>
      </w:r>
    </w:p>
    <w:p w14:paraId="5C93667A">
      <w:pPr>
        <w:spacing w:before="75" w:line="225" w:lineRule="auto"/>
        <w:ind w:left="30"/>
        <w:rPr>
          <w:rFonts w:hint="eastAsia" w:ascii="宋体" w:hAnsi="宋体" w:eastAsia="宋体" w:cs="宋体"/>
          <w:color w:val="auto"/>
          <w:highlight w:val="none"/>
        </w:rPr>
      </w:pPr>
      <w:r>
        <w:rPr>
          <w:rFonts w:hint="eastAsia" w:ascii="宋体" w:hAnsi="宋体" w:eastAsia="宋体" w:cs="宋体"/>
          <w:color w:val="auto"/>
          <w:spacing w:val="7"/>
          <w:sz w:val="23"/>
          <w:szCs w:val="23"/>
          <w:highlight w:val="none"/>
        </w:rPr>
        <w:t>致：</w:t>
      </w:r>
      <w:r>
        <w:rPr>
          <w:rFonts w:hint="eastAsia" w:ascii="宋体" w:hAnsi="宋体" w:eastAsia="宋体" w:cs="宋体"/>
          <w:color w:val="auto"/>
          <w:spacing w:val="7"/>
          <w:sz w:val="23"/>
          <w:szCs w:val="23"/>
          <w:highlight w:val="none"/>
          <w:u w:val="single" w:color="auto"/>
        </w:rPr>
        <w:t>采购代理机构</w:t>
      </w:r>
    </w:p>
    <w:p w14:paraId="16D4A49C">
      <w:pPr>
        <w:spacing w:before="75" w:line="241" w:lineRule="auto"/>
        <w:ind w:left="20" w:right="155" w:firstLine="479"/>
        <w:jc w:val="both"/>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根据贵方（采购项目名称)</w:t>
      </w:r>
      <w:r>
        <w:rPr>
          <w:rFonts w:hint="eastAsia" w:ascii="宋体" w:hAnsi="宋体" w:eastAsia="宋体" w:cs="宋体"/>
          <w:color w:val="auto"/>
          <w:spacing w:val="6"/>
          <w:sz w:val="23"/>
          <w:szCs w:val="23"/>
          <w:highlight w:val="none"/>
          <w:u w:val="single" w:color="auto"/>
        </w:rPr>
        <w:t xml:space="preserve">    </w:t>
      </w:r>
      <w:r>
        <w:rPr>
          <w:rFonts w:hint="eastAsia" w:ascii="宋体" w:hAnsi="宋体" w:eastAsia="宋体" w:cs="宋体"/>
          <w:color w:val="auto"/>
          <w:spacing w:val="6"/>
          <w:sz w:val="23"/>
          <w:szCs w:val="23"/>
          <w:highlight w:val="none"/>
        </w:rPr>
        <w:t xml:space="preserve"> 项目的投标(</w:t>
      </w:r>
      <w:r>
        <w:rPr>
          <w:rFonts w:hint="eastAsia" w:ascii="宋体" w:hAnsi="宋体" w:eastAsia="宋体" w:cs="宋体"/>
          <w:color w:val="auto"/>
          <w:spacing w:val="6"/>
          <w:sz w:val="23"/>
          <w:szCs w:val="23"/>
          <w:highlight w:val="none"/>
          <w:u w:val="single" w:color="auto"/>
        </w:rPr>
        <w:t>招标编号</w:t>
      </w:r>
      <w:r>
        <w:rPr>
          <w:rFonts w:hint="eastAsia" w:ascii="宋体" w:hAnsi="宋体" w:eastAsia="宋体" w:cs="宋体"/>
          <w:color w:val="auto"/>
          <w:spacing w:val="6"/>
          <w:sz w:val="23"/>
          <w:szCs w:val="23"/>
          <w:highlight w:val="none"/>
        </w:rPr>
        <w:t>),签字代表(</w:t>
      </w:r>
      <w:r>
        <w:rPr>
          <w:rFonts w:hint="eastAsia" w:ascii="宋体" w:hAnsi="宋体" w:eastAsia="宋体" w:cs="宋体"/>
          <w:color w:val="auto"/>
          <w:spacing w:val="6"/>
          <w:sz w:val="23"/>
          <w:szCs w:val="23"/>
          <w:highlight w:val="none"/>
          <w:u w:val="single" w:color="auto"/>
        </w:rPr>
        <w:t>姓名、职</w:t>
      </w:r>
      <w:r>
        <w:rPr>
          <w:rFonts w:hint="eastAsia" w:ascii="宋体" w:hAnsi="宋体" w:eastAsia="宋体" w:cs="宋体"/>
          <w:color w:val="auto"/>
          <w:spacing w:val="3"/>
          <w:sz w:val="23"/>
          <w:szCs w:val="23"/>
          <w:highlight w:val="none"/>
        </w:rPr>
        <w:t xml:space="preserve"> </w:t>
      </w:r>
      <w:r>
        <w:rPr>
          <w:rFonts w:hint="eastAsia" w:ascii="宋体" w:hAnsi="宋体" w:eastAsia="宋体" w:cs="宋体"/>
          <w:color w:val="auto"/>
          <w:spacing w:val="-3"/>
          <w:sz w:val="23"/>
          <w:szCs w:val="23"/>
          <w:highlight w:val="none"/>
          <w:u w:val="single" w:color="auto"/>
        </w:rPr>
        <w:t>务)</w:t>
      </w:r>
      <w:r>
        <w:rPr>
          <w:rFonts w:hint="eastAsia" w:ascii="宋体" w:hAnsi="宋体" w:eastAsia="宋体" w:cs="宋体"/>
          <w:color w:val="auto"/>
          <w:spacing w:val="-3"/>
          <w:sz w:val="23"/>
          <w:szCs w:val="23"/>
          <w:highlight w:val="none"/>
        </w:rPr>
        <w:t>经正式授权并代表供应商（</w:t>
      </w:r>
      <w:r>
        <w:rPr>
          <w:rFonts w:hint="eastAsia" w:ascii="宋体" w:hAnsi="宋体" w:eastAsia="宋体" w:cs="宋体"/>
          <w:color w:val="auto"/>
          <w:spacing w:val="-3"/>
          <w:sz w:val="23"/>
          <w:szCs w:val="23"/>
          <w:highlight w:val="none"/>
          <w:u w:val="single" w:color="auto"/>
        </w:rPr>
        <w:t>名称、地址</w:t>
      </w:r>
      <w:r>
        <w:rPr>
          <w:rFonts w:hint="eastAsia" w:ascii="宋体" w:hAnsi="宋体" w:eastAsia="宋体" w:cs="宋体"/>
          <w:color w:val="auto"/>
          <w:spacing w:val="-3"/>
          <w:sz w:val="23"/>
          <w:szCs w:val="23"/>
          <w:highlight w:val="none"/>
        </w:rPr>
        <w:t>）提交下述文件正本</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94"/>
          <w:sz w:val="23"/>
          <w:szCs w:val="23"/>
          <w:highlight w:val="none"/>
        </w:rPr>
        <w:t xml:space="preserve"> </w:t>
      </w:r>
      <w:r>
        <w:rPr>
          <w:rFonts w:hint="eastAsia" w:ascii="宋体" w:hAnsi="宋体" w:eastAsia="宋体" w:cs="宋体"/>
          <w:color w:val="auto"/>
          <w:spacing w:val="-3"/>
          <w:sz w:val="23"/>
          <w:szCs w:val="23"/>
          <w:highlight w:val="none"/>
        </w:rPr>
        <w:t>份、副本</w:t>
      </w:r>
      <w:r>
        <w:rPr>
          <w:rFonts w:hint="eastAsia" w:ascii="宋体" w:hAnsi="宋体" w:eastAsia="宋体" w:cs="宋体"/>
          <w:color w:val="auto"/>
          <w:spacing w:val="-3"/>
          <w:sz w:val="23"/>
          <w:szCs w:val="23"/>
          <w:highlight w:val="none"/>
          <w:u w:val="single" w:color="auto"/>
        </w:rPr>
        <w:t xml:space="preserve">     </w:t>
      </w:r>
      <w:r>
        <w:rPr>
          <w:rFonts w:hint="eastAsia" w:ascii="宋体" w:hAnsi="宋体" w:eastAsia="宋体" w:cs="宋体"/>
          <w:color w:val="auto"/>
          <w:spacing w:val="-107"/>
          <w:sz w:val="23"/>
          <w:szCs w:val="23"/>
          <w:highlight w:val="none"/>
        </w:rPr>
        <w:t xml:space="preserve"> </w:t>
      </w:r>
      <w:r>
        <w:rPr>
          <w:rFonts w:hint="eastAsia" w:ascii="宋体" w:hAnsi="宋体" w:eastAsia="宋体" w:cs="宋体"/>
          <w:color w:val="auto"/>
          <w:spacing w:val="-3"/>
          <w:sz w:val="23"/>
          <w:szCs w:val="23"/>
          <w:highlight w:val="none"/>
        </w:rPr>
        <w:t>份</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6"/>
          <w:sz w:val="23"/>
          <w:szCs w:val="23"/>
          <w:highlight w:val="none"/>
        </w:rPr>
        <w:t>及电子文档</w:t>
      </w:r>
      <w:r>
        <w:rPr>
          <w:rFonts w:hint="eastAsia" w:ascii="宋体" w:hAnsi="宋体" w:eastAsia="宋体" w:cs="宋体"/>
          <w:color w:val="auto"/>
          <w:spacing w:val="-98"/>
          <w:sz w:val="23"/>
          <w:szCs w:val="23"/>
          <w:highlight w:val="none"/>
        </w:rPr>
        <w:t xml:space="preserve"> </w:t>
      </w:r>
      <w:r>
        <w:rPr>
          <w:rFonts w:hint="eastAsia" w:ascii="宋体" w:hAnsi="宋体" w:eastAsia="宋体" w:cs="宋体"/>
          <w:color w:val="auto"/>
          <w:spacing w:val="5"/>
          <w:sz w:val="23"/>
          <w:szCs w:val="23"/>
          <w:highlight w:val="none"/>
          <w:u w:val="single" w:color="auto"/>
        </w:rPr>
        <w:t xml:space="preserve">     </w:t>
      </w:r>
      <w:r>
        <w:rPr>
          <w:rFonts w:hint="eastAsia" w:ascii="宋体" w:hAnsi="宋体" w:eastAsia="宋体" w:cs="宋体"/>
          <w:color w:val="auto"/>
          <w:spacing w:val="-108"/>
          <w:sz w:val="23"/>
          <w:szCs w:val="23"/>
          <w:highlight w:val="none"/>
        </w:rPr>
        <w:t xml:space="preserve"> </w:t>
      </w:r>
      <w:r>
        <w:rPr>
          <w:rFonts w:hint="eastAsia" w:ascii="宋体" w:hAnsi="宋体" w:eastAsia="宋体" w:cs="宋体"/>
          <w:color w:val="auto"/>
          <w:spacing w:val="6"/>
          <w:sz w:val="23"/>
          <w:szCs w:val="23"/>
          <w:highlight w:val="none"/>
        </w:rPr>
        <w:t>份，并出具的金额为人民币</w:t>
      </w:r>
      <w:r>
        <w:rPr>
          <w:rFonts w:hint="eastAsia" w:ascii="宋体" w:hAnsi="宋体" w:eastAsia="宋体" w:cs="宋体"/>
          <w:color w:val="auto"/>
          <w:spacing w:val="-115"/>
          <w:sz w:val="23"/>
          <w:szCs w:val="23"/>
          <w:highlight w:val="none"/>
        </w:rPr>
        <w:t xml:space="preserve"> </w:t>
      </w:r>
      <w:r>
        <w:rPr>
          <w:rFonts w:hint="eastAsia" w:ascii="宋体" w:hAnsi="宋体" w:eastAsia="宋体" w:cs="宋体"/>
          <w:color w:val="auto"/>
          <w:spacing w:val="5"/>
          <w:sz w:val="23"/>
          <w:szCs w:val="23"/>
          <w:highlight w:val="none"/>
          <w:u w:val="single" w:color="auto"/>
        </w:rPr>
        <w:t xml:space="preserve">        </w:t>
      </w:r>
      <w:r>
        <w:rPr>
          <w:rFonts w:hint="eastAsia" w:ascii="宋体" w:hAnsi="宋体" w:eastAsia="宋体" w:cs="宋体"/>
          <w:color w:val="auto"/>
          <w:spacing w:val="-97"/>
          <w:sz w:val="23"/>
          <w:szCs w:val="23"/>
          <w:highlight w:val="none"/>
        </w:rPr>
        <w:t xml:space="preserve"> </w:t>
      </w:r>
      <w:r>
        <w:rPr>
          <w:rFonts w:hint="eastAsia" w:ascii="宋体" w:hAnsi="宋体" w:eastAsia="宋体" w:cs="宋体"/>
          <w:color w:val="auto"/>
          <w:spacing w:val="6"/>
          <w:sz w:val="23"/>
          <w:szCs w:val="23"/>
          <w:highlight w:val="none"/>
        </w:rPr>
        <w:t>元的磋商保证金。</w:t>
      </w:r>
    </w:p>
    <w:p w14:paraId="39281B16">
      <w:pPr>
        <w:spacing w:before="34" w:line="223" w:lineRule="auto"/>
        <w:ind w:left="563"/>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据此，签字代表宣布如下：</w:t>
      </w:r>
    </w:p>
    <w:p w14:paraId="12911870">
      <w:pPr>
        <w:spacing w:before="35" w:line="236" w:lineRule="auto"/>
        <w:ind w:left="790" w:right="155" w:hanging="234"/>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w:t>
      </w:r>
      <w:r>
        <w:rPr>
          <w:rFonts w:hint="eastAsia" w:ascii="宋体" w:hAnsi="宋体" w:eastAsia="宋体" w:cs="宋体"/>
          <w:color w:val="auto"/>
          <w:spacing w:val="-56"/>
          <w:sz w:val="23"/>
          <w:szCs w:val="23"/>
          <w:highlight w:val="none"/>
        </w:rPr>
        <w:t xml:space="preserve"> </w:t>
      </w:r>
      <w:r>
        <w:rPr>
          <w:rFonts w:hint="eastAsia" w:ascii="宋体" w:hAnsi="宋体" w:eastAsia="宋体" w:cs="宋体"/>
          <w:color w:val="auto"/>
          <w:spacing w:val="7"/>
          <w:sz w:val="23"/>
          <w:szCs w:val="23"/>
          <w:highlight w:val="none"/>
        </w:rPr>
        <w:t>1）附投标书报价中规定的投标总价详见开标一览表，</w:t>
      </w:r>
      <w:r>
        <w:rPr>
          <w:rFonts w:hint="eastAsia" w:ascii="宋体" w:hAnsi="宋体" w:eastAsia="宋体" w:cs="宋体"/>
          <w:color w:val="auto"/>
          <w:spacing w:val="7"/>
          <w:sz w:val="23"/>
          <w:szCs w:val="23"/>
          <w:highlight w:val="none"/>
          <w:u w:val="single" w:color="auto"/>
        </w:rPr>
        <w:t>其中由小型和</w:t>
      </w:r>
      <w:r>
        <w:rPr>
          <w:rFonts w:hint="eastAsia" w:ascii="宋体" w:hAnsi="宋体" w:eastAsia="宋体" w:cs="宋体"/>
          <w:color w:val="auto"/>
          <w:spacing w:val="7"/>
          <w:sz w:val="23"/>
          <w:szCs w:val="23"/>
          <w:highlight w:val="none"/>
        </w:rPr>
        <w:t>微型</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5"/>
          <w:sz w:val="23"/>
          <w:szCs w:val="23"/>
          <w:highlight w:val="none"/>
        </w:rPr>
        <w:t>企业制造产品的价格为</w:t>
      </w:r>
      <w:r>
        <w:rPr>
          <w:rFonts w:hint="eastAsia" w:ascii="宋体" w:hAnsi="宋体" w:eastAsia="宋体" w:cs="宋体"/>
          <w:color w:val="auto"/>
          <w:spacing w:val="5"/>
          <w:sz w:val="23"/>
          <w:szCs w:val="23"/>
          <w:highlight w:val="none"/>
          <w:u w:val="single" w:color="auto"/>
        </w:rPr>
        <w:t xml:space="preserve">       （用文字和数字表示</w:t>
      </w:r>
      <w:r>
        <w:rPr>
          <w:rFonts w:hint="eastAsia" w:ascii="宋体" w:hAnsi="宋体" w:eastAsia="宋体" w:cs="宋体"/>
          <w:color w:val="auto"/>
          <w:sz w:val="23"/>
          <w:szCs w:val="23"/>
          <w:highlight w:val="none"/>
          <w:u w:val="single" w:color="auto"/>
        </w:rPr>
        <w:t>），</w:t>
      </w:r>
      <w:r>
        <w:rPr>
          <w:rFonts w:hint="eastAsia" w:ascii="宋体" w:hAnsi="宋体" w:eastAsia="宋体" w:cs="宋体"/>
          <w:color w:val="auto"/>
          <w:spacing w:val="5"/>
          <w:sz w:val="23"/>
          <w:szCs w:val="23"/>
          <w:highlight w:val="none"/>
          <w:u w:val="single" w:color="auto"/>
        </w:rPr>
        <w:t>占投标价的</w:t>
      </w:r>
      <w:r>
        <w:rPr>
          <w:rFonts w:hint="eastAsia" w:ascii="宋体" w:hAnsi="宋体" w:eastAsia="宋体" w:cs="宋体"/>
          <w:color w:val="auto"/>
          <w:spacing w:val="-22"/>
          <w:sz w:val="23"/>
          <w:szCs w:val="23"/>
          <w:highlight w:val="none"/>
          <w:u w:val="single" w:color="auto"/>
        </w:rPr>
        <w:t xml:space="preserve"> </w:t>
      </w:r>
      <w:r>
        <w:rPr>
          <w:rFonts w:hint="eastAsia" w:ascii="宋体" w:hAnsi="宋体" w:eastAsia="宋体" w:cs="宋体"/>
          <w:color w:val="auto"/>
          <w:spacing w:val="5"/>
          <w:sz w:val="23"/>
          <w:szCs w:val="23"/>
          <w:highlight w:val="none"/>
          <w:u w:val="single" w:color="auto"/>
        </w:rPr>
        <w:t>‥</w:t>
      </w:r>
      <w:r>
        <w:rPr>
          <w:rFonts w:hint="eastAsia" w:ascii="宋体" w:hAnsi="宋体" w:eastAsia="宋体" w:cs="宋体"/>
          <w:color w:val="auto"/>
          <w:spacing w:val="5"/>
          <w:sz w:val="23"/>
          <w:szCs w:val="23"/>
          <w:highlight w:val="none"/>
        </w:rPr>
        <w:t>%</w:t>
      </w:r>
    </w:p>
    <w:p w14:paraId="5B99D621">
      <w:pPr>
        <w:spacing w:before="34" w:line="225" w:lineRule="auto"/>
        <w:ind w:left="556"/>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w:t>
      </w:r>
      <w:r>
        <w:rPr>
          <w:rFonts w:hint="eastAsia" w:ascii="宋体" w:hAnsi="宋体" w:eastAsia="宋体" w:cs="宋体"/>
          <w:color w:val="auto"/>
          <w:spacing w:val="-60"/>
          <w:sz w:val="23"/>
          <w:szCs w:val="23"/>
          <w:highlight w:val="none"/>
        </w:rPr>
        <w:t xml:space="preserve"> </w:t>
      </w:r>
      <w:r>
        <w:rPr>
          <w:rFonts w:hint="eastAsia" w:ascii="宋体" w:hAnsi="宋体" w:eastAsia="宋体" w:cs="宋体"/>
          <w:color w:val="auto"/>
          <w:spacing w:val="1"/>
          <w:sz w:val="23"/>
          <w:szCs w:val="23"/>
          <w:highlight w:val="none"/>
        </w:rPr>
        <w:t>2</w:t>
      </w:r>
      <w:r>
        <w:rPr>
          <w:rFonts w:hint="eastAsia" w:ascii="宋体" w:hAnsi="宋体" w:eastAsia="宋体" w:cs="宋体"/>
          <w:color w:val="auto"/>
          <w:spacing w:val="-50"/>
          <w:sz w:val="23"/>
          <w:szCs w:val="23"/>
          <w:highlight w:val="none"/>
        </w:rPr>
        <w:t xml:space="preserve"> </w:t>
      </w:r>
      <w:r>
        <w:rPr>
          <w:rFonts w:hint="eastAsia" w:ascii="宋体" w:hAnsi="宋体" w:eastAsia="宋体" w:cs="宋体"/>
          <w:color w:val="auto"/>
          <w:spacing w:val="1"/>
          <w:sz w:val="23"/>
          <w:szCs w:val="23"/>
          <w:highlight w:val="none"/>
        </w:rPr>
        <w:t>）本投标有效期为投标标截止之日起</w:t>
      </w:r>
      <w:r>
        <w:rPr>
          <w:rFonts w:hint="eastAsia" w:ascii="宋体" w:hAnsi="宋体" w:eastAsia="宋体" w:cs="宋体"/>
          <w:color w:val="auto"/>
          <w:spacing w:val="-102"/>
          <w:sz w:val="23"/>
          <w:szCs w:val="23"/>
          <w:highlight w:val="none"/>
        </w:rPr>
        <w:t xml:space="preserve"> </w:t>
      </w:r>
      <w:r>
        <w:rPr>
          <w:rFonts w:hint="eastAsia" w:ascii="宋体" w:hAnsi="宋体" w:eastAsia="宋体" w:cs="宋体"/>
          <w:color w:val="auto"/>
          <w:spacing w:val="5"/>
          <w:sz w:val="23"/>
          <w:szCs w:val="23"/>
          <w:highlight w:val="none"/>
          <w:u w:val="single" w:color="auto"/>
        </w:rPr>
        <w:t xml:space="preserve">   </w:t>
      </w:r>
      <w:r>
        <w:rPr>
          <w:rFonts w:hint="eastAsia" w:ascii="宋体" w:hAnsi="宋体" w:eastAsia="宋体" w:cs="宋体"/>
          <w:color w:val="auto"/>
          <w:spacing w:val="-103"/>
          <w:sz w:val="23"/>
          <w:szCs w:val="23"/>
          <w:highlight w:val="none"/>
        </w:rPr>
        <w:t xml:space="preserve"> </w:t>
      </w:r>
      <w:r>
        <w:rPr>
          <w:rFonts w:hint="eastAsia" w:ascii="宋体" w:hAnsi="宋体" w:eastAsia="宋体" w:cs="宋体"/>
          <w:color w:val="auto"/>
          <w:spacing w:val="1"/>
          <w:sz w:val="23"/>
          <w:szCs w:val="23"/>
          <w:highlight w:val="none"/>
        </w:rPr>
        <w:t>个日历日。</w:t>
      </w:r>
    </w:p>
    <w:p w14:paraId="7055B43E">
      <w:pPr>
        <w:spacing w:before="33" w:line="235" w:lineRule="auto"/>
        <w:ind w:left="1096" w:hanging="540"/>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w:t>
      </w:r>
      <w:r>
        <w:rPr>
          <w:rFonts w:hint="eastAsia" w:ascii="宋体" w:hAnsi="宋体" w:eastAsia="宋体" w:cs="宋体"/>
          <w:color w:val="auto"/>
          <w:spacing w:val="-42"/>
          <w:sz w:val="23"/>
          <w:szCs w:val="23"/>
          <w:highlight w:val="none"/>
        </w:rPr>
        <w:t xml:space="preserve"> </w:t>
      </w:r>
      <w:r>
        <w:rPr>
          <w:rFonts w:hint="eastAsia" w:ascii="宋体" w:hAnsi="宋体" w:eastAsia="宋体" w:cs="宋体"/>
          <w:color w:val="auto"/>
          <w:spacing w:val="8"/>
          <w:sz w:val="23"/>
          <w:szCs w:val="23"/>
          <w:highlight w:val="none"/>
        </w:rPr>
        <w:t>3）联合体中的大中型企业、法人或者非法人组织，与联合体中的小型、</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5"/>
          <w:sz w:val="23"/>
          <w:szCs w:val="23"/>
          <w:highlight w:val="none"/>
        </w:rPr>
        <w:t>微型企业之间</w:t>
      </w:r>
      <w:r>
        <w:rPr>
          <w:rFonts w:hint="eastAsia" w:ascii="宋体" w:hAnsi="宋体" w:eastAsia="宋体" w:cs="宋体"/>
          <w:color w:val="auto"/>
          <w:spacing w:val="26"/>
          <w:sz w:val="23"/>
          <w:szCs w:val="23"/>
          <w:highlight w:val="none"/>
          <w:u w:val="single" w:color="auto"/>
        </w:rPr>
        <w:t xml:space="preserve">    </w:t>
      </w:r>
      <w:r>
        <w:rPr>
          <w:rFonts w:hint="eastAsia" w:ascii="宋体" w:hAnsi="宋体" w:eastAsia="宋体" w:cs="宋体"/>
          <w:color w:val="auto"/>
          <w:spacing w:val="5"/>
          <w:sz w:val="23"/>
          <w:szCs w:val="23"/>
          <w:highlight w:val="none"/>
          <w:u w:val="single" w:color="auto"/>
        </w:rPr>
        <w:t>（</w:t>
      </w:r>
      <w:r>
        <w:rPr>
          <w:rFonts w:hint="eastAsia" w:ascii="宋体" w:hAnsi="宋体" w:eastAsia="宋体" w:cs="宋体"/>
          <w:color w:val="auto"/>
          <w:spacing w:val="5"/>
          <w:sz w:val="23"/>
          <w:szCs w:val="23"/>
          <w:highlight w:val="none"/>
        </w:rPr>
        <w:t>存在、不存在）投资关系（如果是联合体的话</w:t>
      </w:r>
      <w:r>
        <w:rPr>
          <w:rFonts w:hint="eastAsia" w:ascii="宋体" w:hAnsi="宋体" w:eastAsia="宋体" w:cs="宋体"/>
          <w:color w:val="auto"/>
          <w:spacing w:val="4"/>
          <w:sz w:val="23"/>
          <w:szCs w:val="23"/>
          <w:highlight w:val="none"/>
        </w:rPr>
        <w:t>）。</w:t>
      </w:r>
    </w:p>
    <w:p w14:paraId="0454AD0A">
      <w:pPr>
        <w:spacing w:before="34" w:line="236" w:lineRule="auto"/>
        <w:ind w:left="1103" w:right="155" w:hanging="547"/>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w:t>
      </w:r>
      <w:r>
        <w:rPr>
          <w:rFonts w:hint="eastAsia" w:ascii="宋体" w:hAnsi="宋体" w:eastAsia="宋体" w:cs="宋体"/>
          <w:color w:val="auto"/>
          <w:spacing w:val="-63"/>
          <w:sz w:val="23"/>
          <w:szCs w:val="23"/>
          <w:highlight w:val="none"/>
        </w:rPr>
        <w:t xml:space="preserve"> </w:t>
      </w:r>
      <w:r>
        <w:rPr>
          <w:rFonts w:hint="eastAsia" w:ascii="宋体" w:hAnsi="宋体" w:eastAsia="宋体" w:cs="宋体"/>
          <w:color w:val="auto"/>
          <w:spacing w:val="7"/>
          <w:sz w:val="23"/>
          <w:szCs w:val="23"/>
          <w:highlight w:val="none"/>
        </w:rPr>
        <w:t>4）已详细审查全部磋商文件，包括所有补充通</w:t>
      </w:r>
      <w:r>
        <w:rPr>
          <w:rFonts w:hint="eastAsia" w:ascii="宋体" w:hAnsi="宋体" w:eastAsia="宋体" w:cs="宋体"/>
          <w:color w:val="auto"/>
          <w:spacing w:val="6"/>
          <w:sz w:val="23"/>
          <w:szCs w:val="23"/>
          <w:highlight w:val="none"/>
        </w:rPr>
        <w:t>知（如果有的话</w:t>
      </w:r>
      <w:r>
        <w:rPr>
          <w:rFonts w:hint="eastAsia" w:ascii="宋体" w:hAnsi="宋体" w:eastAsia="宋体" w:cs="宋体"/>
          <w:color w:val="auto"/>
          <w:spacing w:val="15"/>
          <w:sz w:val="23"/>
          <w:szCs w:val="23"/>
          <w:highlight w:val="none"/>
        </w:rPr>
        <w:t>），</w:t>
      </w:r>
      <w:r>
        <w:rPr>
          <w:rFonts w:hint="eastAsia" w:ascii="宋体" w:hAnsi="宋体" w:eastAsia="宋体" w:cs="宋体"/>
          <w:color w:val="auto"/>
          <w:spacing w:val="6"/>
          <w:sz w:val="23"/>
          <w:szCs w:val="23"/>
          <w:highlight w:val="none"/>
        </w:rPr>
        <w:t>完全</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7"/>
          <w:sz w:val="23"/>
          <w:szCs w:val="23"/>
          <w:highlight w:val="none"/>
        </w:rPr>
        <w:t>理解并同意放弃对这方面有不明、误解和质疑的权力。</w:t>
      </w:r>
    </w:p>
    <w:p w14:paraId="777BBC9C">
      <w:pPr>
        <w:spacing w:before="37" w:line="222" w:lineRule="auto"/>
        <w:ind w:left="556"/>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w:t>
      </w:r>
      <w:r>
        <w:rPr>
          <w:rFonts w:hint="eastAsia" w:ascii="宋体" w:hAnsi="宋体" w:eastAsia="宋体" w:cs="宋体"/>
          <w:color w:val="auto"/>
          <w:spacing w:val="-43"/>
          <w:sz w:val="23"/>
          <w:szCs w:val="23"/>
          <w:highlight w:val="none"/>
        </w:rPr>
        <w:t xml:space="preserve"> </w:t>
      </w:r>
      <w:r>
        <w:rPr>
          <w:rFonts w:hint="eastAsia" w:ascii="宋体" w:hAnsi="宋体" w:eastAsia="宋体" w:cs="宋体"/>
          <w:color w:val="auto"/>
          <w:spacing w:val="3"/>
          <w:sz w:val="23"/>
          <w:szCs w:val="23"/>
          <w:highlight w:val="none"/>
        </w:rPr>
        <w:t>5</w:t>
      </w:r>
      <w:r>
        <w:rPr>
          <w:rFonts w:hint="eastAsia" w:ascii="宋体" w:hAnsi="宋体" w:eastAsia="宋体" w:cs="宋体"/>
          <w:color w:val="auto"/>
          <w:spacing w:val="-49"/>
          <w:sz w:val="23"/>
          <w:szCs w:val="23"/>
          <w:highlight w:val="none"/>
        </w:rPr>
        <w:t xml:space="preserve"> </w:t>
      </w:r>
      <w:r>
        <w:rPr>
          <w:rFonts w:hint="eastAsia" w:ascii="宋体" w:hAnsi="宋体" w:eastAsia="宋体" w:cs="宋体"/>
          <w:color w:val="auto"/>
          <w:spacing w:val="3"/>
          <w:sz w:val="23"/>
          <w:szCs w:val="23"/>
          <w:highlight w:val="none"/>
        </w:rPr>
        <w:t>）在规定的开标时间后，遵守磋商文件中有关保证金的规定。</w:t>
      </w:r>
    </w:p>
    <w:p w14:paraId="34D616B8">
      <w:pPr>
        <w:spacing w:before="32" w:line="238" w:lineRule="auto"/>
        <w:ind w:left="1107" w:right="155" w:hanging="551"/>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w:t>
      </w:r>
      <w:r>
        <w:rPr>
          <w:rFonts w:hint="eastAsia" w:ascii="宋体" w:hAnsi="宋体" w:eastAsia="宋体" w:cs="宋体"/>
          <w:color w:val="auto"/>
          <w:spacing w:val="-56"/>
          <w:sz w:val="23"/>
          <w:szCs w:val="23"/>
          <w:highlight w:val="none"/>
        </w:rPr>
        <w:t xml:space="preserve"> </w:t>
      </w:r>
      <w:r>
        <w:rPr>
          <w:rFonts w:hint="eastAsia" w:ascii="宋体" w:hAnsi="宋体" w:eastAsia="宋体" w:cs="宋体"/>
          <w:color w:val="auto"/>
          <w:spacing w:val="7"/>
          <w:sz w:val="23"/>
          <w:szCs w:val="23"/>
          <w:highlight w:val="none"/>
        </w:rPr>
        <w:t>6）我方不是为本项目提供整体设计、规范编制或者项目管理、监理、检</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7"/>
          <w:sz w:val="23"/>
          <w:szCs w:val="23"/>
          <w:highlight w:val="none"/>
        </w:rPr>
        <w:t>测等服务的供应商，我方不是采购代理机构的附属机构。</w:t>
      </w:r>
    </w:p>
    <w:p w14:paraId="156451E3">
      <w:pPr>
        <w:spacing w:before="31" w:line="237" w:lineRule="auto"/>
        <w:ind w:left="1106" w:right="155" w:hanging="550"/>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w:t>
      </w:r>
      <w:r>
        <w:rPr>
          <w:rFonts w:hint="eastAsia" w:ascii="宋体" w:hAnsi="宋体" w:eastAsia="宋体" w:cs="宋体"/>
          <w:color w:val="auto"/>
          <w:spacing w:val="-56"/>
          <w:sz w:val="23"/>
          <w:szCs w:val="23"/>
          <w:highlight w:val="none"/>
        </w:rPr>
        <w:t xml:space="preserve"> </w:t>
      </w:r>
      <w:r>
        <w:rPr>
          <w:rFonts w:hint="eastAsia" w:ascii="宋体" w:hAnsi="宋体" w:eastAsia="宋体" w:cs="宋体"/>
          <w:color w:val="auto"/>
          <w:spacing w:val="7"/>
          <w:sz w:val="23"/>
          <w:szCs w:val="23"/>
          <w:highlight w:val="none"/>
        </w:rPr>
        <w:t>7）在领取成交通知书的同时按磋商文件规定的形式，向贵方一次性支付</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2"/>
          <w:sz w:val="23"/>
          <w:szCs w:val="23"/>
          <w:highlight w:val="none"/>
        </w:rPr>
        <w:t>成交服务费。</w:t>
      </w:r>
    </w:p>
    <w:p w14:paraId="7CA2DB86">
      <w:pPr>
        <w:spacing w:before="31" w:line="238" w:lineRule="auto"/>
        <w:ind w:left="1106" w:right="155" w:hanging="550"/>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w:t>
      </w:r>
      <w:r>
        <w:rPr>
          <w:rFonts w:hint="eastAsia" w:ascii="宋体" w:hAnsi="宋体" w:eastAsia="宋体" w:cs="宋体"/>
          <w:color w:val="auto"/>
          <w:spacing w:val="-56"/>
          <w:sz w:val="23"/>
          <w:szCs w:val="23"/>
          <w:highlight w:val="none"/>
        </w:rPr>
        <w:t xml:space="preserve"> </w:t>
      </w:r>
      <w:r>
        <w:rPr>
          <w:rFonts w:hint="eastAsia" w:ascii="宋体" w:hAnsi="宋体" w:eastAsia="宋体" w:cs="宋体"/>
          <w:color w:val="auto"/>
          <w:spacing w:val="7"/>
          <w:sz w:val="23"/>
          <w:szCs w:val="23"/>
          <w:highlight w:val="none"/>
        </w:rPr>
        <w:t>8）按照贵方可能要求，提供与其投标有关的一切数据或资料，完全理解</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6"/>
          <w:sz w:val="23"/>
          <w:szCs w:val="23"/>
          <w:highlight w:val="none"/>
        </w:rPr>
        <w:t>贵方不一定接受最低价的投标或收到的任何投标。</w:t>
      </w:r>
    </w:p>
    <w:p w14:paraId="3D7D5ADD">
      <w:pPr>
        <w:spacing w:before="31" w:line="236" w:lineRule="auto"/>
        <w:ind w:left="415" w:right="2819" w:firstLine="140"/>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w:t>
      </w:r>
      <w:r>
        <w:rPr>
          <w:rFonts w:hint="eastAsia" w:ascii="宋体" w:hAnsi="宋体" w:eastAsia="宋体" w:cs="宋体"/>
          <w:color w:val="auto"/>
          <w:spacing w:val="-48"/>
          <w:sz w:val="23"/>
          <w:szCs w:val="23"/>
          <w:highlight w:val="none"/>
        </w:rPr>
        <w:t xml:space="preserve"> </w:t>
      </w:r>
      <w:r>
        <w:rPr>
          <w:rFonts w:hint="eastAsia" w:ascii="宋体" w:hAnsi="宋体" w:eastAsia="宋体" w:cs="宋体"/>
          <w:color w:val="auto"/>
          <w:spacing w:val="1"/>
          <w:sz w:val="23"/>
          <w:szCs w:val="23"/>
          <w:highlight w:val="none"/>
        </w:rPr>
        <w:t>9</w:t>
      </w:r>
      <w:r>
        <w:rPr>
          <w:rFonts w:hint="eastAsia" w:ascii="宋体" w:hAnsi="宋体" w:eastAsia="宋体" w:cs="宋体"/>
          <w:color w:val="auto"/>
          <w:spacing w:val="-49"/>
          <w:sz w:val="23"/>
          <w:szCs w:val="23"/>
          <w:highlight w:val="none"/>
        </w:rPr>
        <w:t xml:space="preserve"> </w:t>
      </w:r>
      <w:r>
        <w:rPr>
          <w:rFonts w:hint="eastAsia" w:ascii="宋体" w:hAnsi="宋体" w:eastAsia="宋体" w:cs="宋体"/>
          <w:color w:val="auto"/>
          <w:spacing w:val="1"/>
          <w:sz w:val="23"/>
          <w:szCs w:val="23"/>
          <w:highlight w:val="none"/>
        </w:rPr>
        <w:t>）按照磋商文件的规定履行合同责任和义务。</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4"/>
          <w:sz w:val="23"/>
          <w:szCs w:val="23"/>
          <w:highlight w:val="none"/>
        </w:rPr>
        <w:t>与本投标有关的一切正式往来信函请寄：</w:t>
      </w:r>
    </w:p>
    <w:p w14:paraId="1170026C">
      <w:pPr>
        <w:spacing w:before="34" w:line="226" w:lineRule="auto"/>
        <w:ind w:left="559"/>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地址</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pacing w:val="6"/>
          <w:sz w:val="23"/>
          <w:szCs w:val="23"/>
          <w:highlight w:val="none"/>
        </w:rPr>
        <w:t xml:space="preserve">     传真</w:t>
      </w:r>
      <w:r>
        <w:rPr>
          <w:rFonts w:hint="eastAsia" w:ascii="宋体" w:hAnsi="宋体" w:eastAsia="宋体" w:cs="宋体"/>
          <w:color w:val="auto"/>
          <w:sz w:val="23"/>
          <w:szCs w:val="23"/>
          <w:highlight w:val="none"/>
          <w:u w:val="single" w:color="auto"/>
        </w:rPr>
        <w:t xml:space="preserve">                            </w:t>
      </w:r>
    </w:p>
    <w:p w14:paraId="31818D03">
      <w:pPr>
        <w:spacing w:before="31" w:line="225" w:lineRule="auto"/>
        <w:ind w:left="589"/>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电话</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pacing w:val="14"/>
          <w:sz w:val="23"/>
          <w:szCs w:val="23"/>
          <w:highlight w:val="none"/>
        </w:rPr>
        <w:t xml:space="preserve">     </w:t>
      </w:r>
      <w:r>
        <w:rPr>
          <w:rFonts w:hint="eastAsia" w:ascii="宋体" w:hAnsi="宋体" w:eastAsia="宋体" w:cs="宋体"/>
          <w:color w:val="auto"/>
          <w:spacing w:val="-3"/>
          <w:sz w:val="23"/>
          <w:szCs w:val="23"/>
          <w:highlight w:val="none"/>
        </w:rPr>
        <w:t>电子函件</w:t>
      </w:r>
      <w:r>
        <w:rPr>
          <w:rFonts w:hint="eastAsia" w:ascii="宋体" w:hAnsi="宋体" w:eastAsia="宋体" w:cs="宋体"/>
          <w:color w:val="auto"/>
          <w:sz w:val="23"/>
          <w:szCs w:val="23"/>
          <w:highlight w:val="none"/>
          <w:u w:val="single" w:color="auto"/>
        </w:rPr>
        <w:t xml:space="preserve">                        </w:t>
      </w:r>
    </w:p>
    <w:p w14:paraId="2FB9D6A5">
      <w:pPr>
        <w:pStyle w:val="2"/>
        <w:spacing w:line="264" w:lineRule="auto"/>
        <w:rPr>
          <w:rFonts w:hint="eastAsia" w:ascii="宋体" w:hAnsi="宋体" w:eastAsia="宋体" w:cs="宋体"/>
          <w:color w:val="auto"/>
          <w:highlight w:val="none"/>
        </w:rPr>
      </w:pPr>
    </w:p>
    <w:p w14:paraId="61B54216">
      <w:pPr>
        <w:spacing w:before="75" w:line="226" w:lineRule="auto"/>
        <w:ind w:left="569"/>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法定代表人或其委托代理人签字-----------------</w:t>
      </w:r>
    </w:p>
    <w:p w14:paraId="6D1980CD">
      <w:pPr>
        <w:spacing w:before="28" w:line="224" w:lineRule="auto"/>
        <w:ind w:left="556"/>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供应商名称（全称）</w:t>
      </w:r>
      <w:r>
        <w:rPr>
          <w:rFonts w:hint="eastAsia" w:ascii="宋体" w:hAnsi="宋体" w:eastAsia="宋体" w:cs="宋体"/>
          <w:color w:val="auto"/>
          <w:spacing w:val="-23"/>
          <w:sz w:val="23"/>
          <w:szCs w:val="23"/>
          <w:highlight w:val="none"/>
        </w:rPr>
        <w:t xml:space="preserve"> </w:t>
      </w:r>
      <w:r>
        <w:rPr>
          <w:rFonts w:hint="eastAsia" w:ascii="宋体" w:hAnsi="宋体" w:eastAsia="宋体" w:cs="宋体"/>
          <w:color w:val="auto"/>
          <w:spacing w:val="3"/>
          <w:sz w:val="23"/>
          <w:szCs w:val="23"/>
          <w:highlight w:val="none"/>
        </w:rPr>
        <w:t>-------------</w:t>
      </w:r>
      <w:r>
        <w:rPr>
          <w:rFonts w:hint="eastAsia" w:ascii="宋体" w:hAnsi="宋体" w:eastAsia="宋体" w:cs="宋体"/>
          <w:color w:val="auto"/>
          <w:spacing w:val="2"/>
          <w:sz w:val="23"/>
          <w:szCs w:val="23"/>
          <w:highlight w:val="none"/>
        </w:rPr>
        <w:t>----</w:t>
      </w:r>
    </w:p>
    <w:p w14:paraId="4BD16219">
      <w:pPr>
        <w:spacing w:before="33" w:line="224" w:lineRule="auto"/>
        <w:ind w:left="556"/>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 xml:space="preserve">供应商开户银行（全称） </w:t>
      </w:r>
      <w:r>
        <w:rPr>
          <w:rFonts w:hint="eastAsia" w:ascii="宋体" w:hAnsi="宋体" w:eastAsia="宋体" w:cs="宋体"/>
          <w:color w:val="auto"/>
          <w:spacing w:val="-3"/>
          <w:sz w:val="23"/>
          <w:szCs w:val="23"/>
          <w:highlight w:val="none"/>
          <w:u w:val="single" w:color="auto"/>
        </w:rPr>
        <w:t xml:space="preserve">              </w:t>
      </w:r>
    </w:p>
    <w:p w14:paraId="59B5C55E">
      <w:pPr>
        <w:spacing w:before="33" w:line="224" w:lineRule="auto"/>
        <w:ind w:left="556"/>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供应商银行帐号</w:t>
      </w:r>
      <w:r>
        <w:rPr>
          <w:rFonts w:hint="eastAsia" w:ascii="宋体" w:hAnsi="宋体" w:eastAsia="宋体" w:cs="宋体"/>
          <w:color w:val="auto"/>
          <w:sz w:val="23"/>
          <w:szCs w:val="23"/>
          <w:highlight w:val="none"/>
          <w:u w:val="single" w:color="auto"/>
        </w:rPr>
        <w:t xml:space="preserve">                      </w:t>
      </w:r>
    </w:p>
    <w:p w14:paraId="5C5A3725">
      <w:pPr>
        <w:spacing w:before="34" w:line="237" w:lineRule="auto"/>
        <w:ind w:left="605" w:right="3488" w:hanging="49"/>
        <w:rPr>
          <w:rFonts w:hint="eastAsia" w:ascii="宋体" w:hAnsi="宋体" w:eastAsia="宋体" w:cs="宋体"/>
          <w:color w:val="auto"/>
          <w:sz w:val="23"/>
          <w:szCs w:val="23"/>
          <w:highlight w:val="none"/>
        </w:rPr>
        <w:sectPr>
          <w:footerReference r:id="rId18" w:type="default"/>
          <w:pgSz w:w="11906" w:h="16838"/>
          <w:pgMar w:top="1427" w:right="1641" w:bottom="1483" w:left="1785" w:header="964" w:footer="1308" w:gutter="0"/>
          <w:pgNumType w:fmt="decimal"/>
          <w:cols w:space="720" w:num="1"/>
        </w:sectPr>
      </w:pPr>
      <w:r>
        <w:rPr>
          <w:rFonts w:hint="eastAsia" w:ascii="宋体" w:hAnsi="宋体" w:eastAsia="宋体" w:cs="宋体"/>
          <w:color w:val="auto"/>
          <w:spacing w:val="6"/>
          <w:sz w:val="23"/>
          <w:szCs w:val="23"/>
          <w:highlight w:val="none"/>
        </w:rPr>
        <w:t>供应商单位章---------------</w:t>
      </w:r>
      <w:r>
        <w:rPr>
          <w:rFonts w:hint="eastAsia" w:ascii="宋体" w:hAnsi="宋体" w:eastAsia="宋体" w:cs="宋体"/>
          <w:color w:val="auto"/>
          <w:spacing w:val="5"/>
          <w:sz w:val="23"/>
          <w:szCs w:val="23"/>
          <w:highlight w:val="none"/>
        </w:rPr>
        <w:t>----------</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3"/>
          <w:sz w:val="23"/>
          <w:szCs w:val="23"/>
          <w:highlight w:val="none"/>
        </w:rPr>
        <w:t>日期-------------------------------</w:t>
      </w:r>
    </w:p>
    <w:p w14:paraId="110B18F0">
      <w:pPr>
        <w:spacing w:before="75" w:line="225" w:lineRule="auto"/>
        <w:ind w:left="5560"/>
        <w:outlineLvl w:val="1"/>
        <w:rPr>
          <w:rFonts w:hint="eastAsia" w:ascii="宋体" w:hAnsi="宋体" w:eastAsia="宋体" w:cs="宋体"/>
          <w:color w:val="auto"/>
          <w:highlight w:val="none"/>
        </w:rPr>
      </w:pPr>
      <w:bookmarkStart w:id="591" w:name="bookmark128"/>
      <w:bookmarkEnd w:id="591"/>
      <w:bookmarkStart w:id="592" w:name="bookmark127"/>
      <w:bookmarkEnd w:id="592"/>
      <w:r>
        <w:rPr>
          <w:rFonts w:hint="eastAsia" w:ascii="宋体" w:hAnsi="宋体" w:eastAsia="宋体" w:cs="宋体"/>
          <w:b/>
          <w:bCs/>
          <w:color w:val="auto"/>
          <w:spacing w:val="6"/>
          <w:sz w:val="23"/>
          <w:szCs w:val="23"/>
          <w:highlight w:val="none"/>
        </w:rPr>
        <w:t>2</w:t>
      </w:r>
      <w:r>
        <w:rPr>
          <w:rFonts w:hint="eastAsia" w:ascii="宋体" w:hAnsi="宋体" w:eastAsia="宋体" w:cs="宋体"/>
          <w:color w:val="auto"/>
          <w:spacing w:val="6"/>
          <w:sz w:val="23"/>
          <w:szCs w:val="23"/>
          <w:highlight w:val="none"/>
        </w:rPr>
        <w:t xml:space="preserve">   </w:t>
      </w:r>
      <w:r>
        <w:rPr>
          <w:rFonts w:hint="eastAsia" w:ascii="宋体" w:hAnsi="宋体" w:eastAsia="宋体" w:cs="宋体"/>
          <w:b/>
          <w:bCs/>
          <w:color w:val="auto"/>
          <w:spacing w:val="6"/>
          <w:sz w:val="23"/>
          <w:szCs w:val="23"/>
          <w:highlight w:val="none"/>
        </w:rPr>
        <w:t>投标分项报价表（响应文件格式五）</w:t>
      </w:r>
    </w:p>
    <w:p w14:paraId="201CFB5D">
      <w:pPr>
        <w:spacing w:before="74" w:line="222" w:lineRule="auto"/>
        <w:ind w:left="1246"/>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项目名称:                      项目编号:                              报价单位：人民币元</w:t>
      </w:r>
    </w:p>
    <w:tbl>
      <w:tblPr>
        <w:tblStyle w:val="40"/>
        <w:tblW w:w="148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
        <w:gridCol w:w="2675"/>
        <w:gridCol w:w="1846"/>
        <w:gridCol w:w="1846"/>
        <w:gridCol w:w="2297"/>
        <w:gridCol w:w="2297"/>
        <w:gridCol w:w="1553"/>
        <w:gridCol w:w="1557"/>
      </w:tblGrid>
      <w:tr w14:paraId="58606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88" w:type="dxa"/>
            <w:textDirection w:val="tbRlV"/>
            <w:vAlign w:val="top"/>
          </w:tcPr>
          <w:p w14:paraId="5A12293E">
            <w:pPr>
              <w:spacing w:before="137" w:line="215" w:lineRule="auto"/>
              <w:ind w:left="7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序</w:t>
            </w:r>
            <w:r>
              <w:rPr>
                <w:rFonts w:hint="eastAsia" w:ascii="宋体" w:hAnsi="宋体" w:eastAsia="宋体" w:cs="宋体"/>
                <w:color w:val="auto"/>
                <w:spacing w:val="-42"/>
                <w:sz w:val="23"/>
                <w:szCs w:val="23"/>
                <w:highlight w:val="none"/>
              </w:rPr>
              <w:t xml:space="preserve"> </w:t>
            </w:r>
            <w:r>
              <w:rPr>
                <w:rFonts w:hint="eastAsia" w:ascii="宋体" w:hAnsi="宋体" w:eastAsia="宋体" w:cs="宋体"/>
                <w:color w:val="auto"/>
                <w:spacing w:val="8"/>
                <w:sz w:val="23"/>
                <w:szCs w:val="23"/>
                <w:highlight w:val="none"/>
              </w:rPr>
              <w:t>号</w:t>
            </w:r>
          </w:p>
        </w:tc>
        <w:tc>
          <w:tcPr>
            <w:tcW w:w="2675" w:type="dxa"/>
            <w:vAlign w:val="top"/>
          </w:tcPr>
          <w:p w14:paraId="2A56A456">
            <w:pPr>
              <w:spacing w:before="231" w:line="224" w:lineRule="auto"/>
              <w:ind w:left="865"/>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项目名称</w:t>
            </w:r>
          </w:p>
        </w:tc>
        <w:tc>
          <w:tcPr>
            <w:tcW w:w="1846" w:type="dxa"/>
            <w:vAlign w:val="top"/>
          </w:tcPr>
          <w:p w14:paraId="04F3CCF7">
            <w:pPr>
              <w:spacing w:before="231" w:line="226" w:lineRule="auto"/>
              <w:ind w:left="451"/>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特征描述</w:t>
            </w:r>
          </w:p>
        </w:tc>
        <w:tc>
          <w:tcPr>
            <w:tcW w:w="1846" w:type="dxa"/>
            <w:vAlign w:val="top"/>
          </w:tcPr>
          <w:p w14:paraId="5946D81F">
            <w:pPr>
              <w:spacing w:before="231" w:line="226" w:lineRule="auto"/>
              <w:ind w:left="574"/>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工程量</w:t>
            </w:r>
          </w:p>
        </w:tc>
        <w:tc>
          <w:tcPr>
            <w:tcW w:w="2297" w:type="dxa"/>
            <w:vAlign w:val="top"/>
          </w:tcPr>
          <w:p w14:paraId="7B035F33">
            <w:pPr>
              <w:spacing w:before="231" w:line="224" w:lineRule="auto"/>
              <w:ind w:left="681"/>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计量单位</w:t>
            </w:r>
          </w:p>
        </w:tc>
        <w:tc>
          <w:tcPr>
            <w:tcW w:w="2297" w:type="dxa"/>
            <w:vAlign w:val="top"/>
          </w:tcPr>
          <w:p w14:paraId="26F9D4BA">
            <w:pPr>
              <w:spacing w:before="231" w:line="224" w:lineRule="auto"/>
              <w:ind w:left="923"/>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单价</w:t>
            </w:r>
          </w:p>
        </w:tc>
        <w:tc>
          <w:tcPr>
            <w:tcW w:w="1553" w:type="dxa"/>
            <w:vAlign w:val="top"/>
          </w:tcPr>
          <w:p w14:paraId="05618C49">
            <w:pPr>
              <w:spacing w:before="231" w:line="225" w:lineRule="auto"/>
              <w:ind w:left="561"/>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总价</w:t>
            </w:r>
          </w:p>
        </w:tc>
        <w:tc>
          <w:tcPr>
            <w:tcW w:w="1557" w:type="dxa"/>
            <w:vAlign w:val="top"/>
          </w:tcPr>
          <w:p w14:paraId="663E3083">
            <w:pPr>
              <w:spacing w:before="231" w:line="227" w:lineRule="auto"/>
              <w:ind w:left="548"/>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备注</w:t>
            </w:r>
          </w:p>
        </w:tc>
      </w:tr>
      <w:tr w14:paraId="4221E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88" w:type="dxa"/>
            <w:vAlign w:val="top"/>
          </w:tcPr>
          <w:p w14:paraId="5FD0DC4D">
            <w:pPr>
              <w:spacing w:before="119" w:line="189" w:lineRule="auto"/>
              <w:ind w:left="430"/>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1.</w:t>
            </w:r>
          </w:p>
        </w:tc>
        <w:tc>
          <w:tcPr>
            <w:tcW w:w="2675" w:type="dxa"/>
            <w:vAlign w:val="top"/>
          </w:tcPr>
          <w:p w14:paraId="4EADFB46">
            <w:pPr>
              <w:pStyle w:val="39"/>
              <w:rPr>
                <w:rFonts w:hint="eastAsia" w:ascii="宋体" w:hAnsi="宋体" w:eastAsia="宋体" w:cs="宋体"/>
                <w:color w:val="auto"/>
                <w:highlight w:val="none"/>
              </w:rPr>
            </w:pPr>
          </w:p>
        </w:tc>
        <w:tc>
          <w:tcPr>
            <w:tcW w:w="1846" w:type="dxa"/>
            <w:vAlign w:val="top"/>
          </w:tcPr>
          <w:p w14:paraId="2BF1ED66">
            <w:pPr>
              <w:pStyle w:val="39"/>
              <w:rPr>
                <w:rFonts w:hint="eastAsia" w:ascii="宋体" w:hAnsi="宋体" w:eastAsia="宋体" w:cs="宋体"/>
                <w:color w:val="auto"/>
                <w:highlight w:val="none"/>
              </w:rPr>
            </w:pPr>
          </w:p>
        </w:tc>
        <w:tc>
          <w:tcPr>
            <w:tcW w:w="1846" w:type="dxa"/>
            <w:vAlign w:val="top"/>
          </w:tcPr>
          <w:p w14:paraId="29E5AA11">
            <w:pPr>
              <w:pStyle w:val="39"/>
              <w:rPr>
                <w:rFonts w:hint="eastAsia" w:ascii="宋体" w:hAnsi="宋体" w:eastAsia="宋体" w:cs="宋体"/>
                <w:color w:val="auto"/>
                <w:highlight w:val="none"/>
              </w:rPr>
            </w:pPr>
          </w:p>
        </w:tc>
        <w:tc>
          <w:tcPr>
            <w:tcW w:w="2297" w:type="dxa"/>
            <w:vAlign w:val="top"/>
          </w:tcPr>
          <w:p w14:paraId="4F19CAD4">
            <w:pPr>
              <w:pStyle w:val="39"/>
              <w:rPr>
                <w:rFonts w:hint="eastAsia" w:ascii="宋体" w:hAnsi="宋体" w:eastAsia="宋体" w:cs="宋体"/>
                <w:color w:val="auto"/>
                <w:highlight w:val="none"/>
              </w:rPr>
            </w:pPr>
          </w:p>
        </w:tc>
        <w:tc>
          <w:tcPr>
            <w:tcW w:w="2297" w:type="dxa"/>
            <w:vAlign w:val="top"/>
          </w:tcPr>
          <w:p w14:paraId="3DE5F6B0">
            <w:pPr>
              <w:pStyle w:val="39"/>
              <w:rPr>
                <w:rFonts w:hint="eastAsia" w:ascii="宋体" w:hAnsi="宋体" w:eastAsia="宋体" w:cs="宋体"/>
                <w:color w:val="auto"/>
                <w:highlight w:val="none"/>
              </w:rPr>
            </w:pPr>
          </w:p>
        </w:tc>
        <w:tc>
          <w:tcPr>
            <w:tcW w:w="1553" w:type="dxa"/>
            <w:vAlign w:val="top"/>
          </w:tcPr>
          <w:p w14:paraId="5D98A669">
            <w:pPr>
              <w:pStyle w:val="39"/>
              <w:rPr>
                <w:rFonts w:hint="eastAsia" w:ascii="宋体" w:hAnsi="宋体" w:eastAsia="宋体" w:cs="宋体"/>
                <w:color w:val="auto"/>
                <w:highlight w:val="none"/>
              </w:rPr>
            </w:pPr>
          </w:p>
        </w:tc>
        <w:tc>
          <w:tcPr>
            <w:tcW w:w="1557" w:type="dxa"/>
            <w:vAlign w:val="top"/>
          </w:tcPr>
          <w:p w14:paraId="794CF3E9">
            <w:pPr>
              <w:pStyle w:val="39"/>
              <w:rPr>
                <w:rFonts w:hint="eastAsia" w:ascii="宋体" w:hAnsi="宋体" w:eastAsia="宋体" w:cs="宋体"/>
                <w:color w:val="auto"/>
                <w:highlight w:val="none"/>
              </w:rPr>
            </w:pPr>
          </w:p>
        </w:tc>
      </w:tr>
      <w:tr w14:paraId="43858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88" w:type="dxa"/>
            <w:vAlign w:val="top"/>
          </w:tcPr>
          <w:p w14:paraId="1D279F23">
            <w:pPr>
              <w:spacing w:before="146" w:line="189" w:lineRule="auto"/>
              <w:ind w:left="424"/>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2.</w:t>
            </w:r>
          </w:p>
        </w:tc>
        <w:tc>
          <w:tcPr>
            <w:tcW w:w="2675" w:type="dxa"/>
            <w:vAlign w:val="top"/>
          </w:tcPr>
          <w:p w14:paraId="2C1ABC0A">
            <w:pPr>
              <w:pStyle w:val="39"/>
              <w:rPr>
                <w:rFonts w:hint="eastAsia" w:ascii="宋体" w:hAnsi="宋体" w:eastAsia="宋体" w:cs="宋体"/>
                <w:color w:val="auto"/>
                <w:highlight w:val="none"/>
              </w:rPr>
            </w:pPr>
          </w:p>
        </w:tc>
        <w:tc>
          <w:tcPr>
            <w:tcW w:w="1846" w:type="dxa"/>
            <w:vAlign w:val="top"/>
          </w:tcPr>
          <w:p w14:paraId="70C5C6C1">
            <w:pPr>
              <w:pStyle w:val="39"/>
              <w:rPr>
                <w:rFonts w:hint="eastAsia" w:ascii="宋体" w:hAnsi="宋体" w:eastAsia="宋体" w:cs="宋体"/>
                <w:color w:val="auto"/>
                <w:highlight w:val="none"/>
              </w:rPr>
            </w:pPr>
          </w:p>
        </w:tc>
        <w:tc>
          <w:tcPr>
            <w:tcW w:w="1846" w:type="dxa"/>
            <w:vAlign w:val="top"/>
          </w:tcPr>
          <w:p w14:paraId="2599423B">
            <w:pPr>
              <w:pStyle w:val="39"/>
              <w:rPr>
                <w:rFonts w:hint="eastAsia" w:ascii="宋体" w:hAnsi="宋体" w:eastAsia="宋体" w:cs="宋体"/>
                <w:color w:val="auto"/>
                <w:highlight w:val="none"/>
              </w:rPr>
            </w:pPr>
          </w:p>
        </w:tc>
        <w:tc>
          <w:tcPr>
            <w:tcW w:w="2297" w:type="dxa"/>
            <w:vAlign w:val="top"/>
          </w:tcPr>
          <w:p w14:paraId="599C5481">
            <w:pPr>
              <w:pStyle w:val="39"/>
              <w:rPr>
                <w:rFonts w:hint="eastAsia" w:ascii="宋体" w:hAnsi="宋体" w:eastAsia="宋体" w:cs="宋体"/>
                <w:color w:val="auto"/>
                <w:highlight w:val="none"/>
              </w:rPr>
            </w:pPr>
          </w:p>
        </w:tc>
        <w:tc>
          <w:tcPr>
            <w:tcW w:w="2297" w:type="dxa"/>
            <w:vAlign w:val="top"/>
          </w:tcPr>
          <w:p w14:paraId="3D51C931">
            <w:pPr>
              <w:pStyle w:val="39"/>
              <w:rPr>
                <w:rFonts w:hint="eastAsia" w:ascii="宋体" w:hAnsi="宋体" w:eastAsia="宋体" w:cs="宋体"/>
                <w:color w:val="auto"/>
                <w:highlight w:val="none"/>
              </w:rPr>
            </w:pPr>
          </w:p>
        </w:tc>
        <w:tc>
          <w:tcPr>
            <w:tcW w:w="1553" w:type="dxa"/>
            <w:vAlign w:val="top"/>
          </w:tcPr>
          <w:p w14:paraId="4F95BBC1">
            <w:pPr>
              <w:pStyle w:val="39"/>
              <w:rPr>
                <w:rFonts w:hint="eastAsia" w:ascii="宋体" w:hAnsi="宋体" w:eastAsia="宋体" w:cs="宋体"/>
                <w:color w:val="auto"/>
                <w:highlight w:val="none"/>
              </w:rPr>
            </w:pPr>
          </w:p>
        </w:tc>
        <w:tc>
          <w:tcPr>
            <w:tcW w:w="1557" w:type="dxa"/>
            <w:vAlign w:val="top"/>
          </w:tcPr>
          <w:p w14:paraId="024CFDF3">
            <w:pPr>
              <w:pStyle w:val="39"/>
              <w:rPr>
                <w:rFonts w:hint="eastAsia" w:ascii="宋体" w:hAnsi="宋体" w:eastAsia="宋体" w:cs="宋体"/>
                <w:color w:val="auto"/>
                <w:highlight w:val="none"/>
              </w:rPr>
            </w:pPr>
          </w:p>
        </w:tc>
      </w:tr>
      <w:tr w14:paraId="49E6D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88" w:type="dxa"/>
            <w:vAlign w:val="top"/>
          </w:tcPr>
          <w:p w14:paraId="50FF02DD">
            <w:pPr>
              <w:spacing w:before="147" w:line="189" w:lineRule="auto"/>
              <w:ind w:left="433"/>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3.</w:t>
            </w:r>
          </w:p>
        </w:tc>
        <w:tc>
          <w:tcPr>
            <w:tcW w:w="2675" w:type="dxa"/>
            <w:vAlign w:val="top"/>
          </w:tcPr>
          <w:p w14:paraId="0709D5D6">
            <w:pPr>
              <w:pStyle w:val="39"/>
              <w:rPr>
                <w:rFonts w:hint="eastAsia" w:ascii="宋体" w:hAnsi="宋体" w:eastAsia="宋体" w:cs="宋体"/>
                <w:color w:val="auto"/>
                <w:highlight w:val="none"/>
              </w:rPr>
            </w:pPr>
          </w:p>
        </w:tc>
        <w:tc>
          <w:tcPr>
            <w:tcW w:w="1846" w:type="dxa"/>
            <w:vAlign w:val="top"/>
          </w:tcPr>
          <w:p w14:paraId="197CA8E1">
            <w:pPr>
              <w:pStyle w:val="39"/>
              <w:rPr>
                <w:rFonts w:hint="eastAsia" w:ascii="宋体" w:hAnsi="宋体" w:eastAsia="宋体" w:cs="宋体"/>
                <w:color w:val="auto"/>
                <w:highlight w:val="none"/>
              </w:rPr>
            </w:pPr>
          </w:p>
        </w:tc>
        <w:tc>
          <w:tcPr>
            <w:tcW w:w="1846" w:type="dxa"/>
            <w:vAlign w:val="top"/>
          </w:tcPr>
          <w:p w14:paraId="329F84C2">
            <w:pPr>
              <w:pStyle w:val="39"/>
              <w:rPr>
                <w:rFonts w:hint="eastAsia" w:ascii="宋体" w:hAnsi="宋体" w:eastAsia="宋体" w:cs="宋体"/>
                <w:color w:val="auto"/>
                <w:highlight w:val="none"/>
              </w:rPr>
            </w:pPr>
          </w:p>
        </w:tc>
        <w:tc>
          <w:tcPr>
            <w:tcW w:w="2297" w:type="dxa"/>
            <w:vAlign w:val="top"/>
          </w:tcPr>
          <w:p w14:paraId="18B306B5">
            <w:pPr>
              <w:pStyle w:val="39"/>
              <w:rPr>
                <w:rFonts w:hint="eastAsia" w:ascii="宋体" w:hAnsi="宋体" w:eastAsia="宋体" w:cs="宋体"/>
                <w:color w:val="auto"/>
                <w:highlight w:val="none"/>
              </w:rPr>
            </w:pPr>
          </w:p>
        </w:tc>
        <w:tc>
          <w:tcPr>
            <w:tcW w:w="2297" w:type="dxa"/>
            <w:vAlign w:val="top"/>
          </w:tcPr>
          <w:p w14:paraId="0EAC451C">
            <w:pPr>
              <w:pStyle w:val="39"/>
              <w:rPr>
                <w:rFonts w:hint="eastAsia" w:ascii="宋体" w:hAnsi="宋体" w:eastAsia="宋体" w:cs="宋体"/>
                <w:color w:val="auto"/>
                <w:highlight w:val="none"/>
              </w:rPr>
            </w:pPr>
          </w:p>
        </w:tc>
        <w:tc>
          <w:tcPr>
            <w:tcW w:w="1553" w:type="dxa"/>
            <w:vAlign w:val="top"/>
          </w:tcPr>
          <w:p w14:paraId="6F34157B">
            <w:pPr>
              <w:pStyle w:val="39"/>
              <w:rPr>
                <w:rFonts w:hint="eastAsia" w:ascii="宋体" w:hAnsi="宋体" w:eastAsia="宋体" w:cs="宋体"/>
                <w:color w:val="auto"/>
                <w:highlight w:val="none"/>
              </w:rPr>
            </w:pPr>
          </w:p>
        </w:tc>
        <w:tc>
          <w:tcPr>
            <w:tcW w:w="1557" w:type="dxa"/>
            <w:vAlign w:val="top"/>
          </w:tcPr>
          <w:p w14:paraId="26B0B643">
            <w:pPr>
              <w:pStyle w:val="39"/>
              <w:rPr>
                <w:rFonts w:hint="eastAsia" w:ascii="宋体" w:hAnsi="宋体" w:eastAsia="宋体" w:cs="宋体"/>
                <w:color w:val="auto"/>
                <w:highlight w:val="none"/>
              </w:rPr>
            </w:pPr>
          </w:p>
        </w:tc>
      </w:tr>
      <w:tr w14:paraId="4D42C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88" w:type="dxa"/>
            <w:vAlign w:val="top"/>
          </w:tcPr>
          <w:p w14:paraId="465AE53E">
            <w:pPr>
              <w:spacing w:before="289" w:line="96" w:lineRule="exact"/>
              <w:ind w:left="121"/>
              <w:rPr>
                <w:rFonts w:hint="eastAsia" w:ascii="宋体" w:hAnsi="宋体" w:eastAsia="宋体" w:cs="宋体"/>
                <w:color w:val="auto"/>
                <w:sz w:val="23"/>
                <w:szCs w:val="23"/>
                <w:highlight w:val="none"/>
              </w:rPr>
            </w:pPr>
            <w:r>
              <w:rPr>
                <w:rFonts w:hint="eastAsia" w:ascii="宋体" w:hAnsi="宋体" w:eastAsia="宋体" w:cs="宋体"/>
                <w:color w:val="auto"/>
                <w:spacing w:val="-1"/>
                <w:position w:val="2"/>
                <w:sz w:val="23"/>
                <w:szCs w:val="23"/>
                <w:highlight w:val="none"/>
              </w:rPr>
              <w:t>...</w:t>
            </w:r>
          </w:p>
        </w:tc>
        <w:tc>
          <w:tcPr>
            <w:tcW w:w="2675" w:type="dxa"/>
            <w:vAlign w:val="top"/>
          </w:tcPr>
          <w:p w14:paraId="1F7D5A7D">
            <w:pPr>
              <w:pStyle w:val="39"/>
              <w:rPr>
                <w:rFonts w:hint="eastAsia" w:ascii="宋体" w:hAnsi="宋体" w:eastAsia="宋体" w:cs="宋体"/>
                <w:color w:val="auto"/>
                <w:highlight w:val="none"/>
              </w:rPr>
            </w:pPr>
          </w:p>
        </w:tc>
        <w:tc>
          <w:tcPr>
            <w:tcW w:w="1846" w:type="dxa"/>
            <w:vAlign w:val="top"/>
          </w:tcPr>
          <w:p w14:paraId="33F75024">
            <w:pPr>
              <w:pStyle w:val="39"/>
              <w:rPr>
                <w:rFonts w:hint="eastAsia" w:ascii="宋体" w:hAnsi="宋体" w:eastAsia="宋体" w:cs="宋体"/>
                <w:color w:val="auto"/>
                <w:highlight w:val="none"/>
              </w:rPr>
            </w:pPr>
          </w:p>
        </w:tc>
        <w:tc>
          <w:tcPr>
            <w:tcW w:w="1846" w:type="dxa"/>
            <w:vAlign w:val="top"/>
          </w:tcPr>
          <w:p w14:paraId="34105D7C">
            <w:pPr>
              <w:pStyle w:val="39"/>
              <w:rPr>
                <w:rFonts w:hint="eastAsia" w:ascii="宋体" w:hAnsi="宋体" w:eastAsia="宋体" w:cs="宋体"/>
                <w:color w:val="auto"/>
                <w:highlight w:val="none"/>
              </w:rPr>
            </w:pPr>
          </w:p>
        </w:tc>
        <w:tc>
          <w:tcPr>
            <w:tcW w:w="2297" w:type="dxa"/>
            <w:vAlign w:val="top"/>
          </w:tcPr>
          <w:p w14:paraId="0CD79CDB">
            <w:pPr>
              <w:pStyle w:val="39"/>
              <w:rPr>
                <w:rFonts w:hint="eastAsia" w:ascii="宋体" w:hAnsi="宋体" w:eastAsia="宋体" w:cs="宋体"/>
                <w:color w:val="auto"/>
                <w:highlight w:val="none"/>
              </w:rPr>
            </w:pPr>
          </w:p>
        </w:tc>
        <w:tc>
          <w:tcPr>
            <w:tcW w:w="2297" w:type="dxa"/>
            <w:vAlign w:val="top"/>
          </w:tcPr>
          <w:p w14:paraId="505E1CAD">
            <w:pPr>
              <w:pStyle w:val="39"/>
              <w:rPr>
                <w:rFonts w:hint="eastAsia" w:ascii="宋体" w:hAnsi="宋体" w:eastAsia="宋体" w:cs="宋体"/>
                <w:color w:val="auto"/>
                <w:highlight w:val="none"/>
              </w:rPr>
            </w:pPr>
          </w:p>
        </w:tc>
        <w:tc>
          <w:tcPr>
            <w:tcW w:w="1553" w:type="dxa"/>
            <w:vAlign w:val="top"/>
          </w:tcPr>
          <w:p w14:paraId="283CDE9A">
            <w:pPr>
              <w:pStyle w:val="39"/>
              <w:rPr>
                <w:rFonts w:hint="eastAsia" w:ascii="宋体" w:hAnsi="宋体" w:eastAsia="宋体" w:cs="宋体"/>
                <w:color w:val="auto"/>
                <w:highlight w:val="none"/>
              </w:rPr>
            </w:pPr>
          </w:p>
        </w:tc>
        <w:tc>
          <w:tcPr>
            <w:tcW w:w="1557" w:type="dxa"/>
            <w:vAlign w:val="top"/>
          </w:tcPr>
          <w:p w14:paraId="587C8145">
            <w:pPr>
              <w:pStyle w:val="39"/>
              <w:rPr>
                <w:rFonts w:hint="eastAsia" w:ascii="宋体" w:hAnsi="宋体" w:eastAsia="宋体" w:cs="宋体"/>
                <w:color w:val="auto"/>
                <w:highlight w:val="none"/>
              </w:rPr>
            </w:pPr>
          </w:p>
        </w:tc>
      </w:tr>
      <w:tr w14:paraId="7DD77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788" w:type="dxa"/>
            <w:vAlign w:val="top"/>
          </w:tcPr>
          <w:p w14:paraId="333B2C03">
            <w:pPr>
              <w:spacing w:before="139" w:line="225" w:lineRule="auto"/>
              <w:ind w:left="133"/>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总价</w:t>
            </w:r>
          </w:p>
        </w:tc>
        <w:tc>
          <w:tcPr>
            <w:tcW w:w="2675" w:type="dxa"/>
            <w:vAlign w:val="top"/>
          </w:tcPr>
          <w:p w14:paraId="205F4D88">
            <w:pPr>
              <w:pStyle w:val="39"/>
              <w:rPr>
                <w:rFonts w:hint="eastAsia" w:ascii="宋体" w:hAnsi="宋体" w:eastAsia="宋体" w:cs="宋体"/>
                <w:color w:val="auto"/>
                <w:highlight w:val="none"/>
              </w:rPr>
            </w:pPr>
          </w:p>
        </w:tc>
        <w:tc>
          <w:tcPr>
            <w:tcW w:w="1846" w:type="dxa"/>
            <w:vAlign w:val="top"/>
          </w:tcPr>
          <w:p w14:paraId="0D5725D8">
            <w:pPr>
              <w:pStyle w:val="39"/>
              <w:rPr>
                <w:rFonts w:hint="eastAsia" w:ascii="宋体" w:hAnsi="宋体" w:eastAsia="宋体" w:cs="宋体"/>
                <w:color w:val="auto"/>
                <w:highlight w:val="none"/>
              </w:rPr>
            </w:pPr>
          </w:p>
        </w:tc>
        <w:tc>
          <w:tcPr>
            <w:tcW w:w="1846" w:type="dxa"/>
            <w:vAlign w:val="top"/>
          </w:tcPr>
          <w:p w14:paraId="2F9A14F6">
            <w:pPr>
              <w:pStyle w:val="39"/>
              <w:rPr>
                <w:rFonts w:hint="eastAsia" w:ascii="宋体" w:hAnsi="宋体" w:eastAsia="宋体" w:cs="宋体"/>
                <w:color w:val="auto"/>
                <w:highlight w:val="none"/>
              </w:rPr>
            </w:pPr>
          </w:p>
        </w:tc>
        <w:tc>
          <w:tcPr>
            <w:tcW w:w="2297" w:type="dxa"/>
            <w:vAlign w:val="top"/>
          </w:tcPr>
          <w:p w14:paraId="5DBDCA69">
            <w:pPr>
              <w:pStyle w:val="39"/>
              <w:rPr>
                <w:rFonts w:hint="eastAsia" w:ascii="宋体" w:hAnsi="宋体" w:eastAsia="宋体" w:cs="宋体"/>
                <w:color w:val="auto"/>
                <w:highlight w:val="none"/>
              </w:rPr>
            </w:pPr>
          </w:p>
        </w:tc>
        <w:tc>
          <w:tcPr>
            <w:tcW w:w="2297" w:type="dxa"/>
            <w:vAlign w:val="top"/>
          </w:tcPr>
          <w:p w14:paraId="674F1776">
            <w:pPr>
              <w:pStyle w:val="39"/>
              <w:rPr>
                <w:rFonts w:hint="eastAsia" w:ascii="宋体" w:hAnsi="宋体" w:eastAsia="宋体" w:cs="宋体"/>
                <w:color w:val="auto"/>
                <w:highlight w:val="none"/>
              </w:rPr>
            </w:pPr>
          </w:p>
        </w:tc>
        <w:tc>
          <w:tcPr>
            <w:tcW w:w="1553" w:type="dxa"/>
            <w:vAlign w:val="top"/>
          </w:tcPr>
          <w:p w14:paraId="38D41DBA">
            <w:pPr>
              <w:pStyle w:val="39"/>
              <w:rPr>
                <w:rFonts w:hint="eastAsia" w:ascii="宋体" w:hAnsi="宋体" w:eastAsia="宋体" w:cs="宋体"/>
                <w:color w:val="auto"/>
                <w:highlight w:val="none"/>
              </w:rPr>
            </w:pPr>
          </w:p>
        </w:tc>
        <w:tc>
          <w:tcPr>
            <w:tcW w:w="1557" w:type="dxa"/>
            <w:vAlign w:val="top"/>
          </w:tcPr>
          <w:p w14:paraId="5BFE7971">
            <w:pPr>
              <w:pStyle w:val="39"/>
              <w:rPr>
                <w:rFonts w:hint="eastAsia" w:ascii="宋体" w:hAnsi="宋体" w:eastAsia="宋体" w:cs="宋体"/>
                <w:color w:val="auto"/>
                <w:highlight w:val="none"/>
              </w:rPr>
            </w:pPr>
          </w:p>
        </w:tc>
      </w:tr>
    </w:tbl>
    <w:p w14:paraId="0F1F9518">
      <w:pPr>
        <w:spacing w:before="34" w:line="237" w:lineRule="auto"/>
        <w:ind w:left="998" w:right="8170" w:firstLine="12"/>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法定代表人或其委托代理人签字:</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3"/>
          <w:sz w:val="23"/>
          <w:szCs w:val="23"/>
          <w:highlight w:val="none"/>
        </w:rPr>
        <w:t xml:space="preserve"> </w:t>
      </w:r>
      <w:r>
        <w:rPr>
          <w:rFonts w:hint="eastAsia" w:ascii="宋体" w:hAnsi="宋体" w:eastAsia="宋体" w:cs="宋体"/>
          <w:color w:val="auto"/>
          <w:spacing w:val="7"/>
          <w:sz w:val="23"/>
          <w:szCs w:val="23"/>
          <w:highlight w:val="none"/>
        </w:rPr>
        <w:t>供应商(盖单位章):</w:t>
      </w:r>
      <w:r>
        <w:rPr>
          <w:rFonts w:hint="eastAsia" w:ascii="宋体" w:hAnsi="宋体" w:eastAsia="宋体" w:cs="宋体"/>
          <w:color w:val="auto"/>
          <w:sz w:val="23"/>
          <w:szCs w:val="23"/>
          <w:highlight w:val="none"/>
          <w:u w:val="single" w:color="auto"/>
        </w:rPr>
        <w:t xml:space="preserve">                         </w:t>
      </w:r>
    </w:p>
    <w:p w14:paraId="73820E42">
      <w:pPr>
        <w:pStyle w:val="2"/>
        <w:spacing w:line="268" w:lineRule="auto"/>
        <w:rPr>
          <w:rFonts w:hint="eastAsia" w:ascii="宋体" w:hAnsi="宋体" w:eastAsia="宋体" w:cs="宋体"/>
          <w:color w:val="auto"/>
          <w:highlight w:val="none"/>
        </w:rPr>
      </w:pPr>
    </w:p>
    <w:p w14:paraId="6D53366B">
      <w:pPr>
        <w:spacing w:before="75" w:line="224" w:lineRule="auto"/>
        <w:ind w:left="1008"/>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注:1.如果供应商认为需要，每种服务填写一份该表。</w:t>
      </w:r>
    </w:p>
    <w:p w14:paraId="56AD1E62">
      <w:pPr>
        <w:spacing w:before="29" w:line="242" w:lineRule="auto"/>
        <w:ind w:left="1371" w:right="6964"/>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2.如果按单价计算的结果与总价不一致,以单价为准修正总</w:t>
      </w:r>
      <w:r>
        <w:rPr>
          <w:rFonts w:hint="eastAsia" w:ascii="宋体" w:hAnsi="宋体" w:eastAsia="宋体" w:cs="宋体"/>
          <w:color w:val="auto"/>
          <w:spacing w:val="6"/>
          <w:sz w:val="23"/>
          <w:szCs w:val="23"/>
          <w:highlight w:val="none"/>
        </w:rPr>
        <w:t>价。</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7"/>
          <w:sz w:val="23"/>
          <w:szCs w:val="23"/>
          <w:highlight w:val="none"/>
        </w:rPr>
        <w:t>3.如果不提供详细分项报价将视为没有实质性响应磋商文件。</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5"/>
          <w:sz w:val="23"/>
          <w:szCs w:val="23"/>
          <w:highlight w:val="none"/>
        </w:rPr>
        <w:t>4.上述各项的详细分项报价，应另页描述。</w:t>
      </w:r>
    </w:p>
    <w:p w14:paraId="32CDB462">
      <w:pPr>
        <w:spacing w:before="30" w:line="236" w:lineRule="auto"/>
        <w:ind w:left="1374" w:right="2284"/>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5.如果开标一览表（报价表）内容与响应文件中明细表内容不一致的，以开标一览表（报价表）内容为准。</w:t>
      </w:r>
      <w:r>
        <w:rPr>
          <w:rFonts w:hint="eastAsia" w:ascii="宋体" w:hAnsi="宋体" w:eastAsia="宋体" w:cs="宋体"/>
          <w:color w:val="auto"/>
          <w:spacing w:val="9"/>
          <w:sz w:val="23"/>
          <w:szCs w:val="23"/>
          <w:highlight w:val="none"/>
        </w:rPr>
        <w:t xml:space="preserve"> </w:t>
      </w:r>
      <w:r>
        <w:rPr>
          <w:rFonts w:hint="eastAsia" w:ascii="宋体" w:hAnsi="宋体" w:eastAsia="宋体" w:cs="宋体"/>
          <w:color w:val="auto"/>
          <w:spacing w:val="7"/>
          <w:sz w:val="23"/>
          <w:szCs w:val="23"/>
          <w:highlight w:val="none"/>
        </w:rPr>
        <w:t>6.供应商对服务技术参数自行填报，并提交相应</w:t>
      </w:r>
      <w:r>
        <w:rPr>
          <w:rFonts w:hint="eastAsia" w:ascii="宋体" w:hAnsi="宋体" w:eastAsia="宋体" w:cs="宋体"/>
          <w:color w:val="auto"/>
          <w:spacing w:val="6"/>
          <w:sz w:val="23"/>
          <w:szCs w:val="23"/>
          <w:highlight w:val="none"/>
        </w:rPr>
        <w:t>证明文件。</w:t>
      </w:r>
    </w:p>
    <w:p w14:paraId="21D03096">
      <w:pPr>
        <w:spacing w:line="236" w:lineRule="auto"/>
        <w:rPr>
          <w:rFonts w:hint="eastAsia" w:ascii="宋体" w:hAnsi="宋体" w:eastAsia="宋体" w:cs="宋体"/>
          <w:color w:val="auto"/>
          <w:sz w:val="23"/>
          <w:szCs w:val="23"/>
          <w:highlight w:val="none"/>
        </w:rPr>
        <w:sectPr>
          <w:footerReference r:id="rId19" w:type="default"/>
          <w:pgSz w:w="16838" w:h="11906"/>
          <w:pgMar w:top="1011" w:right="987" w:bottom="1171" w:left="986" w:header="964" w:footer="996" w:gutter="0"/>
          <w:pgNumType w:fmt="decimal"/>
          <w:cols w:space="720" w:num="1"/>
        </w:sectPr>
      </w:pPr>
    </w:p>
    <w:p w14:paraId="787FCBFB">
      <w:pPr>
        <w:pStyle w:val="2"/>
        <w:spacing w:line="247" w:lineRule="auto"/>
        <w:rPr>
          <w:rFonts w:hint="eastAsia" w:ascii="宋体" w:hAnsi="宋体" w:eastAsia="宋体" w:cs="宋体"/>
          <w:color w:val="auto"/>
          <w:highlight w:val="none"/>
        </w:rPr>
      </w:pPr>
    </w:p>
    <w:p w14:paraId="1770F0A7">
      <w:pPr>
        <w:spacing w:before="75" w:line="225" w:lineRule="auto"/>
        <w:ind w:left="4331"/>
        <w:outlineLvl w:val="1"/>
        <w:rPr>
          <w:rFonts w:hint="eastAsia" w:ascii="宋体" w:hAnsi="宋体" w:eastAsia="宋体" w:cs="宋体"/>
          <w:color w:val="auto"/>
          <w:sz w:val="23"/>
          <w:szCs w:val="23"/>
          <w:highlight w:val="none"/>
        </w:rPr>
      </w:pPr>
      <w:bookmarkStart w:id="593" w:name="bookmark129"/>
      <w:bookmarkEnd w:id="593"/>
      <w:bookmarkStart w:id="594" w:name="bookmark130"/>
      <w:bookmarkEnd w:id="594"/>
      <w:r>
        <w:rPr>
          <w:rFonts w:hint="eastAsia" w:ascii="宋体" w:hAnsi="宋体" w:eastAsia="宋体" w:cs="宋体"/>
          <w:b/>
          <w:bCs/>
          <w:color w:val="auto"/>
          <w:spacing w:val="6"/>
          <w:sz w:val="23"/>
          <w:szCs w:val="23"/>
          <w:highlight w:val="none"/>
        </w:rPr>
        <w:t>3</w:t>
      </w:r>
      <w:r>
        <w:rPr>
          <w:rFonts w:hint="eastAsia" w:ascii="宋体" w:hAnsi="宋体" w:eastAsia="宋体" w:cs="宋体"/>
          <w:color w:val="auto"/>
          <w:spacing w:val="6"/>
          <w:sz w:val="23"/>
          <w:szCs w:val="23"/>
          <w:highlight w:val="none"/>
        </w:rPr>
        <w:t xml:space="preserve">   </w:t>
      </w:r>
      <w:r>
        <w:rPr>
          <w:rFonts w:hint="eastAsia" w:ascii="宋体" w:hAnsi="宋体" w:eastAsia="宋体" w:cs="宋体"/>
          <w:b/>
          <w:bCs/>
          <w:color w:val="auto"/>
          <w:spacing w:val="6"/>
          <w:sz w:val="23"/>
          <w:szCs w:val="23"/>
          <w:highlight w:val="none"/>
        </w:rPr>
        <w:t>建设内容说明一览表（响应文件格式六）</w:t>
      </w:r>
    </w:p>
    <w:p w14:paraId="2C5A5DD6">
      <w:pPr>
        <w:pStyle w:val="2"/>
        <w:spacing w:line="265" w:lineRule="auto"/>
        <w:rPr>
          <w:rFonts w:hint="eastAsia" w:ascii="宋体" w:hAnsi="宋体" w:eastAsia="宋体" w:cs="宋体"/>
          <w:color w:val="auto"/>
          <w:highlight w:val="none"/>
        </w:rPr>
      </w:pPr>
    </w:p>
    <w:p w14:paraId="3D70339E">
      <w:pPr>
        <w:spacing w:before="74" w:line="222" w:lineRule="auto"/>
        <w:ind w:left="2265"/>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项目名称:</w:t>
      </w:r>
      <w:r>
        <w:rPr>
          <w:rFonts w:hint="eastAsia" w:ascii="宋体" w:hAnsi="宋体" w:eastAsia="宋体" w:cs="宋体"/>
          <w:color w:val="auto"/>
          <w:spacing w:val="2"/>
          <w:sz w:val="23"/>
          <w:szCs w:val="23"/>
          <w:highlight w:val="none"/>
        </w:rPr>
        <w:t xml:space="preserve">                                     </w:t>
      </w:r>
      <w:r>
        <w:rPr>
          <w:rFonts w:hint="eastAsia" w:ascii="宋体" w:hAnsi="宋体" w:eastAsia="宋体" w:cs="宋体"/>
          <w:color w:val="auto"/>
          <w:spacing w:val="6"/>
          <w:sz w:val="23"/>
          <w:szCs w:val="23"/>
          <w:highlight w:val="none"/>
        </w:rPr>
        <w:t>项目编号:</w:t>
      </w:r>
    </w:p>
    <w:tbl>
      <w:tblPr>
        <w:tblStyle w:val="40"/>
        <w:tblW w:w="11599" w:type="dxa"/>
        <w:tblInd w:w="13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9"/>
        <w:gridCol w:w="3687"/>
        <w:gridCol w:w="2569"/>
        <w:gridCol w:w="2254"/>
      </w:tblGrid>
      <w:tr w14:paraId="6F8F7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3089" w:type="dxa"/>
            <w:vAlign w:val="top"/>
          </w:tcPr>
          <w:p w14:paraId="06A5A349">
            <w:pPr>
              <w:spacing w:before="38" w:line="231" w:lineRule="auto"/>
              <w:ind w:left="1116"/>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序号</w:t>
            </w:r>
          </w:p>
        </w:tc>
        <w:tc>
          <w:tcPr>
            <w:tcW w:w="3687" w:type="dxa"/>
            <w:vAlign w:val="top"/>
          </w:tcPr>
          <w:p w14:paraId="6200A8B7">
            <w:pPr>
              <w:spacing w:before="38" w:line="231" w:lineRule="auto"/>
              <w:ind w:left="1137"/>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建设内容</w:t>
            </w:r>
          </w:p>
        </w:tc>
        <w:tc>
          <w:tcPr>
            <w:tcW w:w="2569" w:type="dxa"/>
            <w:vAlign w:val="top"/>
          </w:tcPr>
          <w:p w14:paraId="1035BE9E">
            <w:pPr>
              <w:spacing w:before="38" w:line="232" w:lineRule="auto"/>
              <w:ind w:left="662"/>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建设地点</w:t>
            </w:r>
          </w:p>
        </w:tc>
        <w:tc>
          <w:tcPr>
            <w:tcW w:w="2254" w:type="dxa"/>
            <w:vAlign w:val="top"/>
          </w:tcPr>
          <w:p w14:paraId="1F02F4E7">
            <w:pPr>
              <w:spacing w:before="38" w:line="233" w:lineRule="auto"/>
              <w:ind w:left="1024"/>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其它</w:t>
            </w:r>
          </w:p>
        </w:tc>
      </w:tr>
      <w:tr w14:paraId="79834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3089" w:type="dxa"/>
            <w:vAlign w:val="top"/>
          </w:tcPr>
          <w:p w14:paraId="57015F14">
            <w:pPr>
              <w:pStyle w:val="39"/>
              <w:rPr>
                <w:rFonts w:hint="eastAsia" w:ascii="宋体" w:hAnsi="宋体" w:eastAsia="宋体" w:cs="宋体"/>
                <w:color w:val="auto"/>
                <w:highlight w:val="none"/>
              </w:rPr>
            </w:pPr>
          </w:p>
        </w:tc>
        <w:tc>
          <w:tcPr>
            <w:tcW w:w="3687" w:type="dxa"/>
            <w:vAlign w:val="top"/>
          </w:tcPr>
          <w:p w14:paraId="3B98D2E0">
            <w:pPr>
              <w:pStyle w:val="39"/>
              <w:rPr>
                <w:rFonts w:hint="eastAsia" w:ascii="宋体" w:hAnsi="宋体" w:eastAsia="宋体" w:cs="宋体"/>
                <w:color w:val="auto"/>
                <w:highlight w:val="none"/>
              </w:rPr>
            </w:pPr>
          </w:p>
        </w:tc>
        <w:tc>
          <w:tcPr>
            <w:tcW w:w="2569" w:type="dxa"/>
            <w:vAlign w:val="top"/>
          </w:tcPr>
          <w:p w14:paraId="30E59610">
            <w:pPr>
              <w:pStyle w:val="39"/>
              <w:rPr>
                <w:rFonts w:hint="eastAsia" w:ascii="宋体" w:hAnsi="宋体" w:eastAsia="宋体" w:cs="宋体"/>
                <w:color w:val="auto"/>
                <w:highlight w:val="none"/>
              </w:rPr>
            </w:pPr>
          </w:p>
        </w:tc>
        <w:tc>
          <w:tcPr>
            <w:tcW w:w="2254" w:type="dxa"/>
            <w:vAlign w:val="top"/>
          </w:tcPr>
          <w:p w14:paraId="021455EA">
            <w:pPr>
              <w:pStyle w:val="39"/>
              <w:rPr>
                <w:rFonts w:hint="eastAsia" w:ascii="宋体" w:hAnsi="宋体" w:eastAsia="宋体" w:cs="宋体"/>
                <w:color w:val="auto"/>
                <w:highlight w:val="none"/>
              </w:rPr>
            </w:pPr>
          </w:p>
        </w:tc>
      </w:tr>
      <w:tr w14:paraId="2FC61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3089" w:type="dxa"/>
            <w:vAlign w:val="top"/>
          </w:tcPr>
          <w:p w14:paraId="43A57770">
            <w:pPr>
              <w:pStyle w:val="39"/>
              <w:rPr>
                <w:rFonts w:hint="eastAsia" w:ascii="宋体" w:hAnsi="宋体" w:eastAsia="宋体" w:cs="宋体"/>
                <w:color w:val="auto"/>
                <w:highlight w:val="none"/>
              </w:rPr>
            </w:pPr>
          </w:p>
        </w:tc>
        <w:tc>
          <w:tcPr>
            <w:tcW w:w="3687" w:type="dxa"/>
            <w:vAlign w:val="top"/>
          </w:tcPr>
          <w:p w14:paraId="227F9B51">
            <w:pPr>
              <w:pStyle w:val="39"/>
              <w:rPr>
                <w:rFonts w:hint="eastAsia" w:ascii="宋体" w:hAnsi="宋体" w:eastAsia="宋体" w:cs="宋体"/>
                <w:color w:val="auto"/>
                <w:highlight w:val="none"/>
              </w:rPr>
            </w:pPr>
          </w:p>
        </w:tc>
        <w:tc>
          <w:tcPr>
            <w:tcW w:w="2569" w:type="dxa"/>
            <w:vAlign w:val="top"/>
          </w:tcPr>
          <w:p w14:paraId="04030C85">
            <w:pPr>
              <w:pStyle w:val="39"/>
              <w:rPr>
                <w:rFonts w:hint="eastAsia" w:ascii="宋体" w:hAnsi="宋体" w:eastAsia="宋体" w:cs="宋体"/>
                <w:color w:val="auto"/>
                <w:highlight w:val="none"/>
              </w:rPr>
            </w:pPr>
          </w:p>
        </w:tc>
        <w:tc>
          <w:tcPr>
            <w:tcW w:w="2254" w:type="dxa"/>
            <w:vAlign w:val="top"/>
          </w:tcPr>
          <w:p w14:paraId="4599D067">
            <w:pPr>
              <w:pStyle w:val="39"/>
              <w:rPr>
                <w:rFonts w:hint="eastAsia" w:ascii="宋体" w:hAnsi="宋体" w:eastAsia="宋体" w:cs="宋体"/>
                <w:color w:val="auto"/>
                <w:highlight w:val="none"/>
              </w:rPr>
            </w:pPr>
          </w:p>
        </w:tc>
      </w:tr>
      <w:tr w14:paraId="695E8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3089" w:type="dxa"/>
            <w:vAlign w:val="top"/>
          </w:tcPr>
          <w:p w14:paraId="44B0DE2A">
            <w:pPr>
              <w:pStyle w:val="39"/>
              <w:rPr>
                <w:rFonts w:hint="eastAsia" w:ascii="宋体" w:hAnsi="宋体" w:eastAsia="宋体" w:cs="宋体"/>
                <w:color w:val="auto"/>
                <w:highlight w:val="none"/>
              </w:rPr>
            </w:pPr>
          </w:p>
        </w:tc>
        <w:tc>
          <w:tcPr>
            <w:tcW w:w="3687" w:type="dxa"/>
            <w:vAlign w:val="top"/>
          </w:tcPr>
          <w:p w14:paraId="2FD63894">
            <w:pPr>
              <w:pStyle w:val="39"/>
              <w:rPr>
                <w:rFonts w:hint="eastAsia" w:ascii="宋体" w:hAnsi="宋体" w:eastAsia="宋体" w:cs="宋体"/>
                <w:color w:val="auto"/>
                <w:highlight w:val="none"/>
              </w:rPr>
            </w:pPr>
          </w:p>
        </w:tc>
        <w:tc>
          <w:tcPr>
            <w:tcW w:w="2569" w:type="dxa"/>
            <w:vAlign w:val="top"/>
          </w:tcPr>
          <w:p w14:paraId="41F0945E">
            <w:pPr>
              <w:pStyle w:val="39"/>
              <w:rPr>
                <w:rFonts w:hint="eastAsia" w:ascii="宋体" w:hAnsi="宋体" w:eastAsia="宋体" w:cs="宋体"/>
                <w:color w:val="auto"/>
                <w:highlight w:val="none"/>
              </w:rPr>
            </w:pPr>
          </w:p>
        </w:tc>
        <w:tc>
          <w:tcPr>
            <w:tcW w:w="2254" w:type="dxa"/>
            <w:vAlign w:val="top"/>
          </w:tcPr>
          <w:p w14:paraId="459F05F9">
            <w:pPr>
              <w:pStyle w:val="39"/>
              <w:rPr>
                <w:rFonts w:hint="eastAsia" w:ascii="宋体" w:hAnsi="宋体" w:eastAsia="宋体" w:cs="宋体"/>
                <w:color w:val="auto"/>
                <w:highlight w:val="none"/>
              </w:rPr>
            </w:pPr>
          </w:p>
        </w:tc>
      </w:tr>
      <w:tr w14:paraId="78B25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3089" w:type="dxa"/>
            <w:vAlign w:val="top"/>
          </w:tcPr>
          <w:p w14:paraId="00E6C854">
            <w:pPr>
              <w:pStyle w:val="39"/>
              <w:rPr>
                <w:rFonts w:hint="eastAsia" w:ascii="宋体" w:hAnsi="宋体" w:eastAsia="宋体" w:cs="宋体"/>
                <w:color w:val="auto"/>
                <w:highlight w:val="none"/>
              </w:rPr>
            </w:pPr>
          </w:p>
        </w:tc>
        <w:tc>
          <w:tcPr>
            <w:tcW w:w="3687" w:type="dxa"/>
            <w:vAlign w:val="top"/>
          </w:tcPr>
          <w:p w14:paraId="7A5A3FD4">
            <w:pPr>
              <w:pStyle w:val="39"/>
              <w:rPr>
                <w:rFonts w:hint="eastAsia" w:ascii="宋体" w:hAnsi="宋体" w:eastAsia="宋体" w:cs="宋体"/>
                <w:color w:val="auto"/>
                <w:highlight w:val="none"/>
              </w:rPr>
            </w:pPr>
          </w:p>
        </w:tc>
        <w:tc>
          <w:tcPr>
            <w:tcW w:w="2569" w:type="dxa"/>
            <w:vAlign w:val="top"/>
          </w:tcPr>
          <w:p w14:paraId="0B0B6EED">
            <w:pPr>
              <w:pStyle w:val="39"/>
              <w:rPr>
                <w:rFonts w:hint="eastAsia" w:ascii="宋体" w:hAnsi="宋体" w:eastAsia="宋体" w:cs="宋体"/>
                <w:color w:val="auto"/>
                <w:highlight w:val="none"/>
              </w:rPr>
            </w:pPr>
          </w:p>
        </w:tc>
        <w:tc>
          <w:tcPr>
            <w:tcW w:w="2254" w:type="dxa"/>
            <w:vAlign w:val="top"/>
          </w:tcPr>
          <w:p w14:paraId="46BC6C12">
            <w:pPr>
              <w:pStyle w:val="39"/>
              <w:rPr>
                <w:rFonts w:hint="eastAsia" w:ascii="宋体" w:hAnsi="宋体" w:eastAsia="宋体" w:cs="宋体"/>
                <w:color w:val="auto"/>
                <w:highlight w:val="none"/>
              </w:rPr>
            </w:pPr>
          </w:p>
        </w:tc>
      </w:tr>
      <w:tr w14:paraId="566C9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089" w:type="dxa"/>
            <w:vAlign w:val="top"/>
          </w:tcPr>
          <w:p w14:paraId="63009B19">
            <w:pPr>
              <w:pStyle w:val="39"/>
              <w:rPr>
                <w:rFonts w:hint="eastAsia" w:ascii="宋体" w:hAnsi="宋体" w:eastAsia="宋体" w:cs="宋体"/>
                <w:color w:val="auto"/>
                <w:highlight w:val="none"/>
              </w:rPr>
            </w:pPr>
          </w:p>
        </w:tc>
        <w:tc>
          <w:tcPr>
            <w:tcW w:w="3687" w:type="dxa"/>
            <w:vAlign w:val="top"/>
          </w:tcPr>
          <w:p w14:paraId="73C1BBBA">
            <w:pPr>
              <w:pStyle w:val="39"/>
              <w:rPr>
                <w:rFonts w:hint="eastAsia" w:ascii="宋体" w:hAnsi="宋体" w:eastAsia="宋体" w:cs="宋体"/>
                <w:color w:val="auto"/>
                <w:highlight w:val="none"/>
              </w:rPr>
            </w:pPr>
          </w:p>
        </w:tc>
        <w:tc>
          <w:tcPr>
            <w:tcW w:w="2569" w:type="dxa"/>
            <w:vAlign w:val="top"/>
          </w:tcPr>
          <w:p w14:paraId="0B642067">
            <w:pPr>
              <w:pStyle w:val="39"/>
              <w:rPr>
                <w:rFonts w:hint="eastAsia" w:ascii="宋体" w:hAnsi="宋体" w:eastAsia="宋体" w:cs="宋体"/>
                <w:color w:val="auto"/>
                <w:highlight w:val="none"/>
              </w:rPr>
            </w:pPr>
          </w:p>
        </w:tc>
        <w:tc>
          <w:tcPr>
            <w:tcW w:w="2254" w:type="dxa"/>
            <w:vAlign w:val="top"/>
          </w:tcPr>
          <w:p w14:paraId="15C3C89E">
            <w:pPr>
              <w:pStyle w:val="39"/>
              <w:rPr>
                <w:rFonts w:hint="eastAsia" w:ascii="宋体" w:hAnsi="宋体" w:eastAsia="宋体" w:cs="宋体"/>
                <w:color w:val="auto"/>
                <w:highlight w:val="none"/>
              </w:rPr>
            </w:pPr>
          </w:p>
        </w:tc>
      </w:tr>
    </w:tbl>
    <w:p w14:paraId="44DE55E2">
      <w:pPr>
        <w:pStyle w:val="2"/>
        <w:spacing w:line="270" w:lineRule="auto"/>
        <w:rPr>
          <w:rFonts w:hint="eastAsia" w:ascii="宋体" w:hAnsi="宋体" w:eastAsia="宋体" w:cs="宋体"/>
          <w:color w:val="auto"/>
          <w:highlight w:val="none"/>
        </w:rPr>
      </w:pPr>
    </w:p>
    <w:p w14:paraId="37EA7B58">
      <w:pPr>
        <w:spacing w:before="75" w:line="237" w:lineRule="auto"/>
        <w:ind w:right="6632" w:firstLine="12"/>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法定代表人或其委托代理人签字:</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3"/>
          <w:sz w:val="23"/>
          <w:szCs w:val="23"/>
          <w:highlight w:val="none"/>
        </w:rPr>
        <w:t xml:space="preserve"> </w:t>
      </w:r>
      <w:r>
        <w:rPr>
          <w:rFonts w:hint="eastAsia" w:ascii="宋体" w:hAnsi="宋体" w:eastAsia="宋体" w:cs="宋体"/>
          <w:color w:val="auto"/>
          <w:spacing w:val="7"/>
          <w:sz w:val="23"/>
          <w:szCs w:val="23"/>
          <w:highlight w:val="none"/>
        </w:rPr>
        <w:t>供应商(盖单位章):</w:t>
      </w:r>
      <w:r>
        <w:rPr>
          <w:rFonts w:hint="eastAsia" w:ascii="宋体" w:hAnsi="宋体" w:eastAsia="宋体" w:cs="宋体"/>
          <w:color w:val="auto"/>
          <w:sz w:val="23"/>
          <w:szCs w:val="23"/>
          <w:highlight w:val="none"/>
          <w:u w:val="single" w:color="auto"/>
        </w:rPr>
        <w:t xml:space="preserve">                                </w:t>
      </w:r>
    </w:p>
    <w:p w14:paraId="18DBF86A">
      <w:pPr>
        <w:pStyle w:val="2"/>
        <w:spacing w:line="266" w:lineRule="auto"/>
        <w:rPr>
          <w:rFonts w:hint="eastAsia" w:ascii="宋体" w:hAnsi="宋体" w:eastAsia="宋体" w:cs="宋体"/>
          <w:color w:val="auto"/>
          <w:highlight w:val="none"/>
        </w:rPr>
      </w:pPr>
    </w:p>
    <w:p w14:paraId="7C9D9663">
      <w:pPr>
        <w:spacing w:before="75" w:line="225" w:lineRule="auto"/>
        <w:ind w:left="10"/>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注: 各项服务内容明细应另页描述。</w:t>
      </w:r>
    </w:p>
    <w:p w14:paraId="575BF906">
      <w:pPr>
        <w:spacing w:line="225" w:lineRule="auto"/>
        <w:rPr>
          <w:rFonts w:hint="eastAsia" w:ascii="宋体" w:hAnsi="宋体" w:eastAsia="宋体" w:cs="宋体"/>
          <w:color w:val="auto"/>
          <w:sz w:val="23"/>
          <w:szCs w:val="23"/>
          <w:highlight w:val="none"/>
        </w:rPr>
        <w:sectPr>
          <w:footerReference r:id="rId20" w:type="default"/>
          <w:pgSz w:w="16838" w:h="11906"/>
          <w:pgMar w:top="1011" w:right="2525" w:bottom="1171" w:left="1984" w:header="964" w:footer="996" w:gutter="0"/>
          <w:pgNumType w:fmt="decimal"/>
          <w:cols w:space="720" w:num="1"/>
        </w:sectPr>
      </w:pPr>
    </w:p>
    <w:p w14:paraId="5A8A10D7">
      <w:pPr>
        <w:spacing w:before="47" w:line="225" w:lineRule="auto"/>
        <w:ind w:left="2655"/>
        <w:outlineLvl w:val="9"/>
        <w:rPr>
          <w:rFonts w:hint="eastAsia" w:ascii="宋体" w:hAnsi="宋体" w:eastAsia="宋体" w:cs="宋体"/>
          <w:b/>
          <w:bCs/>
          <w:color w:val="auto"/>
          <w:spacing w:val="6"/>
          <w:sz w:val="23"/>
          <w:szCs w:val="23"/>
          <w:highlight w:val="none"/>
        </w:rPr>
      </w:pPr>
      <w:bookmarkStart w:id="595" w:name="bookmark131"/>
      <w:bookmarkEnd w:id="595"/>
      <w:bookmarkStart w:id="596" w:name="bookmark132"/>
      <w:bookmarkEnd w:id="596"/>
    </w:p>
    <w:p w14:paraId="19E2110E">
      <w:pPr>
        <w:spacing w:before="47" w:line="225" w:lineRule="auto"/>
        <w:ind w:left="2655"/>
        <w:outlineLvl w:val="1"/>
        <w:rPr>
          <w:rFonts w:hint="eastAsia" w:ascii="宋体" w:hAnsi="宋体" w:eastAsia="宋体" w:cs="宋体"/>
          <w:color w:val="auto"/>
          <w:sz w:val="23"/>
          <w:szCs w:val="23"/>
          <w:highlight w:val="none"/>
        </w:rPr>
      </w:pPr>
      <w:r>
        <w:rPr>
          <w:rFonts w:hint="eastAsia" w:ascii="宋体" w:hAnsi="宋体" w:eastAsia="宋体" w:cs="宋体"/>
          <w:b/>
          <w:bCs/>
          <w:color w:val="auto"/>
          <w:spacing w:val="6"/>
          <w:sz w:val="23"/>
          <w:szCs w:val="23"/>
          <w:highlight w:val="none"/>
        </w:rPr>
        <w:t>4</w:t>
      </w:r>
      <w:r>
        <w:rPr>
          <w:rFonts w:hint="eastAsia" w:ascii="宋体" w:hAnsi="宋体" w:eastAsia="宋体" w:cs="宋体"/>
          <w:color w:val="auto"/>
          <w:spacing w:val="6"/>
          <w:sz w:val="23"/>
          <w:szCs w:val="23"/>
          <w:highlight w:val="none"/>
        </w:rPr>
        <w:t xml:space="preserve">  </w:t>
      </w:r>
      <w:r>
        <w:rPr>
          <w:rFonts w:hint="eastAsia" w:ascii="宋体" w:hAnsi="宋体" w:eastAsia="宋体" w:cs="宋体"/>
          <w:b/>
          <w:bCs/>
          <w:color w:val="auto"/>
          <w:spacing w:val="6"/>
          <w:sz w:val="23"/>
          <w:szCs w:val="23"/>
          <w:highlight w:val="none"/>
        </w:rPr>
        <w:t>商务条款偏离表（响应文件格式七）</w:t>
      </w:r>
    </w:p>
    <w:p w14:paraId="14CED216">
      <w:pPr>
        <w:pStyle w:val="2"/>
        <w:spacing w:line="287" w:lineRule="auto"/>
        <w:rPr>
          <w:rFonts w:hint="eastAsia" w:ascii="宋体" w:hAnsi="宋体" w:eastAsia="宋体" w:cs="宋体"/>
          <w:color w:val="auto"/>
          <w:highlight w:val="none"/>
        </w:rPr>
      </w:pPr>
    </w:p>
    <w:p w14:paraId="08E7D7D7">
      <w:pPr>
        <w:pStyle w:val="2"/>
        <w:spacing w:line="287" w:lineRule="auto"/>
        <w:rPr>
          <w:rFonts w:hint="eastAsia" w:ascii="宋体" w:hAnsi="宋体" w:eastAsia="宋体" w:cs="宋体"/>
          <w:color w:val="auto"/>
          <w:highlight w:val="none"/>
        </w:rPr>
      </w:pPr>
    </w:p>
    <w:p w14:paraId="2A499170">
      <w:pPr>
        <w:spacing w:before="75" w:line="221" w:lineRule="auto"/>
        <w:ind w:left="192"/>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项目名称:</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6"/>
          <w:sz w:val="23"/>
          <w:szCs w:val="23"/>
          <w:highlight w:val="none"/>
        </w:rPr>
        <w:t>项目编号:</w:t>
      </w:r>
    </w:p>
    <w:tbl>
      <w:tblPr>
        <w:tblStyle w:val="40"/>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904"/>
      </w:tblGrid>
      <w:tr w14:paraId="6EBD1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6A5F1D1C">
            <w:pPr>
              <w:spacing w:before="41" w:line="225" w:lineRule="auto"/>
              <w:ind w:left="240"/>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序号</w:t>
            </w:r>
          </w:p>
        </w:tc>
        <w:tc>
          <w:tcPr>
            <w:tcW w:w="2039" w:type="dxa"/>
            <w:vAlign w:val="top"/>
          </w:tcPr>
          <w:p w14:paraId="6ECD0DE7">
            <w:pPr>
              <w:spacing w:before="41" w:line="225" w:lineRule="auto"/>
              <w:ind w:left="188"/>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磋商文件条款号</w:t>
            </w:r>
          </w:p>
        </w:tc>
        <w:tc>
          <w:tcPr>
            <w:tcW w:w="2518" w:type="dxa"/>
            <w:vAlign w:val="top"/>
          </w:tcPr>
          <w:p w14:paraId="7F3B3024">
            <w:pPr>
              <w:spacing w:before="41" w:line="225" w:lineRule="auto"/>
              <w:ind w:left="189"/>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磋商文件的商务条款</w:t>
            </w:r>
          </w:p>
        </w:tc>
        <w:tc>
          <w:tcPr>
            <w:tcW w:w="2519" w:type="dxa"/>
            <w:vAlign w:val="top"/>
          </w:tcPr>
          <w:p w14:paraId="622FBF96">
            <w:pPr>
              <w:spacing w:before="41" w:line="225" w:lineRule="auto"/>
              <w:ind w:left="19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响应文件的商务条款</w:t>
            </w:r>
          </w:p>
        </w:tc>
        <w:tc>
          <w:tcPr>
            <w:tcW w:w="904" w:type="dxa"/>
            <w:vAlign w:val="top"/>
          </w:tcPr>
          <w:p w14:paraId="471AD07D">
            <w:pPr>
              <w:spacing w:before="41" w:line="227" w:lineRule="auto"/>
              <w:ind w:left="217"/>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说明</w:t>
            </w:r>
          </w:p>
        </w:tc>
      </w:tr>
      <w:tr w14:paraId="7C4CC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608A7E73">
            <w:pPr>
              <w:pStyle w:val="39"/>
              <w:rPr>
                <w:rFonts w:hint="eastAsia" w:ascii="宋体" w:hAnsi="宋体" w:eastAsia="宋体" w:cs="宋体"/>
                <w:color w:val="auto"/>
                <w:highlight w:val="none"/>
              </w:rPr>
            </w:pPr>
          </w:p>
        </w:tc>
        <w:tc>
          <w:tcPr>
            <w:tcW w:w="2039" w:type="dxa"/>
            <w:vAlign w:val="top"/>
          </w:tcPr>
          <w:p w14:paraId="3D16F0D7">
            <w:pPr>
              <w:pStyle w:val="39"/>
              <w:rPr>
                <w:rFonts w:hint="eastAsia" w:ascii="宋体" w:hAnsi="宋体" w:eastAsia="宋体" w:cs="宋体"/>
                <w:color w:val="auto"/>
                <w:highlight w:val="none"/>
              </w:rPr>
            </w:pPr>
          </w:p>
        </w:tc>
        <w:tc>
          <w:tcPr>
            <w:tcW w:w="2518" w:type="dxa"/>
            <w:vAlign w:val="top"/>
          </w:tcPr>
          <w:p w14:paraId="4CA4CF51">
            <w:pPr>
              <w:pStyle w:val="39"/>
              <w:rPr>
                <w:rFonts w:hint="eastAsia" w:ascii="宋体" w:hAnsi="宋体" w:eastAsia="宋体" w:cs="宋体"/>
                <w:color w:val="auto"/>
                <w:highlight w:val="none"/>
              </w:rPr>
            </w:pPr>
          </w:p>
        </w:tc>
        <w:tc>
          <w:tcPr>
            <w:tcW w:w="2519" w:type="dxa"/>
            <w:vAlign w:val="top"/>
          </w:tcPr>
          <w:p w14:paraId="17C00F48">
            <w:pPr>
              <w:pStyle w:val="39"/>
              <w:rPr>
                <w:rFonts w:hint="eastAsia" w:ascii="宋体" w:hAnsi="宋体" w:eastAsia="宋体" w:cs="宋体"/>
                <w:color w:val="auto"/>
                <w:highlight w:val="none"/>
              </w:rPr>
            </w:pPr>
          </w:p>
        </w:tc>
        <w:tc>
          <w:tcPr>
            <w:tcW w:w="904" w:type="dxa"/>
            <w:vAlign w:val="top"/>
          </w:tcPr>
          <w:p w14:paraId="695BFE58">
            <w:pPr>
              <w:pStyle w:val="39"/>
              <w:rPr>
                <w:rFonts w:hint="eastAsia" w:ascii="宋体" w:hAnsi="宋体" w:eastAsia="宋体" w:cs="宋体"/>
                <w:color w:val="auto"/>
                <w:highlight w:val="none"/>
              </w:rPr>
            </w:pPr>
          </w:p>
        </w:tc>
      </w:tr>
      <w:tr w14:paraId="128ED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C50813F">
            <w:pPr>
              <w:pStyle w:val="39"/>
              <w:rPr>
                <w:rFonts w:hint="eastAsia" w:ascii="宋体" w:hAnsi="宋体" w:eastAsia="宋体" w:cs="宋体"/>
                <w:color w:val="auto"/>
                <w:highlight w:val="none"/>
              </w:rPr>
            </w:pPr>
          </w:p>
        </w:tc>
        <w:tc>
          <w:tcPr>
            <w:tcW w:w="2039" w:type="dxa"/>
            <w:vAlign w:val="top"/>
          </w:tcPr>
          <w:p w14:paraId="25B5FEE9">
            <w:pPr>
              <w:pStyle w:val="39"/>
              <w:rPr>
                <w:rFonts w:hint="eastAsia" w:ascii="宋体" w:hAnsi="宋体" w:eastAsia="宋体" w:cs="宋体"/>
                <w:color w:val="auto"/>
                <w:highlight w:val="none"/>
              </w:rPr>
            </w:pPr>
          </w:p>
        </w:tc>
        <w:tc>
          <w:tcPr>
            <w:tcW w:w="2518" w:type="dxa"/>
            <w:vAlign w:val="top"/>
          </w:tcPr>
          <w:p w14:paraId="52A97DB5">
            <w:pPr>
              <w:pStyle w:val="39"/>
              <w:rPr>
                <w:rFonts w:hint="eastAsia" w:ascii="宋体" w:hAnsi="宋体" w:eastAsia="宋体" w:cs="宋体"/>
                <w:color w:val="auto"/>
                <w:highlight w:val="none"/>
              </w:rPr>
            </w:pPr>
          </w:p>
        </w:tc>
        <w:tc>
          <w:tcPr>
            <w:tcW w:w="2519" w:type="dxa"/>
            <w:vAlign w:val="top"/>
          </w:tcPr>
          <w:p w14:paraId="7119D8CD">
            <w:pPr>
              <w:pStyle w:val="39"/>
              <w:rPr>
                <w:rFonts w:hint="eastAsia" w:ascii="宋体" w:hAnsi="宋体" w:eastAsia="宋体" w:cs="宋体"/>
                <w:color w:val="auto"/>
                <w:highlight w:val="none"/>
              </w:rPr>
            </w:pPr>
          </w:p>
        </w:tc>
        <w:tc>
          <w:tcPr>
            <w:tcW w:w="904" w:type="dxa"/>
            <w:vAlign w:val="top"/>
          </w:tcPr>
          <w:p w14:paraId="625DB5AE">
            <w:pPr>
              <w:pStyle w:val="39"/>
              <w:rPr>
                <w:rFonts w:hint="eastAsia" w:ascii="宋体" w:hAnsi="宋体" w:eastAsia="宋体" w:cs="宋体"/>
                <w:color w:val="auto"/>
                <w:highlight w:val="none"/>
              </w:rPr>
            </w:pPr>
          </w:p>
        </w:tc>
      </w:tr>
      <w:tr w14:paraId="31919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1C011B74">
            <w:pPr>
              <w:pStyle w:val="39"/>
              <w:rPr>
                <w:rFonts w:hint="eastAsia" w:ascii="宋体" w:hAnsi="宋体" w:eastAsia="宋体" w:cs="宋体"/>
                <w:color w:val="auto"/>
                <w:highlight w:val="none"/>
              </w:rPr>
            </w:pPr>
          </w:p>
        </w:tc>
        <w:tc>
          <w:tcPr>
            <w:tcW w:w="2039" w:type="dxa"/>
            <w:vAlign w:val="top"/>
          </w:tcPr>
          <w:p w14:paraId="5738F899">
            <w:pPr>
              <w:pStyle w:val="39"/>
              <w:rPr>
                <w:rFonts w:hint="eastAsia" w:ascii="宋体" w:hAnsi="宋体" w:eastAsia="宋体" w:cs="宋体"/>
                <w:color w:val="auto"/>
                <w:highlight w:val="none"/>
              </w:rPr>
            </w:pPr>
          </w:p>
        </w:tc>
        <w:tc>
          <w:tcPr>
            <w:tcW w:w="2518" w:type="dxa"/>
            <w:vAlign w:val="top"/>
          </w:tcPr>
          <w:p w14:paraId="1C8A9C49">
            <w:pPr>
              <w:pStyle w:val="39"/>
              <w:rPr>
                <w:rFonts w:hint="eastAsia" w:ascii="宋体" w:hAnsi="宋体" w:eastAsia="宋体" w:cs="宋体"/>
                <w:color w:val="auto"/>
                <w:highlight w:val="none"/>
              </w:rPr>
            </w:pPr>
          </w:p>
        </w:tc>
        <w:tc>
          <w:tcPr>
            <w:tcW w:w="2519" w:type="dxa"/>
            <w:vAlign w:val="top"/>
          </w:tcPr>
          <w:p w14:paraId="1C6F643C">
            <w:pPr>
              <w:pStyle w:val="39"/>
              <w:rPr>
                <w:rFonts w:hint="eastAsia" w:ascii="宋体" w:hAnsi="宋体" w:eastAsia="宋体" w:cs="宋体"/>
                <w:color w:val="auto"/>
                <w:highlight w:val="none"/>
              </w:rPr>
            </w:pPr>
          </w:p>
        </w:tc>
        <w:tc>
          <w:tcPr>
            <w:tcW w:w="904" w:type="dxa"/>
            <w:vAlign w:val="top"/>
          </w:tcPr>
          <w:p w14:paraId="6693163B">
            <w:pPr>
              <w:pStyle w:val="39"/>
              <w:rPr>
                <w:rFonts w:hint="eastAsia" w:ascii="宋体" w:hAnsi="宋体" w:eastAsia="宋体" w:cs="宋体"/>
                <w:color w:val="auto"/>
                <w:highlight w:val="none"/>
              </w:rPr>
            </w:pPr>
          </w:p>
        </w:tc>
      </w:tr>
      <w:tr w14:paraId="69C61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35CA948">
            <w:pPr>
              <w:pStyle w:val="39"/>
              <w:rPr>
                <w:rFonts w:hint="eastAsia" w:ascii="宋体" w:hAnsi="宋体" w:eastAsia="宋体" w:cs="宋体"/>
                <w:color w:val="auto"/>
                <w:highlight w:val="none"/>
              </w:rPr>
            </w:pPr>
          </w:p>
        </w:tc>
        <w:tc>
          <w:tcPr>
            <w:tcW w:w="2039" w:type="dxa"/>
            <w:vAlign w:val="top"/>
          </w:tcPr>
          <w:p w14:paraId="3F2DB502">
            <w:pPr>
              <w:pStyle w:val="39"/>
              <w:rPr>
                <w:rFonts w:hint="eastAsia" w:ascii="宋体" w:hAnsi="宋体" w:eastAsia="宋体" w:cs="宋体"/>
                <w:color w:val="auto"/>
                <w:highlight w:val="none"/>
              </w:rPr>
            </w:pPr>
          </w:p>
        </w:tc>
        <w:tc>
          <w:tcPr>
            <w:tcW w:w="2518" w:type="dxa"/>
            <w:vAlign w:val="top"/>
          </w:tcPr>
          <w:p w14:paraId="01AB22BE">
            <w:pPr>
              <w:pStyle w:val="39"/>
              <w:rPr>
                <w:rFonts w:hint="eastAsia" w:ascii="宋体" w:hAnsi="宋体" w:eastAsia="宋体" w:cs="宋体"/>
                <w:color w:val="auto"/>
                <w:highlight w:val="none"/>
              </w:rPr>
            </w:pPr>
          </w:p>
        </w:tc>
        <w:tc>
          <w:tcPr>
            <w:tcW w:w="2519" w:type="dxa"/>
            <w:vAlign w:val="top"/>
          </w:tcPr>
          <w:p w14:paraId="329A03F0">
            <w:pPr>
              <w:pStyle w:val="39"/>
              <w:rPr>
                <w:rFonts w:hint="eastAsia" w:ascii="宋体" w:hAnsi="宋体" w:eastAsia="宋体" w:cs="宋体"/>
                <w:color w:val="auto"/>
                <w:highlight w:val="none"/>
              </w:rPr>
            </w:pPr>
          </w:p>
        </w:tc>
        <w:tc>
          <w:tcPr>
            <w:tcW w:w="904" w:type="dxa"/>
            <w:vAlign w:val="top"/>
          </w:tcPr>
          <w:p w14:paraId="51685705">
            <w:pPr>
              <w:pStyle w:val="39"/>
              <w:rPr>
                <w:rFonts w:hint="eastAsia" w:ascii="宋体" w:hAnsi="宋体" w:eastAsia="宋体" w:cs="宋体"/>
                <w:color w:val="auto"/>
                <w:highlight w:val="none"/>
              </w:rPr>
            </w:pPr>
          </w:p>
        </w:tc>
      </w:tr>
      <w:tr w14:paraId="2D7C9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35B0808A">
            <w:pPr>
              <w:pStyle w:val="39"/>
              <w:rPr>
                <w:rFonts w:hint="eastAsia" w:ascii="宋体" w:hAnsi="宋体" w:eastAsia="宋体" w:cs="宋体"/>
                <w:color w:val="auto"/>
                <w:highlight w:val="none"/>
              </w:rPr>
            </w:pPr>
          </w:p>
        </w:tc>
        <w:tc>
          <w:tcPr>
            <w:tcW w:w="2039" w:type="dxa"/>
            <w:vAlign w:val="top"/>
          </w:tcPr>
          <w:p w14:paraId="5C1C4B70">
            <w:pPr>
              <w:pStyle w:val="39"/>
              <w:rPr>
                <w:rFonts w:hint="eastAsia" w:ascii="宋体" w:hAnsi="宋体" w:eastAsia="宋体" w:cs="宋体"/>
                <w:color w:val="auto"/>
                <w:highlight w:val="none"/>
              </w:rPr>
            </w:pPr>
          </w:p>
        </w:tc>
        <w:tc>
          <w:tcPr>
            <w:tcW w:w="2518" w:type="dxa"/>
            <w:vAlign w:val="top"/>
          </w:tcPr>
          <w:p w14:paraId="6AC1C7D0">
            <w:pPr>
              <w:pStyle w:val="39"/>
              <w:rPr>
                <w:rFonts w:hint="eastAsia" w:ascii="宋体" w:hAnsi="宋体" w:eastAsia="宋体" w:cs="宋体"/>
                <w:color w:val="auto"/>
                <w:highlight w:val="none"/>
              </w:rPr>
            </w:pPr>
          </w:p>
        </w:tc>
        <w:tc>
          <w:tcPr>
            <w:tcW w:w="2519" w:type="dxa"/>
            <w:vAlign w:val="top"/>
          </w:tcPr>
          <w:p w14:paraId="2F4C0D05">
            <w:pPr>
              <w:pStyle w:val="39"/>
              <w:rPr>
                <w:rFonts w:hint="eastAsia" w:ascii="宋体" w:hAnsi="宋体" w:eastAsia="宋体" w:cs="宋体"/>
                <w:color w:val="auto"/>
                <w:highlight w:val="none"/>
              </w:rPr>
            </w:pPr>
          </w:p>
        </w:tc>
        <w:tc>
          <w:tcPr>
            <w:tcW w:w="904" w:type="dxa"/>
            <w:vAlign w:val="top"/>
          </w:tcPr>
          <w:p w14:paraId="47643B48">
            <w:pPr>
              <w:pStyle w:val="39"/>
              <w:rPr>
                <w:rFonts w:hint="eastAsia" w:ascii="宋体" w:hAnsi="宋体" w:eastAsia="宋体" w:cs="宋体"/>
                <w:color w:val="auto"/>
                <w:highlight w:val="none"/>
              </w:rPr>
            </w:pPr>
          </w:p>
        </w:tc>
      </w:tr>
      <w:tr w14:paraId="5AF10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9E5D3FD">
            <w:pPr>
              <w:pStyle w:val="39"/>
              <w:rPr>
                <w:rFonts w:hint="eastAsia" w:ascii="宋体" w:hAnsi="宋体" w:eastAsia="宋体" w:cs="宋体"/>
                <w:color w:val="auto"/>
                <w:highlight w:val="none"/>
              </w:rPr>
            </w:pPr>
          </w:p>
        </w:tc>
        <w:tc>
          <w:tcPr>
            <w:tcW w:w="2039" w:type="dxa"/>
            <w:vAlign w:val="top"/>
          </w:tcPr>
          <w:p w14:paraId="651C840C">
            <w:pPr>
              <w:pStyle w:val="39"/>
              <w:rPr>
                <w:rFonts w:hint="eastAsia" w:ascii="宋体" w:hAnsi="宋体" w:eastAsia="宋体" w:cs="宋体"/>
                <w:color w:val="auto"/>
                <w:highlight w:val="none"/>
              </w:rPr>
            </w:pPr>
          </w:p>
        </w:tc>
        <w:tc>
          <w:tcPr>
            <w:tcW w:w="2518" w:type="dxa"/>
            <w:vAlign w:val="top"/>
          </w:tcPr>
          <w:p w14:paraId="06204EB0">
            <w:pPr>
              <w:pStyle w:val="39"/>
              <w:rPr>
                <w:rFonts w:hint="eastAsia" w:ascii="宋体" w:hAnsi="宋体" w:eastAsia="宋体" w:cs="宋体"/>
                <w:color w:val="auto"/>
                <w:highlight w:val="none"/>
              </w:rPr>
            </w:pPr>
          </w:p>
        </w:tc>
        <w:tc>
          <w:tcPr>
            <w:tcW w:w="2519" w:type="dxa"/>
            <w:vAlign w:val="top"/>
          </w:tcPr>
          <w:p w14:paraId="40021C81">
            <w:pPr>
              <w:pStyle w:val="39"/>
              <w:rPr>
                <w:rFonts w:hint="eastAsia" w:ascii="宋体" w:hAnsi="宋体" w:eastAsia="宋体" w:cs="宋体"/>
                <w:color w:val="auto"/>
                <w:highlight w:val="none"/>
              </w:rPr>
            </w:pPr>
          </w:p>
        </w:tc>
        <w:tc>
          <w:tcPr>
            <w:tcW w:w="904" w:type="dxa"/>
            <w:vAlign w:val="top"/>
          </w:tcPr>
          <w:p w14:paraId="578E8D2B">
            <w:pPr>
              <w:pStyle w:val="39"/>
              <w:rPr>
                <w:rFonts w:hint="eastAsia" w:ascii="宋体" w:hAnsi="宋体" w:eastAsia="宋体" w:cs="宋体"/>
                <w:color w:val="auto"/>
                <w:highlight w:val="none"/>
              </w:rPr>
            </w:pPr>
          </w:p>
        </w:tc>
      </w:tr>
      <w:tr w14:paraId="2A15B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5D0D082A">
            <w:pPr>
              <w:pStyle w:val="39"/>
              <w:rPr>
                <w:rFonts w:hint="eastAsia" w:ascii="宋体" w:hAnsi="宋体" w:eastAsia="宋体" w:cs="宋体"/>
                <w:color w:val="auto"/>
                <w:highlight w:val="none"/>
              </w:rPr>
            </w:pPr>
          </w:p>
        </w:tc>
        <w:tc>
          <w:tcPr>
            <w:tcW w:w="2039" w:type="dxa"/>
            <w:vAlign w:val="top"/>
          </w:tcPr>
          <w:p w14:paraId="167D433A">
            <w:pPr>
              <w:pStyle w:val="39"/>
              <w:rPr>
                <w:rFonts w:hint="eastAsia" w:ascii="宋体" w:hAnsi="宋体" w:eastAsia="宋体" w:cs="宋体"/>
                <w:color w:val="auto"/>
                <w:highlight w:val="none"/>
              </w:rPr>
            </w:pPr>
          </w:p>
        </w:tc>
        <w:tc>
          <w:tcPr>
            <w:tcW w:w="2518" w:type="dxa"/>
            <w:vAlign w:val="top"/>
          </w:tcPr>
          <w:p w14:paraId="1C2902F4">
            <w:pPr>
              <w:pStyle w:val="39"/>
              <w:rPr>
                <w:rFonts w:hint="eastAsia" w:ascii="宋体" w:hAnsi="宋体" w:eastAsia="宋体" w:cs="宋体"/>
                <w:color w:val="auto"/>
                <w:highlight w:val="none"/>
              </w:rPr>
            </w:pPr>
          </w:p>
        </w:tc>
        <w:tc>
          <w:tcPr>
            <w:tcW w:w="2519" w:type="dxa"/>
            <w:vAlign w:val="top"/>
          </w:tcPr>
          <w:p w14:paraId="04FE15BA">
            <w:pPr>
              <w:pStyle w:val="39"/>
              <w:rPr>
                <w:rFonts w:hint="eastAsia" w:ascii="宋体" w:hAnsi="宋体" w:eastAsia="宋体" w:cs="宋体"/>
                <w:color w:val="auto"/>
                <w:highlight w:val="none"/>
              </w:rPr>
            </w:pPr>
          </w:p>
        </w:tc>
        <w:tc>
          <w:tcPr>
            <w:tcW w:w="904" w:type="dxa"/>
            <w:vAlign w:val="top"/>
          </w:tcPr>
          <w:p w14:paraId="3ACA9DEB">
            <w:pPr>
              <w:pStyle w:val="39"/>
              <w:rPr>
                <w:rFonts w:hint="eastAsia" w:ascii="宋体" w:hAnsi="宋体" w:eastAsia="宋体" w:cs="宋体"/>
                <w:color w:val="auto"/>
                <w:highlight w:val="none"/>
              </w:rPr>
            </w:pPr>
          </w:p>
        </w:tc>
      </w:tr>
      <w:tr w14:paraId="31049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E3F284F">
            <w:pPr>
              <w:pStyle w:val="39"/>
              <w:rPr>
                <w:rFonts w:hint="eastAsia" w:ascii="宋体" w:hAnsi="宋体" w:eastAsia="宋体" w:cs="宋体"/>
                <w:color w:val="auto"/>
                <w:highlight w:val="none"/>
              </w:rPr>
            </w:pPr>
          </w:p>
        </w:tc>
        <w:tc>
          <w:tcPr>
            <w:tcW w:w="2039" w:type="dxa"/>
            <w:vAlign w:val="top"/>
          </w:tcPr>
          <w:p w14:paraId="20D1057B">
            <w:pPr>
              <w:pStyle w:val="39"/>
              <w:rPr>
                <w:rFonts w:hint="eastAsia" w:ascii="宋体" w:hAnsi="宋体" w:eastAsia="宋体" w:cs="宋体"/>
                <w:color w:val="auto"/>
                <w:highlight w:val="none"/>
              </w:rPr>
            </w:pPr>
          </w:p>
        </w:tc>
        <w:tc>
          <w:tcPr>
            <w:tcW w:w="2518" w:type="dxa"/>
            <w:vAlign w:val="top"/>
          </w:tcPr>
          <w:p w14:paraId="7BEA6A17">
            <w:pPr>
              <w:pStyle w:val="39"/>
              <w:rPr>
                <w:rFonts w:hint="eastAsia" w:ascii="宋体" w:hAnsi="宋体" w:eastAsia="宋体" w:cs="宋体"/>
                <w:color w:val="auto"/>
                <w:highlight w:val="none"/>
              </w:rPr>
            </w:pPr>
          </w:p>
        </w:tc>
        <w:tc>
          <w:tcPr>
            <w:tcW w:w="2519" w:type="dxa"/>
            <w:vAlign w:val="top"/>
          </w:tcPr>
          <w:p w14:paraId="2C060F83">
            <w:pPr>
              <w:pStyle w:val="39"/>
              <w:rPr>
                <w:rFonts w:hint="eastAsia" w:ascii="宋体" w:hAnsi="宋体" w:eastAsia="宋体" w:cs="宋体"/>
                <w:color w:val="auto"/>
                <w:highlight w:val="none"/>
              </w:rPr>
            </w:pPr>
          </w:p>
        </w:tc>
        <w:tc>
          <w:tcPr>
            <w:tcW w:w="904" w:type="dxa"/>
            <w:vAlign w:val="top"/>
          </w:tcPr>
          <w:p w14:paraId="1BECF178">
            <w:pPr>
              <w:pStyle w:val="39"/>
              <w:rPr>
                <w:rFonts w:hint="eastAsia" w:ascii="宋体" w:hAnsi="宋体" w:eastAsia="宋体" w:cs="宋体"/>
                <w:color w:val="auto"/>
                <w:highlight w:val="none"/>
              </w:rPr>
            </w:pPr>
          </w:p>
        </w:tc>
      </w:tr>
      <w:tr w14:paraId="33C5C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6272CE94">
            <w:pPr>
              <w:pStyle w:val="39"/>
              <w:rPr>
                <w:rFonts w:hint="eastAsia" w:ascii="宋体" w:hAnsi="宋体" w:eastAsia="宋体" w:cs="宋体"/>
                <w:color w:val="auto"/>
                <w:highlight w:val="none"/>
              </w:rPr>
            </w:pPr>
          </w:p>
        </w:tc>
        <w:tc>
          <w:tcPr>
            <w:tcW w:w="2039" w:type="dxa"/>
            <w:vAlign w:val="top"/>
          </w:tcPr>
          <w:p w14:paraId="0A9E86FF">
            <w:pPr>
              <w:pStyle w:val="39"/>
              <w:rPr>
                <w:rFonts w:hint="eastAsia" w:ascii="宋体" w:hAnsi="宋体" w:eastAsia="宋体" w:cs="宋体"/>
                <w:color w:val="auto"/>
                <w:highlight w:val="none"/>
              </w:rPr>
            </w:pPr>
          </w:p>
        </w:tc>
        <w:tc>
          <w:tcPr>
            <w:tcW w:w="2518" w:type="dxa"/>
            <w:vAlign w:val="top"/>
          </w:tcPr>
          <w:p w14:paraId="58AEACA3">
            <w:pPr>
              <w:pStyle w:val="39"/>
              <w:rPr>
                <w:rFonts w:hint="eastAsia" w:ascii="宋体" w:hAnsi="宋体" w:eastAsia="宋体" w:cs="宋体"/>
                <w:color w:val="auto"/>
                <w:highlight w:val="none"/>
              </w:rPr>
            </w:pPr>
          </w:p>
        </w:tc>
        <w:tc>
          <w:tcPr>
            <w:tcW w:w="2519" w:type="dxa"/>
            <w:vAlign w:val="top"/>
          </w:tcPr>
          <w:p w14:paraId="3BD8B754">
            <w:pPr>
              <w:pStyle w:val="39"/>
              <w:rPr>
                <w:rFonts w:hint="eastAsia" w:ascii="宋体" w:hAnsi="宋体" w:eastAsia="宋体" w:cs="宋体"/>
                <w:color w:val="auto"/>
                <w:highlight w:val="none"/>
              </w:rPr>
            </w:pPr>
          </w:p>
        </w:tc>
        <w:tc>
          <w:tcPr>
            <w:tcW w:w="904" w:type="dxa"/>
            <w:vAlign w:val="top"/>
          </w:tcPr>
          <w:p w14:paraId="501C423A">
            <w:pPr>
              <w:pStyle w:val="39"/>
              <w:rPr>
                <w:rFonts w:hint="eastAsia" w:ascii="宋体" w:hAnsi="宋体" w:eastAsia="宋体" w:cs="宋体"/>
                <w:color w:val="auto"/>
                <w:highlight w:val="none"/>
              </w:rPr>
            </w:pPr>
          </w:p>
        </w:tc>
      </w:tr>
    </w:tbl>
    <w:p w14:paraId="53A8BAC5">
      <w:pPr>
        <w:pStyle w:val="2"/>
        <w:spacing w:line="289" w:lineRule="auto"/>
        <w:rPr>
          <w:rFonts w:hint="eastAsia" w:ascii="宋体" w:hAnsi="宋体" w:eastAsia="宋体" w:cs="宋体"/>
          <w:color w:val="auto"/>
          <w:highlight w:val="none"/>
        </w:rPr>
      </w:pPr>
    </w:p>
    <w:p w14:paraId="14F5F512">
      <w:pPr>
        <w:pStyle w:val="2"/>
        <w:spacing w:line="290" w:lineRule="auto"/>
        <w:rPr>
          <w:rFonts w:hint="eastAsia" w:ascii="宋体" w:hAnsi="宋体" w:eastAsia="宋体" w:cs="宋体"/>
          <w:color w:val="auto"/>
          <w:highlight w:val="none"/>
        </w:rPr>
      </w:pPr>
    </w:p>
    <w:p w14:paraId="6519AFE3">
      <w:pPr>
        <w:spacing w:before="75" w:line="237" w:lineRule="auto"/>
        <w:ind w:left="184" w:right="3057" w:firstLine="12"/>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法定代表人或其委托代理人签字:</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 xml:space="preserve"> </w:t>
      </w:r>
      <w:r>
        <w:rPr>
          <w:rFonts w:hint="eastAsia" w:ascii="宋体" w:hAnsi="宋体" w:eastAsia="宋体" w:cs="宋体"/>
          <w:color w:val="auto"/>
          <w:spacing w:val="7"/>
          <w:sz w:val="23"/>
          <w:szCs w:val="23"/>
          <w:highlight w:val="none"/>
        </w:rPr>
        <w:t>供应商(盖单位章):</w:t>
      </w:r>
      <w:r>
        <w:rPr>
          <w:rFonts w:hint="eastAsia" w:ascii="宋体" w:hAnsi="宋体" w:eastAsia="宋体" w:cs="宋体"/>
          <w:color w:val="auto"/>
          <w:sz w:val="23"/>
          <w:szCs w:val="23"/>
          <w:highlight w:val="none"/>
          <w:u w:val="single" w:color="auto"/>
        </w:rPr>
        <w:t xml:space="preserve">                                </w:t>
      </w:r>
    </w:p>
    <w:p w14:paraId="7AFB776E">
      <w:pPr>
        <w:spacing w:line="237" w:lineRule="auto"/>
        <w:rPr>
          <w:rFonts w:hint="eastAsia" w:ascii="宋体" w:hAnsi="宋体" w:eastAsia="宋体" w:cs="宋体"/>
          <w:color w:val="auto"/>
          <w:sz w:val="23"/>
          <w:szCs w:val="23"/>
          <w:highlight w:val="none"/>
        </w:rPr>
        <w:sectPr>
          <w:footerReference r:id="rId21" w:type="default"/>
          <w:pgSz w:w="11906" w:h="16838"/>
          <w:pgMar w:top="748" w:right="1520" w:bottom="1171" w:left="1447" w:header="964" w:footer="996" w:gutter="0"/>
          <w:pgNumType w:fmt="decimal"/>
          <w:cols w:space="720" w:num="1"/>
        </w:sectPr>
      </w:pPr>
    </w:p>
    <w:p w14:paraId="343CFDC6">
      <w:pPr>
        <w:spacing w:before="48" w:line="231" w:lineRule="auto"/>
        <w:ind w:left="2569"/>
        <w:outlineLvl w:val="1"/>
        <w:rPr>
          <w:rFonts w:hint="eastAsia" w:ascii="宋体" w:hAnsi="宋体" w:eastAsia="宋体" w:cs="宋体"/>
          <w:color w:val="auto"/>
          <w:sz w:val="23"/>
          <w:szCs w:val="23"/>
          <w:highlight w:val="none"/>
        </w:rPr>
      </w:pPr>
      <w:bookmarkStart w:id="597" w:name="bookmark133"/>
      <w:bookmarkEnd w:id="597"/>
      <w:bookmarkStart w:id="598" w:name="bookmark134"/>
      <w:bookmarkEnd w:id="598"/>
      <w:r>
        <w:rPr>
          <w:rFonts w:hint="eastAsia" w:ascii="宋体" w:hAnsi="宋体" w:eastAsia="宋体" w:cs="宋体"/>
          <w:b/>
          <w:bCs/>
          <w:color w:val="auto"/>
          <w:spacing w:val="6"/>
          <w:sz w:val="23"/>
          <w:szCs w:val="23"/>
          <w:highlight w:val="none"/>
        </w:rPr>
        <w:t>5、技术规格偏离表（响应文件格式八）</w:t>
      </w:r>
    </w:p>
    <w:p w14:paraId="6F90EC0E">
      <w:pPr>
        <w:pStyle w:val="2"/>
        <w:spacing w:line="258" w:lineRule="auto"/>
        <w:rPr>
          <w:rFonts w:hint="eastAsia" w:ascii="宋体" w:hAnsi="宋体" w:eastAsia="宋体" w:cs="宋体"/>
          <w:color w:val="auto"/>
          <w:highlight w:val="none"/>
        </w:rPr>
      </w:pPr>
    </w:p>
    <w:p w14:paraId="165A9867">
      <w:pPr>
        <w:spacing w:before="75" w:line="223" w:lineRule="auto"/>
        <w:ind w:left="286"/>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项目名称:                       招标编号:                 包号:</w:t>
      </w:r>
    </w:p>
    <w:tbl>
      <w:tblPr>
        <w:tblStyle w:val="40"/>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508"/>
        <w:gridCol w:w="2090"/>
        <w:gridCol w:w="1259"/>
        <w:gridCol w:w="1259"/>
        <w:gridCol w:w="900"/>
        <w:gridCol w:w="904"/>
      </w:tblGrid>
      <w:tr w14:paraId="7D92A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2" w:type="dxa"/>
            <w:vAlign w:val="top"/>
          </w:tcPr>
          <w:p w14:paraId="75B378F9">
            <w:pPr>
              <w:spacing w:before="141" w:line="231" w:lineRule="auto"/>
              <w:ind w:left="189"/>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序号</w:t>
            </w:r>
          </w:p>
        </w:tc>
        <w:tc>
          <w:tcPr>
            <w:tcW w:w="1508" w:type="dxa"/>
            <w:vAlign w:val="top"/>
          </w:tcPr>
          <w:p w14:paraId="3C71FD75">
            <w:pPr>
              <w:spacing w:before="141" w:line="231" w:lineRule="auto"/>
              <w:ind w:left="161"/>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建设内容</w:t>
            </w:r>
          </w:p>
        </w:tc>
        <w:tc>
          <w:tcPr>
            <w:tcW w:w="2090" w:type="dxa"/>
            <w:vAlign w:val="top"/>
          </w:tcPr>
          <w:p w14:paraId="42951DF4">
            <w:pPr>
              <w:spacing w:before="141" w:line="231" w:lineRule="auto"/>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磋商文件条款号</w:t>
            </w:r>
          </w:p>
        </w:tc>
        <w:tc>
          <w:tcPr>
            <w:tcW w:w="1259" w:type="dxa"/>
            <w:vAlign w:val="top"/>
          </w:tcPr>
          <w:p w14:paraId="5ED0AE45">
            <w:pPr>
              <w:spacing w:before="141" w:line="231" w:lineRule="auto"/>
              <w:ind w:left="162"/>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招标规格</w:t>
            </w:r>
          </w:p>
        </w:tc>
        <w:tc>
          <w:tcPr>
            <w:tcW w:w="1259" w:type="dxa"/>
            <w:vAlign w:val="top"/>
          </w:tcPr>
          <w:p w14:paraId="04BB4228">
            <w:pPr>
              <w:spacing w:before="141" w:line="231" w:lineRule="auto"/>
              <w:ind w:left="163"/>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投标规格</w:t>
            </w:r>
          </w:p>
        </w:tc>
        <w:tc>
          <w:tcPr>
            <w:tcW w:w="900" w:type="dxa"/>
            <w:vAlign w:val="top"/>
          </w:tcPr>
          <w:p w14:paraId="3050C379">
            <w:pPr>
              <w:spacing w:before="141" w:line="231" w:lineRule="auto"/>
              <w:ind w:left="226"/>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偏离</w:t>
            </w:r>
          </w:p>
        </w:tc>
        <w:tc>
          <w:tcPr>
            <w:tcW w:w="904" w:type="dxa"/>
            <w:vAlign w:val="top"/>
          </w:tcPr>
          <w:p w14:paraId="6B7969C7">
            <w:pPr>
              <w:spacing w:before="141" w:line="232" w:lineRule="auto"/>
              <w:ind w:left="226"/>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说明</w:t>
            </w:r>
          </w:p>
        </w:tc>
      </w:tr>
      <w:tr w14:paraId="18EBB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5A0371AF">
            <w:pPr>
              <w:pStyle w:val="39"/>
              <w:rPr>
                <w:rFonts w:hint="eastAsia" w:ascii="宋体" w:hAnsi="宋体" w:eastAsia="宋体" w:cs="宋体"/>
                <w:color w:val="auto"/>
                <w:highlight w:val="none"/>
              </w:rPr>
            </w:pPr>
          </w:p>
        </w:tc>
        <w:tc>
          <w:tcPr>
            <w:tcW w:w="1508" w:type="dxa"/>
            <w:vAlign w:val="top"/>
          </w:tcPr>
          <w:p w14:paraId="331899BF">
            <w:pPr>
              <w:pStyle w:val="39"/>
              <w:rPr>
                <w:rFonts w:hint="eastAsia" w:ascii="宋体" w:hAnsi="宋体" w:eastAsia="宋体" w:cs="宋体"/>
                <w:color w:val="auto"/>
                <w:highlight w:val="none"/>
              </w:rPr>
            </w:pPr>
          </w:p>
        </w:tc>
        <w:tc>
          <w:tcPr>
            <w:tcW w:w="2090" w:type="dxa"/>
            <w:vAlign w:val="top"/>
          </w:tcPr>
          <w:p w14:paraId="7CF6FF62">
            <w:pPr>
              <w:pStyle w:val="39"/>
              <w:rPr>
                <w:rFonts w:hint="eastAsia" w:ascii="宋体" w:hAnsi="宋体" w:eastAsia="宋体" w:cs="宋体"/>
                <w:color w:val="auto"/>
                <w:highlight w:val="none"/>
              </w:rPr>
            </w:pPr>
          </w:p>
        </w:tc>
        <w:tc>
          <w:tcPr>
            <w:tcW w:w="1259" w:type="dxa"/>
            <w:vAlign w:val="top"/>
          </w:tcPr>
          <w:p w14:paraId="75DE7002">
            <w:pPr>
              <w:pStyle w:val="39"/>
              <w:rPr>
                <w:rFonts w:hint="eastAsia" w:ascii="宋体" w:hAnsi="宋体" w:eastAsia="宋体" w:cs="宋体"/>
                <w:color w:val="auto"/>
                <w:highlight w:val="none"/>
              </w:rPr>
            </w:pPr>
          </w:p>
        </w:tc>
        <w:tc>
          <w:tcPr>
            <w:tcW w:w="1259" w:type="dxa"/>
            <w:vAlign w:val="top"/>
          </w:tcPr>
          <w:p w14:paraId="2AF2572C">
            <w:pPr>
              <w:pStyle w:val="39"/>
              <w:rPr>
                <w:rFonts w:hint="eastAsia" w:ascii="宋体" w:hAnsi="宋体" w:eastAsia="宋体" w:cs="宋体"/>
                <w:color w:val="auto"/>
                <w:highlight w:val="none"/>
              </w:rPr>
            </w:pPr>
          </w:p>
        </w:tc>
        <w:tc>
          <w:tcPr>
            <w:tcW w:w="900" w:type="dxa"/>
            <w:vAlign w:val="top"/>
          </w:tcPr>
          <w:p w14:paraId="055A26DC">
            <w:pPr>
              <w:pStyle w:val="39"/>
              <w:rPr>
                <w:rFonts w:hint="eastAsia" w:ascii="宋体" w:hAnsi="宋体" w:eastAsia="宋体" w:cs="宋体"/>
                <w:color w:val="auto"/>
                <w:highlight w:val="none"/>
              </w:rPr>
            </w:pPr>
          </w:p>
        </w:tc>
        <w:tc>
          <w:tcPr>
            <w:tcW w:w="904" w:type="dxa"/>
            <w:vAlign w:val="top"/>
          </w:tcPr>
          <w:p w14:paraId="559BBBF1">
            <w:pPr>
              <w:pStyle w:val="39"/>
              <w:rPr>
                <w:rFonts w:hint="eastAsia" w:ascii="宋体" w:hAnsi="宋体" w:eastAsia="宋体" w:cs="宋体"/>
                <w:color w:val="auto"/>
                <w:highlight w:val="none"/>
              </w:rPr>
            </w:pPr>
          </w:p>
        </w:tc>
      </w:tr>
      <w:tr w14:paraId="78C12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48839617">
            <w:pPr>
              <w:pStyle w:val="39"/>
              <w:rPr>
                <w:rFonts w:hint="eastAsia" w:ascii="宋体" w:hAnsi="宋体" w:eastAsia="宋体" w:cs="宋体"/>
                <w:color w:val="auto"/>
                <w:highlight w:val="none"/>
              </w:rPr>
            </w:pPr>
          </w:p>
        </w:tc>
        <w:tc>
          <w:tcPr>
            <w:tcW w:w="1508" w:type="dxa"/>
            <w:vAlign w:val="top"/>
          </w:tcPr>
          <w:p w14:paraId="1F7F3C5E">
            <w:pPr>
              <w:pStyle w:val="39"/>
              <w:rPr>
                <w:rFonts w:hint="eastAsia" w:ascii="宋体" w:hAnsi="宋体" w:eastAsia="宋体" w:cs="宋体"/>
                <w:color w:val="auto"/>
                <w:highlight w:val="none"/>
              </w:rPr>
            </w:pPr>
          </w:p>
        </w:tc>
        <w:tc>
          <w:tcPr>
            <w:tcW w:w="2090" w:type="dxa"/>
            <w:vAlign w:val="top"/>
          </w:tcPr>
          <w:p w14:paraId="76ABE122">
            <w:pPr>
              <w:pStyle w:val="39"/>
              <w:rPr>
                <w:rFonts w:hint="eastAsia" w:ascii="宋体" w:hAnsi="宋体" w:eastAsia="宋体" w:cs="宋体"/>
                <w:color w:val="auto"/>
                <w:highlight w:val="none"/>
              </w:rPr>
            </w:pPr>
          </w:p>
        </w:tc>
        <w:tc>
          <w:tcPr>
            <w:tcW w:w="1259" w:type="dxa"/>
            <w:vAlign w:val="top"/>
          </w:tcPr>
          <w:p w14:paraId="30F23220">
            <w:pPr>
              <w:pStyle w:val="39"/>
              <w:rPr>
                <w:rFonts w:hint="eastAsia" w:ascii="宋体" w:hAnsi="宋体" w:eastAsia="宋体" w:cs="宋体"/>
                <w:color w:val="auto"/>
                <w:highlight w:val="none"/>
              </w:rPr>
            </w:pPr>
          </w:p>
        </w:tc>
        <w:tc>
          <w:tcPr>
            <w:tcW w:w="1259" w:type="dxa"/>
            <w:vAlign w:val="top"/>
          </w:tcPr>
          <w:p w14:paraId="77C2A9FA">
            <w:pPr>
              <w:pStyle w:val="39"/>
              <w:rPr>
                <w:rFonts w:hint="eastAsia" w:ascii="宋体" w:hAnsi="宋体" w:eastAsia="宋体" w:cs="宋体"/>
                <w:color w:val="auto"/>
                <w:highlight w:val="none"/>
              </w:rPr>
            </w:pPr>
          </w:p>
        </w:tc>
        <w:tc>
          <w:tcPr>
            <w:tcW w:w="900" w:type="dxa"/>
            <w:vAlign w:val="top"/>
          </w:tcPr>
          <w:p w14:paraId="00AC792B">
            <w:pPr>
              <w:pStyle w:val="39"/>
              <w:rPr>
                <w:rFonts w:hint="eastAsia" w:ascii="宋体" w:hAnsi="宋体" w:eastAsia="宋体" w:cs="宋体"/>
                <w:color w:val="auto"/>
                <w:highlight w:val="none"/>
              </w:rPr>
            </w:pPr>
          </w:p>
        </w:tc>
        <w:tc>
          <w:tcPr>
            <w:tcW w:w="904" w:type="dxa"/>
            <w:vAlign w:val="top"/>
          </w:tcPr>
          <w:p w14:paraId="7049BC43">
            <w:pPr>
              <w:pStyle w:val="39"/>
              <w:rPr>
                <w:rFonts w:hint="eastAsia" w:ascii="宋体" w:hAnsi="宋体" w:eastAsia="宋体" w:cs="宋体"/>
                <w:color w:val="auto"/>
                <w:highlight w:val="none"/>
              </w:rPr>
            </w:pPr>
          </w:p>
        </w:tc>
      </w:tr>
      <w:tr w14:paraId="48827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2E15E6F2">
            <w:pPr>
              <w:pStyle w:val="39"/>
              <w:rPr>
                <w:rFonts w:hint="eastAsia" w:ascii="宋体" w:hAnsi="宋体" w:eastAsia="宋体" w:cs="宋体"/>
                <w:color w:val="auto"/>
                <w:highlight w:val="none"/>
              </w:rPr>
            </w:pPr>
          </w:p>
        </w:tc>
        <w:tc>
          <w:tcPr>
            <w:tcW w:w="1508" w:type="dxa"/>
            <w:vAlign w:val="top"/>
          </w:tcPr>
          <w:p w14:paraId="35AB89C2">
            <w:pPr>
              <w:pStyle w:val="39"/>
              <w:rPr>
                <w:rFonts w:hint="eastAsia" w:ascii="宋体" w:hAnsi="宋体" w:eastAsia="宋体" w:cs="宋体"/>
                <w:color w:val="auto"/>
                <w:highlight w:val="none"/>
              </w:rPr>
            </w:pPr>
          </w:p>
        </w:tc>
        <w:tc>
          <w:tcPr>
            <w:tcW w:w="2090" w:type="dxa"/>
            <w:vAlign w:val="top"/>
          </w:tcPr>
          <w:p w14:paraId="7A69F459">
            <w:pPr>
              <w:pStyle w:val="39"/>
              <w:rPr>
                <w:rFonts w:hint="eastAsia" w:ascii="宋体" w:hAnsi="宋体" w:eastAsia="宋体" w:cs="宋体"/>
                <w:color w:val="auto"/>
                <w:highlight w:val="none"/>
              </w:rPr>
            </w:pPr>
          </w:p>
        </w:tc>
        <w:tc>
          <w:tcPr>
            <w:tcW w:w="1259" w:type="dxa"/>
            <w:vAlign w:val="top"/>
          </w:tcPr>
          <w:p w14:paraId="077DE6F8">
            <w:pPr>
              <w:pStyle w:val="39"/>
              <w:rPr>
                <w:rFonts w:hint="eastAsia" w:ascii="宋体" w:hAnsi="宋体" w:eastAsia="宋体" w:cs="宋体"/>
                <w:color w:val="auto"/>
                <w:highlight w:val="none"/>
              </w:rPr>
            </w:pPr>
          </w:p>
        </w:tc>
        <w:tc>
          <w:tcPr>
            <w:tcW w:w="1259" w:type="dxa"/>
            <w:vAlign w:val="top"/>
          </w:tcPr>
          <w:p w14:paraId="0CFFE95C">
            <w:pPr>
              <w:pStyle w:val="39"/>
              <w:rPr>
                <w:rFonts w:hint="eastAsia" w:ascii="宋体" w:hAnsi="宋体" w:eastAsia="宋体" w:cs="宋体"/>
                <w:color w:val="auto"/>
                <w:highlight w:val="none"/>
              </w:rPr>
            </w:pPr>
          </w:p>
        </w:tc>
        <w:tc>
          <w:tcPr>
            <w:tcW w:w="900" w:type="dxa"/>
            <w:vAlign w:val="top"/>
          </w:tcPr>
          <w:p w14:paraId="0EC1F085">
            <w:pPr>
              <w:pStyle w:val="39"/>
              <w:rPr>
                <w:rFonts w:hint="eastAsia" w:ascii="宋体" w:hAnsi="宋体" w:eastAsia="宋体" w:cs="宋体"/>
                <w:color w:val="auto"/>
                <w:highlight w:val="none"/>
              </w:rPr>
            </w:pPr>
          </w:p>
        </w:tc>
        <w:tc>
          <w:tcPr>
            <w:tcW w:w="904" w:type="dxa"/>
            <w:vAlign w:val="top"/>
          </w:tcPr>
          <w:p w14:paraId="3403C9C2">
            <w:pPr>
              <w:pStyle w:val="39"/>
              <w:rPr>
                <w:rFonts w:hint="eastAsia" w:ascii="宋体" w:hAnsi="宋体" w:eastAsia="宋体" w:cs="宋体"/>
                <w:color w:val="auto"/>
                <w:highlight w:val="none"/>
              </w:rPr>
            </w:pPr>
          </w:p>
        </w:tc>
      </w:tr>
      <w:tr w14:paraId="1377D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197154AA">
            <w:pPr>
              <w:pStyle w:val="39"/>
              <w:rPr>
                <w:rFonts w:hint="eastAsia" w:ascii="宋体" w:hAnsi="宋体" w:eastAsia="宋体" w:cs="宋体"/>
                <w:color w:val="auto"/>
                <w:highlight w:val="none"/>
              </w:rPr>
            </w:pPr>
          </w:p>
        </w:tc>
        <w:tc>
          <w:tcPr>
            <w:tcW w:w="1508" w:type="dxa"/>
            <w:vAlign w:val="top"/>
          </w:tcPr>
          <w:p w14:paraId="51A69DF8">
            <w:pPr>
              <w:pStyle w:val="39"/>
              <w:rPr>
                <w:rFonts w:hint="eastAsia" w:ascii="宋体" w:hAnsi="宋体" w:eastAsia="宋体" w:cs="宋体"/>
                <w:color w:val="auto"/>
                <w:highlight w:val="none"/>
              </w:rPr>
            </w:pPr>
          </w:p>
        </w:tc>
        <w:tc>
          <w:tcPr>
            <w:tcW w:w="2090" w:type="dxa"/>
            <w:vAlign w:val="top"/>
          </w:tcPr>
          <w:p w14:paraId="1A00B395">
            <w:pPr>
              <w:pStyle w:val="39"/>
              <w:rPr>
                <w:rFonts w:hint="eastAsia" w:ascii="宋体" w:hAnsi="宋体" w:eastAsia="宋体" w:cs="宋体"/>
                <w:color w:val="auto"/>
                <w:highlight w:val="none"/>
              </w:rPr>
            </w:pPr>
          </w:p>
        </w:tc>
        <w:tc>
          <w:tcPr>
            <w:tcW w:w="1259" w:type="dxa"/>
            <w:vAlign w:val="top"/>
          </w:tcPr>
          <w:p w14:paraId="435E6428">
            <w:pPr>
              <w:pStyle w:val="39"/>
              <w:rPr>
                <w:rFonts w:hint="eastAsia" w:ascii="宋体" w:hAnsi="宋体" w:eastAsia="宋体" w:cs="宋体"/>
                <w:color w:val="auto"/>
                <w:highlight w:val="none"/>
              </w:rPr>
            </w:pPr>
          </w:p>
        </w:tc>
        <w:tc>
          <w:tcPr>
            <w:tcW w:w="1259" w:type="dxa"/>
            <w:vAlign w:val="top"/>
          </w:tcPr>
          <w:p w14:paraId="11C39EBA">
            <w:pPr>
              <w:pStyle w:val="39"/>
              <w:rPr>
                <w:rFonts w:hint="eastAsia" w:ascii="宋体" w:hAnsi="宋体" w:eastAsia="宋体" w:cs="宋体"/>
                <w:color w:val="auto"/>
                <w:highlight w:val="none"/>
              </w:rPr>
            </w:pPr>
          </w:p>
        </w:tc>
        <w:tc>
          <w:tcPr>
            <w:tcW w:w="900" w:type="dxa"/>
            <w:vAlign w:val="top"/>
          </w:tcPr>
          <w:p w14:paraId="66808228">
            <w:pPr>
              <w:pStyle w:val="39"/>
              <w:rPr>
                <w:rFonts w:hint="eastAsia" w:ascii="宋体" w:hAnsi="宋体" w:eastAsia="宋体" w:cs="宋体"/>
                <w:color w:val="auto"/>
                <w:highlight w:val="none"/>
              </w:rPr>
            </w:pPr>
          </w:p>
        </w:tc>
        <w:tc>
          <w:tcPr>
            <w:tcW w:w="904" w:type="dxa"/>
            <w:vAlign w:val="top"/>
          </w:tcPr>
          <w:p w14:paraId="10BBC8A8">
            <w:pPr>
              <w:pStyle w:val="39"/>
              <w:rPr>
                <w:rFonts w:hint="eastAsia" w:ascii="宋体" w:hAnsi="宋体" w:eastAsia="宋体" w:cs="宋体"/>
                <w:color w:val="auto"/>
                <w:highlight w:val="none"/>
              </w:rPr>
            </w:pPr>
          </w:p>
        </w:tc>
      </w:tr>
      <w:tr w14:paraId="2906D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117B7823">
            <w:pPr>
              <w:pStyle w:val="39"/>
              <w:rPr>
                <w:rFonts w:hint="eastAsia" w:ascii="宋体" w:hAnsi="宋体" w:eastAsia="宋体" w:cs="宋体"/>
                <w:color w:val="auto"/>
                <w:highlight w:val="none"/>
              </w:rPr>
            </w:pPr>
          </w:p>
        </w:tc>
        <w:tc>
          <w:tcPr>
            <w:tcW w:w="1508" w:type="dxa"/>
            <w:vAlign w:val="top"/>
          </w:tcPr>
          <w:p w14:paraId="028FF2CA">
            <w:pPr>
              <w:pStyle w:val="39"/>
              <w:rPr>
                <w:rFonts w:hint="eastAsia" w:ascii="宋体" w:hAnsi="宋体" w:eastAsia="宋体" w:cs="宋体"/>
                <w:color w:val="auto"/>
                <w:highlight w:val="none"/>
              </w:rPr>
            </w:pPr>
          </w:p>
        </w:tc>
        <w:tc>
          <w:tcPr>
            <w:tcW w:w="2090" w:type="dxa"/>
            <w:vAlign w:val="top"/>
          </w:tcPr>
          <w:p w14:paraId="4DF327B7">
            <w:pPr>
              <w:pStyle w:val="39"/>
              <w:rPr>
                <w:rFonts w:hint="eastAsia" w:ascii="宋体" w:hAnsi="宋体" w:eastAsia="宋体" w:cs="宋体"/>
                <w:color w:val="auto"/>
                <w:highlight w:val="none"/>
              </w:rPr>
            </w:pPr>
          </w:p>
        </w:tc>
        <w:tc>
          <w:tcPr>
            <w:tcW w:w="1259" w:type="dxa"/>
            <w:vAlign w:val="top"/>
          </w:tcPr>
          <w:p w14:paraId="392EAC8E">
            <w:pPr>
              <w:pStyle w:val="39"/>
              <w:rPr>
                <w:rFonts w:hint="eastAsia" w:ascii="宋体" w:hAnsi="宋体" w:eastAsia="宋体" w:cs="宋体"/>
                <w:color w:val="auto"/>
                <w:highlight w:val="none"/>
              </w:rPr>
            </w:pPr>
          </w:p>
        </w:tc>
        <w:tc>
          <w:tcPr>
            <w:tcW w:w="1259" w:type="dxa"/>
            <w:vAlign w:val="top"/>
          </w:tcPr>
          <w:p w14:paraId="7EFEDF99">
            <w:pPr>
              <w:pStyle w:val="39"/>
              <w:rPr>
                <w:rFonts w:hint="eastAsia" w:ascii="宋体" w:hAnsi="宋体" w:eastAsia="宋体" w:cs="宋体"/>
                <w:color w:val="auto"/>
                <w:highlight w:val="none"/>
              </w:rPr>
            </w:pPr>
          </w:p>
        </w:tc>
        <w:tc>
          <w:tcPr>
            <w:tcW w:w="900" w:type="dxa"/>
            <w:vAlign w:val="top"/>
          </w:tcPr>
          <w:p w14:paraId="6ACD0546">
            <w:pPr>
              <w:pStyle w:val="39"/>
              <w:rPr>
                <w:rFonts w:hint="eastAsia" w:ascii="宋体" w:hAnsi="宋体" w:eastAsia="宋体" w:cs="宋体"/>
                <w:color w:val="auto"/>
                <w:highlight w:val="none"/>
              </w:rPr>
            </w:pPr>
          </w:p>
        </w:tc>
        <w:tc>
          <w:tcPr>
            <w:tcW w:w="904" w:type="dxa"/>
            <w:vAlign w:val="top"/>
          </w:tcPr>
          <w:p w14:paraId="41858424">
            <w:pPr>
              <w:pStyle w:val="39"/>
              <w:rPr>
                <w:rFonts w:hint="eastAsia" w:ascii="宋体" w:hAnsi="宋体" w:eastAsia="宋体" w:cs="宋体"/>
                <w:color w:val="auto"/>
                <w:highlight w:val="none"/>
              </w:rPr>
            </w:pPr>
          </w:p>
        </w:tc>
      </w:tr>
      <w:tr w14:paraId="211C7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27A15195">
            <w:pPr>
              <w:pStyle w:val="39"/>
              <w:rPr>
                <w:rFonts w:hint="eastAsia" w:ascii="宋体" w:hAnsi="宋体" w:eastAsia="宋体" w:cs="宋体"/>
                <w:color w:val="auto"/>
                <w:highlight w:val="none"/>
              </w:rPr>
            </w:pPr>
          </w:p>
        </w:tc>
        <w:tc>
          <w:tcPr>
            <w:tcW w:w="1508" w:type="dxa"/>
            <w:vAlign w:val="top"/>
          </w:tcPr>
          <w:p w14:paraId="226A577C">
            <w:pPr>
              <w:pStyle w:val="39"/>
              <w:rPr>
                <w:rFonts w:hint="eastAsia" w:ascii="宋体" w:hAnsi="宋体" w:eastAsia="宋体" w:cs="宋体"/>
                <w:color w:val="auto"/>
                <w:highlight w:val="none"/>
              </w:rPr>
            </w:pPr>
          </w:p>
        </w:tc>
        <w:tc>
          <w:tcPr>
            <w:tcW w:w="2090" w:type="dxa"/>
            <w:vAlign w:val="top"/>
          </w:tcPr>
          <w:p w14:paraId="341665BE">
            <w:pPr>
              <w:pStyle w:val="39"/>
              <w:rPr>
                <w:rFonts w:hint="eastAsia" w:ascii="宋体" w:hAnsi="宋体" w:eastAsia="宋体" w:cs="宋体"/>
                <w:color w:val="auto"/>
                <w:highlight w:val="none"/>
              </w:rPr>
            </w:pPr>
          </w:p>
        </w:tc>
        <w:tc>
          <w:tcPr>
            <w:tcW w:w="1259" w:type="dxa"/>
            <w:vAlign w:val="top"/>
          </w:tcPr>
          <w:p w14:paraId="7F20FA11">
            <w:pPr>
              <w:pStyle w:val="39"/>
              <w:rPr>
                <w:rFonts w:hint="eastAsia" w:ascii="宋体" w:hAnsi="宋体" w:eastAsia="宋体" w:cs="宋体"/>
                <w:color w:val="auto"/>
                <w:highlight w:val="none"/>
              </w:rPr>
            </w:pPr>
          </w:p>
        </w:tc>
        <w:tc>
          <w:tcPr>
            <w:tcW w:w="1259" w:type="dxa"/>
            <w:vAlign w:val="top"/>
          </w:tcPr>
          <w:p w14:paraId="45C02E1F">
            <w:pPr>
              <w:pStyle w:val="39"/>
              <w:rPr>
                <w:rFonts w:hint="eastAsia" w:ascii="宋体" w:hAnsi="宋体" w:eastAsia="宋体" w:cs="宋体"/>
                <w:color w:val="auto"/>
                <w:highlight w:val="none"/>
              </w:rPr>
            </w:pPr>
          </w:p>
        </w:tc>
        <w:tc>
          <w:tcPr>
            <w:tcW w:w="900" w:type="dxa"/>
            <w:vAlign w:val="top"/>
          </w:tcPr>
          <w:p w14:paraId="6EF375D6">
            <w:pPr>
              <w:pStyle w:val="39"/>
              <w:rPr>
                <w:rFonts w:hint="eastAsia" w:ascii="宋体" w:hAnsi="宋体" w:eastAsia="宋体" w:cs="宋体"/>
                <w:color w:val="auto"/>
                <w:highlight w:val="none"/>
              </w:rPr>
            </w:pPr>
          </w:p>
        </w:tc>
        <w:tc>
          <w:tcPr>
            <w:tcW w:w="904" w:type="dxa"/>
            <w:vAlign w:val="top"/>
          </w:tcPr>
          <w:p w14:paraId="6619A91B">
            <w:pPr>
              <w:pStyle w:val="39"/>
              <w:rPr>
                <w:rFonts w:hint="eastAsia" w:ascii="宋体" w:hAnsi="宋体" w:eastAsia="宋体" w:cs="宋体"/>
                <w:color w:val="auto"/>
                <w:highlight w:val="none"/>
              </w:rPr>
            </w:pPr>
          </w:p>
        </w:tc>
      </w:tr>
      <w:tr w14:paraId="587F1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61076AAE">
            <w:pPr>
              <w:pStyle w:val="39"/>
              <w:rPr>
                <w:rFonts w:hint="eastAsia" w:ascii="宋体" w:hAnsi="宋体" w:eastAsia="宋体" w:cs="宋体"/>
                <w:color w:val="auto"/>
                <w:highlight w:val="none"/>
              </w:rPr>
            </w:pPr>
          </w:p>
        </w:tc>
        <w:tc>
          <w:tcPr>
            <w:tcW w:w="1508" w:type="dxa"/>
            <w:vAlign w:val="top"/>
          </w:tcPr>
          <w:p w14:paraId="6B7742F9">
            <w:pPr>
              <w:pStyle w:val="39"/>
              <w:rPr>
                <w:rFonts w:hint="eastAsia" w:ascii="宋体" w:hAnsi="宋体" w:eastAsia="宋体" w:cs="宋体"/>
                <w:color w:val="auto"/>
                <w:highlight w:val="none"/>
              </w:rPr>
            </w:pPr>
          </w:p>
        </w:tc>
        <w:tc>
          <w:tcPr>
            <w:tcW w:w="2090" w:type="dxa"/>
            <w:vAlign w:val="top"/>
          </w:tcPr>
          <w:p w14:paraId="35D1DA33">
            <w:pPr>
              <w:pStyle w:val="39"/>
              <w:rPr>
                <w:rFonts w:hint="eastAsia" w:ascii="宋体" w:hAnsi="宋体" w:eastAsia="宋体" w:cs="宋体"/>
                <w:color w:val="auto"/>
                <w:highlight w:val="none"/>
              </w:rPr>
            </w:pPr>
          </w:p>
        </w:tc>
        <w:tc>
          <w:tcPr>
            <w:tcW w:w="1259" w:type="dxa"/>
            <w:vAlign w:val="top"/>
          </w:tcPr>
          <w:p w14:paraId="27DE355B">
            <w:pPr>
              <w:pStyle w:val="39"/>
              <w:rPr>
                <w:rFonts w:hint="eastAsia" w:ascii="宋体" w:hAnsi="宋体" w:eastAsia="宋体" w:cs="宋体"/>
                <w:color w:val="auto"/>
                <w:highlight w:val="none"/>
              </w:rPr>
            </w:pPr>
          </w:p>
        </w:tc>
        <w:tc>
          <w:tcPr>
            <w:tcW w:w="1259" w:type="dxa"/>
            <w:vAlign w:val="top"/>
          </w:tcPr>
          <w:p w14:paraId="4BDD145F">
            <w:pPr>
              <w:pStyle w:val="39"/>
              <w:rPr>
                <w:rFonts w:hint="eastAsia" w:ascii="宋体" w:hAnsi="宋体" w:eastAsia="宋体" w:cs="宋体"/>
                <w:color w:val="auto"/>
                <w:highlight w:val="none"/>
              </w:rPr>
            </w:pPr>
          </w:p>
        </w:tc>
        <w:tc>
          <w:tcPr>
            <w:tcW w:w="900" w:type="dxa"/>
            <w:vAlign w:val="top"/>
          </w:tcPr>
          <w:p w14:paraId="2A3A31A7">
            <w:pPr>
              <w:pStyle w:val="39"/>
              <w:rPr>
                <w:rFonts w:hint="eastAsia" w:ascii="宋体" w:hAnsi="宋体" w:eastAsia="宋体" w:cs="宋体"/>
                <w:color w:val="auto"/>
                <w:highlight w:val="none"/>
              </w:rPr>
            </w:pPr>
          </w:p>
        </w:tc>
        <w:tc>
          <w:tcPr>
            <w:tcW w:w="904" w:type="dxa"/>
            <w:vAlign w:val="top"/>
          </w:tcPr>
          <w:p w14:paraId="5B6D677F">
            <w:pPr>
              <w:pStyle w:val="39"/>
              <w:rPr>
                <w:rFonts w:hint="eastAsia" w:ascii="宋体" w:hAnsi="宋体" w:eastAsia="宋体" w:cs="宋体"/>
                <w:color w:val="auto"/>
                <w:highlight w:val="none"/>
              </w:rPr>
            </w:pPr>
          </w:p>
        </w:tc>
      </w:tr>
      <w:tr w14:paraId="3B4C1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65CB5B4F">
            <w:pPr>
              <w:pStyle w:val="39"/>
              <w:rPr>
                <w:rFonts w:hint="eastAsia" w:ascii="宋体" w:hAnsi="宋体" w:eastAsia="宋体" w:cs="宋体"/>
                <w:color w:val="auto"/>
                <w:highlight w:val="none"/>
              </w:rPr>
            </w:pPr>
          </w:p>
        </w:tc>
        <w:tc>
          <w:tcPr>
            <w:tcW w:w="1508" w:type="dxa"/>
            <w:vAlign w:val="top"/>
          </w:tcPr>
          <w:p w14:paraId="3BB6ADFC">
            <w:pPr>
              <w:pStyle w:val="39"/>
              <w:rPr>
                <w:rFonts w:hint="eastAsia" w:ascii="宋体" w:hAnsi="宋体" w:eastAsia="宋体" w:cs="宋体"/>
                <w:color w:val="auto"/>
                <w:highlight w:val="none"/>
              </w:rPr>
            </w:pPr>
          </w:p>
        </w:tc>
        <w:tc>
          <w:tcPr>
            <w:tcW w:w="2090" w:type="dxa"/>
            <w:vAlign w:val="top"/>
          </w:tcPr>
          <w:p w14:paraId="63D8C570">
            <w:pPr>
              <w:pStyle w:val="39"/>
              <w:rPr>
                <w:rFonts w:hint="eastAsia" w:ascii="宋体" w:hAnsi="宋体" w:eastAsia="宋体" w:cs="宋体"/>
                <w:color w:val="auto"/>
                <w:highlight w:val="none"/>
              </w:rPr>
            </w:pPr>
          </w:p>
        </w:tc>
        <w:tc>
          <w:tcPr>
            <w:tcW w:w="1259" w:type="dxa"/>
            <w:vAlign w:val="top"/>
          </w:tcPr>
          <w:p w14:paraId="135AFD87">
            <w:pPr>
              <w:pStyle w:val="39"/>
              <w:rPr>
                <w:rFonts w:hint="eastAsia" w:ascii="宋体" w:hAnsi="宋体" w:eastAsia="宋体" w:cs="宋体"/>
                <w:color w:val="auto"/>
                <w:highlight w:val="none"/>
              </w:rPr>
            </w:pPr>
          </w:p>
        </w:tc>
        <w:tc>
          <w:tcPr>
            <w:tcW w:w="1259" w:type="dxa"/>
            <w:vAlign w:val="top"/>
          </w:tcPr>
          <w:p w14:paraId="5DC76EC9">
            <w:pPr>
              <w:pStyle w:val="39"/>
              <w:rPr>
                <w:rFonts w:hint="eastAsia" w:ascii="宋体" w:hAnsi="宋体" w:eastAsia="宋体" w:cs="宋体"/>
                <w:color w:val="auto"/>
                <w:highlight w:val="none"/>
              </w:rPr>
            </w:pPr>
          </w:p>
        </w:tc>
        <w:tc>
          <w:tcPr>
            <w:tcW w:w="900" w:type="dxa"/>
            <w:vAlign w:val="top"/>
          </w:tcPr>
          <w:p w14:paraId="05B22865">
            <w:pPr>
              <w:pStyle w:val="39"/>
              <w:rPr>
                <w:rFonts w:hint="eastAsia" w:ascii="宋体" w:hAnsi="宋体" w:eastAsia="宋体" w:cs="宋体"/>
                <w:color w:val="auto"/>
                <w:highlight w:val="none"/>
              </w:rPr>
            </w:pPr>
          </w:p>
        </w:tc>
        <w:tc>
          <w:tcPr>
            <w:tcW w:w="904" w:type="dxa"/>
            <w:vAlign w:val="top"/>
          </w:tcPr>
          <w:p w14:paraId="22B64DB6">
            <w:pPr>
              <w:pStyle w:val="39"/>
              <w:rPr>
                <w:rFonts w:hint="eastAsia" w:ascii="宋体" w:hAnsi="宋体" w:eastAsia="宋体" w:cs="宋体"/>
                <w:color w:val="auto"/>
                <w:highlight w:val="none"/>
              </w:rPr>
            </w:pPr>
          </w:p>
        </w:tc>
      </w:tr>
      <w:tr w14:paraId="68A8B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2A329719">
            <w:pPr>
              <w:pStyle w:val="39"/>
              <w:rPr>
                <w:rFonts w:hint="eastAsia" w:ascii="宋体" w:hAnsi="宋体" w:eastAsia="宋体" w:cs="宋体"/>
                <w:color w:val="auto"/>
                <w:highlight w:val="none"/>
              </w:rPr>
            </w:pPr>
          </w:p>
        </w:tc>
        <w:tc>
          <w:tcPr>
            <w:tcW w:w="1508" w:type="dxa"/>
            <w:vAlign w:val="top"/>
          </w:tcPr>
          <w:p w14:paraId="30C4A57C">
            <w:pPr>
              <w:pStyle w:val="39"/>
              <w:rPr>
                <w:rFonts w:hint="eastAsia" w:ascii="宋体" w:hAnsi="宋体" w:eastAsia="宋体" w:cs="宋体"/>
                <w:color w:val="auto"/>
                <w:highlight w:val="none"/>
              </w:rPr>
            </w:pPr>
          </w:p>
        </w:tc>
        <w:tc>
          <w:tcPr>
            <w:tcW w:w="2090" w:type="dxa"/>
            <w:vAlign w:val="top"/>
          </w:tcPr>
          <w:p w14:paraId="78AA8678">
            <w:pPr>
              <w:pStyle w:val="39"/>
              <w:rPr>
                <w:rFonts w:hint="eastAsia" w:ascii="宋体" w:hAnsi="宋体" w:eastAsia="宋体" w:cs="宋体"/>
                <w:color w:val="auto"/>
                <w:highlight w:val="none"/>
              </w:rPr>
            </w:pPr>
          </w:p>
        </w:tc>
        <w:tc>
          <w:tcPr>
            <w:tcW w:w="1259" w:type="dxa"/>
            <w:vAlign w:val="top"/>
          </w:tcPr>
          <w:p w14:paraId="2EDEF7B7">
            <w:pPr>
              <w:pStyle w:val="39"/>
              <w:rPr>
                <w:rFonts w:hint="eastAsia" w:ascii="宋体" w:hAnsi="宋体" w:eastAsia="宋体" w:cs="宋体"/>
                <w:color w:val="auto"/>
                <w:highlight w:val="none"/>
              </w:rPr>
            </w:pPr>
          </w:p>
        </w:tc>
        <w:tc>
          <w:tcPr>
            <w:tcW w:w="1259" w:type="dxa"/>
            <w:vAlign w:val="top"/>
          </w:tcPr>
          <w:p w14:paraId="085122A8">
            <w:pPr>
              <w:pStyle w:val="39"/>
              <w:rPr>
                <w:rFonts w:hint="eastAsia" w:ascii="宋体" w:hAnsi="宋体" w:eastAsia="宋体" w:cs="宋体"/>
                <w:color w:val="auto"/>
                <w:highlight w:val="none"/>
              </w:rPr>
            </w:pPr>
          </w:p>
        </w:tc>
        <w:tc>
          <w:tcPr>
            <w:tcW w:w="900" w:type="dxa"/>
            <w:vAlign w:val="top"/>
          </w:tcPr>
          <w:p w14:paraId="541C83E3">
            <w:pPr>
              <w:pStyle w:val="39"/>
              <w:rPr>
                <w:rFonts w:hint="eastAsia" w:ascii="宋体" w:hAnsi="宋体" w:eastAsia="宋体" w:cs="宋体"/>
                <w:color w:val="auto"/>
                <w:highlight w:val="none"/>
              </w:rPr>
            </w:pPr>
          </w:p>
        </w:tc>
        <w:tc>
          <w:tcPr>
            <w:tcW w:w="904" w:type="dxa"/>
            <w:vAlign w:val="top"/>
          </w:tcPr>
          <w:p w14:paraId="713CA09E">
            <w:pPr>
              <w:pStyle w:val="39"/>
              <w:rPr>
                <w:rFonts w:hint="eastAsia" w:ascii="宋体" w:hAnsi="宋体" w:eastAsia="宋体" w:cs="宋体"/>
                <w:color w:val="auto"/>
                <w:highlight w:val="none"/>
              </w:rPr>
            </w:pPr>
          </w:p>
        </w:tc>
      </w:tr>
      <w:tr w14:paraId="016EA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546576C0">
            <w:pPr>
              <w:pStyle w:val="39"/>
              <w:rPr>
                <w:rFonts w:hint="eastAsia" w:ascii="宋体" w:hAnsi="宋体" w:eastAsia="宋体" w:cs="宋体"/>
                <w:color w:val="auto"/>
                <w:highlight w:val="none"/>
              </w:rPr>
            </w:pPr>
          </w:p>
        </w:tc>
        <w:tc>
          <w:tcPr>
            <w:tcW w:w="1508" w:type="dxa"/>
            <w:vAlign w:val="top"/>
          </w:tcPr>
          <w:p w14:paraId="633CB070">
            <w:pPr>
              <w:pStyle w:val="39"/>
              <w:rPr>
                <w:rFonts w:hint="eastAsia" w:ascii="宋体" w:hAnsi="宋体" w:eastAsia="宋体" w:cs="宋体"/>
                <w:color w:val="auto"/>
                <w:highlight w:val="none"/>
              </w:rPr>
            </w:pPr>
          </w:p>
        </w:tc>
        <w:tc>
          <w:tcPr>
            <w:tcW w:w="2090" w:type="dxa"/>
            <w:vAlign w:val="top"/>
          </w:tcPr>
          <w:p w14:paraId="4A017BB8">
            <w:pPr>
              <w:pStyle w:val="39"/>
              <w:rPr>
                <w:rFonts w:hint="eastAsia" w:ascii="宋体" w:hAnsi="宋体" w:eastAsia="宋体" w:cs="宋体"/>
                <w:color w:val="auto"/>
                <w:highlight w:val="none"/>
              </w:rPr>
            </w:pPr>
          </w:p>
        </w:tc>
        <w:tc>
          <w:tcPr>
            <w:tcW w:w="1259" w:type="dxa"/>
            <w:vAlign w:val="top"/>
          </w:tcPr>
          <w:p w14:paraId="51B2EF52">
            <w:pPr>
              <w:pStyle w:val="39"/>
              <w:rPr>
                <w:rFonts w:hint="eastAsia" w:ascii="宋体" w:hAnsi="宋体" w:eastAsia="宋体" w:cs="宋体"/>
                <w:color w:val="auto"/>
                <w:highlight w:val="none"/>
              </w:rPr>
            </w:pPr>
          </w:p>
        </w:tc>
        <w:tc>
          <w:tcPr>
            <w:tcW w:w="1259" w:type="dxa"/>
            <w:vAlign w:val="top"/>
          </w:tcPr>
          <w:p w14:paraId="7ECF6D20">
            <w:pPr>
              <w:pStyle w:val="39"/>
              <w:rPr>
                <w:rFonts w:hint="eastAsia" w:ascii="宋体" w:hAnsi="宋体" w:eastAsia="宋体" w:cs="宋体"/>
                <w:color w:val="auto"/>
                <w:highlight w:val="none"/>
              </w:rPr>
            </w:pPr>
          </w:p>
        </w:tc>
        <w:tc>
          <w:tcPr>
            <w:tcW w:w="900" w:type="dxa"/>
            <w:vAlign w:val="top"/>
          </w:tcPr>
          <w:p w14:paraId="2C8E6BD4">
            <w:pPr>
              <w:pStyle w:val="39"/>
              <w:rPr>
                <w:rFonts w:hint="eastAsia" w:ascii="宋体" w:hAnsi="宋体" w:eastAsia="宋体" w:cs="宋体"/>
                <w:color w:val="auto"/>
                <w:highlight w:val="none"/>
              </w:rPr>
            </w:pPr>
          </w:p>
        </w:tc>
        <w:tc>
          <w:tcPr>
            <w:tcW w:w="904" w:type="dxa"/>
            <w:vAlign w:val="top"/>
          </w:tcPr>
          <w:p w14:paraId="2BBC2B40">
            <w:pPr>
              <w:pStyle w:val="39"/>
              <w:rPr>
                <w:rFonts w:hint="eastAsia" w:ascii="宋体" w:hAnsi="宋体" w:eastAsia="宋体" w:cs="宋体"/>
                <w:color w:val="auto"/>
                <w:highlight w:val="none"/>
              </w:rPr>
            </w:pPr>
          </w:p>
        </w:tc>
      </w:tr>
      <w:tr w14:paraId="783A0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4CDF93B4">
            <w:pPr>
              <w:pStyle w:val="39"/>
              <w:rPr>
                <w:rFonts w:hint="eastAsia" w:ascii="宋体" w:hAnsi="宋体" w:eastAsia="宋体" w:cs="宋体"/>
                <w:color w:val="auto"/>
                <w:highlight w:val="none"/>
              </w:rPr>
            </w:pPr>
          </w:p>
        </w:tc>
        <w:tc>
          <w:tcPr>
            <w:tcW w:w="1508" w:type="dxa"/>
            <w:vAlign w:val="top"/>
          </w:tcPr>
          <w:p w14:paraId="1AD4D40E">
            <w:pPr>
              <w:pStyle w:val="39"/>
              <w:rPr>
                <w:rFonts w:hint="eastAsia" w:ascii="宋体" w:hAnsi="宋体" w:eastAsia="宋体" w:cs="宋体"/>
                <w:color w:val="auto"/>
                <w:highlight w:val="none"/>
              </w:rPr>
            </w:pPr>
          </w:p>
        </w:tc>
        <w:tc>
          <w:tcPr>
            <w:tcW w:w="2090" w:type="dxa"/>
            <w:vAlign w:val="top"/>
          </w:tcPr>
          <w:p w14:paraId="04C52961">
            <w:pPr>
              <w:pStyle w:val="39"/>
              <w:rPr>
                <w:rFonts w:hint="eastAsia" w:ascii="宋体" w:hAnsi="宋体" w:eastAsia="宋体" w:cs="宋体"/>
                <w:color w:val="auto"/>
                <w:highlight w:val="none"/>
              </w:rPr>
            </w:pPr>
          </w:p>
        </w:tc>
        <w:tc>
          <w:tcPr>
            <w:tcW w:w="1259" w:type="dxa"/>
            <w:vAlign w:val="top"/>
          </w:tcPr>
          <w:p w14:paraId="452E9129">
            <w:pPr>
              <w:pStyle w:val="39"/>
              <w:rPr>
                <w:rFonts w:hint="eastAsia" w:ascii="宋体" w:hAnsi="宋体" w:eastAsia="宋体" w:cs="宋体"/>
                <w:color w:val="auto"/>
                <w:highlight w:val="none"/>
              </w:rPr>
            </w:pPr>
          </w:p>
        </w:tc>
        <w:tc>
          <w:tcPr>
            <w:tcW w:w="1259" w:type="dxa"/>
            <w:vAlign w:val="top"/>
          </w:tcPr>
          <w:p w14:paraId="4F276E7A">
            <w:pPr>
              <w:pStyle w:val="39"/>
              <w:rPr>
                <w:rFonts w:hint="eastAsia" w:ascii="宋体" w:hAnsi="宋体" w:eastAsia="宋体" w:cs="宋体"/>
                <w:color w:val="auto"/>
                <w:highlight w:val="none"/>
              </w:rPr>
            </w:pPr>
          </w:p>
        </w:tc>
        <w:tc>
          <w:tcPr>
            <w:tcW w:w="900" w:type="dxa"/>
            <w:vAlign w:val="top"/>
          </w:tcPr>
          <w:p w14:paraId="5729D445">
            <w:pPr>
              <w:pStyle w:val="39"/>
              <w:rPr>
                <w:rFonts w:hint="eastAsia" w:ascii="宋体" w:hAnsi="宋体" w:eastAsia="宋体" w:cs="宋体"/>
                <w:color w:val="auto"/>
                <w:highlight w:val="none"/>
              </w:rPr>
            </w:pPr>
          </w:p>
        </w:tc>
        <w:tc>
          <w:tcPr>
            <w:tcW w:w="904" w:type="dxa"/>
            <w:vAlign w:val="top"/>
          </w:tcPr>
          <w:p w14:paraId="4E8B497F">
            <w:pPr>
              <w:pStyle w:val="39"/>
              <w:rPr>
                <w:rFonts w:hint="eastAsia" w:ascii="宋体" w:hAnsi="宋体" w:eastAsia="宋体" w:cs="宋体"/>
                <w:color w:val="auto"/>
                <w:highlight w:val="none"/>
              </w:rPr>
            </w:pPr>
          </w:p>
        </w:tc>
      </w:tr>
      <w:tr w14:paraId="31E5E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7A746A60">
            <w:pPr>
              <w:pStyle w:val="39"/>
              <w:rPr>
                <w:rFonts w:hint="eastAsia" w:ascii="宋体" w:hAnsi="宋体" w:eastAsia="宋体" w:cs="宋体"/>
                <w:color w:val="auto"/>
                <w:highlight w:val="none"/>
              </w:rPr>
            </w:pPr>
          </w:p>
        </w:tc>
        <w:tc>
          <w:tcPr>
            <w:tcW w:w="1508" w:type="dxa"/>
            <w:vAlign w:val="top"/>
          </w:tcPr>
          <w:p w14:paraId="0C0EFDFC">
            <w:pPr>
              <w:pStyle w:val="39"/>
              <w:rPr>
                <w:rFonts w:hint="eastAsia" w:ascii="宋体" w:hAnsi="宋体" w:eastAsia="宋体" w:cs="宋体"/>
                <w:color w:val="auto"/>
                <w:highlight w:val="none"/>
              </w:rPr>
            </w:pPr>
          </w:p>
        </w:tc>
        <w:tc>
          <w:tcPr>
            <w:tcW w:w="2090" w:type="dxa"/>
            <w:vAlign w:val="top"/>
          </w:tcPr>
          <w:p w14:paraId="46B54796">
            <w:pPr>
              <w:pStyle w:val="39"/>
              <w:rPr>
                <w:rFonts w:hint="eastAsia" w:ascii="宋体" w:hAnsi="宋体" w:eastAsia="宋体" w:cs="宋体"/>
                <w:color w:val="auto"/>
                <w:highlight w:val="none"/>
              </w:rPr>
            </w:pPr>
          </w:p>
        </w:tc>
        <w:tc>
          <w:tcPr>
            <w:tcW w:w="1259" w:type="dxa"/>
            <w:vAlign w:val="top"/>
          </w:tcPr>
          <w:p w14:paraId="27FCF303">
            <w:pPr>
              <w:pStyle w:val="39"/>
              <w:rPr>
                <w:rFonts w:hint="eastAsia" w:ascii="宋体" w:hAnsi="宋体" w:eastAsia="宋体" w:cs="宋体"/>
                <w:color w:val="auto"/>
                <w:highlight w:val="none"/>
              </w:rPr>
            </w:pPr>
          </w:p>
        </w:tc>
        <w:tc>
          <w:tcPr>
            <w:tcW w:w="1259" w:type="dxa"/>
            <w:vAlign w:val="top"/>
          </w:tcPr>
          <w:p w14:paraId="66041FAA">
            <w:pPr>
              <w:pStyle w:val="39"/>
              <w:rPr>
                <w:rFonts w:hint="eastAsia" w:ascii="宋体" w:hAnsi="宋体" w:eastAsia="宋体" w:cs="宋体"/>
                <w:color w:val="auto"/>
                <w:highlight w:val="none"/>
              </w:rPr>
            </w:pPr>
          </w:p>
        </w:tc>
        <w:tc>
          <w:tcPr>
            <w:tcW w:w="900" w:type="dxa"/>
            <w:vAlign w:val="top"/>
          </w:tcPr>
          <w:p w14:paraId="754757BF">
            <w:pPr>
              <w:pStyle w:val="39"/>
              <w:rPr>
                <w:rFonts w:hint="eastAsia" w:ascii="宋体" w:hAnsi="宋体" w:eastAsia="宋体" w:cs="宋体"/>
                <w:color w:val="auto"/>
                <w:highlight w:val="none"/>
              </w:rPr>
            </w:pPr>
          </w:p>
        </w:tc>
        <w:tc>
          <w:tcPr>
            <w:tcW w:w="904" w:type="dxa"/>
            <w:vAlign w:val="top"/>
          </w:tcPr>
          <w:p w14:paraId="7FB1F170">
            <w:pPr>
              <w:pStyle w:val="39"/>
              <w:rPr>
                <w:rFonts w:hint="eastAsia" w:ascii="宋体" w:hAnsi="宋体" w:eastAsia="宋体" w:cs="宋体"/>
                <w:color w:val="auto"/>
                <w:highlight w:val="none"/>
              </w:rPr>
            </w:pPr>
          </w:p>
        </w:tc>
      </w:tr>
      <w:tr w14:paraId="15847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6A8A6FA5">
            <w:pPr>
              <w:pStyle w:val="39"/>
              <w:rPr>
                <w:rFonts w:hint="eastAsia" w:ascii="宋体" w:hAnsi="宋体" w:eastAsia="宋体" w:cs="宋体"/>
                <w:color w:val="auto"/>
                <w:highlight w:val="none"/>
              </w:rPr>
            </w:pPr>
          </w:p>
        </w:tc>
        <w:tc>
          <w:tcPr>
            <w:tcW w:w="1508" w:type="dxa"/>
            <w:vAlign w:val="top"/>
          </w:tcPr>
          <w:p w14:paraId="25ED7678">
            <w:pPr>
              <w:pStyle w:val="39"/>
              <w:rPr>
                <w:rFonts w:hint="eastAsia" w:ascii="宋体" w:hAnsi="宋体" w:eastAsia="宋体" w:cs="宋体"/>
                <w:color w:val="auto"/>
                <w:highlight w:val="none"/>
              </w:rPr>
            </w:pPr>
          </w:p>
        </w:tc>
        <w:tc>
          <w:tcPr>
            <w:tcW w:w="2090" w:type="dxa"/>
            <w:vAlign w:val="top"/>
          </w:tcPr>
          <w:p w14:paraId="455F1B69">
            <w:pPr>
              <w:pStyle w:val="39"/>
              <w:rPr>
                <w:rFonts w:hint="eastAsia" w:ascii="宋体" w:hAnsi="宋体" w:eastAsia="宋体" w:cs="宋体"/>
                <w:color w:val="auto"/>
                <w:highlight w:val="none"/>
              </w:rPr>
            </w:pPr>
          </w:p>
        </w:tc>
        <w:tc>
          <w:tcPr>
            <w:tcW w:w="1259" w:type="dxa"/>
            <w:vAlign w:val="top"/>
          </w:tcPr>
          <w:p w14:paraId="61297BDB">
            <w:pPr>
              <w:pStyle w:val="39"/>
              <w:rPr>
                <w:rFonts w:hint="eastAsia" w:ascii="宋体" w:hAnsi="宋体" w:eastAsia="宋体" w:cs="宋体"/>
                <w:color w:val="auto"/>
                <w:highlight w:val="none"/>
              </w:rPr>
            </w:pPr>
          </w:p>
        </w:tc>
        <w:tc>
          <w:tcPr>
            <w:tcW w:w="1259" w:type="dxa"/>
            <w:vAlign w:val="top"/>
          </w:tcPr>
          <w:p w14:paraId="24F5518C">
            <w:pPr>
              <w:pStyle w:val="39"/>
              <w:rPr>
                <w:rFonts w:hint="eastAsia" w:ascii="宋体" w:hAnsi="宋体" w:eastAsia="宋体" w:cs="宋体"/>
                <w:color w:val="auto"/>
                <w:highlight w:val="none"/>
              </w:rPr>
            </w:pPr>
          </w:p>
        </w:tc>
        <w:tc>
          <w:tcPr>
            <w:tcW w:w="900" w:type="dxa"/>
            <w:vAlign w:val="top"/>
          </w:tcPr>
          <w:p w14:paraId="4A72834E">
            <w:pPr>
              <w:pStyle w:val="39"/>
              <w:rPr>
                <w:rFonts w:hint="eastAsia" w:ascii="宋体" w:hAnsi="宋体" w:eastAsia="宋体" w:cs="宋体"/>
                <w:color w:val="auto"/>
                <w:highlight w:val="none"/>
              </w:rPr>
            </w:pPr>
          </w:p>
        </w:tc>
        <w:tc>
          <w:tcPr>
            <w:tcW w:w="904" w:type="dxa"/>
            <w:vAlign w:val="top"/>
          </w:tcPr>
          <w:p w14:paraId="268D5049">
            <w:pPr>
              <w:pStyle w:val="39"/>
              <w:rPr>
                <w:rFonts w:hint="eastAsia" w:ascii="宋体" w:hAnsi="宋体" w:eastAsia="宋体" w:cs="宋体"/>
                <w:color w:val="auto"/>
                <w:highlight w:val="none"/>
              </w:rPr>
            </w:pPr>
          </w:p>
        </w:tc>
      </w:tr>
      <w:tr w14:paraId="32F9E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3F035653">
            <w:pPr>
              <w:pStyle w:val="39"/>
              <w:rPr>
                <w:rFonts w:hint="eastAsia" w:ascii="宋体" w:hAnsi="宋体" w:eastAsia="宋体" w:cs="宋体"/>
                <w:color w:val="auto"/>
                <w:highlight w:val="none"/>
              </w:rPr>
            </w:pPr>
          </w:p>
        </w:tc>
        <w:tc>
          <w:tcPr>
            <w:tcW w:w="1508" w:type="dxa"/>
            <w:vAlign w:val="top"/>
          </w:tcPr>
          <w:p w14:paraId="762D239B">
            <w:pPr>
              <w:pStyle w:val="39"/>
              <w:rPr>
                <w:rFonts w:hint="eastAsia" w:ascii="宋体" w:hAnsi="宋体" w:eastAsia="宋体" w:cs="宋体"/>
                <w:color w:val="auto"/>
                <w:highlight w:val="none"/>
              </w:rPr>
            </w:pPr>
          </w:p>
        </w:tc>
        <w:tc>
          <w:tcPr>
            <w:tcW w:w="2090" w:type="dxa"/>
            <w:vAlign w:val="top"/>
          </w:tcPr>
          <w:p w14:paraId="47B72360">
            <w:pPr>
              <w:pStyle w:val="39"/>
              <w:rPr>
                <w:rFonts w:hint="eastAsia" w:ascii="宋体" w:hAnsi="宋体" w:eastAsia="宋体" w:cs="宋体"/>
                <w:color w:val="auto"/>
                <w:highlight w:val="none"/>
              </w:rPr>
            </w:pPr>
          </w:p>
        </w:tc>
        <w:tc>
          <w:tcPr>
            <w:tcW w:w="1259" w:type="dxa"/>
            <w:vAlign w:val="top"/>
          </w:tcPr>
          <w:p w14:paraId="6AD638C8">
            <w:pPr>
              <w:pStyle w:val="39"/>
              <w:rPr>
                <w:rFonts w:hint="eastAsia" w:ascii="宋体" w:hAnsi="宋体" w:eastAsia="宋体" w:cs="宋体"/>
                <w:color w:val="auto"/>
                <w:highlight w:val="none"/>
              </w:rPr>
            </w:pPr>
          </w:p>
        </w:tc>
        <w:tc>
          <w:tcPr>
            <w:tcW w:w="1259" w:type="dxa"/>
            <w:vAlign w:val="top"/>
          </w:tcPr>
          <w:p w14:paraId="5263EB86">
            <w:pPr>
              <w:pStyle w:val="39"/>
              <w:rPr>
                <w:rFonts w:hint="eastAsia" w:ascii="宋体" w:hAnsi="宋体" w:eastAsia="宋体" w:cs="宋体"/>
                <w:color w:val="auto"/>
                <w:highlight w:val="none"/>
              </w:rPr>
            </w:pPr>
          </w:p>
        </w:tc>
        <w:tc>
          <w:tcPr>
            <w:tcW w:w="900" w:type="dxa"/>
            <w:vAlign w:val="top"/>
          </w:tcPr>
          <w:p w14:paraId="7DE044A8">
            <w:pPr>
              <w:pStyle w:val="39"/>
              <w:rPr>
                <w:rFonts w:hint="eastAsia" w:ascii="宋体" w:hAnsi="宋体" w:eastAsia="宋体" w:cs="宋体"/>
                <w:color w:val="auto"/>
                <w:highlight w:val="none"/>
              </w:rPr>
            </w:pPr>
          </w:p>
        </w:tc>
        <w:tc>
          <w:tcPr>
            <w:tcW w:w="904" w:type="dxa"/>
            <w:vAlign w:val="top"/>
          </w:tcPr>
          <w:p w14:paraId="03FB5B76">
            <w:pPr>
              <w:pStyle w:val="39"/>
              <w:rPr>
                <w:rFonts w:hint="eastAsia" w:ascii="宋体" w:hAnsi="宋体" w:eastAsia="宋体" w:cs="宋体"/>
                <w:color w:val="auto"/>
                <w:highlight w:val="none"/>
              </w:rPr>
            </w:pPr>
          </w:p>
        </w:tc>
      </w:tr>
      <w:tr w14:paraId="10C9D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01E09408">
            <w:pPr>
              <w:pStyle w:val="39"/>
              <w:rPr>
                <w:rFonts w:hint="eastAsia" w:ascii="宋体" w:hAnsi="宋体" w:eastAsia="宋体" w:cs="宋体"/>
                <w:color w:val="auto"/>
                <w:highlight w:val="none"/>
              </w:rPr>
            </w:pPr>
          </w:p>
        </w:tc>
        <w:tc>
          <w:tcPr>
            <w:tcW w:w="1508" w:type="dxa"/>
            <w:vAlign w:val="top"/>
          </w:tcPr>
          <w:p w14:paraId="3584BC7F">
            <w:pPr>
              <w:pStyle w:val="39"/>
              <w:rPr>
                <w:rFonts w:hint="eastAsia" w:ascii="宋体" w:hAnsi="宋体" w:eastAsia="宋体" w:cs="宋体"/>
                <w:color w:val="auto"/>
                <w:highlight w:val="none"/>
              </w:rPr>
            </w:pPr>
          </w:p>
        </w:tc>
        <w:tc>
          <w:tcPr>
            <w:tcW w:w="2090" w:type="dxa"/>
            <w:vAlign w:val="top"/>
          </w:tcPr>
          <w:p w14:paraId="2FC6A9D9">
            <w:pPr>
              <w:pStyle w:val="39"/>
              <w:rPr>
                <w:rFonts w:hint="eastAsia" w:ascii="宋体" w:hAnsi="宋体" w:eastAsia="宋体" w:cs="宋体"/>
                <w:color w:val="auto"/>
                <w:highlight w:val="none"/>
              </w:rPr>
            </w:pPr>
          </w:p>
        </w:tc>
        <w:tc>
          <w:tcPr>
            <w:tcW w:w="1259" w:type="dxa"/>
            <w:vAlign w:val="top"/>
          </w:tcPr>
          <w:p w14:paraId="322D18AA">
            <w:pPr>
              <w:pStyle w:val="39"/>
              <w:rPr>
                <w:rFonts w:hint="eastAsia" w:ascii="宋体" w:hAnsi="宋体" w:eastAsia="宋体" w:cs="宋体"/>
                <w:color w:val="auto"/>
                <w:highlight w:val="none"/>
              </w:rPr>
            </w:pPr>
          </w:p>
        </w:tc>
        <w:tc>
          <w:tcPr>
            <w:tcW w:w="1259" w:type="dxa"/>
            <w:vAlign w:val="top"/>
          </w:tcPr>
          <w:p w14:paraId="7180817A">
            <w:pPr>
              <w:pStyle w:val="39"/>
              <w:rPr>
                <w:rFonts w:hint="eastAsia" w:ascii="宋体" w:hAnsi="宋体" w:eastAsia="宋体" w:cs="宋体"/>
                <w:color w:val="auto"/>
                <w:highlight w:val="none"/>
              </w:rPr>
            </w:pPr>
          </w:p>
        </w:tc>
        <w:tc>
          <w:tcPr>
            <w:tcW w:w="900" w:type="dxa"/>
            <w:vAlign w:val="top"/>
          </w:tcPr>
          <w:p w14:paraId="3B8E8781">
            <w:pPr>
              <w:pStyle w:val="39"/>
              <w:rPr>
                <w:rFonts w:hint="eastAsia" w:ascii="宋体" w:hAnsi="宋体" w:eastAsia="宋体" w:cs="宋体"/>
                <w:color w:val="auto"/>
                <w:highlight w:val="none"/>
              </w:rPr>
            </w:pPr>
          </w:p>
        </w:tc>
        <w:tc>
          <w:tcPr>
            <w:tcW w:w="904" w:type="dxa"/>
            <w:vAlign w:val="top"/>
          </w:tcPr>
          <w:p w14:paraId="2DBB4AF7">
            <w:pPr>
              <w:pStyle w:val="39"/>
              <w:rPr>
                <w:rFonts w:hint="eastAsia" w:ascii="宋体" w:hAnsi="宋体" w:eastAsia="宋体" w:cs="宋体"/>
                <w:color w:val="auto"/>
                <w:highlight w:val="none"/>
              </w:rPr>
            </w:pPr>
          </w:p>
        </w:tc>
      </w:tr>
      <w:tr w14:paraId="76CD3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46A22A12">
            <w:pPr>
              <w:pStyle w:val="39"/>
              <w:rPr>
                <w:rFonts w:hint="eastAsia" w:ascii="宋体" w:hAnsi="宋体" w:eastAsia="宋体" w:cs="宋体"/>
                <w:color w:val="auto"/>
                <w:highlight w:val="none"/>
              </w:rPr>
            </w:pPr>
          </w:p>
        </w:tc>
        <w:tc>
          <w:tcPr>
            <w:tcW w:w="1508" w:type="dxa"/>
            <w:vAlign w:val="top"/>
          </w:tcPr>
          <w:p w14:paraId="40400309">
            <w:pPr>
              <w:pStyle w:val="39"/>
              <w:rPr>
                <w:rFonts w:hint="eastAsia" w:ascii="宋体" w:hAnsi="宋体" w:eastAsia="宋体" w:cs="宋体"/>
                <w:color w:val="auto"/>
                <w:highlight w:val="none"/>
              </w:rPr>
            </w:pPr>
          </w:p>
        </w:tc>
        <w:tc>
          <w:tcPr>
            <w:tcW w:w="2090" w:type="dxa"/>
            <w:vAlign w:val="top"/>
          </w:tcPr>
          <w:p w14:paraId="32C26358">
            <w:pPr>
              <w:pStyle w:val="39"/>
              <w:rPr>
                <w:rFonts w:hint="eastAsia" w:ascii="宋体" w:hAnsi="宋体" w:eastAsia="宋体" w:cs="宋体"/>
                <w:color w:val="auto"/>
                <w:highlight w:val="none"/>
              </w:rPr>
            </w:pPr>
          </w:p>
        </w:tc>
        <w:tc>
          <w:tcPr>
            <w:tcW w:w="1259" w:type="dxa"/>
            <w:vAlign w:val="top"/>
          </w:tcPr>
          <w:p w14:paraId="4C432A8C">
            <w:pPr>
              <w:pStyle w:val="39"/>
              <w:rPr>
                <w:rFonts w:hint="eastAsia" w:ascii="宋体" w:hAnsi="宋体" w:eastAsia="宋体" w:cs="宋体"/>
                <w:color w:val="auto"/>
                <w:highlight w:val="none"/>
              </w:rPr>
            </w:pPr>
          </w:p>
        </w:tc>
        <w:tc>
          <w:tcPr>
            <w:tcW w:w="1259" w:type="dxa"/>
            <w:vAlign w:val="top"/>
          </w:tcPr>
          <w:p w14:paraId="672213BE">
            <w:pPr>
              <w:pStyle w:val="39"/>
              <w:rPr>
                <w:rFonts w:hint="eastAsia" w:ascii="宋体" w:hAnsi="宋体" w:eastAsia="宋体" w:cs="宋体"/>
                <w:color w:val="auto"/>
                <w:highlight w:val="none"/>
              </w:rPr>
            </w:pPr>
          </w:p>
        </w:tc>
        <w:tc>
          <w:tcPr>
            <w:tcW w:w="900" w:type="dxa"/>
            <w:vAlign w:val="top"/>
          </w:tcPr>
          <w:p w14:paraId="16EB9D6C">
            <w:pPr>
              <w:pStyle w:val="39"/>
              <w:rPr>
                <w:rFonts w:hint="eastAsia" w:ascii="宋体" w:hAnsi="宋体" w:eastAsia="宋体" w:cs="宋体"/>
                <w:color w:val="auto"/>
                <w:highlight w:val="none"/>
              </w:rPr>
            </w:pPr>
          </w:p>
        </w:tc>
        <w:tc>
          <w:tcPr>
            <w:tcW w:w="904" w:type="dxa"/>
            <w:vAlign w:val="top"/>
          </w:tcPr>
          <w:p w14:paraId="0B883AE5">
            <w:pPr>
              <w:pStyle w:val="39"/>
              <w:rPr>
                <w:rFonts w:hint="eastAsia" w:ascii="宋体" w:hAnsi="宋体" w:eastAsia="宋体" w:cs="宋体"/>
                <w:color w:val="auto"/>
                <w:highlight w:val="none"/>
              </w:rPr>
            </w:pPr>
          </w:p>
        </w:tc>
      </w:tr>
      <w:tr w14:paraId="65417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32" w:type="dxa"/>
            <w:vAlign w:val="top"/>
          </w:tcPr>
          <w:p w14:paraId="0CAE217D">
            <w:pPr>
              <w:pStyle w:val="39"/>
              <w:rPr>
                <w:rFonts w:hint="eastAsia" w:ascii="宋体" w:hAnsi="宋体" w:eastAsia="宋体" w:cs="宋体"/>
                <w:color w:val="auto"/>
                <w:highlight w:val="none"/>
              </w:rPr>
            </w:pPr>
          </w:p>
        </w:tc>
        <w:tc>
          <w:tcPr>
            <w:tcW w:w="1508" w:type="dxa"/>
            <w:vAlign w:val="top"/>
          </w:tcPr>
          <w:p w14:paraId="1DA7D135">
            <w:pPr>
              <w:pStyle w:val="39"/>
              <w:rPr>
                <w:rFonts w:hint="eastAsia" w:ascii="宋体" w:hAnsi="宋体" w:eastAsia="宋体" w:cs="宋体"/>
                <w:color w:val="auto"/>
                <w:highlight w:val="none"/>
              </w:rPr>
            </w:pPr>
          </w:p>
        </w:tc>
        <w:tc>
          <w:tcPr>
            <w:tcW w:w="2090" w:type="dxa"/>
            <w:vAlign w:val="top"/>
          </w:tcPr>
          <w:p w14:paraId="347E12AA">
            <w:pPr>
              <w:pStyle w:val="39"/>
              <w:rPr>
                <w:rFonts w:hint="eastAsia" w:ascii="宋体" w:hAnsi="宋体" w:eastAsia="宋体" w:cs="宋体"/>
                <w:color w:val="auto"/>
                <w:highlight w:val="none"/>
              </w:rPr>
            </w:pPr>
          </w:p>
        </w:tc>
        <w:tc>
          <w:tcPr>
            <w:tcW w:w="1259" w:type="dxa"/>
            <w:vAlign w:val="top"/>
          </w:tcPr>
          <w:p w14:paraId="1DDB0638">
            <w:pPr>
              <w:pStyle w:val="39"/>
              <w:rPr>
                <w:rFonts w:hint="eastAsia" w:ascii="宋体" w:hAnsi="宋体" w:eastAsia="宋体" w:cs="宋体"/>
                <w:color w:val="auto"/>
                <w:highlight w:val="none"/>
              </w:rPr>
            </w:pPr>
          </w:p>
        </w:tc>
        <w:tc>
          <w:tcPr>
            <w:tcW w:w="1259" w:type="dxa"/>
            <w:vAlign w:val="top"/>
          </w:tcPr>
          <w:p w14:paraId="0AAA8A51">
            <w:pPr>
              <w:pStyle w:val="39"/>
              <w:rPr>
                <w:rFonts w:hint="eastAsia" w:ascii="宋体" w:hAnsi="宋体" w:eastAsia="宋体" w:cs="宋体"/>
                <w:color w:val="auto"/>
                <w:highlight w:val="none"/>
              </w:rPr>
            </w:pPr>
          </w:p>
        </w:tc>
        <w:tc>
          <w:tcPr>
            <w:tcW w:w="900" w:type="dxa"/>
            <w:vAlign w:val="top"/>
          </w:tcPr>
          <w:p w14:paraId="50ABBF2A">
            <w:pPr>
              <w:pStyle w:val="39"/>
              <w:rPr>
                <w:rFonts w:hint="eastAsia" w:ascii="宋体" w:hAnsi="宋体" w:eastAsia="宋体" w:cs="宋体"/>
                <w:color w:val="auto"/>
                <w:highlight w:val="none"/>
              </w:rPr>
            </w:pPr>
          </w:p>
        </w:tc>
        <w:tc>
          <w:tcPr>
            <w:tcW w:w="904" w:type="dxa"/>
            <w:vAlign w:val="top"/>
          </w:tcPr>
          <w:p w14:paraId="7BAEB153">
            <w:pPr>
              <w:pStyle w:val="39"/>
              <w:rPr>
                <w:rFonts w:hint="eastAsia" w:ascii="宋体" w:hAnsi="宋体" w:eastAsia="宋体" w:cs="宋体"/>
                <w:color w:val="auto"/>
                <w:highlight w:val="none"/>
              </w:rPr>
            </w:pPr>
          </w:p>
        </w:tc>
      </w:tr>
    </w:tbl>
    <w:p w14:paraId="46D2619A">
      <w:pPr>
        <w:pStyle w:val="2"/>
        <w:rPr>
          <w:rFonts w:hint="eastAsia" w:ascii="宋体" w:hAnsi="宋体" w:eastAsia="宋体" w:cs="宋体"/>
          <w:color w:val="auto"/>
          <w:highlight w:val="none"/>
        </w:rPr>
      </w:pPr>
    </w:p>
    <w:p w14:paraId="564325B3">
      <w:pPr>
        <w:rPr>
          <w:rFonts w:hint="eastAsia" w:ascii="宋体" w:hAnsi="宋体" w:eastAsia="宋体" w:cs="宋体"/>
          <w:color w:val="auto"/>
          <w:highlight w:val="none"/>
        </w:rPr>
        <w:sectPr>
          <w:footerReference r:id="rId22" w:type="default"/>
          <w:pgSz w:w="11906" w:h="16838"/>
          <w:pgMar w:top="1367" w:right="1610" w:bottom="1172" w:left="1537" w:header="964" w:footer="996" w:gutter="0"/>
          <w:pgNumType w:fmt="decimal"/>
          <w:cols w:space="720" w:num="1"/>
        </w:sectPr>
      </w:pPr>
    </w:p>
    <w:p w14:paraId="660AE8DE">
      <w:pPr>
        <w:spacing w:before="48" w:line="231" w:lineRule="auto"/>
        <w:ind w:left="3056"/>
        <w:outlineLvl w:val="1"/>
        <w:rPr>
          <w:rFonts w:hint="eastAsia" w:ascii="宋体" w:hAnsi="宋体" w:eastAsia="宋体" w:cs="宋体"/>
          <w:color w:val="auto"/>
          <w:sz w:val="23"/>
          <w:szCs w:val="23"/>
          <w:highlight w:val="none"/>
        </w:rPr>
      </w:pPr>
      <w:bookmarkStart w:id="599" w:name="bookmark135"/>
      <w:bookmarkEnd w:id="599"/>
      <w:r>
        <w:rPr>
          <w:rFonts w:hint="eastAsia" w:ascii="宋体" w:hAnsi="宋体" w:eastAsia="宋体" w:cs="宋体"/>
          <w:color w:val="auto"/>
          <w:spacing w:val="2"/>
          <w:sz w:val="23"/>
          <w:szCs w:val="23"/>
          <w:highlight w:val="none"/>
        </w:rPr>
        <w:t>6-1</w:t>
      </w:r>
      <w:r>
        <w:rPr>
          <w:rFonts w:hint="eastAsia" w:ascii="宋体" w:hAnsi="宋体" w:eastAsia="宋体" w:cs="宋体"/>
          <w:color w:val="auto"/>
          <w:spacing w:val="20"/>
          <w:sz w:val="23"/>
          <w:szCs w:val="23"/>
          <w:highlight w:val="none"/>
        </w:rPr>
        <w:t xml:space="preserve">    </w:t>
      </w:r>
      <w:r>
        <w:rPr>
          <w:rFonts w:hint="eastAsia" w:ascii="宋体" w:hAnsi="宋体" w:eastAsia="宋体" w:cs="宋体"/>
          <w:b/>
          <w:bCs/>
          <w:color w:val="auto"/>
          <w:spacing w:val="2"/>
          <w:sz w:val="23"/>
          <w:szCs w:val="23"/>
          <w:highlight w:val="none"/>
        </w:rPr>
        <w:t>中小微企业证明文件（如有）</w:t>
      </w:r>
    </w:p>
    <w:p w14:paraId="583D401E">
      <w:pPr>
        <w:pStyle w:val="2"/>
        <w:spacing w:line="333" w:lineRule="auto"/>
        <w:rPr>
          <w:rFonts w:hint="eastAsia" w:ascii="宋体" w:hAnsi="宋体" w:eastAsia="宋体" w:cs="宋体"/>
          <w:color w:val="auto"/>
          <w:highlight w:val="none"/>
        </w:rPr>
      </w:pPr>
    </w:p>
    <w:p w14:paraId="5AA174AD">
      <w:pPr>
        <w:spacing w:before="75" w:line="231" w:lineRule="auto"/>
        <w:ind w:left="3873"/>
        <w:rPr>
          <w:rFonts w:hint="eastAsia" w:ascii="宋体" w:hAnsi="宋体" w:eastAsia="宋体" w:cs="宋体"/>
          <w:color w:val="auto"/>
          <w:sz w:val="23"/>
          <w:szCs w:val="23"/>
          <w:highlight w:val="none"/>
        </w:rPr>
      </w:pPr>
      <w:bookmarkStart w:id="600" w:name="bookmark136"/>
      <w:bookmarkEnd w:id="600"/>
      <w:r>
        <w:rPr>
          <w:rFonts w:hint="eastAsia" w:ascii="宋体" w:hAnsi="宋体" w:eastAsia="宋体" w:cs="宋体"/>
          <w:b/>
          <w:bCs/>
          <w:color w:val="auto"/>
          <w:spacing w:val="3"/>
          <w:sz w:val="23"/>
          <w:szCs w:val="23"/>
          <w:highlight w:val="none"/>
        </w:rPr>
        <w:t>中小企业声明函(工程)</w:t>
      </w:r>
    </w:p>
    <w:p w14:paraId="5808375F">
      <w:pPr>
        <w:pStyle w:val="2"/>
        <w:spacing w:line="337" w:lineRule="auto"/>
        <w:rPr>
          <w:rFonts w:hint="eastAsia" w:ascii="宋体" w:hAnsi="宋体" w:eastAsia="宋体" w:cs="宋体"/>
          <w:color w:val="auto"/>
          <w:highlight w:val="none"/>
        </w:rPr>
      </w:pPr>
    </w:p>
    <w:p w14:paraId="19200EDC">
      <w:pPr>
        <w:spacing w:before="74" w:line="329" w:lineRule="auto"/>
        <w:ind w:left="5" w:right="165" w:firstLine="419"/>
        <w:jc w:val="both"/>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本公司（联合体）郑重声明，根据《政府采</w:t>
      </w:r>
      <w:r>
        <w:rPr>
          <w:rFonts w:hint="eastAsia" w:ascii="宋体" w:hAnsi="宋体" w:eastAsia="宋体" w:cs="宋体"/>
          <w:color w:val="auto"/>
          <w:sz w:val="23"/>
          <w:szCs w:val="23"/>
          <w:highlight w:val="none"/>
        </w:rPr>
        <w:t xml:space="preserve">购促进中小企业发展管理办法》（财库[2020]46 </w:t>
      </w:r>
      <w:r>
        <w:rPr>
          <w:rFonts w:hint="eastAsia" w:ascii="宋体" w:hAnsi="宋体" w:eastAsia="宋体" w:cs="宋体"/>
          <w:color w:val="auto"/>
          <w:spacing w:val="10"/>
          <w:sz w:val="23"/>
          <w:szCs w:val="23"/>
          <w:highlight w:val="none"/>
        </w:rPr>
        <w:t>号）的规定，本公司（联合体）参加（单位名称</w:t>
      </w:r>
      <w:r>
        <w:rPr>
          <w:rFonts w:hint="eastAsia" w:ascii="宋体" w:hAnsi="宋体" w:eastAsia="宋体" w:cs="宋体"/>
          <w:color w:val="auto"/>
          <w:spacing w:val="9"/>
          <w:sz w:val="23"/>
          <w:szCs w:val="23"/>
          <w:highlight w:val="none"/>
        </w:rPr>
        <w:t>）的（项目名称）采购活动，工程的施工单</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0"/>
          <w:sz w:val="23"/>
          <w:szCs w:val="23"/>
          <w:highlight w:val="none"/>
        </w:rPr>
        <w:t>位全部为符合政策要求的中小企业。相关企业（</w:t>
      </w:r>
      <w:r>
        <w:rPr>
          <w:rFonts w:hint="eastAsia" w:ascii="宋体" w:hAnsi="宋体" w:eastAsia="宋体" w:cs="宋体"/>
          <w:color w:val="auto"/>
          <w:spacing w:val="9"/>
          <w:sz w:val="23"/>
          <w:szCs w:val="23"/>
          <w:highlight w:val="none"/>
        </w:rPr>
        <w:t>含联合体中的中小企业、签订分包意向协议</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4"/>
          <w:sz w:val="23"/>
          <w:szCs w:val="23"/>
          <w:highlight w:val="none"/>
        </w:rPr>
        <w:t>的中小企业）的具体情况如下：</w:t>
      </w:r>
    </w:p>
    <w:p w14:paraId="3625B8AC">
      <w:pPr>
        <w:pStyle w:val="2"/>
        <w:spacing w:line="245" w:lineRule="auto"/>
        <w:rPr>
          <w:rFonts w:hint="eastAsia" w:ascii="宋体" w:hAnsi="宋体" w:eastAsia="宋体" w:cs="宋体"/>
          <w:color w:val="auto"/>
          <w:highlight w:val="none"/>
        </w:rPr>
      </w:pPr>
    </w:p>
    <w:p w14:paraId="395B58C4">
      <w:pPr>
        <w:spacing w:before="74" w:line="317" w:lineRule="auto"/>
        <w:ind w:left="4" w:firstLine="43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w:t>
      </w:r>
      <w:r>
        <w:rPr>
          <w:rFonts w:hint="eastAsia" w:ascii="宋体" w:hAnsi="宋体" w:eastAsia="宋体" w:cs="宋体"/>
          <w:color w:val="auto"/>
          <w:sz w:val="23"/>
          <w:szCs w:val="23"/>
          <w:highlight w:val="none"/>
          <w:u w:val="single" w:color="auto"/>
        </w:rPr>
        <w:t>（标的名称</w:t>
      </w:r>
      <w:r>
        <w:rPr>
          <w:rFonts w:hint="eastAsia" w:ascii="宋体" w:hAnsi="宋体" w:eastAsia="宋体" w:cs="宋体"/>
          <w:color w:val="auto"/>
          <w:spacing w:val="-3"/>
          <w:sz w:val="23"/>
          <w:szCs w:val="23"/>
          <w:highlight w:val="none"/>
          <w:u w:val="single" w:color="auto"/>
        </w:rPr>
        <w:t>）</w:t>
      </w:r>
      <w:r>
        <w:rPr>
          <w:rFonts w:hint="eastAsia" w:ascii="宋体" w:hAnsi="宋体" w:eastAsia="宋体" w:cs="宋体"/>
          <w:color w:val="auto"/>
          <w:spacing w:val="-16"/>
          <w:sz w:val="23"/>
          <w:szCs w:val="23"/>
          <w:highlight w:val="none"/>
          <w:u w:val="single" w:color="auto"/>
        </w:rPr>
        <w:t xml:space="preserve"> </w:t>
      </w:r>
      <w:r>
        <w:rPr>
          <w:rFonts w:hint="eastAsia" w:ascii="宋体" w:hAnsi="宋体" w:eastAsia="宋体" w:cs="宋体"/>
          <w:color w:val="auto"/>
          <w:spacing w:val="-3"/>
          <w:sz w:val="23"/>
          <w:szCs w:val="23"/>
          <w:highlight w:val="none"/>
        </w:rPr>
        <w:t>，</w:t>
      </w:r>
      <w:r>
        <w:rPr>
          <w:rFonts w:hint="eastAsia" w:ascii="宋体" w:hAnsi="宋体" w:eastAsia="宋体" w:cs="宋体"/>
          <w:color w:val="auto"/>
          <w:sz w:val="23"/>
          <w:szCs w:val="23"/>
          <w:highlight w:val="none"/>
        </w:rPr>
        <w:t>属于</w:t>
      </w:r>
      <w:r>
        <w:rPr>
          <w:rFonts w:hint="eastAsia" w:ascii="宋体" w:hAnsi="宋体" w:eastAsia="宋体" w:cs="宋体"/>
          <w:color w:val="auto"/>
          <w:sz w:val="23"/>
          <w:szCs w:val="23"/>
          <w:highlight w:val="none"/>
          <w:u w:val="single" w:color="auto"/>
        </w:rPr>
        <w:t>（采购文件中明确的所属行业</w:t>
      </w:r>
      <w:r>
        <w:rPr>
          <w:rFonts w:hint="eastAsia" w:ascii="宋体" w:hAnsi="宋体" w:eastAsia="宋体" w:cs="宋体"/>
          <w:color w:val="auto"/>
          <w:spacing w:val="-3"/>
          <w:sz w:val="23"/>
          <w:szCs w:val="23"/>
          <w:highlight w:val="none"/>
          <w:u w:val="single" w:color="auto"/>
        </w:rPr>
        <w:t>）</w:t>
      </w:r>
      <w:r>
        <w:rPr>
          <w:rFonts w:hint="eastAsia" w:ascii="宋体" w:hAnsi="宋体" w:eastAsia="宋体" w:cs="宋体"/>
          <w:color w:val="auto"/>
          <w:spacing w:val="54"/>
          <w:sz w:val="23"/>
          <w:szCs w:val="23"/>
          <w:highlight w:val="none"/>
          <w:u w:val="single" w:color="auto"/>
        </w:rPr>
        <w:t xml:space="preserve"> </w:t>
      </w:r>
      <w:r>
        <w:rPr>
          <w:rFonts w:hint="eastAsia" w:ascii="宋体" w:hAnsi="宋体" w:eastAsia="宋体" w:cs="宋体"/>
          <w:color w:val="auto"/>
          <w:spacing w:val="-3"/>
          <w:sz w:val="23"/>
          <w:szCs w:val="23"/>
          <w:highlight w:val="none"/>
        </w:rPr>
        <w:t>；</w:t>
      </w:r>
      <w:r>
        <w:rPr>
          <w:rFonts w:hint="eastAsia" w:ascii="宋体" w:hAnsi="宋体" w:eastAsia="宋体" w:cs="宋体"/>
          <w:color w:val="auto"/>
          <w:sz w:val="23"/>
          <w:szCs w:val="23"/>
          <w:highlight w:val="none"/>
        </w:rPr>
        <w:t>承建企业为</w:t>
      </w:r>
      <w:r>
        <w:rPr>
          <w:rFonts w:hint="eastAsia" w:ascii="宋体" w:hAnsi="宋体" w:eastAsia="宋体" w:cs="宋体"/>
          <w:color w:val="auto"/>
          <w:sz w:val="23"/>
          <w:szCs w:val="23"/>
          <w:highlight w:val="none"/>
          <w:u w:val="single" w:color="auto"/>
        </w:rPr>
        <w:t>（企业名称</w:t>
      </w:r>
      <w:r>
        <w:rPr>
          <w:rFonts w:hint="eastAsia" w:ascii="宋体" w:hAnsi="宋体" w:eastAsia="宋体" w:cs="宋体"/>
          <w:color w:val="auto"/>
          <w:spacing w:val="-3"/>
          <w:sz w:val="23"/>
          <w:szCs w:val="23"/>
          <w:highlight w:val="none"/>
          <w:u w:val="single" w:color="auto"/>
        </w:rPr>
        <w:t>）</w:t>
      </w:r>
      <w:r>
        <w:rPr>
          <w:rFonts w:hint="eastAsia" w:ascii="宋体" w:hAnsi="宋体" w:eastAsia="宋体" w:cs="宋体"/>
          <w:color w:val="auto"/>
          <w:spacing w:val="-28"/>
          <w:sz w:val="23"/>
          <w:szCs w:val="23"/>
          <w:highlight w:val="none"/>
          <w:u w:val="single" w:color="auto"/>
        </w:rPr>
        <w:t xml:space="preserve"> </w:t>
      </w:r>
      <w:r>
        <w:rPr>
          <w:rFonts w:hint="eastAsia" w:ascii="宋体" w:hAnsi="宋体" w:eastAsia="宋体" w:cs="宋体"/>
          <w:color w:val="auto"/>
          <w:spacing w:val="-3"/>
          <w:sz w:val="23"/>
          <w:szCs w:val="23"/>
          <w:highlight w:val="none"/>
        </w:rPr>
        <w:t>，</w:t>
      </w:r>
      <w:r>
        <w:rPr>
          <w:rFonts w:hint="eastAsia" w:ascii="宋体" w:hAnsi="宋体" w:eastAsia="宋体" w:cs="宋体"/>
          <w:color w:val="auto"/>
          <w:sz w:val="23"/>
          <w:szCs w:val="23"/>
          <w:highlight w:val="none"/>
        </w:rPr>
        <w:t xml:space="preserve">从   </w:t>
      </w:r>
      <w:r>
        <w:rPr>
          <w:rFonts w:hint="eastAsia" w:ascii="宋体" w:hAnsi="宋体" w:eastAsia="宋体" w:cs="宋体"/>
          <w:color w:val="auto"/>
          <w:spacing w:val="5"/>
          <w:sz w:val="23"/>
          <w:szCs w:val="23"/>
          <w:highlight w:val="none"/>
        </w:rPr>
        <w:t>业人员</w:t>
      </w:r>
      <w:r>
        <w:rPr>
          <w:rFonts w:hint="eastAsia" w:ascii="宋体" w:hAnsi="宋体" w:eastAsia="宋体" w:cs="宋体"/>
          <w:color w:val="auto"/>
          <w:spacing w:val="39"/>
          <w:sz w:val="23"/>
          <w:szCs w:val="23"/>
          <w:highlight w:val="none"/>
          <w:u w:val="single" w:color="auto"/>
        </w:rPr>
        <w:t xml:space="preserve"> </w:t>
      </w:r>
      <w:r>
        <w:rPr>
          <w:rFonts w:hint="eastAsia" w:ascii="宋体" w:hAnsi="宋体" w:eastAsia="宋体" w:cs="宋体"/>
          <w:color w:val="auto"/>
          <w:spacing w:val="5"/>
          <w:sz w:val="23"/>
          <w:szCs w:val="23"/>
          <w:highlight w:val="none"/>
        </w:rPr>
        <w:t>人，营业收入为</w:t>
      </w:r>
      <w:r>
        <w:rPr>
          <w:rFonts w:hint="eastAsia" w:ascii="宋体" w:hAnsi="宋体" w:eastAsia="宋体" w:cs="宋体"/>
          <w:color w:val="auto"/>
          <w:spacing w:val="37"/>
          <w:sz w:val="23"/>
          <w:szCs w:val="23"/>
          <w:highlight w:val="none"/>
          <w:u w:val="single" w:color="auto"/>
        </w:rPr>
        <w:t xml:space="preserve"> </w:t>
      </w:r>
      <w:r>
        <w:rPr>
          <w:rFonts w:hint="eastAsia" w:ascii="宋体" w:hAnsi="宋体" w:eastAsia="宋体" w:cs="宋体"/>
          <w:color w:val="auto"/>
          <w:spacing w:val="5"/>
          <w:sz w:val="23"/>
          <w:szCs w:val="23"/>
          <w:highlight w:val="none"/>
        </w:rPr>
        <w:t>万元，资产总额为</w:t>
      </w:r>
      <w:r>
        <w:rPr>
          <w:rFonts w:hint="eastAsia" w:ascii="宋体" w:hAnsi="宋体" w:eastAsia="宋体" w:cs="宋体"/>
          <w:color w:val="auto"/>
          <w:spacing w:val="35"/>
          <w:sz w:val="23"/>
          <w:szCs w:val="23"/>
          <w:highlight w:val="none"/>
          <w:u w:val="single" w:color="auto"/>
        </w:rPr>
        <w:t xml:space="preserve"> </w:t>
      </w:r>
      <w:r>
        <w:rPr>
          <w:rFonts w:hint="eastAsia" w:ascii="宋体" w:hAnsi="宋体" w:eastAsia="宋体" w:cs="宋体"/>
          <w:color w:val="auto"/>
          <w:spacing w:val="5"/>
          <w:sz w:val="23"/>
          <w:szCs w:val="23"/>
          <w:highlight w:val="none"/>
        </w:rPr>
        <w:t>万元，属于</w:t>
      </w:r>
      <w:r>
        <w:rPr>
          <w:rFonts w:hint="eastAsia" w:ascii="宋体" w:hAnsi="宋体" w:eastAsia="宋体" w:cs="宋体"/>
          <w:color w:val="auto"/>
          <w:spacing w:val="5"/>
          <w:sz w:val="23"/>
          <w:szCs w:val="23"/>
          <w:highlight w:val="none"/>
          <w:u w:val="single" w:color="auto"/>
        </w:rPr>
        <w:t>（中型企业、小型企业、微型企业</w:t>
      </w:r>
      <w:r>
        <w:rPr>
          <w:rFonts w:hint="eastAsia" w:ascii="宋体" w:hAnsi="宋体" w:eastAsia="宋体" w:cs="宋体"/>
          <w:color w:val="auto"/>
          <w:spacing w:val="-20"/>
          <w:sz w:val="23"/>
          <w:szCs w:val="23"/>
          <w:highlight w:val="none"/>
          <w:u w:val="single" w:color="auto"/>
        </w:rPr>
        <w:t>）</w:t>
      </w:r>
      <w:r>
        <w:rPr>
          <w:rFonts w:hint="eastAsia" w:ascii="宋体" w:hAnsi="宋体" w:eastAsia="宋体" w:cs="宋体"/>
          <w:color w:val="auto"/>
          <w:spacing w:val="-20"/>
          <w:sz w:val="23"/>
          <w:szCs w:val="23"/>
          <w:highlight w:val="none"/>
        </w:rPr>
        <w:t>；</w:t>
      </w:r>
    </w:p>
    <w:p w14:paraId="09170F94">
      <w:pPr>
        <w:pStyle w:val="2"/>
        <w:spacing w:line="252" w:lineRule="auto"/>
        <w:rPr>
          <w:rFonts w:hint="eastAsia" w:ascii="宋体" w:hAnsi="宋体" w:eastAsia="宋体" w:cs="宋体"/>
          <w:color w:val="auto"/>
          <w:highlight w:val="none"/>
        </w:rPr>
      </w:pPr>
    </w:p>
    <w:p w14:paraId="3C635F87">
      <w:pPr>
        <w:spacing w:before="75" w:line="319" w:lineRule="auto"/>
        <w:ind w:left="4" w:firstLine="41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2.</w:t>
      </w:r>
      <w:r>
        <w:rPr>
          <w:rFonts w:hint="eastAsia" w:ascii="宋体" w:hAnsi="宋体" w:eastAsia="宋体" w:cs="宋体"/>
          <w:color w:val="auto"/>
          <w:spacing w:val="8"/>
          <w:sz w:val="23"/>
          <w:szCs w:val="23"/>
          <w:highlight w:val="none"/>
          <w:u w:val="single" w:color="auto"/>
        </w:rPr>
        <w:t xml:space="preserve"> （标的名称</w:t>
      </w:r>
      <w:r>
        <w:rPr>
          <w:rFonts w:hint="eastAsia" w:ascii="宋体" w:hAnsi="宋体" w:eastAsia="宋体" w:cs="宋体"/>
          <w:color w:val="auto"/>
          <w:spacing w:val="17"/>
          <w:sz w:val="23"/>
          <w:szCs w:val="23"/>
          <w:highlight w:val="none"/>
          <w:u w:val="single" w:color="auto"/>
        </w:rPr>
        <w:t>）</w:t>
      </w:r>
      <w:r>
        <w:rPr>
          <w:rFonts w:hint="eastAsia" w:ascii="宋体" w:hAnsi="宋体" w:eastAsia="宋体" w:cs="宋体"/>
          <w:color w:val="auto"/>
          <w:spacing w:val="17"/>
          <w:sz w:val="23"/>
          <w:szCs w:val="23"/>
          <w:highlight w:val="none"/>
        </w:rPr>
        <w:t>，</w:t>
      </w:r>
      <w:r>
        <w:rPr>
          <w:rFonts w:hint="eastAsia" w:ascii="宋体" w:hAnsi="宋体" w:eastAsia="宋体" w:cs="宋体"/>
          <w:color w:val="auto"/>
          <w:spacing w:val="8"/>
          <w:sz w:val="23"/>
          <w:szCs w:val="23"/>
          <w:highlight w:val="none"/>
        </w:rPr>
        <w:t>属于</w:t>
      </w:r>
      <w:r>
        <w:rPr>
          <w:rFonts w:hint="eastAsia" w:ascii="宋体" w:hAnsi="宋体" w:eastAsia="宋体" w:cs="宋体"/>
          <w:color w:val="auto"/>
          <w:spacing w:val="8"/>
          <w:sz w:val="23"/>
          <w:szCs w:val="23"/>
          <w:highlight w:val="none"/>
          <w:u w:val="single" w:color="auto"/>
        </w:rPr>
        <w:t>（采购文件中明确的所属行业</w:t>
      </w:r>
      <w:r>
        <w:rPr>
          <w:rFonts w:hint="eastAsia" w:ascii="宋体" w:hAnsi="宋体" w:eastAsia="宋体" w:cs="宋体"/>
          <w:color w:val="auto"/>
          <w:spacing w:val="17"/>
          <w:sz w:val="23"/>
          <w:szCs w:val="23"/>
          <w:highlight w:val="none"/>
          <w:u w:val="single" w:color="auto"/>
        </w:rPr>
        <w:t>）</w:t>
      </w:r>
      <w:r>
        <w:rPr>
          <w:rFonts w:hint="eastAsia" w:ascii="宋体" w:hAnsi="宋体" w:eastAsia="宋体" w:cs="宋体"/>
          <w:color w:val="auto"/>
          <w:spacing w:val="17"/>
          <w:sz w:val="23"/>
          <w:szCs w:val="23"/>
          <w:highlight w:val="none"/>
        </w:rPr>
        <w:t>；</w:t>
      </w:r>
      <w:r>
        <w:rPr>
          <w:rFonts w:hint="eastAsia" w:ascii="宋体" w:hAnsi="宋体" w:eastAsia="宋体" w:cs="宋体"/>
          <w:color w:val="auto"/>
          <w:spacing w:val="8"/>
          <w:sz w:val="23"/>
          <w:szCs w:val="23"/>
          <w:highlight w:val="none"/>
        </w:rPr>
        <w:t>承建企业</w:t>
      </w:r>
      <w:r>
        <w:rPr>
          <w:rFonts w:hint="eastAsia" w:ascii="宋体" w:hAnsi="宋体" w:eastAsia="宋体" w:cs="宋体"/>
          <w:color w:val="auto"/>
          <w:spacing w:val="7"/>
          <w:sz w:val="23"/>
          <w:szCs w:val="23"/>
          <w:highlight w:val="none"/>
        </w:rPr>
        <w:t>为</w:t>
      </w:r>
      <w:r>
        <w:rPr>
          <w:rFonts w:hint="eastAsia" w:ascii="宋体" w:hAnsi="宋体" w:eastAsia="宋体" w:cs="宋体"/>
          <w:color w:val="auto"/>
          <w:spacing w:val="7"/>
          <w:sz w:val="23"/>
          <w:szCs w:val="23"/>
          <w:highlight w:val="none"/>
          <w:u w:val="single" w:color="auto"/>
        </w:rPr>
        <w:t>（企业名称</w:t>
      </w:r>
      <w:r>
        <w:rPr>
          <w:rFonts w:hint="eastAsia" w:ascii="宋体" w:hAnsi="宋体" w:eastAsia="宋体" w:cs="宋体"/>
          <w:color w:val="auto"/>
          <w:spacing w:val="17"/>
          <w:sz w:val="23"/>
          <w:szCs w:val="23"/>
          <w:highlight w:val="none"/>
          <w:u w:val="single" w:color="auto"/>
        </w:rPr>
        <w:t>）</w:t>
      </w:r>
      <w:r>
        <w:rPr>
          <w:rFonts w:hint="eastAsia" w:ascii="宋体" w:hAnsi="宋体" w:eastAsia="宋体" w:cs="宋体"/>
          <w:color w:val="auto"/>
          <w:spacing w:val="17"/>
          <w:sz w:val="23"/>
          <w:szCs w:val="23"/>
          <w:highlight w:val="none"/>
        </w:rPr>
        <w:t>，</w:t>
      </w:r>
      <w:r>
        <w:rPr>
          <w:rFonts w:hint="eastAsia" w:ascii="宋体" w:hAnsi="宋体" w:eastAsia="宋体" w:cs="宋体"/>
          <w:color w:val="auto"/>
          <w:spacing w:val="7"/>
          <w:sz w:val="23"/>
          <w:szCs w:val="23"/>
          <w:highlight w:val="none"/>
        </w:rPr>
        <w:t>从</w:t>
      </w:r>
      <w:r>
        <w:rPr>
          <w:rFonts w:hint="eastAsia" w:ascii="宋体" w:hAnsi="宋体" w:eastAsia="宋体" w:cs="宋体"/>
          <w:color w:val="auto"/>
          <w:spacing w:val="1"/>
          <w:sz w:val="23"/>
          <w:szCs w:val="23"/>
          <w:highlight w:val="none"/>
        </w:rPr>
        <w:t xml:space="preserve">  </w:t>
      </w:r>
      <w:r>
        <w:rPr>
          <w:rFonts w:hint="eastAsia" w:ascii="宋体" w:hAnsi="宋体" w:eastAsia="宋体" w:cs="宋体"/>
          <w:color w:val="auto"/>
          <w:spacing w:val="5"/>
          <w:sz w:val="23"/>
          <w:szCs w:val="23"/>
          <w:highlight w:val="none"/>
        </w:rPr>
        <w:t>业人员</w:t>
      </w:r>
      <w:r>
        <w:rPr>
          <w:rFonts w:hint="eastAsia" w:ascii="宋体" w:hAnsi="宋体" w:eastAsia="宋体" w:cs="宋体"/>
          <w:color w:val="auto"/>
          <w:spacing w:val="39"/>
          <w:sz w:val="23"/>
          <w:szCs w:val="23"/>
          <w:highlight w:val="none"/>
          <w:u w:val="single" w:color="auto"/>
        </w:rPr>
        <w:t xml:space="preserve"> </w:t>
      </w:r>
      <w:r>
        <w:rPr>
          <w:rFonts w:hint="eastAsia" w:ascii="宋体" w:hAnsi="宋体" w:eastAsia="宋体" w:cs="宋体"/>
          <w:color w:val="auto"/>
          <w:spacing w:val="5"/>
          <w:sz w:val="23"/>
          <w:szCs w:val="23"/>
          <w:highlight w:val="none"/>
        </w:rPr>
        <w:t>人，营业收入为</w:t>
      </w:r>
      <w:r>
        <w:rPr>
          <w:rFonts w:hint="eastAsia" w:ascii="宋体" w:hAnsi="宋体" w:eastAsia="宋体" w:cs="宋体"/>
          <w:color w:val="auto"/>
          <w:spacing w:val="37"/>
          <w:sz w:val="23"/>
          <w:szCs w:val="23"/>
          <w:highlight w:val="none"/>
          <w:u w:val="single" w:color="auto"/>
        </w:rPr>
        <w:t xml:space="preserve"> </w:t>
      </w:r>
      <w:r>
        <w:rPr>
          <w:rFonts w:hint="eastAsia" w:ascii="宋体" w:hAnsi="宋体" w:eastAsia="宋体" w:cs="宋体"/>
          <w:color w:val="auto"/>
          <w:spacing w:val="5"/>
          <w:sz w:val="23"/>
          <w:szCs w:val="23"/>
          <w:highlight w:val="none"/>
        </w:rPr>
        <w:t>万元，资产总额为</w:t>
      </w:r>
      <w:r>
        <w:rPr>
          <w:rFonts w:hint="eastAsia" w:ascii="宋体" w:hAnsi="宋体" w:eastAsia="宋体" w:cs="宋体"/>
          <w:color w:val="auto"/>
          <w:spacing w:val="35"/>
          <w:sz w:val="23"/>
          <w:szCs w:val="23"/>
          <w:highlight w:val="none"/>
          <w:u w:val="single" w:color="auto"/>
        </w:rPr>
        <w:t xml:space="preserve"> </w:t>
      </w:r>
      <w:r>
        <w:rPr>
          <w:rFonts w:hint="eastAsia" w:ascii="宋体" w:hAnsi="宋体" w:eastAsia="宋体" w:cs="宋体"/>
          <w:color w:val="auto"/>
          <w:spacing w:val="5"/>
          <w:sz w:val="23"/>
          <w:szCs w:val="23"/>
          <w:highlight w:val="none"/>
        </w:rPr>
        <w:t>万元，属于</w:t>
      </w:r>
      <w:r>
        <w:rPr>
          <w:rFonts w:hint="eastAsia" w:ascii="宋体" w:hAnsi="宋体" w:eastAsia="宋体" w:cs="宋体"/>
          <w:color w:val="auto"/>
          <w:spacing w:val="5"/>
          <w:sz w:val="23"/>
          <w:szCs w:val="23"/>
          <w:highlight w:val="none"/>
          <w:u w:val="single" w:color="auto"/>
        </w:rPr>
        <w:t>（中型企业、小型企业、微型企业</w:t>
      </w:r>
      <w:r>
        <w:rPr>
          <w:rFonts w:hint="eastAsia" w:ascii="宋体" w:hAnsi="宋体" w:eastAsia="宋体" w:cs="宋体"/>
          <w:color w:val="auto"/>
          <w:spacing w:val="-20"/>
          <w:sz w:val="23"/>
          <w:szCs w:val="23"/>
          <w:highlight w:val="none"/>
          <w:u w:val="single" w:color="auto"/>
        </w:rPr>
        <w:t>）</w:t>
      </w:r>
      <w:r>
        <w:rPr>
          <w:rFonts w:hint="eastAsia" w:ascii="宋体" w:hAnsi="宋体" w:eastAsia="宋体" w:cs="宋体"/>
          <w:color w:val="auto"/>
          <w:spacing w:val="-20"/>
          <w:sz w:val="23"/>
          <w:szCs w:val="23"/>
          <w:highlight w:val="none"/>
        </w:rPr>
        <w:t>；</w:t>
      </w:r>
    </w:p>
    <w:p w14:paraId="4D421C01">
      <w:pPr>
        <w:pStyle w:val="2"/>
        <w:spacing w:line="249" w:lineRule="auto"/>
        <w:rPr>
          <w:rFonts w:hint="eastAsia" w:ascii="宋体" w:hAnsi="宋体" w:eastAsia="宋体" w:cs="宋体"/>
          <w:color w:val="auto"/>
          <w:highlight w:val="none"/>
        </w:rPr>
      </w:pPr>
    </w:p>
    <w:p w14:paraId="1BA5C357">
      <w:pPr>
        <w:spacing w:before="75" w:line="377" w:lineRule="exact"/>
        <w:ind w:left="433"/>
        <w:rPr>
          <w:rFonts w:hint="eastAsia" w:ascii="宋体" w:hAnsi="宋体" w:eastAsia="宋体" w:cs="宋体"/>
          <w:color w:val="auto"/>
          <w:sz w:val="23"/>
          <w:szCs w:val="23"/>
          <w:highlight w:val="none"/>
        </w:rPr>
      </w:pPr>
      <w:r>
        <w:rPr>
          <w:rFonts w:hint="eastAsia" w:ascii="宋体" w:hAnsi="宋体" w:eastAsia="宋体" w:cs="宋体"/>
          <w:color w:val="auto"/>
          <w:spacing w:val="-2"/>
          <w:position w:val="3"/>
          <w:sz w:val="23"/>
          <w:szCs w:val="23"/>
          <w:highlight w:val="none"/>
        </w:rPr>
        <w:t>……</w:t>
      </w:r>
    </w:p>
    <w:p w14:paraId="3445857F">
      <w:pPr>
        <w:pStyle w:val="2"/>
        <w:spacing w:line="247" w:lineRule="auto"/>
        <w:rPr>
          <w:rFonts w:hint="eastAsia" w:ascii="宋体" w:hAnsi="宋体" w:eastAsia="宋体" w:cs="宋体"/>
          <w:color w:val="auto"/>
          <w:highlight w:val="none"/>
        </w:rPr>
      </w:pPr>
    </w:p>
    <w:p w14:paraId="50E0BC6E">
      <w:pPr>
        <w:spacing w:before="75" w:line="321" w:lineRule="auto"/>
        <w:ind w:left="5" w:right="283" w:firstLine="443"/>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以上企业，不属于大企业的分支机构，不存在控股股东为大企业的情形，也不</w:t>
      </w:r>
      <w:r>
        <w:rPr>
          <w:rFonts w:hint="eastAsia" w:ascii="宋体" w:hAnsi="宋体" w:eastAsia="宋体" w:cs="宋体"/>
          <w:color w:val="auto"/>
          <w:spacing w:val="8"/>
          <w:sz w:val="23"/>
          <w:szCs w:val="23"/>
          <w:highlight w:val="none"/>
        </w:rPr>
        <w:t>存在与大</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6"/>
          <w:sz w:val="23"/>
          <w:szCs w:val="23"/>
          <w:highlight w:val="none"/>
        </w:rPr>
        <w:t>企业的负责人为同一人的情形。</w:t>
      </w:r>
    </w:p>
    <w:p w14:paraId="7A36895B">
      <w:pPr>
        <w:pStyle w:val="2"/>
        <w:spacing w:line="242" w:lineRule="auto"/>
        <w:rPr>
          <w:rFonts w:hint="eastAsia" w:ascii="宋体" w:hAnsi="宋体" w:eastAsia="宋体" w:cs="宋体"/>
          <w:color w:val="auto"/>
          <w:highlight w:val="none"/>
        </w:rPr>
      </w:pPr>
    </w:p>
    <w:p w14:paraId="49916649">
      <w:pPr>
        <w:spacing w:before="76" w:line="228" w:lineRule="auto"/>
        <w:ind w:left="425"/>
        <w:rPr>
          <w:rFonts w:hint="eastAsia" w:ascii="宋体" w:hAnsi="宋体" w:eastAsia="宋体" w:cs="宋体"/>
          <w:color w:val="auto"/>
          <w:spacing w:val="8"/>
          <w:sz w:val="23"/>
          <w:szCs w:val="23"/>
          <w:highlight w:val="none"/>
        </w:rPr>
      </w:pPr>
      <w:r>
        <w:rPr>
          <w:rFonts w:hint="eastAsia" w:ascii="宋体" w:hAnsi="宋体" w:eastAsia="宋体" w:cs="宋体"/>
          <w:color w:val="auto"/>
          <w:spacing w:val="8"/>
          <w:sz w:val="23"/>
          <w:szCs w:val="23"/>
          <w:highlight w:val="none"/>
        </w:rPr>
        <w:t>本企业对上述声明内容的真实性负责。如有虚假，将依法承担相应责任。</w:t>
      </w:r>
    </w:p>
    <w:p w14:paraId="53882A78">
      <w:pPr>
        <w:spacing w:before="76" w:line="228" w:lineRule="auto"/>
        <w:ind w:left="425"/>
        <w:rPr>
          <w:rFonts w:hint="eastAsia" w:ascii="宋体" w:hAnsi="宋体" w:eastAsia="宋体" w:cs="宋体"/>
          <w:color w:val="auto"/>
          <w:spacing w:val="8"/>
          <w:sz w:val="23"/>
          <w:szCs w:val="23"/>
          <w:highlight w:val="none"/>
        </w:rPr>
      </w:pPr>
    </w:p>
    <w:p w14:paraId="425CDB54">
      <w:pPr>
        <w:spacing w:before="75" w:line="536" w:lineRule="auto"/>
        <w:ind w:right="212" w:firstLine="6032" w:firstLineChars="2600"/>
        <w:jc w:val="both"/>
        <w:rPr>
          <w:rFonts w:hint="eastAsia" w:ascii="宋体" w:hAnsi="宋体" w:eastAsia="宋体" w:cs="宋体"/>
          <w:color w:val="auto"/>
          <w:spacing w:val="3"/>
          <w:sz w:val="23"/>
          <w:szCs w:val="23"/>
          <w:highlight w:val="none"/>
          <w:lang w:eastAsia="zh-CN"/>
        </w:rPr>
      </w:pPr>
      <w:r>
        <w:rPr>
          <w:rFonts w:hint="eastAsia" w:ascii="宋体" w:hAnsi="宋体" w:eastAsia="宋体" w:cs="宋体"/>
          <w:color w:val="auto"/>
          <w:spacing w:val="1"/>
          <w:sz w:val="23"/>
          <w:szCs w:val="23"/>
          <w:highlight w:val="none"/>
        </w:rPr>
        <w:t>企业名称（盖章</w:t>
      </w:r>
      <w:r>
        <w:rPr>
          <w:rFonts w:hint="eastAsia" w:ascii="宋体" w:hAnsi="宋体" w:eastAsia="宋体" w:cs="宋体"/>
          <w:color w:val="auto"/>
          <w:spacing w:val="3"/>
          <w:sz w:val="23"/>
          <w:szCs w:val="23"/>
          <w:highlight w:val="none"/>
        </w:rPr>
        <w:t>）</w:t>
      </w:r>
      <w:r>
        <w:rPr>
          <w:rFonts w:hint="eastAsia" w:ascii="宋体" w:hAnsi="宋体" w:eastAsia="宋体" w:cs="宋体"/>
          <w:color w:val="auto"/>
          <w:spacing w:val="3"/>
          <w:sz w:val="23"/>
          <w:szCs w:val="23"/>
          <w:highlight w:val="none"/>
          <w:lang w:eastAsia="zh-CN"/>
        </w:rPr>
        <w:t>：</w:t>
      </w:r>
    </w:p>
    <w:p w14:paraId="5AF9CE01">
      <w:pPr>
        <w:spacing w:before="75" w:line="536" w:lineRule="auto"/>
        <w:ind w:right="212" w:firstLine="7068" w:firstLineChars="3800"/>
        <w:jc w:val="both"/>
        <w:rPr>
          <w:rFonts w:hint="eastAsia" w:ascii="宋体" w:hAnsi="宋体" w:eastAsia="宋体" w:cs="宋体"/>
          <w:color w:val="auto"/>
          <w:sz w:val="23"/>
          <w:szCs w:val="23"/>
          <w:highlight w:val="none"/>
          <w:lang w:val="en-US" w:eastAsia="zh-CN"/>
        </w:rPr>
      </w:pPr>
      <w:r>
        <w:rPr>
          <w:rFonts w:hint="eastAsia" w:ascii="宋体" w:hAnsi="宋体" w:eastAsia="宋体" w:cs="宋体"/>
          <w:color w:val="auto"/>
          <w:spacing w:val="-22"/>
          <w:sz w:val="23"/>
          <w:szCs w:val="23"/>
          <w:highlight w:val="none"/>
        </w:rPr>
        <w:t>日</w:t>
      </w:r>
      <w:r>
        <w:rPr>
          <w:rFonts w:hint="eastAsia" w:ascii="宋体" w:hAnsi="宋体" w:eastAsia="宋体" w:cs="宋体"/>
          <w:color w:val="auto"/>
          <w:spacing w:val="-22"/>
          <w:sz w:val="23"/>
          <w:szCs w:val="23"/>
          <w:highlight w:val="none"/>
          <w:lang w:val="en-US" w:eastAsia="zh-CN"/>
        </w:rPr>
        <w:t xml:space="preserve"> </w:t>
      </w:r>
      <w:r>
        <w:rPr>
          <w:rFonts w:hint="eastAsia" w:ascii="宋体" w:hAnsi="宋体" w:eastAsia="宋体" w:cs="宋体"/>
          <w:color w:val="auto"/>
          <w:spacing w:val="-22"/>
          <w:sz w:val="23"/>
          <w:szCs w:val="23"/>
          <w:highlight w:val="none"/>
        </w:rPr>
        <w:t>期：</w:t>
      </w:r>
      <w:r>
        <w:rPr>
          <w:rFonts w:hint="eastAsia" w:ascii="宋体" w:hAnsi="宋体" w:eastAsia="宋体" w:cs="宋体"/>
          <w:color w:val="auto"/>
          <w:spacing w:val="-22"/>
          <w:sz w:val="23"/>
          <w:szCs w:val="23"/>
          <w:highlight w:val="none"/>
          <w:lang w:val="en-US" w:eastAsia="zh-CN"/>
        </w:rPr>
        <w:t>:</w:t>
      </w:r>
    </w:p>
    <w:p w14:paraId="64853ADE">
      <w:pPr>
        <w:spacing w:line="228" w:lineRule="auto"/>
        <w:ind w:left="11"/>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注：小型和微型企业适用价格扣除办法时应同时提供的相关资料：</w:t>
      </w:r>
    </w:p>
    <w:p w14:paraId="01DDE26A">
      <w:pPr>
        <w:spacing w:before="49" w:line="228" w:lineRule="auto"/>
        <w:ind w:left="2154"/>
        <w:outlineLvl w:val="9"/>
        <w:rPr>
          <w:rFonts w:hint="eastAsia" w:ascii="宋体" w:hAnsi="宋体" w:eastAsia="宋体" w:cs="宋体"/>
          <w:b/>
          <w:bCs/>
          <w:color w:val="auto"/>
          <w:spacing w:val="7"/>
          <w:sz w:val="23"/>
          <w:szCs w:val="23"/>
          <w:highlight w:val="none"/>
        </w:rPr>
      </w:pPr>
      <w:bookmarkStart w:id="601" w:name="bookmark137"/>
      <w:bookmarkEnd w:id="601"/>
    </w:p>
    <w:p w14:paraId="6C80C3B3">
      <w:pPr>
        <w:spacing w:before="49" w:line="228" w:lineRule="auto"/>
        <w:ind w:left="2154"/>
        <w:outlineLvl w:val="9"/>
        <w:rPr>
          <w:rFonts w:hint="eastAsia" w:ascii="宋体" w:hAnsi="宋体" w:eastAsia="宋体" w:cs="宋体"/>
          <w:b/>
          <w:bCs/>
          <w:color w:val="auto"/>
          <w:spacing w:val="7"/>
          <w:sz w:val="23"/>
          <w:szCs w:val="23"/>
          <w:highlight w:val="none"/>
        </w:rPr>
      </w:pPr>
    </w:p>
    <w:p w14:paraId="1C3483B8">
      <w:pPr>
        <w:spacing w:before="49" w:line="228" w:lineRule="auto"/>
        <w:ind w:left="2154"/>
        <w:outlineLvl w:val="9"/>
        <w:rPr>
          <w:rFonts w:hint="eastAsia" w:ascii="宋体" w:hAnsi="宋体" w:eastAsia="宋体" w:cs="宋体"/>
          <w:b/>
          <w:bCs/>
          <w:color w:val="auto"/>
          <w:spacing w:val="7"/>
          <w:sz w:val="23"/>
          <w:szCs w:val="23"/>
          <w:highlight w:val="none"/>
        </w:rPr>
      </w:pPr>
    </w:p>
    <w:p w14:paraId="6EC4DC93">
      <w:pPr>
        <w:spacing w:before="49" w:line="228" w:lineRule="auto"/>
        <w:ind w:left="2154"/>
        <w:outlineLvl w:val="9"/>
        <w:rPr>
          <w:rFonts w:hint="eastAsia" w:ascii="宋体" w:hAnsi="宋体" w:eastAsia="宋体" w:cs="宋体"/>
          <w:b/>
          <w:bCs/>
          <w:color w:val="auto"/>
          <w:spacing w:val="7"/>
          <w:sz w:val="23"/>
          <w:szCs w:val="23"/>
          <w:highlight w:val="none"/>
        </w:rPr>
      </w:pPr>
    </w:p>
    <w:p w14:paraId="5198642A">
      <w:pPr>
        <w:spacing w:before="49" w:line="228" w:lineRule="auto"/>
        <w:ind w:left="2154"/>
        <w:outlineLvl w:val="1"/>
        <w:rPr>
          <w:rFonts w:hint="eastAsia" w:ascii="宋体" w:hAnsi="宋体" w:eastAsia="宋体" w:cs="宋体"/>
          <w:color w:val="auto"/>
          <w:sz w:val="23"/>
          <w:szCs w:val="23"/>
          <w:highlight w:val="none"/>
        </w:rPr>
      </w:pPr>
      <w:r>
        <w:rPr>
          <w:rFonts w:hint="eastAsia" w:ascii="宋体" w:hAnsi="宋体" w:eastAsia="宋体" w:cs="宋体"/>
          <w:b/>
          <w:bCs/>
          <w:color w:val="auto"/>
          <w:spacing w:val="7"/>
          <w:sz w:val="23"/>
          <w:szCs w:val="23"/>
          <w:highlight w:val="none"/>
        </w:rPr>
        <w:t>6-2</w:t>
      </w:r>
      <w:r>
        <w:rPr>
          <w:rFonts w:hint="eastAsia" w:ascii="宋体" w:hAnsi="宋体" w:eastAsia="宋体" w:cs="宋体"/>
          <w:color w:val="auto"/>
          <w:spacing w:val="7"/>
          <w:sz w:val="23"/>
          <w:szCs w:val="23"/>
          <w:highlight w:val="none"/>
        </w:rPr>
        <w:t xml:space="preserve">   </w:t>
      </w:r>
      <w:r>
        <w:rPr>
          <w:rFonts w:hint="eastAsia" w:ascii="宋体" w:hAnsi="宋体" w:eastAsia="宋体" w:cs="宋体"/>
          <w:b/>
          <w:bCs/>
          <w:color w:val="auto"/>
          <w:spacing w:val="7"/>
          <w:sz w:val="23"/>
          <w:szCs w:val="23"/>
          <w:highlight w:val="none"/>
        </w:rPr>
        <w:t>残疾人福利性单位声明函（响应</w:t>
      </w:r>
      <w:r>
        <w:rPr>
          <w:rFonts w:hint="eastAsia" w:ascii="宋体" w:hAnsi="宋体" w:eastAsia="宋体" w:cs="宋体"/>
          <w:b/>
          <w:bCs/>
          <w:color w:val="auto"/>
          <w:spacing w:val="6"/>
          <w:sz w:val="23"/>
          <w:szCs w:val="23"/>
          <w:highlight w:val="none"/>
        </w:rPr>
        <w:t>文件格式十二）</w:t>
      </w:r>
    </w:p>
    <w:p w14:paraId="4A1908A7">
      <w:pPr>
        <w:pStyle w:val="2"/>
        <w:spacing w:line="262" w:lineRule="auto"/>
        <w:rPr>
          <w:rFonts w:hint="eastAsia" w:ascii="宋体" w:hAnsi="宋体" w:eastAsia="宋体" w:cs="宋体"/>
          <w:color w:val="auto"/>
          <w:highlight w:val="none"/>
        </w:rPr>
      </w:pPr>
    </w:p>
    <w:p w14:paraId="38E5AF70">
      <w:pPr>
        <w:spacing w:before="75" w:line="244" w:lineRule="auto"/>
        <w:ind w:firstLine="569"/>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本单位郑重声明，根据《财政部</w:t>
      </w:r>
      <w:r>
        <w:rPr>
          <w:rFonts w:hint="eastAsia" w:ascii="宋体" w:hAnsi="宋体" w:eastAsia="宋体" w:cs="宋体"/>
          <w:color w:val="auto"/>
          <w:spacing w:val="57"/>
          <w:sz w:val="23"/>
          <w:szCs w:val="23"/>
          <w:highlight w:val="none"/>
        </w:rPr>
        <w:t xml:space="preserve"> </w:t>
      </w:r>
      <w:r>
        <w:rPr>
          <w:rFonts w:hint="eastAsia" w:ascii="宋体" w:hAnsi="宋体" w:eastAsia="宋体" w:cs="宋体"/>
          <w:color w:val="auto"/>
          <w:spacing w:val="6"/>
          <w:sz w:val="23"/>
          <w:szCs w:val="23"/>
          <w:highlight w:val="none"/>
        </w:rPr>
        <w:t>民政部</w:t>
      </w:r>
      <w:r>
        <w:rPr>
          <w:rFonts w:hint="eastAsia" w:ascii="宋体" w:hAnsi="宋体" w:eastAsia="宋体" w:cs="宋体"/>
          <w:color w:val="auto"/>
          <w:spacing w:val="51"/>
          <w:sz w:val="23"/>
          <w:szCs w:val="23"/>
          <w:highlight w:val="none"/>
        </w:rPr>
        <w:t xml:space="preserve"> </w:t>
      </w:r>
      <w:r>
        <w:rPr>
          <w:rFonts w:hint="eastAsia" w:ascii="宋体" w:hAnsi="宋体" w:eastAsia="宋体" w:cs="宋体"/>
          <w:color w:val="auto"/>
          <w:spacing w:val="6"/>
          <w:sz w:val="23"/>
          <w:szCs w:val="23"/>
          <w:highlight w:val="none"/>
        </w:rPr>
        <w:t>中国残疾人联合会关于促进残疾人就业政府采</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0"/>
          <w:sz w:val="23"/>
          <w:szCs w:val="23"/>
          <w:highlight w:val="none"/>
        </w:rPr>
        <w:t>购政策的通知》（财库〔2017〕141</w:t>
      </w:r>
      <w:r>
        <w:rPr>
          <w:rFonts w:hint="eastAsia" w:ascii="宋体" w:hAnsi="宋体" w:eastAsia="宋体" w:cs="宋体"/>
          <w:color w:val="auto"/>
          <w:spacing w:val="-29"/>
          <w:sz w:val="23"/>
          <w:szCs w:val="23"/>
          <w:highlight w:val="none"/>
        </w:rPr>
        <w:t xml:space="preserve"> </w:t>
      </w:r>
      <w:r>
        <w:rPr>
          <w:rFonts w:hint="eastAsia" w:ascii="宋体" w:hAnsi="宋体" w:eastAsia="宋体" w:cs="宋体"/>
          <w:color w:val="auto"/>
          <w:spacing w:val="10"/>
          <w:sz w:val="23"/>
          <w:szCs w:val="23"/>
          <w:highlight w:val="none"/>
        </w:rPr>
        <w:t>号</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68"/>
          <w:sz w:val="23"/>
          <w:szCs w:val="23"/>
          <w:highlight w:val="none"/>
        </w:rPr>
        <w:t xml:space="preserve"> </w:t>
      </w:r>
      <w:r>
        <w:rPr>
          <w:rFonts w:hint="eastAsia" w:ascii="宋体" w:hAnsi="宋体" w:eastAsia="宋体" w:cs="宋体"/>
          <w:color w:val="auto"/>
          <w:spacing w:val="9"/>
          <w:sz w:val="23"/>
          <w:szCs w:val="23"/>
          <w:highlight w:val="none"/>
        </w:rPr>
        <w:t>的规定，本单位为符合条件的残疾人福利性单位，</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0"/>
          <w:sz w:val="23"/>
          <w:szCs w:val="23"/>
          <w:highlight w:val="none"/>
        </w:rPr>
        <w:t>且本单位参加</w:t>
      </w:r>
      <w:r>
        <w:rPr>
          <w:rFonts w:hint="eastAsia" w:ascii="宋体" w:hAnsi="宋体" w:eastAsia="宋体" w:cs="宋体"/>
          <w:color w:val="auto"/>
          <w:spacing w:val="-113"/>
          <w:sz w:val="23"/>
          <w:szCs w:val="23"/>
          <w:highlight w:val="none"/>
        </w:rPr>
        <w:t xml:space="preserve">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86"/>
          <w:sz w:val="23"/>
          <w:szCs w:val="23"/>
          <w:highlight w:val="none"/>
        </w:rPr>
        <w:t xml:space="preserve"> </w:t>
      </w:r>
      <w:r>
        <w:rPr>
          <w:rFonts w:hint="eastAsia" w:ascii="宋体" w:hAnsi="宋体" w:eastAsia="宋体" w:cs="宋体"/>
          <w:color w:val="auto"/>
          <w:spacing w:val="10"/>
          <w:sz w:val="23"/>
          <w:szCs w:val="23"/>
          <w:highlight w:val="none"/>
        </w:rPr>
        <w:t>单位的</w:t>
      </w:r>
      <w:r>
        <w:rPr>
          <w:rFonts w:hint="eastAsia" w:ascii="宋体" w:hAnsi="宋体" w:eastAsia="宋体" w:cs="宋体"/>
          <w:color w:val="auto"/>
          <w:spacing w:val="-112"/>
          <w:sz w:val="23"/>
          <w:szCs w:val="23"/>
          <w:highlight w:val="none"/>
        </w:rPr>
        <w:t xml:space="preserve"> </w:t>
      </w:r>
      <w:r>
        <w:rPr>
          <w:rFonts w:hint="eastAsia" w:ascii="宋体" w:hAnsi="宋体" w:eastAsia="宋体" w:cs="宋体"/>
          <w:color w:val="auto"/>
          <w:spacing w:val="4"/>
          <w:sz w:val="23"/>
          <w:szCs w:val="23"/>
          <w:highlight w:val="none"/>
          <w:u w:val="single" w:color="auto"/>
        </w:rPr>
        <w:t xml:space="preserve">      </w:t>
      </w:r>
      <w:r>
        <w:rPr>
          <w:rFonts w:hint="eastAsia" w:ascii="宋体" w:hAnsi="宋体" w:eastAsia="宋体" w:cs="宋体"/>
          <w:color w:val="auto"/>
          <w:spacing w:val="-92"/>
          <w:sz w:val="23"/>
          <w:szCs w:val="23"/>
          <w:highlight w:val="none"/>
        </w:rPr>
        <w:t xml:space="preserve"> </w:t>
      </w:r>
      <w:r>
        <w:rPr>
          <w:rFonts w:hint="eastAsia" w:ascii="宋体" w:hAnsi="宋体" w:eastAsia="宋体" w:cs="宋体"/>
          <w:color w:val="auto"/>
          <w:spacing w:val="10"/>
          <w:sz w:val="23"/>
          <w:szCs w:val="23"/>
          <w:highlight w:val="none"/>
        </w:rPr>
        <w:t>项目采购活动提供本单位制造的服务，或</w:t>
      </w:r>
      <w:r>
        <w:rPr>
          <w:rFonts w:hint="eastAsia" w:ascii="宋体" w:hAnsi="宋体" w:eastAsia="宋体" w:cs="宋体"/>
          <w:color w:val="auto"/>
          <w:spacing w:val="9"/>
          <w:sz w:val="23"/>
          <w:szCs w:val="23"/>
          <w:highlight w:val="none"/>
        </w:rPr>
        <w:t>者提供其他残疾</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5"/>
          <w:sz w:val="23"/>
          <w:szCs w:val="23"/>
          <w:highlight w:val="none"/>
        </w:rPr>
        <w:t>人福利性单位制造的服务 （不包括使用非残疾人福利性单位注册商标的服务）。</w:t>
      </w:r>
    </w:p>
    <w:p w14:paraId="7B6841C2">
      <w:pPr>
        <w:spacing w:before="27" w:line="228" w:lineRule="auto"/>
        <w:ind w:left="540"/>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本单位对上述声明的真实性负责。如有虚假，将依法承担相应责任。</w:t>
      </w:r>
    </w:p>
    <w:p w14:paraId="2EE4C2E3">
      <w:pPr>
        <w:pStyle w:val="2"/>
        <w:spacing w:line="285" w:lineRule="auto"/>
        <w:rPr>
          <w:rFonts w:hint="eastAsia" w:ascii="宋体" w:hAnsi="宋体" w:eastAsia="宋体" w:cs="宋体"/>
          <w:color w:val="auto"/>
          <w:highlight w:val="none"/>
        </w:rPr>
      </w:pPr>
    </w:p>
    <w:p w14:paraId="68B406EF">
      <w:pPr>
        <w:pStyle w:val="2"/>
        <w:spacing w:line="286" w:lineRule="auto"/>
        <w:rPr>
          <w:rFonts w:hint="eastAsia" w:ascii="宋体" w:hAnsi="宋体" w:eastAsia="宋体" w:cs="宋体"/>
          <w:color w:val="auto"/>
          <w:highlight w:val="none"/>
        </w:rPr>
      </w:pPr>
    </w:p>
    <w:p w14:paraId="7248BB30">
      <w:pPr>
        <w:spacing w:before="75" w:line="228" w:lineRule="auto"/>
        <w:ind w:left="3058"/>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残疾人福利性单位名称（盖单位章</w:t>
      </w:r>
      <w:r>
        <w:rPr>
          <w:rFonts w:hint="eastAsia" w:ascii="宋体" w:hAnsi="宋体" w:eastAsia="宋体" w:cs="宋体"/>
          <w:color w:val="auto"/>
          <w:spacing w:val="4"/>
          <w:sz w:val="23"/>
          <w:szCs w:val="23"/>
          <w:highlight w:val="none"/>
        </w:rPr>
        <w:t>）：</w:t>
      </w:r>
      <w:r>
        <w:rPr>
          <w:rFonts w:hint="eastAsia" w:ascii="宋体" w:hAnsi="宋体" w:eastAsia="宋体" w:cs="宋体"/>
          <w:color w:val="auto"/>
          <w:spacing w:val="59"/>
          <w:sz w:val="23"/>
          <w:szCs w:val="23"/>
          <w:highlight w:val="none"/>
        </w:rPr>
        <w:t xml:space="preserve"> </w:t>
      </w:r>
      <w:r>
        <w:rPr>
          <w:rFonts w:hint="eastAsia" w:ascii="宋体" w:hAnsi="宋体" w:eastAsia="宋体" w:cs="宋体"/>
          <w:color w:val="auto"/>
          <w:sz w:val="23"/>
          <w:szCs w:val="23"/>
          <w:highlight w:val="none"/>
          <w:u w:val="single" w:color="auto"/>
        </w:rPr>
        <w:t xml:space="preserve">               </w:t>
      </w:r>
    </w:p>
    <w:p w14:paraId="1172BDDC">
      <w:pPr>
        <w:spacing w:before="27" w:line="231" w:lineRule="auto"/>
        <w:ind w:left="1968"/>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rPr>
        <w:t>日</w:t>
      </w:r>
      <w:r>
        <w:rPr>
          <w:rFonts w:hint="eastAsia" w:ascii="宋体" w:hAnsi="宋体" w:eastAsia="宋体" w:cs="宋体"/>
          <w:color w:val="auto"/>
          <w:spacing w:val="13"/>
          <w:sz w:val="23"/>
          <w:szCs w:val="23"/>
          <w:highlight w:val="none"/>
        </w:rPr>
        <w:t xml:space="preserve">  </w:t>
      </w:r>
      <w:r>
        <w:rPr>
          <w:rFonts w:hint="eastAsia" w:ascii="宋体" w:hAnsi="宋体" w:eastAsia="宋体" w:cs="宋体"/>
          <w:color w:val="auto"/>
          <w:spacing w:val="-18"/>
          <w:sz w:val="23"/>
          <w:szCs w:val="23"/>
          <w:highlight w:val="none"/>
        </w:rPr>
        <w:t>期：</w:t>
      </w:r>
      <w:r>
        <w:rPr>
          <w:rFonts w:hint="eastAsia" w:ascii="宋体" w:hAnsi="宋体" w:eastAsia="宋体" w:cs="宋体"/>
          <w:color w:val="auto"/>
          <w:sz w:val="23"/>
          <w:szCs w:val="23"/>
          <w:highlight w:val="none"/>
          <w:u w:val="single" w:color="auto"/>
        </w:rPr>
        <w:t xml:space="preserve">                                               </w:t>
      </w:r>
    </w:p>
    <w:p w14:paraId="33BB7ED2">
      <w:pPr>
        <w:pStyle w:val="2"/>
        <w:spacing w:line="264" w:lineRule="auto"/>
        <w:rPr>
          <w:rFonts w:hint="eastAsia" w:ascii="宋体" w:hAnsi="宋体" w:eastAsia="宋体" w:cs="宋体"/>
          <w:color w:val="auto"/>
          <w:highlight w:val="none"/>
        </w:rPr>
      </w:pPr>
    </w:p>
    <w:p w14:paraId="220D6B4C">
      <w:pPr>
        <w:pStyle w:val="2"/>
        <w:spacing w:line="264" w:lineRule="auto"/>
        <w:rPr>
          <w:rFonts w:hint="eastAsia" w:ascii="宋体" w:hAnsi="宋体" w:eastAsia="宋体" w:cs="宋体"/>
          <w:color w:val="auto"/>
          <w:highlight w:val="none"/>
        </w:rPr>
      </w:pPr>
    </w:p>
    <w:p w14:paraId="01B177E1">
      <w:pPr>
        <w:pStyle w:val="2"/>
        <w:spacing w:line="264" w:lineRule="auto"/>
        <w:rPr>
          <w:rFonts w:hint="eastAsia" w:ascii="宋体" w:hAnsi="宋体" w:eastAsia="宋体" w:cs="宋体"/>
          <w:color w:val="auto"/>
          <w:highlight w:val="none"/>
        </w:rPr>
      </w:pPr>
    </w:p>
    <w:p w14:paraId="4EED5ED8">
      <w:pPr>
        <w:pStyle w:val="2"/>
        <w:spacing w:line="264" w:lineRule="auto"/>
        <w:rPr>
          <w:rFonts w:hint="eastAsia" w:ascii="宋体" w:hAnsi="宋体" w:eastAsia="宋体" w:cs="宋体"/>
          <w:color w:val="auto"/>
          <w:highlight w:val="none"/>
        </w:rPr>
      </w:pPr>
    </w:p>
    <w:p w14:paraId="05C778BF">
      <w:pPr>
        <w:pStyle w:val="2"/>
        <w:spacing w:line="264" w:lineRule="auto"/>
        <w:rPr>
          <w:rFonts w:hint="eastAsia" w:ascii="宋体" w:hAnsi="宋体" w:eastAsia="宋体" w:cs="宋体"/>
          <w:color w:val="auto"/>
          <w:highlight w:val="none"/>
        </w:rPr>
      </w:pPr>
    </w:p>
    <w:p w14:paraId="7107D0DE">
      <w:pPr>
        <w:pStyle w:val="2"/>
        <w:spacing w:before="103" w:line="232" w:lineRule="auto"/>
        <w:ind w:firstLine="1100" w:firstLineChars="400"/>
        <w:jc w:val="center"/>
        <w:outlineLvl w:val="1"/>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lang w:val="en-US" w:eastAsia="zh-CN"/>
        </w:rPr>
        <w:t>6-3磋商</w:t>
      </w:r>
      <w:r>
        <w:rPr>
          <w:rFonts w:hint="eastAsia" w:ascii="宋体" w:hAnsi="宋体" w:eastAsia="宋体" w:cs="宋体"/>
          <w:b/>
          <w:bCs/>
          <w:color w:val="auto"/>
          <w:spacing w:val="-3"/>
          <w:sz w:val="28"/>
          <w:szCs w:val="28"/>
          <w:highlight w:val="none"/>
        </w:rPr>
        <w:t>保证金缴纳凭证或投标担保函</w:t>
      </w:r>
    </w:p>
    <w:p w14:paraId="0D5E9198">
      <w:pPr>
        <w:spacing w:line="318" w:lineRule="auto"/>
        <w:rPr>
          <w:rFonts w:hint="eastAsia" w:ascii="宋体" w:hAnsi="宋体" w:eastAsia="宋体" w:cs="宋体"/>
          <w:color w:val="auto"/>
          <w:sz w:val="21"/>
          <w:highlight w:val="none"/>
        </w:rPr>
      </w:pPr>
    </w:p>
    <w:p w14:paraId="59C97879">
      <w:pPr>
        <w:spacing w:line="319" w:lineRule="auto"/>
        <w:rPr>
          <w:rFonts w:hint="eastAsia" w:ascii="宋体" w:hAnsi="宋体" w:eastAsia="宋体" w:cs="宋体"/>
          <w:color w:val="auto"/>
          <w:sz w:val="21"/>
          <w:highlight w:val="none"/>
        </w:rPr>
      </w:pPr>
    </w:p>
    <w:p w14:paraId="4E298B4F">
      <w:pPr>
        <w:pStyle w:val="2"/>
        <w:spacing w:line="240" w:lineRule="auto"/>
        <w:ind w:right="0" w:firstLine="0"/>
        <w:jc w:val="both"/>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投标人可将本项目投标保证金支付的汇款凭</w:t>
      </w:r>
      <w:r>
        <w:rPr>
          <w:rFonts w:hint="eastAsia" w:ascii="宋体" w:hAnsi="宋体" w:eastAsia="宋体" w:cs="宋体"/>
          <w:color w:val="auto"/>
          <w:spacing w:val="-5"/>
          <w:sz w:val="28"/>
          <w:szCs w:val="28"/>
          <w:highlight w:val="none"/>
        </w:rPr>
        <w:t>证、支票、汇票或保证金</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4"/>
          <w:sz w:val="28"/>
          <w:szCs w:val="28"/>
          <w:highlight w:val="none"/>
        </w:rPr>
        <w:t>收据（如有）的扫描件作为缴纳凭证放在本部分，应加盖本单位章；</w:t>
      </w:r>
      <w:r>
        <w:rPr>
          <w:rFonts w:hint="eastAsia" w:ascii="宋体" w:hAnsi="宋体" w:eastAsia="宋体" w:cs="宋体"/>
          <w:color w:val="auto"/>
          <w:spacing w:val="-5"/>
          <w:sz w:val="28"/>
          <w:szCs w:val="28"/>
          <w:highlight w:val="none"/>
        </w:rPr>
        <w:t>使用</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4"/>
          <w:sz w:val="28"/>
          <w:szCs w:val="28"/>
          <w:highlight w:val="none"/>
        </w:rPr>
        <w:t>银行保函等其他投标担保函的，应将担保函扫描件放在本部分</w:t>
      </w:r>
      <w:r>
        <w:rPr>
          <w:rFonts w:hint="eastAsia" w:ascii="宋体" w:hAnsi="宋体" w:eastAsia="宋体" w:cs="宋体"/>
          <w:color w:val="auto"/>
          <w:spacing w:val="-5"/>
          <w:sz w:val="28"/>
          <w:szCs w:val="28"/>
          <w:highlight w:val="none"/>
        </w:rPr>
        <w:t>中；如采用</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1"/>
          <w:sz w:val="28"/>
          <w:szCs w:val="28"/>
          <w:highlight w:val="none"/>
        </w:rPr>
        <w:t>政府采购信用担保形式的，应使用（投标文件格式一）,将原件扫描件放</w:t>
      </w:r>
      <w:r>
        <w:rPr>
          <w:rFonts w:hint="eastAsia" w:ascii="宋体" w:hAnsi="宋体" w:eastAsia="宋体" w:cs="宋体"/>
          <w:color w:val="auto"/>
          <w:spacing w:val="8"/>
          <w:sz w:val="28"/>
          <w:szCs w:val="28"/>
          <w:highlight w:val="none"/>
        </w:rPr>
        <w:t xml:space="preserve">  </w:t>
      </w:r>
      <w:r>
        <w:rPr>
          <w:rFonts w:hint="eastAsia" w:ascii="宋体" w:hAnsi="宋体" w:eastAsia="宋体" w:cs="宋体"/>
          <w:color w:val="auto"/>
          <w:spacing w:val="-3"/>
          <w:sz w:val="28"/>
          <w:szCs w:val="28"/>
          <w:highlight w:val="none"/>
        </w:rPr>
        <w:t>在本部分中。</w:t>
      </w:r>
    </w:p>
    <w:p w14:paraId="45CC9CBB">
      <w:pPr>
        <w:pStyle w:val="2"/>
        <w:spacing w:line="264" w:lineRule="auto"/>
        <w:rPr>
          <w:rFonts w:hint="eastAsia" w:ascii="宋体" w:hAnsi="宋体" w:eastAsia="宋体" w:cs="宋体"/>
          <w:color w:val="auto"/>
          <w:highlight w:val="none"/>
        </w:rPr>
      </w:pPr>
    </w:p>
    <w:p w14:paraId="45F48C06">
      <w:pPr>
        <w:pStyle w:val="2"/>
        <w:spacing w:line="264" w:lineRule="auto"/>
        <w:rPr>
          <w:rFonts w:hint="eastAsia" w:ascii="宋体" w:hAnsi="宋体" w:eastAsia="宋体" w:cs="宋体"/>
          <w:color w:val="auto"/>
          <w:highlight w:val="none"/>
        </w:rPr>
      </w:pPr>
    </w:p>
    <w:p w14:paraId="225D260D">
      <w:pPr>
        <w:pStyle w:val="2"/>
        <w:spacing w:line="265" w:lineRule="auto"/>
        <w:rPr>
          <w:rFonts w:hint="eastAsia" w:ascii="宋体" w:hAnsi="宋体" w:eastAsia="宋体" w:cs="宋体"/>
          <w:color w:val="auto"/>
          <w:highlight w:val="none"/>
        </w:rPr>
      </w:pPr>
    </w:p>
    <w:p w14:paraId="0071AA4A">
      <w:pPr>
        <w:spacing w:before="76" w:line="224" w:lineRule="auto"/>
        <w:ind w:left="3722"/>
        <w:outlineLvl w:val="1"/>
        <w:rPr>
          <w:rFonts w:hint="eastAsia" w:ascii="宋体" w:hAnsi="宋体" w:eastAsia="宋体" w:cs="宋体"/>
          <w:color w:val="auto"/>
          <w:sz w:val="23"/>
          <w:szCs w:val="23"/>
          <w:highlight w:val="none"/>
        </w:rPr>
      </w:pPr>
      <w:bookmarkStart w:id="602" w:name="bookmark140"/>
      <w:bookmarkEnd w:id="602"/>
      <w:bookmarkStart w:id="603" w:name="bookmark139"/>
      <w:bookmarkEnd w:id="603"/>
      <w:r>
        <w:rPr>
          <w:rFonts w:hint="eastAsia" w:ascii="宋体" w:hAnsi="宋体" w:eastAsia="宋体" w:cs="宋体"/>
          <w:b/>
          <w:bCs/>
          <w:color w:val="auto"/>
          <w:spacing w:val="6"/>
          <w:sz w:val="23"/>
          <w:szCs w:val="23"/>
          <w:highlight w:val="none"/>
        </w:rPr>
        <w:t>7、供应商关联单位的说明</w:t>
      </w:r>
    </w:p>
    <w:p w14:paraId="6D5ABFB9">
      <w:pPr>
        <w:pStyle w:val="2"/>
        <w:spacing w:line="269" w:lineRule="auto"/>
        <w:rPr>
          <w:rFonts w:hint="eastAsia" w:ascii="宋体" w:hAnsi="宋体" w:eastAsia="宋体" w:cs="宋体"/>
          <w:color w:val="auto"/>
          <w:highlight w:val="none"/>
        </w:rPr>
      </w:pPr>
    </w:p>
    <w:p w14:paraId="4980443D">
      <w:pPr>
        <w:spacing w:before="75" w:line="222" w:lineRule="auto"/>
        <w:ind w:left="473"/>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说明：供应商应当如实披露与本单位存在下列关联关系的单位名称：</w:t>
      </w:r>
    </w:p>
    <w:p w14:paraId="1AB8B003">
      <w:pPr>
        <w:spacing w:before="32" w:line="224" w:lineRule="auto"/>
        <w:ind w:left="469"/>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w:t>
      </w:r>
      <w:r>
        <w:rPr>
          <w:rFonts w:hint="eastAsia" w:ascii="宋体" w:hAnsi="宋体" w:eastAsia="宋体" w:cs="宋体"/>
          <w:color w:val="auto"/>
          <w:spacing w:val="-49"/>
          <w:sz w:val="23"/>
          <w:szCs w:val="23"/>
          <w:highlight w:val="none"/>
        </w:rPr>
        <w:t xml:space="preserve"> </w:t>
      </w:r>
      <w:r>
        <w:rPr>
          <w:rFonts w:hint="eastAsia" w:ascii="宋体" w:hAnsi="宋体" w:eastAsia="宋体" w:cs="宋体"/>
          <w:color w:val="auto"/>
          <w:spacing w:val="6"/>
          <w:sz w:val="23"/>
          <w:szCs w:val="23"/>
          <w:highlight w:val="none"/>
        </w:rPr>
        <w:t>1）与供应商单位负责人为同一人的其他单位；</w:t>
      </w:r>
    </w:p>
    <w:p w14:paraId="15E7EE8B">
      <w:pPr>
        <w:spacing w:before="34" w:line="222" w:lineRule="auto"/>
        <w:ind w:left="469"/>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（2）与供应商存在直接控股、管理关系的其他单位。</w:t>
      </w:r>
    </w:p>
    <w:p w14:paraId="53137AAE">
      <w:pPr>
        <w:pStyle w:val="2"/>
        <w:spacing w:line="299" w:lineRule="auto"/>
        <w:rPr>
          <w:rFonts w:hint="eastAsia" w:ascii="宋体" w:hAnsi="宋体" w:eastAsia="宋体" w:cs="宋体"/>
          <w:color w:val="auto"/>
          <w:highlight w:val="none"/>
        </w:rPr>
      </w:pPr>
    </w:p>
    <w:p w14:paraId="65074C62">
      <w:pPr>
        <w:pStyle w:val="2"/>
        <w:spacing w:line="299" w:lineRule="auto"/>
        <w:rPr>
          <w:rFonts w:hint="eastAsia" w:ascii="宋体" w:hAnsi="宋体" w:eastAsia="宋体" w:cs="宋体"/>
          <w:color w:val="auto"/>
          <w:highlight w:val="none"/>
        </w:rPr>
      </w:pPr>
    </w:p>
    <w:p w14:paraId="5F3254D5">
      <w:pPr>
        <w:pStyle w:val="2"/>
        <w:spacing w:line="299" w:lineRule="auto"/>
        <w:rPr>
          <w:rFonts w:hint="eastAsia" w:ascii="宋体" w:hAnsi="宋体" w:eastAsia="宋体" w:cs="宋体"/>
          <w:color w:val="auto"/>
          <w:highlight w:val="none"/>
        </w:rPr>
      </w:pPr>
    </w:p>
    <w:p w14:paraId="6FFB4ED1">
      <w:pPr>
        <w:pStyle w:val="2"/>
        <w:spacing w:line="299" w:lineRule="auto"/>
        <w:rPr>
          <w:rFonts w:hint="eastAsia" w:ascii="宋体" w:hAnsi="宋体" w:eastAsia="宋体" w:cs="宋体"/>
          <w:color w:val="auto"/>
          <w:highlight w:val="none"/>
        </w:rPr>
      </w:pPr>
    </w:p>
    <w:p w14:paraId="566D3B22">
      <w:pPr>
        <w:pStyle w:val="2"/>
        <w:spacing w:line="299" w:lineRule="auto"/>
        <w:rPr>
          <w:rFonts w:hint="eastAsia" w:ascii="宋体" w:hAnsi="宋体" w:eastAsia="宋体" w:cs="宋体"/>
          <w:color w:val="auto"/>
          <w:highlight w:val="none"/>
        </w:rPr>
      </w:pPr>
    </w:p>
    <w:p w14:paraId="789CAB1A">
      <w:pPr>
        <w:pStyle w:val="2"/>
        <w:spacing w:line="299" w:lineRule="auto"/>
        <w:rPr>
          <w:rFonts w:hint="eastAsia" w:ascii="宋体" w:hAnsi="宋体" w:eastAsia="宋体" w:cs="宋体"/>
          <w:color w:val="auto"/>
          <w:highlight w:val="none"/>
        </w:rPr>
      </w:pPr>
    </w:p>
    <w:p w14:paraId="711559D3">
      <w:pPr>
        <w:pStyle w:val="2"/>
        <w:spacing w:line="299" w:lineRule="auto"/>
        <w:rPr>
          <w:rFonts w:hint="eastAsia" w:ascii="宋体" w:hAnsi="宋体" w:eastAsia="宋体" w:cs="宋体"/>
          <w:color w:val="auto"/>
          <w:highlight w:val="none"/>
        </w:rPr>
      </w:pPr>
    </w:p>
    <w:p w14:paraId="1FE8857A">
      <w:pPr>
        <w:pStyle w:val="2"/>
        <w:spacing w:line="299" w:lineRule="auto"/>
        <w:rPr>
          <w:rFonts w:hint="eastAsia" w:ascii="宋体" w:hAnsi="宋体" w:eastAsia="宋体" w:cs="宋体"/>
          <w:color w:val="auto"/>
          <w:highlight w:val="none"/>
        </w:rPr>
      </w:pPr>
    </w:p>
    <w:p w14:paraId="34ECE127">
      <w:pPr>
        <w:spacing w:before="75" w:line="225" w:lineRule="auto"/>
        <w:outlineLvl w:val="1"/>
        <w:rPr>
          <w:rFonts w:hint="eastAsia" w:ascii="宋体" w:hAnsi="宋体" w:eastAsia="宋体" w:cs="宋体"/>
          <w:color w:val="auto"/>
          <w:sz w:val="23"/>
          <w:szCs w:val="23"/>
          <w:highlight w:val="none"/>
        </w:rPr>
      </w:pPr>
      <w:bookmarkStart w:id="604" w:name="bookmark141"/>
      <w:bookmarkEnd w:id="604"/>
      <w:bookmarkStart w:id="605" w:name="bookmark142"/>
      <w:bookmarkEnd w:id="605"/>
      <w:r>
        <w:rPr>
          <w:rFonts w:hint="eastAsia" w:ascii="宋体" w:hAnsi="宋体" w:eastAsia="宋体" w:cs="宋体"/>
          <w:b/>
          <w:bCs/>
          <w:color w:val="auto"/>
          <w:spacing w:val="5"/>
          <w:sz w:val="23"/>
          <w:szCs w:val="23"/>
          <w:highlight w:val="none"/>
        </w:rPr>
        <w:t>8、响应文件还应包括供应商须知第</w:t>
      </w:r>
      <w:r>
        <w:rPr>
          <w:rFonts w:hint="eastAsia" w:ascii="宋体" w:hAnsi="宋体" w:eastAsia="宋体" w:cs="宋体"/>
          <w:color w:val="auto"/>
          <w:spacing w:val="-13"/>
          <w:sz w:val="23"/>
          <w:szCs w:val="23"/>
          <w:highlight w:val="none"/>
        </w:rPr>
        <w:t xml:space="preserve"> </w:t>
      </w:r>
      <w:r>
        <w:rPr>
          <w:rFonts w:hint="eastAsia" w:ascii="宋体" w:hAnsi="宋体" w:eastAsia="宋体" w:cs="宋体"/>
          <w:b/>
          <w:bCs/>
          <w:color w:val="auto"/>
          <w:spacing w:val="5"/>
          <w:sz w:val="23"/>
          <w:szCs w:val="23"/>
          <w:highlight w:val="none"/>
        </w:rPr>
        <w:t>10</w:t>
      </w:r>
      <w:r>
        <w:rPr>
          <w:rFonts w:hint="eastAsia" w:ascii="宋体" w:hAnsi="宋体" w:eastAsia="宋体" w:cs="宋体"/>
          <w:color w:val="auto"/>
          <w:spacing w:val="-43"/>
          <w:sz w:val="23"/>
          <w:szCs w:val="23"/>
          <w:highlight w:val="none"/>
        </w:rPr>
        <w:t xml:space="preserve"> </w:t>
      </w:r>
      <w:r>
        <w:rPr>
          <w:rFonts w:hint="eastAsia" w:ascii="宋体" w:hAnsi="宋体" w:eastAsia="宋体" w:cs="宋体"/>
          <w:b/>
          <w:bCs/>
          <w:color w:val="auto"/>
          <w:spacing w:val="5"/>
          <w:sz w:val="23"/>
          <w:szCs w:val="23"/>
          <w:highlight w:val="none"/>
        </w:rPr>
        <w:t>条的所有技术文件</w:t>
      </w:r>
    </w:p>
    <w:p w14:paraId="59F01FCF">
      <w:pPr>
        <w:spacing w:before="43" w:line="228" w:lineRule="auto"/>
        <w:ind w:left="1446"/>
        <w:rPr>
          <w:rFonts w:hint="eastAsia" w:ascii="宋体" w:hAnsi="宋体" w:eastAsia="宋体" w:cs="宋体"/>
          <w:b/>
          <w:bCs/>
          <w:color w:val="auto"/>
          <w:spacing w:val="5"/>
          <w:sz w:val="23"/>
          <w:szCs w:val="23"/>
          <w:highlight w:val="none"/>
        </w:rPr>
      </w:pPr>
    </w:p>
    <w:p w14:paraId="2CB1AD19">
      <w:pPr>
        <w:spacing w:before="43" w:line="228" w:lineRule="auto"/>
        <w:rPr>
          <w:rFonts w:hint="eastAsia" w:ascii="宋体" w:hAnsi="宋体" w:eastAsia="宋体" w:cs="宋体"/>
          <w:color w:val="auto"/>
          <w:sz w:val="23"/>
          <w:szCs w:val="23"/>
          <w:highlight w:val="none"/>
        </w:rPr>
      </w:pPr>
      <w:r>
        <w:rPr>
          <w:rFonts w:hint="eastAsia" w:ascii="宋体" w:hAnsi="宋体" w:eastAsia="宋体" w:cs="宋体"/>
          <w:b/>
          <w:bCs/>
          <w:color w:val="auto"/>
          <w:spacing w:val="5"/>
          <w:sz w:val="23"/>
          <w:szCs w:val="23"/>
          <w:highlight w:val="none"/>
        </w:rPr>
        <w:t>注：上内容中若需要表格请供应商自行编制。</w:t>
      </w:r>
    </w:p>
    <w:p w14:paraId="79107ABE">
      <w:pPr>
        <w:spacing w:line="228" w:lineRule="auto"/>
        <w:rPr>
          <w:rFonts w:hint="eastAsia" w:ascii="宋体" w:hAnsi="宋体" w:eastAsia="宋体" w:cs="宋体"/>
          <w:color w:val="auto"/>
          <w:sz w:val="23"/>
          <w:szCs w:val="23"/>
          <w:highlight w:val="none"/>
        </w:rPr>
        <w:sectPr>
          <w:footerReference r:id="rId23" w:type="default"/>
          <w:pgSz w:w="11906" w:h="16838"/>
          <w:pgMar w:top="433" w:right="1160" w:bottom="1171" w:left="1103" w:header="964" w:footer="996" w:gutter="0"/>
          <w:pgNumType w:fmt="decimal"/>
          <w:cols w:space="720" w:num="1"/>
        </w:sectPr>
      </w:pPr>
    </w:p>
    <w:p w14:paraId="29CB409D">
      <w:pPr>
        <w:spacing w:before="47" w:line="227" w:lineRule="auto"/>
        <w:rPr>
          <w:rFonts w:hint="eastAsia" w:ascii="宋体" w:hAnsi="宋体" w:eastAsia="宋体" w:cs="宋体"/>
          <w:color w:val="auto"/>
          <w:sz w:val="23"/>
          <w:szCs w:val="23"/>
          <w:highlight w:val="none"/>
        </w:rPr>
      </w:pPr>
      <w:r>
        <w:rPr>
          <w:rFonts w:hint="eastAsia" w:ascii="宋体" w:hAnsi="宋体" w:eastAsia="宋体" w:cs="宋体"/>
          <w:b/>
          <w:bCs/>
          <w:color w:val="auto"/>
          <w:sz w:val="23"/>
          <w:szCs w:val="23"/>
          <w:highlight w:val="none"/>
        </w:rPr>
        <w:t>附件一</w:t>
      </w:r>
    </w:p>
    <w:p w14:paraId="45B0FB40">
      <w:pPr>
        <w:spacing w:before="118" w:line="229" w:lineRule="auto"/>
        <w:ind w:left="3616"/>
        <w:rPr>
          <w:rFonts w:hint="eastAsia" w:ascii="宋体" w:hAnsi="宋体" w:eastAsia="宋体" w:cs="宋体"/>
          <w:color w:val="auto"/>
          <w:sz w:val="23"/>
          <w:szCs w:val="23"/>
          <w:highlight w:val="none"/>
        </w:rPr>
      </w:pPr>
      <w:r>
        <w:rPr>
          <w:rFonts w:hint="eastAsia" w:ascii="宋体" w:hAnsi="宋体" w:eastAsia="宋体" w:cs="宋体"/>
          <w:b/>
          <w:bCs/>
          <w:color w:val="auto"/>
          <w:spacing w:val="6"/>
          <w:sz w:val="23"/>
          <w:szCs w:val="23"/>
          <w:highlight w:val="none"/>
        </w:rPr>
        <w:t>拟派项目负责人简历表</w:t>
      </w:r>
    </w:p>
    <w:p w14:paraId="3CA54CF4">
      <w:pPr>
        <w:spacing w:before="148"/>
        <w:rPr>
          <w:rFonts w:hint="eastAsia" w:ascii="宋体" w:hAnsi="宋体" w:eastAsia="宋体" w:cs="宋体"/>
          <w:color w:val="auto"/>
          <w:highlight w:val="none"/>
        </w:rPr>
      </w:pPr>
    </w:p>
    <w:tbl>
      <w:tblPr>
        <w:tblStyle w:val="40"/>
        <w:tblW w:w="9256" w:type="dxa"/>
        <w:tblInd w:w="1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4"/>
        <w:gridCol w:w="1567"/>
        <w:gridCol w:w="1229"/>
        <w:gridCol w:w="353"/>
        <w:gridCol w:w="1581"/>
        <w:gridCol w:w="1582"/>
        <w:gridCol w:w="1060"/>
      </w:tblGrid>
      <w:tr w14:paraId="744FE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884" w:type="dxa"/>
            <w:vAlign w:val="top"/>
          </w:tcPr>
          <w:p w14:paraId="2CCA76FC">
            <w:pPr>
              <w:spacing w:before="144" w:line="233" w:lineRule="auto"/>
              <w:ind w:left="715"/>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姓名</w:t>
            </w:r>
          </w:p>
        </w:tc>
        <w:tc>
          <w:tcPr>
            <w:tcW w:w="2796" w:type="dxa"/>
            <w:gridSpan w:val="2"/>
            <w:vAlign w:val="top"/>
          </w:tcPr>
          <w:p w14:paraId="5BEBB17C">
            <w:pPr>
              <w:pStyle w:val="39"/>
              <w:rPr>
                <w:rFonts w:hint="eastAsia" w:ascii="宋体" w:hAnsi="宋体" w:eastAsia="宋体" w:cs="宋体"/>
                <w:color w:val="auto"/>
                <w:highlight w:val="none"/>
              </w:rPr>
            </w:pPr>
          </w:p>
        </w:tc>
        <w:tc>
          <w:tcPr>
            <w:tcW w:w="1934" w:type="dxa"/>
            <w:gridSpan w:val="2"/>
            <w:vAlign w:val="top"/>
          </w:tcPr>
          <w:p w14:paraId="0FC4DC42">
            <w:pPr>
              <w:spacing w:before="145" w:line="228" w:lineRule="auto"/>
              <w:ind w:left="745"/>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性别</w:t>
            </w:r>
          </w:p>
        </w:tc>
        <w:tc>
          <w:tcPr>
            <w:tcW w:w="2642" w:type="dxa"/>
            <w:gridSpan w:val="2"/>
            <w:vAlign w:val="top"/>
          </w:tcPr>
          <w:p w14:paraId="1D922DE4">
            <w:pPr>
              <w:pStyle w:val="39"/>
              <w:rPr>
                <w:rFonts w:hint="eastAsia" w:ascii="宋体" w:hAnsi="宋体" w:eastAsia="宋体" w:cs="宋体"/>
                <w:color w:val="auto"/>
                <w:highlight w:val="none"/>
              </w:rPr>
            </w:pPr>
          </w:p>
        </w:tc>
      </w:tr>
      <w:tr w14:paraId="5C117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84" w:type="dxa"/>
            <w:vAlign w:val="top"/>
          </w:tcPr>
          <w:p w14:paraId="0B9FBBEA">
            <w:pPr>
              <w:spacing w:before="142" w:line="229" w:lineRule="auto"/>
              <w:ind w:left="714"/>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职称</w:t>
            </w:r>
          </w:p>
        </w:tc>
        <w:tc>
          <w:tcPr>
            <w:tcW w:w="2796" w:type="dxa"/>
            <w:gridSpan w:val="2"/>
            <w:vAlign w:val="top"/>
          </w:tcPr>
          <w:p w14:paraId="248B3ABD">
            <w:pPr>
              <w:pStyle w:val="39"/>
              <w:rPr>
                <w:rFonts w:hint="eastAsia" w:ascii="宋体" w:hAnsi="宋体" w:eastAsia="宋体" w:cs="宋体"/>
                <w:color w:val="auto"/>
                <w:highlight w:val="none"/>
              </w:rPr>
            </w:pPr>
          </w:p>
        </w:tc>
        <w:tc>
          <w:tcPr>
            <w:tcW w:w="1934" w:type="dxa"/>
            <w:gridSpan w:val="2"/>
            <w:vAlign w:val="top"/>
          </w:tcPr>
          <w:p w14:paraId="4423B60A">
            <w:pPr>
              <w:spacing w:before="142" w:line="231" w:lineRule="auto"/>
              <w:ind w:left="751"/>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学历</w:t>
            </w:r>
          </w:p>
        </w:tc>
        <w:tc>
          <w:tcPr>
            <w:tcW w:w="2642" w:type="dxa"/>
            <w:gridSpan w:val="2"/>
            <w:vAlign w:val="top"/>
          </w:tcPr>
          <w:p w14:paraId="2B05D756">
            <w:pPr>
              <w:pStyle w:val="39"/>
              <w:rPr>
                <w:rFonts w:hint="eastAsia" w:ascii="宋体" w:hAnsi="宋体" w:eastAsia="宋体" w:cs="宋体"/>
                <w:color w:val="auto"/>
                <w:highlight w:val="none"/>
              </w:rPr>
            </w:pPr>
          </w:p>
        </w:tc>
      </w:tr>
      <w:tr w14:paraId="64D64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884" w:type="dxa"/>
            <w:vAlign w:val="top"/>
          </w:tcPr>
          <w:p w14:paraId="4E42CB21">
            <w:pPr>
              <w:spacing w:before="141" w:line="228" w:lineRule="auto"/>
              <w:ind w:left="239"/>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参加工作时间</w:t>
            </w:r>
          </w:p>
        </w:tc>
        <w:tc>
          <w:tcPr>
            <w:tcW w:w="2796" w:type="dxa"/>
            <w:gridSpan w:val="2"/>
            <w:vAlign w:val="top"/>
          </w:tcPr>
          <w:p w14:paraId="7F212B2A">
            <w:pPr>
              <w:pStyle w:val="39"/>
              <w:rPr>
                <w:rFonts w:hint="eastAsia" w:ascii="宋体" w:hAnsi="宋体" w:eastAsia="宋体" w:cs="宋体"/>
                <w:color w:val="auto"/>
                <w:highlight w:val="none"/>
              </w:rPr>
            </w:pPr>
          </w:p>
        </w:tc>
        <w:tc>
          <w:tcPr>
            <w:tcW w:w="1934" w:type="dxa"/>
            <w:gridSpan w:val="2"/>
            <w:vAlign w:val="top"/>
          </w:tcPr>
          <w:p w14:paraId="17B32C7E">
            <w:pPr>
              <w:spacing w:before="140" w:line="231" w:lineRule="auto"/>
              <w:ind w:left="140"/>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从事本职业年限</w:t>
            </w:r>
          </w:p>
        </w:tc>
        <w:tc>
          <w:tcPr>
            <w:tcW w:w="2642" w:type="dxa"/>
            <w:gridSpan w:val="2"/>
            <w:vAlign w:val="top"/>
          </w:tcPr>
          <w:p w14:paraId="0C1B70B0">
            <w:pPr>
              <w:pStyle w:val="39"/>
              <w:rPr>
                <w:rFonts w:hint="eastAsia" w:ascii="宋体" w:hAnsi="宋体" w:eastAsia="宋体" w:cs="宋体"/>
                <w:color w:val="auto"/>
                <w:highlight w:val="none"/>
              </w:rPr>
            </w:pPr>
          </w:p>
        </w:tc>
      </w:tr>
      <w:tr w14:paraId="36897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84" w:type="dxa"/>
            <w:vAlign w:val="top"/>
          </w:tcPr>
          <w:p w14:paraId="1FA097D0">
            <w:pPr>
              <w:spacing w:before="142" w:line="232" w:lineRule="auto"/>
              <w:ind w:left="718"/>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专业</w:t>
            </w:r>
          </w:p>
        </w:tc>
        <w:tc>
          <w:tcPr>
            <w:tcW w:w="2796" w:type="dxa"/>
            <w:gridSpan w:val="2"/>
            <w:vAlign w:val="top"/>
          </w:tcPr>
          <w:p w14:paraId="79079693">
            <w:pPr>
              <w:pStyle w:val="39"/>
              <w:rPr>
                <w:rFonts w:hint="eastAsia" w:ascii="宋体" w:hAnsi="宋体" w:eastAsia="宋体" w:cs="宋体"/>
                <w:color w:val="auto"/>
                <w:highlight w:val="none"/>
              </w:rPr>
            </w:pPr>
          </w:p>
        </w:tc>
        <w:tc>
          <w:tcPr>
            <w:tcW w:w="1934" w:type="dxa"/>
            <w:gridSpan w:val="2"/>
            <w:vAlign w:val="top"/>
          </w:tcPr>
          <w:p w14:paraId="5209202F">
            <w:pPr>
              <w:spacing w:before="143" w:line="229" w:lineRule="auto"/>
              <w:ind w:left="505"/>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毕业学校</w:t>
            </w:r>
          </w:p>
        </w:tc>
        <w:tc>
          <w:tcPr>
            <w:tcW w:w="2642" w:type="dxa"/>
            <w:gridSpan w:val="2"/>
            <w:vAlign w:val="top"/>
          </w:tcPr>
          <w:p w14:paraId="21D2F79C">
            <w:pPr>
              <w:pStyle w:val="39"/>
              <w:rPr>
                <w:rFonts w:hint="eastAsia" w:ascii="宋体" w:hAnsi="宋体" w:eastAsia="宋体" w:cs="宋体"/>
                <w:color w:val="auto"/>
                <w:highlight w:val="none"/>
              </w:rPr>
            </w:pPr>
          </w:p>
        </w:tc>
      </w:tr>
      <w:tr w14:paraId="143E0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84" w:type="dxa"/>
            <w:vAlign w:val="top"/>
          </w:tcPr>
          <w:p w14:paraId="4750464F">
            <w:pPr>
              <w:spacing w:before="141" w:line="231" w:lineRule="auto"/>
              <w:ind w:left="355"/>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身份证号码</w:t>
            </w:r>
          </w:p>
        </w:tc>
        <w:tc>
          <w:tcPr>
            <w:tcW w:w="2796" w:type="dxa"/>
            <w:gridSpan w:val="2"/>
            <w:vAlign w:val="top"/>
          </w:tcPr>
          <w:p w14:paraId="788B17C8">
            <w:pPr>
              <w:pStyle w:val="39"/>
              <w:rPr>
                <w:rFonts w:hint="eastAsia" w:ascii="宋体" w:hAnsi="宋体" w:eastAsia="宋体" w:cs="宋体"/>
                <w:color w:val="auto"/>
                <w:highlight w:val="none"/>
              </w:rPr>
            </w:pPr>
          </w:p>
        </w:tc>
        <w:tc>
          <w:tcPr>
            <w:tcW w:w="1934" w:type="dxa"/>
            <w:gridSpan w:val="2"/>
            <w:vAlign w:val="top"/>
          </w:tcPr>
          <w:p w14:paraId="26509B24">
            <w:pPr>
              <w:spacing w:before="141" w:line="228" w:lineRule="auto"/>
              <w:ind w:left="143"/>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在单位担任职务</w:t>
            </w:r>
          </w:p>
        </w:tc>
        <w:tc>
          <w:tcPr>
            <w:tcW w:w="2642" w:type="dxa"/>
            <w:gridSpan w:val="2"/>
            <w:vAlign w:val="top"/>
          </w:tcPr>
          <w:p w14:paraId="079B97D4">
            <w:pPr>
              <w:pStyle w:val="39"/>
              <w:rPr>
                <w:rFonts w:hint="eastAsia" w:ascii="宋体" w:hAnsi="宋体" w:eastAsia="宋体" w:cs="宋体"/>
                <w:color w:val="auto"/>
                <w:highlight w:val="none"/>
              </w:rPr>
            </w:pPr>
          </w:p>
        </w:tc>
      </w:tr>
      <w:tr w14:paraId="6A79F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884" w:type="dxa"/>
            <w:vAlign w:val="top"/>
          </w:tcPr>
          <w:p w14:paraId="2912B39C">
            <w:pPr>
              <w:spacing w:before="142" w:line="231" w:lineRule="auto"/>
              <w:ind w:left="474"/>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执业资格</w:t>
            </w:r>
          </w:p>
        </w:tc>
        <w:tc>
          <w:tcPr>
            <w:tcW w:w="2796" w:type="dxa"/>
            <w:gridSpan w:val="2"/>
            <w:vAlign w:val="top"/>
          </w:tcPr>
          <w:p w14:paraId="530200DA">
            <w:pPr>
              <w:pStyle w:val="39"/>
              <w:rPr>
                <w:rFonts w:hint="eastAsia" w:ascii="宋体" w:hAnsi="宋体" w:eastAsia="宋体" w:cs="宋体"/>
                <w:color w:val="auto"/>
                <w:highlight w:val="none"/>
              </w:rPr>
            </w:pPr>
          </w:p>
        </w:tc>
        <w:tc>
          <w:tcPr>
            <w:tcW w:w="1934" w:type="dxa"/>
            <w:gridSpan w:val="2"/>
            <w:vAlign w:val="top"/>
          </w:tcPr>
          <w:p w14:paraId="3851A850">
            <w:pPr>
              <w:spacing w:before="142" w:line="232" w:lineRule="auto"/>
              <w:ind w:left="500"/>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证书编号</w:t>
            </w:r>
          </w:p>
        </w:tc>
        <w:tc>
          <w:tcPr>
            <w:tcW w:w="2642" w:type="dxa"/>
            <w:gridSpan w:val="2"/>
            <w:vAlign w:val="top"/>
          </w:tcPr>
          <w:p w14:paraId="27966B31">
            <w:pPr>
              <w:pStyle w:val="39"/>
              <w:rPr>
                <w:rFonts w:hint="eastAsia" w:ascii="宋体" w:hAnsi="宋体" w:eastAsia="宋体" w:cs="宋体"/>
                <w:color w:val="auto"/>
                <w:highlight w:val="none"/>
              </w:rPr>
            </w:pPr>
          </w:p>
        </w:tc>
      </w:tr>
      <w:tr w14:paraId="0BB79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884" w:type="dxa"/>
            <w:vAlign w:val="top"/>
          </w:tcPr>
          <w:p w14:paraId="06EFCB87">
            <w:pPr>
              <w:spacing w:before="143" w:line="231" w:lineRule="auto"/>
              <w:ind w:left="500"/>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固定电话</w:t>
            </w:r>
          </w:p>
        </w:tc>
        <w:tc>
          <w:tcPr>
            <w:tcW w:w="2796" w:type="dxa"/>
            <w:gridSpan w:val="2"/>
            <w:vAlign w:val="top"/>
          </w:tcPr>
          <w:p w14:paraId="0014299A">
            <w:pPr>
              <w:pStyle w:val="39"/>
              <w:rPr>
                <w:rFonts w:hint="eastAsia" w:ascii="宋体" w:hAnsi="宋体" w:eastAsia="宋体" w:cs="宋体"/>
                <w:color w:val="auto"/>
                <w:highlight w:val="none"/>
              </w:rPr>
            </w:pPr>
          </w:p>
        </w:tc>
        <w:tc>
          <w:tcPr>
            <w:tcW w:w="1934" w:type="dxa"/>
            <w:gridSpan w:val="2"/>
            <w:vAlign w:val="top"/>
          </w:tcPr>
          <w:p w14:paraId="6FD89D28">
            <w:pPr>
              <w:spacing w:before="142" w:line="231" w:lineRule="auto"/>
              <w:ind w:left="50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手机号码</w:t>
            </w:r>
          </w:p>
        </w:tc>
        <w:tc>
          <w:tcPr>
            <w:tcW w:w="2642" w:type="dxa"/>
            <w:gridSpan w:val="2"/>
            <w:vAlign w:val="top"/>
          </w:tcPr>
          <w:p w14:paraId="38441448">
            <w:pPr>
              <w:pStyle w:val="39"/>
              <w:rPr>
                <w:rFonts w:hint="eastAsia" w:ascii="宋体" w:hAnsi="宋体" w:eastAsia="宋体" w:cs="宋体"/>
                <w:color w:val="auto"/>
                <w:highlight w:val="none"/>
              </w:rPr>
            </w:pPr>
          </w:p>
        </w:tc>
      </w:tr>
      <w:tr w14:paraId="7826E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84" w:type="dxa"/>
            <w:vMerge w:val="restart"/>
            <w:tcBorders>
              <w:bottom w:val="nil"/>
            </w:tcBorders>
            <w:vAlign w:val="top"/>
          </w:tcPr>
          <w:p w14:paraId="1A112A33">
            <w:pPr>
              <w:pStyle w:val="39"/>
              <w:spacing w:line="258" w:lineRule="auto"/>
              <w:rPr>
                <w:rFonts w:hint="eastAsia" w:ascii="宋体" w:hAnsi="宋体" w:eastAsia="宋体" w:cs="宋体"/>
                <w:color w:val="auto"/>
                <w:highlight w:val="none"/>
              </w:rPr>
            </w:pPr>
          </w:p>
          <w:p w14:paraId="04E475F9">
            <w:pPr>
              <w:pStyle w:val="39"/>
              <w:spacing w:line="259" w:lineRule="auto"/>
              <w:rPr>
                <w:rFonts w:hint="eastAsia" w:ascii="宋体" w:hAnsi="宋体" w:eastAsia="宋体" w:cs="宋体"/>
                <w:color w:val="auto"/>
                <w:highlight w:val="none"/>
              </w:rPr>
            </w:pPr>
          </w:p>
          <w:p w14:paraId="50E82C57">
            <w:pPr>
              <w:pStyle w:val="39"/>
              <w:spacing w:line="259" w:lineRule="auto"/>
              <w:rPr>
                <w:rFonts w:hint="eastAsia" w:ascii="宋体" w:hAnsi="宋体" w:eastAsia="宋体" w:cs="宋体"/>
                <w:color w:val="auto"/>
                <w:highlight w:val="none"/>
              </w:rPr>
            </w:pPr>
          </w:p>
          <w:p w14:paraId="633D9CC8">
            <w:pPr>
              <w:pStyle w:val="39"/>
              <w:spacing w:line="259" w:lineRule="auto"/>
              <w:rPr>
                <w:rFonts w:hint="eastAsia" w:ascii="宋体" w:hAnsi="宋体" w:eastAsia="宋体" w:cs="宋体"/>
                <w:color w:val="auto"/>
                <w:highlight w:val="none"/>
              </w:rPr>
            </w:pPr>
          </w:p>
          <w:p w14:paraId="79B5AEF4">
            <w:pPr>
              <w:pStyle w:val="39"/>
              <w:spacing w:line="259" w:lineRule="auto"/>
              <w:rPr>
                <w:rFonts w:hint="eastAsia" w:ascii="宋体" w:hAnsi="宋体" w:eastAsia="宋体" w:cs="宋体"/>
                <w:color w:val="auto"/>
                <w:highlight w:val="none"/>
              </w:rPr>
            </w:pPr>
          </w:p>
          <w:p w14:paraId="751388E1">
            <w:pPr>
              <w:pStyle w:val="39"/>
              <w:spacing w:line="259" w:lineRule="auto"/>
              <w:rPr>
                <w:rFonts w:hint="eastAsia" w:ascii="宋体" w:hAnsi="宋体" w:eastAsia="宋体" w:cs="宋体"/>
                <w:color w:val="auto"/>
                <w:highlight w:val="none"/>
              </w:rPr>
            </w:pPr>
          </w:p>
          <w:p w14:paraId="5455C259">
            <w:pPr>
              <w:spacing w:before="75" w:line="358" w:lineRule="auto"/>
              <w:ind w:left="838" w:right="219" w:hanging="603"/>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近三年类似业</w:t>
            </w:r>
            <w:r>
              <w:rPr>
                <w:rFonts w:hint="eastAsia" w:ascii="宋体" w:hAnsi="宋体" w:eastAsia="宋体" w:cs="宋体"/>
                <w:color w:val="auto"/>
                <w:spacing w:val="1"/>
                <w:sz w:val="23"/>
                <w:szCs w:val="23"/>
                <w:highlight w:val="none"/>
              </w:rPr>
              <w:t xml:space="preserve"> </w:t>
            </w:r>
            <w:r>
              <w:rPr>
                <w:rFonts w:hint="eastAsia" w:ascii="宋体" w:hAnsi="宋体" w:eastAsia="宋体" w:cs="宋体"/>
                <w:color w:val="auto"/>
                <w:sz w:val="23"/>
                <w:szCs w:val="23"/>
                <w:highlight w:val="none"/>
              </w:rPr>
              <w:t>绩</w:t>
            </w:r>
          </w:p>
        </w:tc>
        <w:tc>
          <w:tcPr>
            <w:tcW w:w="1567" w:type="dxa"/>
            <w:vAlign w:val="top"/>
          </w:tcPr>
          <w:p w14:paraId="4729FF3C">
            <w:pPr>
              <w:spacing w:before="145" w:line="229" w:lineRule="auto"/>
              <w:ind w:left="316"/>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采购单位</w:t>
            </w:r>
          </w:p>
        </w:tc>
        <w:tc>
          <w:tcPr>
            <w:tcW w:w="1582" w:type="dxa"/>
            <w:gridSpan w:val="2"/>
            <w:vAlign w:val="top"/>
          </w:tcPr>
          <w:p w14:paraId="2C45FDBD">
            <w:pPr>
              <w:spacing w:before="145" w:line="229" w:lineRule="auto"/>
              <w:ind w:left="325"/>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项目名称</w:t>
            </w:r>
          </w:p>
        </w:tc>
        <w:tc>
          <w:tcPr>
            <w:tcW w:w="1581" w:type="dxa"/>
            <w:vAlign w:val="top"/>
          </w:tcPr>
          <w:p w14:paraId="29D07C64">
            <w:pPr>
              <w:spacing w:before="144" w:line="231" w:lineRule="auto"/>
              <w:ind w:left="323"/>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服务内容</w:t>
            </w:r>
          </w:p>
        </w:tc>
        <w:tc>
          <w:tcPr>
            <w:tcW w:w="1582" w:type="dxa"/>
            <w:vAlign w:val="top"/>
          </w:tcPr>
          <w:p w14:paraId="605DD67F">
            <w:pPr>
              <w:spacing w:before="144" w:line="231" w:lineRule="auto"/>
              <w:ind w:left="331"/>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合同期限</w:t>
            </w:r>
          </w:p>
        </w:tc>
        <w:tc>
          <w:tcPr>
            <w:tcW w:w="1060" w:type="dxa"/>
            <w:vAlign w:val="top"/>
          </w:tcPr>
          <w:p w14:paraId="6ADD1775">
            <w:pPr>
              <w:spacing w:before="144" w:line="233" w:lineRule="auto"/>
              <w:ind w:left="304"/>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备注</w:t>
            </w:r>
          </w:p>
        </w:tc>
      </w:tr>
      <w:tr w14:paraId="2ECA6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84" w:type="dxa"/>
            <w:vMerge w:val="continue"/>
            <w:tcBorders>
              <w:top w:val="nil"/>
              <w:bottom w:val="nil"/>
            </w:tcBorders>
            <w:vAlign w:val="top"/>
          </w:tcPr>
          <w:p w14:paraId="55DC74D9">
            <w:pPr>
              <w:pStyle w:val="39"/>
              <w:rPr>
                <w:rFonts w:hint="eastAsia" w:ascii="宋体" w:hAnsi="宋体" w:eastAsia="宋体" w:cs="宋体"/>
                <w:color w:val="auto"/>
                <w:highlight w:val="none"/>
              </w:rPr>
            </w:pPr>
          </w:p>
        </w:tc>
        <w:tc>
          <w:tcPr>
            <w:tcW w:w="1567" w:type="dxa"/>
            <w:vAlign w:val="top"/>
          </w:tcPr>
          <w:p w14:paraId="0A42ACD8">
            <w:pPr>
              <w:pStyle w:val="39"/>
              <w:rPr>
                <w:rFonts w:hint="eastAsia" w:ascii="宋体" w:hAnsi="宋体" w:eastAsia="宋体" w:cs="宋体"/>
                <w:color w:val="auto"/>
                <w:highlight w:val="none"/>
              </w:rPr>
            </w:pPr>
          </w:p>
        </w:tc>
        <w:tc>
          <w:tcPr>
            <w:tcW w:w="1582" w:type="dxa"/>
            <w:gridSpan w:val="2"/>
            <w:vAlign w:val="top"/>
          </w:tcPr>
          <w:p w14:paraId="0A891176">
            <w:pPr>
              <w:pStyle w:val="39"/>
              <w:rPr>
                <w:rFonts w:hint="eastAsia" w:ascii="宋体" w:hAnsi="宋体" w:eastAsia="宋体" w:cs="宋体"/>
                <w:color w:val="auto"/>
                <w:highlight w:val="none"/>
              </w:rPr>
            </w:pPr>
          </w:p>
        </w:tc>
        <w:tc>
          <w:tcPr>
            <w:tcW w:w="1581" w:type="dxa"/>
            <w:vAlign w:val="top"/>
          </w:tcPr>
          <w:p w14:paraId="58593332">
            <w:pPr>
              <w:pStyle w:val="39"/>
              <w:rPr>
                <w:rFonts w:hint="eastAsia" w:ascii="宋体" w:hAnsi="宋体" w:eastAsia="宋体" w:cs="宋体"/>
                <w:color w:val="auto"/>
                <w:highlight w:val="none"/>
              </w:rPr>
            </w:pPr>
          </w:p>
        </w:tc>
        <w:tc>
          <w:tcPr>
            <w:tcW w:w="1582" w:type="dxa"/>
            <w:vAlign w:val="top"/>
          </w:tcPr>
          <w:p w14:paraId="4DA97955">
            <w:pPr>
              <w:pStyle w:val="39"/>
              <w:rPr>
                <w:rFonts w:hint="eastAsia" w:ascii="宋体" w:hAnsi="宋体" w:eastAsia="宋体" w:cs="宋体"/>
                <w:color w:val="auto"/>
                <w:highlight w:val="none"/>
              </w:rPr>
            </w:pPr>
          </w:p>
        </w:tc>
        <w:tc>
          <w:tcPr>
            <w:tcW w:w="1060" w:type="dxa"/>
            <w:vAlign w:val="top"/>
          </w:tcPr>
          <w:p w14:paraId="6B8759DA">
            <w:pPr>
              <w:pStyle w:val="39"/>
              <w:rPr>
                <w:rFonts w:hint="eastAsia" w:ascii="宋体" w:hAnsi="宋体" w:eastAsia="宋体" w:cs="宋体"/>
                <w:color w:val="auto"/>
                <w:highlight w:val="none"/>
              </w:rPr>
            </w:pPr>
          </w:p>
        </w:tc>
      </w:tr>
      <w:tr w14:paraId="030B1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884" w:type="dxa"/>
            <w:vMerge w:val="continue"/>
            <w:tcBorders>
              <w:top w:val="nil"/>
              <w:bottom w:val="nil"/>
            </w:tcBorders>
            <w:vAlign w:val="top"/>
          </w:tcPr>
          <w:p w14:paraId="0F678B91">
            <w:pPr>
              <w:pStyle w:val="39"/>
              <w:rPr>
                <w:rFonts w:hint="eastAsia" w:ascii="宋体" w:hAnsi="宋体" w:eastAsia="宋体" w:cs="宋体"/>
                <w:color w:val="auto"/>
                <w:highlight w:val="none"/>
              </w:rPr>
            </w:pPr>
          </w:p>
        </w:tc>
        <w:tc>
          <w:tcPr>
            <w:tcW w:w="1567" w:type="dxa"/>
            <w:vAlign w:val="top"/>
          </w:tcPr>
          <w:p w14:paraId="218B9FBA">
            <w:pPr>
              <w:pStyle w:val="39"/>
              <w:rPr>
                <w:rFonts w:hint="eastAsia" w:ascii="宋体" w:hAnsi="宋体" w:eastAsia="宋体" w:cs="宋体"/>
                <w:color w:val="auto"/>
                <w:highlight w:val="none"/>
              </w:rPr>
            </w:pPr>
          </w:p>
        </w:tc>
        <w:tc>
          <w:tcPr>
            <w:tcW w:w="1582" w:type="dxa"/>
            <w:gridSpan w:val="2"/>
            <w:vAlign w:val="top"/>
          </w:tcPr>
          <w:p w14:paraId="589A5EB9">
            <w:pPr>
              <w:pStyle w:val="39"/>
              <w:rPr>
                <w:rFonts w:hint="eastAsia" w:ascii="宋体" w:hAnsi="宋体" w:eastAsia="宋体" w:cs="宋体"/>
                <w:color w:val="auto"/>
                <w:highlight w:val="none"/>
              </w:rPr>
            </w:pPr>
          </w:p>
        </w:tc>
        <w:tc>
          <w:tcPr>
            <w:tcW w:w="1581" w:type="dxa"/>
            <w:vAlign w:val="top"/>
          </w:tcPr>
          <w:p w14:paraId="2A687BF4">
            <w:pPr>
              <w:pStyle w:val="39"/>
              <w:rPr>
                <w:rFonts w:hint="eastAsia" w:ascii="宋体" w:hAnsi="宋体" w:eastAsia="宋体" w:cs="宋体"/>
                <w:color w:val="auto"/>
                <w:highlight w:val="none"/>
              </w:rPr>
            </w:pPr>
          </w:p>
        </w:tc>
        <w:tc>
          <w:tcPr>
            <w:tcW w:w="1582" w:type="dxa"/>
            <w:vAlign w:val="top"/>
          </w:tcPr>
          <w:p w14:paraId="483F7E0E">
            <w:pPr>
              <w:pStyle w:val="39"/>
              <w:rPr>
                <w:rFonts w:hint="eastAsia" w:ascii="宋体" w:hAnsi="宋体" w:eastAsia="宋体" w:cs="宋体"/>
                <w:color w:val="auto"/>
                <w:highlight w:val="none"/>
              </w:rPr>
            </w:pPr>
          </w:p>
        </w:tc>
        <w:tc>
          <w:tcPr>
            <w:tcW w:w="1060" w:type="dxa"/>
            <w:vAlign w:val="top"/>
          </w:tcPr>
          <w:p w14:paraId="6DE19014">
            <w:pPr>
              <w:pStyle w:val="39"/>
              <w:rPr>
                <w:rFonts w:hint="eastAsia" w:ascii="宋体" w:hAnsi="宋体" w:eastAsia="宋体" w:cs="宋体"/>
                <w:color w:val="auto"/>
                <w:highlight w:val="none"/>
              </w:rPr>
            </w:pPr>
          </w:p>
        </w:tc>
      </w:tr>
      <w:tr w14:paraId="015FB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84" w:type="dxa"/>
            <w:vMerge w:val="continue"/>
            <w:tcBorders>
              <w:top w:val="nil"/>
              <w:bottom w:val="nil"/>
            </w:tcBorders>
            <w:vAlign w:val="top"/>
          </w:tcPr>
          <w:p w14:paraId="7CF1E008">
            <w:pPr>
              <w:pStyle w:val="39"/>
              <w:rPr>
                <w:rFonts w:hint="eastAsia" w:ascii="宋体" w:hAnsi="宋体" w:eastAsia="宋体" w:cs="宋体"/>
                <w:color w:val="auto"/>
                <w:highlight w:val="none"/>
              </w:rPr>
            </w:pPr>
          </w:p>
        </w:tc>
        <w:tc>
          <w:tcPr>
            <w:tcW w:w="1567" w:type="dxa"/>
            <w:vAlign w:val="top"/>
          </w:tcPr>
          <w:p w14:paraId="5F336937">
            <w:pPr>
              <w:pStyle w:val="39"/>
              <w:rPr>
                <w:rFonts w:hint="eastAsia" w:ascii="宋体" w:hAnsi="宋体" w:eastAsia="宋体" w:cs="宋体"/>
                <w:color w:val="auto"/>
                <w:highlight w:val="none"/>
              </w:rPr>
            </w:pPr>
          </w:p>
        </w:tc>
        <w:tc>
          <w:tcPr>
            <w:tcW w:w="1582" w:type="dxa"/>
            <w:gridSpan w:val="2"/>
            <w:vAlign w:val="top"/>
          </w:tcPr>
          <w:p w14:paraId="6B22D8EA">
            <w:pPr>
              <w:pStyle w:val="39"/>
              <w:rPr>
                <w:rFonts w:hint="eastAsia" w:ascii="宋体" w:hAnsi="宋体" w:eastAsia="宋体" w:cs="宋体"/>
                <w:color w:val="auto"/>
                <w:highlight w:val="none"/>
              </w:rPr>
            </w:pPr>
          </w:p>
        </w:tc>
        <w:tc>
          <w:tcPr>
            <w:tcW w:w="1581" w:type="dxa"/>
            <w:vAlign w:val="top"/>
          </w:tcPr>
          <w:p w14:paraId="0E5BE1A0">
            <w:pPr>
              <w:pStyle w:val="39"/>
              <w:rPr>
                <w:rFonts w:hint="eastAsia" w:ascii="宋体" w:hAnsi="宋体" w:eastAsia="宋体" w:cs="宋体"/>
                <w:color w:val="auto"/>
                <w:highlight w:val="none"/>
              </w:rPr>
            </w:pPr>
          </w:p>
        </w:tc>
        <w:tc>
          <w:tcPr>
            <w:tcW w:w="1582" w:type="dxa"/>
            <w:vAlign w:val="top"/>
          </w:tcPr>
          <w:p w14:paraId="5BDC885F">
            <w:pPr>
              <w:pStyle w:val="39"/>
              <w:rPr>
                <w:rFonts w:hint="eastAsia" w:ascii="宋体" w:hAnsi="宋体" w:eastAsia="宋体" w:cs="宋体"/>
                <w:color w:val="auto"/>
                <w:highlight w:val="none"/>
              </w:rPr>
            </w:pPr>
          </w:p>
        </w:tc>
        <w:tc>
          <w:tcPr>
            <w:tcW w:w="1060" w:type="dxa"/>
            <w:vAlign w:val="top"/>
          </w:tcPr>
          <w:p w14:paraId="79507ACA">
            <w:pPr>
              <w:pStyle w:val="39"/>
              <w:rPr>
                <w:rFonts w:hint="eastAsia" w:ascii="宋体" w:hAnsi="宋体" w:eastAsia="宋体" w:cs="宋体"/>
                <w:color w:val="auto"/>
                <w:highlight w:val="none"/>
              </w:rPr>
            </w:pPr>
          </w:p>
        </w:tc>
      </w:tr>
      <w:tr w14:paraId="6938A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84" w:type="dxa"/>
            <w:vMerge w:val="continue"/>
            <w:tcBorders>
              <w:top w:val="nil"/>
              <w:bottom w:val="nil"/>
            </w:tcBorders>
            <w:vAlign w:val="top"/>
          </w:tcPr>
          <w:p w14:paraId="06BB451D">
            <w:pPr>
              <w:pStyle w:val="39"/>
              <w:rPr>
                <w:rFonts w:hint="eastAsia" w:ascii="宋体" w:hAnsi="宋体" w:eastAsia="宋体" w:cs="宋体"/>
                <w:color w:val="auto"/>
                <w:highlight w:val="none"/>
              </w:rPr>
            </w:pPr>
          </w:p>
        </w:tc>
        <w:tc>
          <w:tcPr>
            <w:tcW w:w="1567" w:type="dxa"/>
            <w:vAlign w:val="top"/>
          </w:tcPr>
          <w:p w14:paraId="7E71616D">
            <w:pPr>
              <w:pStyle w:val="39"/>
              <w:rPr>
                <w:rFonts w:hint="eastAsia" w:ascii="宋体" w:hAnsi="宋体" w:eastAsia="宋体" w:cs="宋体"/>
                <w:color w:val="auto"/>
                <w:highlight w:val="none"/>
              </w:rPr>
            </w:pPr>
          </w:p>
        </w:tc>
        <w:tc>
          <w:tcPr>
            <w:tcW w:w="1582" w:type="dxa"/>
            <w:gridSpan w:val="2"/>
            <w:vAlign w:val="top"/>
          </w:tcPr>
          <w:p w14:paraId="0C2760EE">
            <w:pPr>
              <w:pStyle w:val="39"/>
              <w:rPr>
                <w:rFonts w:hint="eastAsia" w:ascii="宋体" w:hAnsi="宋体" w:eastAsia="宋体" w:cs="宋体"/>
                <w:color w:val="auto"/>
                <w:highlight w:val="none"/>
              </w:rPr>
            </w:pPr>
          </w:p>
        </w:tc>
        <w:tc>
          <w:tcPr>
            <w:tcW w:w="1581" w:type="dxa"/>
            <w:vAlign w:val="top"/>
          </w:tcPr>
          <w:p w14:paraId="32823D39">
            <w:pPr>
              <w:pStyle w:val="39"/>
              <w:rPr>
                <w:rFonts w:hint="eastAsia" w:ascii="宋体" w:hAnsi="宋体" w:eastAsia="宋体" w:cs="宋体"/>
                <w:color w:val="auto"/>
                <w:highlight w:val="none"/>
              </w:rPr>
            </w:pPr>
          </w:p>
        </w:tc>
        <w:tc>
          <w:tcPr>
            <w:tcW w:w="1582" w:type="dxa"/>
            <w:vAlign w:val="top"/>
          </w:tcPr>
          <w:p w14:paraId="31EB59FE">
            <w:pPr>
              <w:pStyle w:val="39"/>
              <w:rPr>
                <w:rFonts w:hint="eastAsia" w:ascii="宋体" w:hAnsi="宋体" w:eastAsia="宋体" w:cs="宋体"/>
                <w:color w:val="auto"/>
                <w:highlight w:val="none"/>
              </w:rPr>
            </w:pPr>
          </w:p>
        </w:tc>
        <w:tc>
          <w:tcPr>
            <w:tcW w:w="1060" w:type="dxa"/>
            <w:vAlign w:val="top"/>
          </w:tcPr>
          <w:p w14:paraId="10EFE878">
            <w:pPr>
              <w:pStyle w:val="39"/>
              <w:rPr>
                <w:rFonts w:hint="eastAsia" w:ascii="宋体" w:hAnsi="宋体" w:eastAsia="宋体" w:cs="宋体"/>
                <w:color w:val="auto"/>
                <w:highlight w:val="none"/>
              </w:rPr>
            </w:pPr>
          </w:p>
        </w:tc>
      </w:tr>
      <w:tr w14:paraId="3117B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884" w:type="dxa"/>
            <w:vMerge w:val="continue"/>
            <w:tcBorders>
              <w:top w:val="nil"/>
            </w:tcBorders>
            <w:vAlign w:val="top"/>
          </w:tcPr>
          <w:p w14:paraId="2BB898FC">
            <w:pPr>
              <w:pStyle w:val="39"/>
              <w:rPr>
                <w:rFonts w:hint="eastAsia" w:ascii="宋体" w:hAnsi="宋体" w:eastAsia="宋体" w:cs="宋体"/>
                <w:color w:val="auto"/>
                <w:highlight w:val="none"/>
              </w:rPr>
            </w:pPr>
          </w:p>
        </w:tc>
        <w:tc>
          <w:tcPr>
            <w:tcW w:w="1567" w:type="dxa"/>
            <w:vAlign w:val="top"/>
          </w:tcPr>
          <w:p w14:paraId="637A445D">
            <w:pPr>
              <w:pStyle w:val="39"/>
              <w:rPr>
                <w:rFonts w:hint="eastAsia" w:ascii="宋体" w:hAnsi="宋体" w:eastAsia="宋体" w:cs="宋体"/>
                <w:color w:val="auto"/>
                <w:highlight w:val="none"/>
              </w:rPr>
            </w:pPr>
          </w:p>
        </w:tc>
        <w:tc>
          <w:tcPr>
            <w:tcW w:w="1582" w:type="dxa"/>
            <w:gridSpan w:val="2"/>
            <w:vAlign w:val="top"/>
          </w:tcPr>
          <w:p w14:paraId="3BC745E3">
            <w:pPr>
              <w:pStyle w:val="39"/>
              <w:rPr>
                <w:rFonts w:hint="eastAsia" w:ascii="宋体" w:hAnsi="宋体" w:eastAsia="宋体" w:cs="宋体"/>
                <w:color w:val="auto"/>
                <w:highlight w:val="none"/>
              </w:rPr>
            </w:pPr>
          </w:p>
        </w:tc>
        <w:tc>
          <w:tcPr>
            <w:tcW w:w="1581" w:type="dxa"/>
            <w:vAlign w:val="top"/>
          </w:tcPr>
          <w:p w14:paraId="25529DB0">
            <w:pPr>
              <w:pStyle w:val="39"/>
              <w:rPr>
                <w:rFonts w:hint="eastAsia" w:ascii="宋体" w:hAnsi="宋体" w:eastAsia="宋体" w:cs="宋体"/>
                <w:color w:val="auto"/>
                <w:highlight w:val="none"/>
              </w:rPr>
            </w:pPr>
          </w:p>
        </w:tc>
        <w:tc>
          <w:tcPr>
            <w:tcW w:w="1582" w:type="dxa"/>
            <w:vAlign w:val="top"/>
          </w:tcPr>
          <w:p w14:paraId="22625E4E">
            <w:pPr>
              <w:pStyle w:val="39"/>
              <w:rPr>
                <w:rFonts w:hint="eastAsia" w:ascii="宋体" w:hAnsi="宋体" w:eastAsia="宋体" w:cs="宋体"/>
                <w:color w:val="auto"/>
                <w:highlight w:val="none"/>
              </w:rPr>
            </w:pPr>
          </w:p>
        </w:tc>
        <w:tc>
          <w:tcPr>
            <w:tcW w:w="1060" w:type="dxa"/>
            <w:vAlign w:val="top"/>
          </w:tcPr>
          <w:p w14:paraId="2ABACA22">
            <w:pPr>
              <w:pStyle w:val="39"/>
              <w:rPr>
                <w:rFonts w:hint="eastAsia" w:ascii="宋体" w:hAnsi="宋体" w:eastAsia="宋体" w:cs="宋体"/>
                <w:color w:val="auto"/>
                <w:highlight w:val="none"/>
              </w:rPr>
            </w:pPr>
          </w:p>
        </w:tc>
      </w:tr>
    </w:tbl>
    <w:p w14:paraId="5ABC4A9C">
      <w:pPr>
        <w:spacing w:before="155" w:line="230" w:lineRule="auto"/>
        <w:jc w:val="right"/>
        <w:outlineLvl w:val="1"/>
        <w:rPr>
          <w:rFonts w:hint="eastAsia" w:ascii="宋体" w:hAnsi="宋体" w:eastAsia="宋体" w:cs="宋体"/>
          <w:color w:val="auto"/>
          <w:sz w:val="23"/>
          <w:szCs w:val="23"/>
          <w:highlight w:val="none"/>
        </w:rPr>
      </w:pPr>
      <w:r>
        <w:rPr>
          <w:rFonts w:hint="eastAsia" w:ascii="宋体" w:hAnsi="宋体" w:eastAsia="宋体" w:cs="宋体"/>
          <w:b/>
          <w:bCs/>
          <w:color w:val="auto"/>
          <w:spacing w:val="5"/>
          <w:sz w:val="23"/>
          <w:szCs w:val="23"/>
          <w:highlight w:val="none"/>
        </w:rPr>
        <w:t>1、拟派项目负责人应附身份证、相关执业证书、学历证书及其它一切有利于项目负责人的证</w:t>
      </w:r>
    </w:p>
    <w:p w14:paraId="21E670ED">
      <w:pPr>
        <w:spacing w:before="103" w:line="228" w:lineRule="auto"/>
        <w:ind w:left="3151"/>
        <w:rPr>
          <w:rFonts w:hint="eastAsia" w:ascii="宋体" w:hAnsi="宋体" w:eastAsia="宋体" w:cs="宋体"/>
          <w:color w:val="auto"/>
          <w:sz w:val="23"/>
          <w:szCs w:val="23"/>
          <w:highlight w:val="none"/>
        </w:rPr>
      </w:pPr>
      <w:r>
        <w:rPr>
          <w:rFonts w:hint="eastAsia" w:ascii="宋体" w:hAnsi="宋体" w:eastAsia="宋体" w:cs="宋体"/>
          <w:b/>
          <w:bCs/>
          <w:color w:val="auto"/>
          <w:spacing w:val="4"/>
          <w:sz w:val="23"/>
          <w:szCs w:val="23"/>
          <w:highlight w:val="none"/>
        </w:rPr>
        <w:t>明材料（提供上述材料彩印件）</w:t>
      </w:r>
    </w:p>
    <w:p w14:paraId="33BCAC8A">
      <w:pPr>
        <w:spacing w:line="228" w:lineRule="auto"/>
        <w:rPr>
          <w:rFonts w:hint="eastAsia" w:ascii="宋体" w:hAnsi="宋体" w:eastAsia="宋体" w:cs="宋体"/>
          <w:color w:val="auto"/>
          <w:sz w:val="23"/>
          <w:szCs w:val="23"/>
          <w:highlight w:val="none"/>
        </w:rPr>
        <w:sectPr>
          <w:footerReference r:id="rId24" w:type="default"/>
          <w:pgSz w:w="11906" w:h="16838"/>
          <w:pgMar w:top="523" w:right="1146" w:bottom="1171" w:left="1115" w:header="964" w:footer="996" w:gutter="0"/>
          <w:pgNumType w:fmt="decimal"/>
          <w:cols w:space="720" w:num="1"/>
        </w:sectPr>
      </w:pPr>
    </w:p>
    <w:p w14:paraId="5E137FA2">
      <w:pPr>
        <w:spacing w:before="48" w:line="231" w:lineRule="auto"/>
        <w:ind w:left="111"/>
        <w:rPr>
          <w:rFonts w:hint="eastAsia" w:ascii="宋体" w:hAnsi="宋体" w:eastAsia="宋体" w:cs="宋体"/>
          <w:color w:val="auto"/>
          <w:sz w:val="23"/>
          <w:szCs w:val="23"/>
          <w:highlight w:val="none"/>
        </w:rPr>
      </w:pPr>
      <w:r>
        <w:rPr>
          <w:rFonts w:hint="eastAsia" w:ascii="宋体" w:hAnsi="宋体" w:eastAsia="宋体" w:cs="宋体"/>
          <w:b/>
          <w:bCs/>
          <w:color w:val="auto"/>
          <w:spacing w:val="-1"/>
          <w:sz w:val="23"/>
          <w:szCs w:val="23"/>
          <w:highlight w:val="none"/>
        </w:rPr>
        <w:t>附件二</w:t>
      </w:r>
    </w:p>
    <w:p w14:paraId="4A782480">
      <w:pPr>
        <w:spacing w:before="113" w:line="231" w:lineRule="auto"/>
        <w:ind w:left="3249"/>
        <w:rPr>
          <w:rFonts w:hint="eastAsia" w:ascii="宋体" w:hAnsi="宋体" w:eastAsia="宋体" w:cs="宋体"/>
          <w:color w:val="auto"/>
          <w:sz w:val="23"/>
          <w:szCs w:val="23"/>
          <w:highlight w:val="none"/>
        </w:rPr>
      </w:pPr>
      <w:r>
        <w:rPr>
          <w:rFonts w:hint="eastAsia" w:ascii="宋体" w:hAnsi="宋体" w:eastAsia="宋体" w:cs="宋体"/>
          <w:b/>
          <w:bCs/>
          <w:color w:val="auto"/>
          <w:spacing w:val="7"/>
          <w:sz w:val="23"/>
          <w:szCs w:val="23"/>
          <w:highlight w:val="none"/>
        </w:rPr>
        <w:t>拟派本项目服务人员情况一览表</w:t>
      </w:r>
    </w:p>
    <w:p w14:paraId="3B020797">
      <w:pPr>
        <w:spacing w:before="147"/>
        <w:rPr>
          <w:rFonts w:hint="eastAsia" w:ascii="宋体" w:hAnsi="宋体" w:eastAsia="宋体" w:cs="宋体"/>
          <w:color w:val="auto"/>
          <w:highlight w:val="none"/>
        </w:rPr>
      </w:pPr>
    </w:p>
    <w:tbl>
      <w:tblPr>
        <w:tblStyle w:val="40"/>
        <w:tblW w:w="9636"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5"/>
        <w:gridCol w:w="1522"/>
        <w:gridCol w:w="712"/>
        <w:gridCol w:w="750"/>
        <w:gridCol w:w="1496"/>
        <w:gridCol w:w="1532"/>
        <w:gridCol w:w="674"/>
        <w:gridCol w:w="1289"/>
        <w:gridCol w:w="636"/>
      </w:tblGrid>
      <w:tr w14:paraId="12A1D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25" w:type="dxa"/>
            <w:vAlign w:val="top"/>
          </w:tcPr>
          <w:p w14:paraId="65758716">
            <w:pPr>
              <w:spacing w:before="271" w:line="233" w:lineRule="auto"/>
              <w:ind w:left="286"/>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姓名</w:t>
            </w:r>
          </w:p>
        </w:tc>
        <w:tc>
          <w:tcPr>
            <w:tcW w:w="1522" w:type="dxa"/>
            <w:vAlign w:val="top"/>
          </w:tcPr>
          <w:p w14:paraId="6F8BBFB1">
            <w:pPr>
              <w:spacing w:before="271" w:line="231" w:lineRule="auto"/>
              <w:ind w:left="173"/>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身份证号码</w:t>
            </w:r>
          </w:p>
        </w:tc>
        <w:tc>
          <w:tcPr>
            <w:tcW w:w="712" w:type="dxa"/>
            <w:vAlign w:val="top"/>
          </w:tcPr>
          <w:p w14:paraId="66BB8167">
            <w:pPr>
              <w:spacing w:before="272" w:line="228" w:lineRule="auto"/>
              <w:ind w:left="133"/>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性别</w:t>
            </w:r>
          </w:p>
        </w:tc>
        <w:tc>
          <w:tcPr>
            <w:tcW w:w="750" w:type="dxa"/>
            <w:vAlign w:val="top"/>
          </w:tcPr>
          <w:p w14:paraId="62D375A9">
            <w:pPr>
              <w:spacing w:before="271" w:line="230" w:lineRule="auto"/>
              <w:ind w:left="176"/>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岗位</w:t>
            </w:r>
          </w:p>
        </w:tc>
        <w:tc>
          <w:tcPr>
            <w:tcW w:w="1496" w:type="dxa"/>
            <w:vAlign w:val="top"/>
          </w:tcPr>
          <w:p w14:paraId="0D87BADB">
            <w:pPr>
              <w:spacing w:before="40" w:line="358" w:lineRule="auto"/>
              <w:ind w:left="400" w:right="386" w:firstLine="1"/>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相关执</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4"/>
                <w:sz w:val="23"/>
                <w:szCs w:val="23"/>
                <w:highlight w:val="none"/>
              </w:rPr>
              <w:t>业证书</w:t>
            </w:r>
          </w:p>
        </w:tc>
        <w:tc>
          <w:tcPr>
            <w:tcW w:w="1532" w:type="dxa"/>
            <w:vAlign w:val="top"/>
          </w:tcPr>
          <w:p w14:paraId="4ABBAFAE">
            <w:pPr>
              <w:spacing w:before="271" w:line="231" w:lineRule="auto"/>
              <w:jc w:val="right"/>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学历（如有）</w:t>
            </w:r>
          </w:p>
        </w:tc>
        <w:tc>
          <w:tcPr>
            <w:tcW w:w="674" w:type="dxa"/>
            <w:textDirection w:val="tbRlV"/>
            <w:vAlign w:val="top"/>
          </w:tcPr>
          <w:p w14:paraId="77EA9647">
            <w:pPr>
              <w:spacing w:before="214" w:line="210" w:lineRule="auto"/>
              <w:ind w:left="39"/>
              <w:rPr>
                <w:rFonts w:hint="eastAsia" w:ascii="宋体" w:hAnsi="宋体" w:eastAsia="宋体" w:cs="宋体"/>
                <w:color w:val="auto"/>
                <w:sz w:val="23"/>
                <w:szCs w:val="23"/>
                <w:highlight w:val="none"/>
              </w:rPr>
            </w:pPr>
            <w:r>
              <w:rPr>
                <w:rFonts w:hint="eastAsia" w:ascii="宋体" w:hAnsi="宋体" w:eastAsia="宋体" w:cs="宋体"/>
                <w:color w:val="auto"/>
                <w:spacing w:val="15"/>
                <w:sz w:val="23"/>
                <w:szCs w:val="23"/>
                <w:highlight w:val="none"/>
              </w:rPr>
              <w:t>专</w:t>
            </w:r>
            <w:r>
              <w:rPr>
                <w:rFonts w:hint="eastAsia" w:ascii="宋体" w:hAnsi="宋体" w:eastAsia="宋体" w:cs="宋体"/>
                <w:color w:val="auto"/>
                <w:spacing w:val="105"/>
                <w:sz w:val="23"/>
                <w:szCs w:val="23"/>
                <w:highlight w:val="none"/>
              </w:rPr>
              <w:t xml:space="preserve"> </w:t>
            </w:r>
            <w:r>
              <w:rPr>
                <w:rFonts w:hint="eastAsia" w:ascii="宋体" w:hAnsi="宋体" w:eastAsia="宋体" w:cs="宋体"/>
                <w:color w:val="auto"/>
                <w:spacing w:val="15"/>
                <w:sz w:val="23"/>
                <w:szCs w:val="23"/>
                <w:highlight w:val="none"/>
              </w:rPr>
              <w:t>业</w:t>
            </w:r>
          </w:p>
        </w:tc>
        <w:tc>
          <w:tcPr>
            <w:tcW w:w="1289" w:type="dxa"/>
            <w:vAlign w:val="top"/>
          </w:tcPr>
          <w:p w14:paraId="5FD2E3C1">
            <w:pPr>
              <w:spacing w:before="38" w:line="357" w:lineRule="auto"/>
              <w:ind w:left="185" w:right="159" w:hanging="6"/>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从事相关</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4"/>
                <w:sz w:val="23"/>
                <w:szCs w:val="23"/>
                <w:highlight w:val="none"/>
              </w:rPr>
              <w:t>工作年限</w:t>
            </w:r>
          </w:p>
        </w:tc>
        <w:tc>
          <w:tcPr>
            <w:tcW w:w="636" w:type="dxa"/>
            <w:textDirection w:val="tbRlV"/>
            <w:vAlign w:val="top"/>
          </w:tcPr>
          <w:p w14:paraId="4B01BD94">
            <w:pPr>
              <w:spacing w:before="195" w:line="209" w:lineRule="auto"/>
              <w:ind w:left="39"/>
              <w:rPr>
                <w:rFonts w:hint="eastAsia" w:ascii="宋体" w:hAnsi="宋体" w:eastAsia="宋体" w:cs="宋体"/>
                <w:color w:val="auto"/>
                <w:sz w:val="23"/>
                <w:szCs w:val="23"/>
                <w:highlight w:val="none"/>
              </w:rPr>
            </w:pPr>
            <w:r>
              <w:rPr>
                <w:rFonts w:hint="eastAsia" w:ascii="宋体" w:hAnsi="宋体" w:eastAsia="宋体" w:cs="宋体"/>
                <w:color w:val="auto"/>
                <w:spacing w:val="15"/>
                <w:sz w:val="23"/>
                <w:szCs w:val="23"/>
                <w:highlight w:val="none"/>
              </w:rPr>
              <w:t>备</w:t>
            </w:r>
            <w:r>
              <w:rPr>
                <w:rFonts w:hint="eastAsia" w:ascii="宋体" w:hAnsi="宋体" w:eastAsia="宋体" w:cs="宋体"/>
                <w:color w:val="auto"/>
                <w:spacing w:val="105"/>
                <w:sz w:val="23"/>
                <w:szCs w:val="23"/>
                <w:highlight w:val="none"/>
              </w:rPr>
              <w:t xml:space="preserve"> </w:t>
            </w:r>
            <w:r>
              <w:rPr>
                <w:rFonts w:hint="eastAsia" w:ascii="宋体" w:hAnsi="宋体" w:eastAsia="宋体" w:cs="宋体"/>
                <w:color w:val="auto"/>
                <w:spacing w:val="15"/>
                <w:sz w:val="23"/>
                <w:szCs w:val="23"/>
                <w:highlight w:val="none"/>
              </w:rPr>
              <w:t>注</w:t>
            </w:r>
          </w:p>
        </w:tc>
      </w:tr>
      <w:tr w14:paraId="13E2B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25" w:type="dxa"/>
            <w:vAlign w:val="top"/>
          </w:tcPr>
          <w:p w14:paraId="2606CFA4">
            <w:pPr>
              <w:pStyle w:val="39"/>
              <w:rPr>
                <w:rFonts w:hint="eastAsia" w:ascii="宋体" w:hAnsi="宋体" w:eastAsia="宋体" w:cs="宋体"/>
                <w:color w:val="auto"/>
                <w:highlight w:val="none"/>
              </w:rPr>
            </w:pPr>
          </w:p>
        </w:tc>
        <w:tc>
          <w:tcPr>
            <w:tcW w:w="1522" w:type="dxa"/>
            <w:vAlign w:val="top"/>
          </w:tcPr>
          <w:p w14:paraId="182D3E1E">
            <w:pPr>
              <w:pStyle w:val="39"/>
              <w:rPr>
                <w:rFonts w:hint="eastAsia" w:ascii="宋体" w:hAnsi="宋体" w:eastAsia="宋体" w:cs="宋体"/>
                <w:color w:val="auto"/>
                <w:highlight w:val="none"/>
              </w:rPr>
            </w:pPr>
          </w:p>
        </w:tc>
        <w:tc>
          <w:tcPr>
            <w:tcW w:w="712" w:type="dxa"/>
            <w:vAlign w:val="top"/>
          </w:tcPr>
          <w:p w14:paraId="31D41746">
            <w:pPr>
              <w:pStyle w:val="39"/>
              <w:rPr>
                <w:rFonts w:hint="eastAsia" w:ascii="宋体" w:hAnsi="宋体" w:eastAsia="宋体" w:cs="宋体"/>
                <w:color w:val="auto"/>
                <w:highlight w:val="none"/>
              </w:rPr>
            </w:pPr>
          </w:p>
        </w:tc>
        <w:tc>
          <w:tcPr>
            <w:tcW w:w="750" w:type="dxa"/>
            <w:vAlign w:val="top"/>
          </w:tcPr>
          <w:p w14:paraId="42A94D3A">
            <w:pPr>
              <w:pStyle w:val="39"/>
              <w:rPr>
                <w:rFonts w:hint="eastAsia" w:ascii="宋体" w:hAnsi="宋体" w:eastAsia="宋体" w:cs="宋体"/>
                <w:color w:val="auto"/>
                <w:highlight w:val="none"/>
              </w:rPr>
            </w:pPr>
          </w:p>
        </w:tc>
        <w:tc>
          <w:tcPr>
            <w:tcW w:w="1496" w:type="dxa"/>
            <w:vAlign w:val="top"/>
          </w:tcPr>
          <w:p w14:paraId="0341817F">
            <w:pPr>
              <w:pStyle w:val="39"/>
              <w:rPr>
                <w:rFonts w:hint="eastAsia" w:ascii="宋体" w:hAnsi="宋体" w:eastAsia="宋体" w:cs="宋体"/>
                <w:color w:val="auto"/>
                <w:highlight w:val="none"/>
              </w:rPr>
            </w:pPr>
          </w:p>
        </w:tc>
        <w:tc>
          <w:tcPr>
            <w:tcW w:w="1532" w:type="dxa"/>
            <w:vAlign w:val="top"/>
          </w:tcPr>
          <w:p w14:paraId="1015E2D6">
            <w:pPr>
              <w:pStyle w:val="39"/>
              <w:rPr>
                <w:rFonts w:hint="eastAsia" w:ascii="宋体" w:hAnsi="宋体" w:eastAsia="宋体" w:cs="宋体"/>
                <w:color w:val="auto"/>
                <w:highlight w:val="none"/>
              </w:rPr>
            </w:pPr>
          </w:p>
        </w:tc>
        <w:tc>
          <w:tcPr>
            <w:tcW w:w="674" w:type="dxa"/>
            <w:vAlign w:val="top"/>
          </w:tcPr>
          <w:p w14:paraId="33A0DE54">
            <w:pPr>
              <w:pStyle w:val="39"/>
              <w:rPr>
                <w:rFonts w:hint="eastAsia" w:ascii="宋体" w:hAnsi="宋体" w:eastAsia="宋体" w:cs="宋体"/>
                <w:color w:val="auto"/>
                <w:highlight w:val="none"/>
              </w:rPr>
            </w:pPr>
          </w:p>
        </w:tc>
        <w:tc>
          <w:tcPr>
            <w:tcW w:w="1289" w:type="dxa"/>
            <w:vAlign w:val="top"/>
          </w:tcPr>
          <w:p w14:paraId="47695D0D">
            <w:pPr>
              <w:pStyle w:val="39"/>
              <w:rPr>
                <w:rFonts w:hint="eastAsia" w:ascii="宋体" w:hAnsi="宋体" w:eastAsia="宋体" w:cs="宋体"/>
                <w:color w:val="auto"/>
                <w:highlight w:val="none"/>
              </w:rPr>
            </w:pPr>
          </w:p>
        </w:tc>
        <w:tc>
          <w:tcPr>
            <w:tcW w:w="636" w:type="dxa"/>
            <w:vAlign w:val="top"/>
          </w:tcPr>
          <w:p w14:paraId="4F22C193">
            <w:pPr>
              <w:pStyle w:val="39"/>
              <w:rPr>
                <w:rFonts w:hint="eastAsia" w:ascii="宋体" w:hAnsi="宋体" w:eastAsia="宋体" w:cs="宋体"/>
                <w:color w:val="auto"/>
                <w:highlight w:val="none"/>
              </w:rPr>
            </w:pPr>
          </w:p>
        </w:tc>
      </w:tr>
      <w:tr w14:paraId="73257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25" w:type="dxa"/>
            <w:vAlign w:val="top"/>
          </w:tcPr>
          <w:p w14:paraId="4C3C4C08">
            <w:pPr>
              <w:pStyle w:val="39"/>
              <w:rPr>
                <w:rFonts w:hint="eastAsia" w:ascii="宋体" w:hAnsi="宋体" w:eastAsia="宋体" w:cs="宋体"/>
                <w:color w:val="auto"/>
                <w:highlight w:val="none"/>
              </w:rPr>
            </w:pPr>
          </w:p>
        </w:tc>
        <w:tc>
          <w:tcPr>
            <w:tcW w:w="1522" w:type="dxa"/>
            <w:vAlign w:val="top"/>
          </w:tcPr>
          <w:p w14:paraId="6968727C">
            <w:pPr>
              <w:pStyle w:val="39"/>
              <w:rPr>
                <w:rFonts w:hint="eastAsia" w:ascii="宋体" w:hAnsi="宋体" w:eastAsia="宋体" w:cs="宋体"/>
                <w:color w:val="auto"/>
                <w:highlight w:val="none"/>
              </w:rPr>
            </w:pPr>
          </w:p>
        </w:tc>
        <w:tc>
          <w:tcPr>
            <w:tcW w:w="712" w:type="dxa"/>
            <w:vAlign w:val="top"/>
          </w:tcPr>
          <w:p w14:paraId="70943208">
            <w:pPr>
              <w:pStyle w:val="39"/>
              <w:rPr>
                <w:rFonts w:hint="eastAsia" w:ascii="宋体" w:hAnsi="宋体" w:eastAsia="宋体" w:cs="宋体"/>
                <w:color w:val="auto"/>
                <w:highlight w:val="none"/>
              </w:rPr>
            </w:pPr>
          </w:p>
        </w:tc>
        <w:tc>
          <w:tcPr>
            <w:tcW w:w="750" w:type="dxa"/>
            <w:vAlign w:val="top"/>
          </w:tcPr>
          <w:p w14:paraId="4769E3FB">
            <w:pPr>
              <w:pStyle w:val="39"/>
              <w:rPr>
                <w:rFonts w:hint="eastAsia" w:ascii="宋体" w:hAnsi="宋体" w:eastAsia="宋体" w:cs="宋体"/>
                <w:color w:val="auto"/>
                <w:highlight w:val="none"/>
              </w:rPr>
            </w:pPr>
          </w:p>
        </w:tc>
        <w:tc>
          <w:tcPr>
            <w:tcW w:w="1496" w:type="dxa"/>
            <w:vAlign w:val="top"/>
          </w:tcPr>
          <w:p w14:paraId="287A243E">
            <w:pPr>
              <w:pStyle w:val="39"/>
              <w:rPr>
                <w:rFonts w:hint="eastAsia" w:ascii="宋体" w:hAnsi="宋体" w:eastAsia="宋体" w:cs="宋体"/>
                <w:color w:val="auto"/>
                <w:highlight w:val="none"/>
              </w:rPr>
            </w:pPr>
          </w:p>
        </w:tc>
        <w:tc>
          <w:tcPr>
            <w:tcW w:w="1532" w:type="dxa"/>
            <w:vAlign w:val="top"/>
          </w:tcPr>
          <w:p w14:paraId="02E54A1A">
            <w:pPr>
              <w:pStyle w:val="39"/>
              <w:rPr>
                <w:rFonts w:hint="eastAsia" w:ascii="宋体" w:hAnsi="宋体" w:eastAsia="宋体" w:cs="宋体"/>
                <w:color w:val="auto"/>
                <w:highlight w:val="none"/>
              </w:rPr>
            </w:pPr>
          </w:p>
        </w:tc>
        <w:tc>
          <w:tcPr>
            <w:tcW w:w="674" w:type="dxa"/>
            <w:vAlign w:val="top"/>
          </w:tcPr>
          <w:p w14:paraId="27B197DD">
            <w:pPr>
              <w:pStyle w:val="39"/>
              <w:rPr>
                <w:rFonts w:hint="eastAsia" w:ascii="宋体" w:hAnsi="宋体" w:eastAsia="宋体" w:cs="宋体"/>
                <w:color w:val="auto"/>
                <w:highlight w:val="none"/>
              </w:rPr>
            </w:pPr>
          </w:p>
        </w:tc>
        <w:tc>
          <w:tcPr>
            <w:tcW w:w="1289" w:type="dxa"/>
            <w:vAlign w:val="top"/>
          </w:tcPr>
          <w:p w14:paraId="176B07E8">
            <w:pPr>
              <w:pStyle w:val="39"/>
              <w:rPr>
                <w:rFonts w:hint="eastAsia" w:ascii="宋体" w:hAnsi="宋体" w:eastAsia="宋体" w:cs="宋体"/>
                <w:color w:val="auto"/>
                <w:highlight w:val="none"/>
              </w:rPr>
            </w:pPr>
          </w:p>
        </w:tc>
        <w:tc>
          <w:tcPr>
            <w:tcW w:w="636" w:type="dxa"/>
            <w:vAlign w:val="top"/>
          </w:tcPr>
          <w:p w14:paraId="040BB42E">
            <w:pPr>
              <w:pStyle w:val="39"/>
              <w:rPr>
                <w:rFonts w:hint="eastAsia" w:ascii="宋体" w:hAnsi="宋体" w:eastAsia="宋体" w:cs="宋体"/>
                <w:color w:val="auto"/>
                <w:highlight w:val="none"/>
              </w:rPr>
            </w:pPr>
          </w:p>
        </w:tc>
      </w:tr>
      <w:tr w14:paraId="5E5D3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25" w:type="dxa"/>
            <w:vAlign w:val="top"/>
          </w:tcPr>
          <w:p w14:paraId="6AB691E1">
            <w:pPr>
              <w:pStyle w:val="39"/>
              <w:rPr>
                <w:rFonts w:hint="eastAsia" w:ascii="宋体" w:hAnsi="宋体" w:eastAsia="宋体" w:cs="宋体"/>
                <w:color w:val="auto"/>
                <w:highlight w:val="none"/>
              </w:rPr>
            </w:pPr>
          </w:p>
        </w:tc>
        <w:tc>
          <w:tcPr>
            <w:tcW w:w="1522" w:type="dxa"/>
            <w:vAlign w:val="top"/>
          </w:tcPr>
          <w:p w14:paraId="386AAC34">
            <w:pPr>
              <w:pStyle w:val="39"/>
              <w:rPr>
                <w:rFonts w:hint="eastAsia" w:ascii="宋体" w:hAnsi="宋体" w:eastAsia="宋体" w:cs="宋体"/>
                <w:color w:val="auto"/>
                <w:highlight w:val="none"/>
              </w:rPr>
            </w:pPr>
          </w:p>
        </w:tc>
        <w:tc>
          <w:tcPr>
            <w:tcW w:w="712" w:type="dxa"/>
            <w:vAlign w:val="top"/>
          </w:tcPr>
          <w:p w14:paraId="1373E509">
            <w:pPr>
              <w:pStyle w:val="39"/>
              <w:rPr>
                <w:rFonts w:hint="eastAsia" w:ascii="宋体" w:hAnsi="宋体" w:eastAsia="宋体" w:cs="宋体"/>
                <w:color w:val="auto"/>
                <w:highlight w:val="none"/>
              </w:rPr>
            </w:pPr>
          </w:p>
        </w:tc>
        <w:tc>
          <w:tcPr>
            <w:tcW w:w="750" w:type="dxa"/>
            <w:vAlign w:val="top"/>
          </w:tcPr>
          <w:p w14:paraId="22228C13">
            <w:pPr>
              <w:pStyle w:val="39"/>
              <w:rPr>
                <w:rFonts w:hint="eastAsia" w:ascii="宋体" w:hAnsi="宋体" w:eastAsia="宋体" w:cs="宋体"/>
                <w:color w:val="auto"/>
                <w:highlight w:val="none"/>
              </w:rPr>
            </w:pPr>
          </w:p>
        </w:tc>
        <w:tc>
          <w:tcPr>
            <w:tcW w:w="1496" w:type="dxa"/>
            <w:vAlign w:val="top"/>
          </w:tcPr>
          <w:p w14:paraId="6D5BD3BE">
            <w:pPr>
              <w:pStyle w:val="39"/>
              <w:rPr>
                <w:rFonts w:hint="eastAsia" w:ascii="宋体" w:hAnsi="宋体" w:eastAsia="宋体" w:cs="宋体"/>
                <w:color w:val="auto"/>
                <w:highlight w:val="none"/>
              </w:rPr>
            </w:pPr>
          </w:p>
        </w:tc>
        <w:tc>
          <w:tcPr>
            <w:tcW w:w="1532" w:type="dxa"/>
            <w:vAlign w:val="top"/>
          </w:tcPr>
          <w:p w14:paraId="31032038">
            <w:pPr>
              <w:pStyle w:val="39"/>
              <w:rPr>
                <w:rFonts w:hint="eastAsia" w:ascii="宋体" w:hAnsi="宋体" w:eastAsia="宋体" w:cs="宋体"/>
                <w:color w:val="auto"/>
                <w:highlight w:val="none"/>
              </w:rPr>
            </w:pPr>
          </w:p>
        </w:tc>
        <w:tc>
          <w:tcPr>
            <w:tcW w:w="674" w:type="dxa"/>
            <w:vAlign w:val="top"/>
          </w:tcPr>
          <w:p w14:paraId="4BD35924">
            <w:pPr>
              <w:pStyle w:val="39"/>
              <w:rPr>
                <w:rFonts w:hint="eastAsia" w:ascii="宋体" w:hAnsi="宋体" w:eastAsia="宋体" w:cs="宋体"/>
                <w:color w:val="auto"/>
                <w:highlight w:val="none"/>
              </w:rPr>
            </w:pPr>
          </w:p>
        </w:tc>
        <w:tc>
          <w:tcPr>
            <w:tcW w:w="1289" w:type="dxa"/>
            <w:vAlign w:val="top"/>
          </w:tcPr>
          <w:p w14:paraId="6FEC1138">
            <w:pPr>
              <w:pStyle w:val="39"/>
              <w:rPr>
                <w:rFonts w:hint="eastAsia" w:ascii="宋体" w:hAnsi="宋体" w:eastAsia="宋体" w:cs="宋体"/>
                <w:color w:val="auto"/>
                <w:highlight w:val="none"/>
              </w:rPr>
            </w:pPr>
          </w:p>
        </w:tc>
        <w:tc>
          <w:tcPr>
            <w:tcW w:w="636" w:type="dxa"/>
            <w:vAlign w:val="top"/>
          </w:tcPr>
          <w:p w14:paraId="3C11E4C8">
            <w:pPr>
              <w:pStyle w:val="39"/>
              <w:rPr>
                <w:rFonts w:hint="eastAsia" w:ascii="宋体" w:hAnsi="宋体" w:eastAsia="宋体" w:cs="宋体"/>
                <w:color w:val="auto"/>
                <w:highlight w:val="none"/>
              </w:rPr>
            </w:pPr>
          </w:p>
        </w:tc>
      </w:tr>
      <w:tr w14:paraId="1CF37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25" w:type="dxa"/>
            <w:vAlign w:val="top"/>
          </w:tcPr>
          <w:p w14:paraId="2A5A1C47">
            <w:pPr>
              <w:pStyle w:val="39"/>
              <w:rPr>
                <w:rFonts w:hint="eastAsia" w:ascii="宋体" w:hAnsi="宋体" w:eastAsia="宋体" w:cs="宋体"/>
                <w:color w:val="auto"/>
                <w:highlight w:val="none"/>
              </w:rPr>
            </w:pPr>
          </w:p>
        </w:tc>
        <w:tc>
          <w:tcPr>
            <w:tcW w:w="1522" w:type="dxa"/>
            <w:vAlign w:val="top"/>
          </w:tcPr>
          <w:p w14:paraId="73575198">
            <w:pPr>
              <w:pStyle w:val="39"/>
              <w:rPr>
                <w:rFonts w:hint="eastAsia" w:ascii="宋体" w:hAnsi="宋体" w:eastAsia="宋体" w:cs="宋体"/>
                <w:color w:val="auto"/>
                <w:highlight w:val="none"/>
              </w:rPr>
            </w:pPr>
          </w:p>
        </w:tc>
        <w:tc>
          <w:tcPr>
            <w:tcW w:w="712" w:type="dxa"/>
            <w:vAlign w:val="top"/>
          </w:tcPr>
          <w:p w14:paraId="576F142D">
            <w:pPr>
              <w:pStyle w:val="39"/>
              <w:rPr>
                <w:rFonts w:hint="eastAsia" w:ascii="宋体" w:hAnsi="宋体" w:eastAsia="宋体" w:cs="宋体"/>
                <w:color w:val="auto"/>
                <w:highlight w:val="none"/>
              </w:rPr>
            </w:pPr>
          </w:p>
        </w:tc>
        <w:tc>
          <w:tcPr>
            <w:tcW w:w="750" w:type="dxa"/>
            <w:vAlign w:val="top"/>
          </w:tcPr>
          <w:p w14:paraId="090175A9">
            <w:pPr>
              <w:pStyle w:val="39"/>
              <w:rPr>
                <w:rFonts w:hint="eastAsia" w:ascii="宋体" w:hAnsi="宋体" w:eastAsia="宋体" w:cs="宋体"/>
                <w:color w:val="auto"/>
                <w:highlight w:val="none"/>
              </w:rPr>
            </w:pPr>
          </w:p>
        </w:tc>
        <w:tc>
          <w:tcPr>
            <w:tcW w:w="1496" w:type="dxa"/>
            <w:vAlign w:val="top"/>
          </w:tcPr>
          <w:p w14:paraId="081F8C1A">
            <w:pPr>
              <w:pStyle w:val="39"/>
              <w:rPr>
                <w:rFonts w:hint="eastAsia" w:ascii="宋体" w:hAnsi="宋体" w:eastAsia="宋体" w:cs="宋体"/>
                <w:color w:val="auto"/>
                <w:highlight w:val="none"/>
              </w:rPr>
            </w:pPr>
          </w:p>
        </w:tc>
        <w:tc>
          <w:tcPr>
            <w:tcW w:w="1532" w:type="dxa"/>
            <w:vAlign w:val="top"/>
          </w:tcPr>
          <w:p w14:paraId="5139C888">
            <w:pPr>
              <w:pStyle w:val="39"/>
              <w:rPr>
                <w:rFonts w:hint="eastAsia" w:ascii="宋体" w:hAnsi="宋体" w:eastAsia="宋体" w:cs="宋体"/>
                <w:color w:val="auto"/>
                <w:highlight w:val="none"/>
              </w:rPr>
            </w:pPr>
          </w:p>
        </w:tc>
        <w:tc>
          <w:tcPr>
            <w:tcW w:w="674" w:type="dxa"/>
            <w:vAlign w:val="top"/>
          </w:tcPr>
          <w:p w14:paraId="47F958C1">
            <w:pPr>
              <w:pStyle w:val="39"/>
              <w:rPr>
                <w:rFonts w:hint="eastAsia" w:ascii="宋体" w:hAnsi="宋体" w:eastAsia="宋体" w:cs="宋体"/>
                <w:color w:val="auto"/>
                <w:highlight w:val="none"/>
              </w:rPr>
            </w:pPr>
          </w:p>
        </w:tc>
        <w:tc>
          <w:tcPr>
            <w:tcW w:w="1289" w:type="dxa"/>
            <w:vAlign w:val="top"/>
          </w:tcPr>
          <w:p w14:paraId="77147495">
            <w:pPr>
              <w:pStyle w:val="39"/>
              <w:rPr>
                <w:rFonts w:hint="eastAsia" w:ascii="宋体" w:hAnsi="宋体" w:eastAsia="宋体" w:cs="宋体"/>
                <w:color w:val="auto"/>
                <w:highlight w:val="none"/>
              </w:rPr>
            </w:pPr>
          </w:p>
        </w:tc>
        <w:tc>
          <w:tcPr>
            <w:tcW w:w="636" w:type="dxa"/>
            <w:vAlign w:val="top"/>
          </w:tcPr>
          <w:p w14:paraId="3D461F6B">
            <w:pPr>
              <w:pStyle w:val="39"/>
              <w:rPr>
                <w:rFonts w:hint="eastAsia" w:ascii="宋体" w:hAnsi="宋体" w:eastAsia="宋体" w:cs="宋体"/>
                <w:color w:val="auto"/>
                <w:highlight w:val="none"/>
              </w:rPr>
            </w:pPr>
          </w:p>
        </w:tc>
      </w:tr>
      <w:tr w14:paraId="441A0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25" w:type="dxa"/>
            <w:vAlign w:val="top"/>
          </w:tcPr>
          <w:p w14:paraId="013B69A5">
            <w:pPr>
              <w:pStyle w:val="39"/>
              <w:rPr>
                <w:rFonts w:hint="eastAsia" w:ascii="宋体" w:hAnsi="宋体" w:eastAsia="宋体" w:cs="宋体"/>
                <w:color w:val="auto"/>
                <w:highlight w:val="none"/>
              </w:rPr>
            </w:pPr>
          </w:p>
        </w:tc>
        <w:tc>
          <w:tcPr>
            <w:tcW w:w="1522" w:type="dxa"/>
            <w:vAlign w:val="top"/>
          </w:tcPr>
          <w:p w14:paraId="1C930376">
            <w:pPr>
              <w:pStyle w:val="39"/>
              <w:rPr>
                <w:rFonts w:hint="eastAsia" w:ascii="宋体" w:hAnsi="宋体" w:eastAsia="宋体" w:cs="宋体"/>
                <w:color w:val="auto"/>
                <w:highlight w:val="none"/>
              </w:rPr>
            </w:pPr>
          </w:p>
        </w:tc>
        <w:tc>
          <w:tcPr>
            <w:tcW w:w="712" w:type="dxa"/>
            <w:vAlign w:val="top"/>
          </w:tcPr>
          <w:p w14:paraId="6142F6C5">
            <w:pPr>
              <w:pStyle w:val="39"/>
              <w:rPr>
                <w:rFonts w:hint="eastAsia" w:ascii="宋体" w:hAnsi="宋体" w:eastAsia="宋体" w:cs="宋体"/>
                <w:color w:val="auto"/>
                <w:highlight w:val="none"/>
              </w:rPr>
            </w:pPr>
          </w:p>
        </w:tc>
        <w:tc>
          <w:tcPr>
            <w:tcW w:w="750" w:type="dxa"/>
            <w:vAlign w:val="top"/>
          </w:tcPr>
          <w:p w14:paraId="6E52816C">
            <w:pPr>
              <w:pStyle w:val="39"/>
              <w:rPr>
                <w:rFonts w:hint="eastAsia" w:ascii="宋体" w:hAnsi="宋体" w:eastAsia="宋体" w:cs="宋体"/>
                <w:color w:val="auto"/>
                <w:highlight w:val="none"/>
              </w:rPr>
            </w:pPr>
          </w:p>
        </w:tc>
        <w:tc>
          <w:tcPr>
            <w:tcW w:w="1496" w:type="dxa"/>
            <w:vAlign w:val="top"/>
          </w:tcPr>
          <w:p w14:paraId="4685385A">
            <w:pPr>
              <w:pStyle w:val="39"/>
              <w:rPr>
                <w:rFonts w:hint="eastAsia" w:ascii="宋体" w:hAnsi="宋体" w:eastAsia="宋体" w:cs="宋体"/>
                <w:color w:val="auto"/>
                <w:highlight w:val="none"/>
              </w:rPr>
            </w:pPr>
          </w:p>
        </w:tc>
        <w:tc>
          <w:tcPr>
            <w:tcW w:w="1532" w:type="dxa"/>
            <w:vAlign w:val="top"/>
          </w:tcPr>
          <w:p w14:paraId="76F76CF2">
            <w:pPr>
              <w:pStyle w:val="39"/>
              <w:rPr>
                <w:rFonts w:hint="eastAsia" w:ascii="宋体" w:hAnsi="宋体" w:eastAsia="宋体" w:cs="宋体"/>
                <w:color w:val="auto"/>
                <w:highlight w:val="none"/>
              </w:rPr>
            </w:pPr>
          </w:p>
        </w:tc>
        <w:tc>
          <w:tcPr>
            <w:tcW w:w="674" w:type="dxa"/>
            <w:vAlign w:val="top"/>
          </w:tcPr>
          <w:p w14:paraId="33FA388E">
            <w:pPr>
              <w:pStyle w:val="39"/>
              <w:rPr>
                <w:rFonts w:hint="eastAsia" w:ascii="宋体" w:hAnsi="宋体" w:eastAsia="宋体" w:cs="宋体"/>
                <w:color w:val="auto"/>
                <w:highlight w:val="none"/>
              </w:rPr>
            </w:pPr>
          </w:p>
        </w:tc>
        <w:tc>
          <w:tcPr>
            <w:tcW w:w="1289" w:type="dxa"/>
            <w:vAlign w:val="top"/>
          </w:tcPr>
          <w:p w14:paraId="3D0C31B9">
            <w:pPr>
              <w:pStyle w:val="39"/>
              <w:rPr>
                <w:rFonts w:hint="eastAsia" w:ascii="宋体" w:hAnsi="宋体" w:eastAsia="宋体" w:cs="宋体"/>
                <w:color w:val="auto"/>
                <w:highlight w:val="none"/>
              </w:rPr>
            </w:pPr>
          </w:p>
        </w:tc>
        <w:tc>
          <w:tcPr>
            <w:tcW w:w="636" w:type="dxa"/>
            <w:vAlign w:val="top"/>
          </w:tcPr>
          <w:p w14:paraId="380AC77F">
            <w:pPr>
              <w:pStyle w:val="39"/>
              <w:rPr>
                <w:rFonts w:hint="eastAsia" w:ascii="宋体" w:hAnsi="宋体" w:eastAsia="宋体" w:cs="宋体"/>
                <w:color w:val="auto"/>
                <w:highlight w:val="none"/>
              </w:rPr>
            </w:pPr>
          </w:p>
        </w:tc>
      </w:tr>
      <w:tr w14:paraId="390BC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25" w:type="dxa"/>
            <w:vAlign w:val="top"/>
          </w:tcPr>
          <w:p w14:paraId="71C825D2">
            <w:pPr>
              <w:pStyle w:val="39"/>
              <w:rPr>
                <w:rFonts w:hint="eastAsia" w:ascii="宋体" w:hAnsi="宋体" w:eastAsia="宋体" w:cs="宋体"/>
                <w:color w:val="auto"/>
                <w:highlight w:val="none"/>
              </w:rPr>
            </w:pPr>
          </w:p>
        </w:tc>
        <w:tc>
          <w:tcPr>
            <w:tcW w:w="1522" w:type="dxa"/>
            <w:vAlign w:val="top"/>
          </w:tcPr>
          <w:p w14:paraId="2011BB68">
            <w:pPr>
              <w:pStyle w:val="39"/>
              <w:rPr>
                <w:rFonts w:hint="eastAsia" w:ascii="宋体" w:hAnsi="宋体" w:eastAsia="宋体" w:cs="宋体"/>
                <w:color w:val="auto"/>
                <w:highlight w:val="none"/>
              </w:rPr>
            </w:pPr>
          </w:p>
        </w:tc>
        <w:tc>
          <w:tcPr>
            <w:tcW w:w="712" w:type="dxa"/>
            <w:vAlign w:val="top"/>
          </w:tcPr>
          <w:p w14:paraId="40A35495">
            <w:pPr>
              <w:pStyle w:val="39"/>
              <w:rPr>
                <w:rFonts w:hint="eastAsia" w:ascii="宋体" w:hAnsi="宋体" w:eastAsia="宋体" w:cs="宋体"/>
                <w:color w:val="auto"/>
                <w:highlight w:val="none"/>
              </w:rPr>
            </w:pPr>
          </w:p>
        </w:tc>
        <w:tc>
          <w:tcPr>
            <w:tcW w:w="750" w:type="dxa"/>
            <w:vAlign w:val="top"/>
          </w:tcPr>
          <w:p w14:paraId="44A8219D">
            <w:pPr>
              <w:pStyle w:val="39"/>
              <w:rPr>
                <w:rFonts w:hint="eastAsia" w:ascii="宋体" w:hAnsi="宋体" w:eastAsia="宋体" w:cs="宋体"/>
                <w:color w:val="auto"/>
                <w:highlight w:val="none"/>
              </w:rPr>
            </w:pPr>
          </w:p>
        </w:tc>
        <w:tc>
          <w:tcPr>
            <w:tcW w:w="1496" w:type="dxa"/>
            <w:vAlign w:val="top"/>
          </w:tcPr>
          <w:p w14:paraId="7A869FE4">
            <w:pPr>
              <w:pStyle w:val="39"/>
              <w:rPr>
                <w:rFonts w:hint="eastAsia" w:ascii="宋体" w:hAnsi="宋体" w:eastAsia="宋体" w:cs="宋体"/>
                <w:color w:val="auto"/>
                <w:highlight w:val="none"/>
              </w:rPr>
            </w:pPr>
          </w:p>
        </w:tc>
        <w:tc>
          <w:tcPr>
            <w:tcW w:w="1532" w:type="dxa"/>
            <w:vAlign w:val="top"/>
          </w:tcPr>
          <w:p w14:paraId="00B09BBE">
            <w:pPr>
              <w:pStyle w:val="39"/>
              <w:rPr>
                <w:rFonts w:hint="eastAsia" w:ascii="宋体" w:hAnsi="宋体" w:eastAsia="宋体" w:cs="宋体"/>
                <w:color w:val="auto"/>
                <w:highlight w:val="none"/>
              </w:rPr>
            </w:pPr>
          </w:p>
        </w:tc>
        <w:tc>
          <w:tcPr>
            <w:tcW w:w="674" w:type="dxa"/>
            <w:vAlign w:val="top"/>
          </w:tcPr>
          <w:p w14:paraId="63104612">
            <w:pPr>
              <w:pStyle w:val="39"/>
              <w:rPr>
                <w:rFonts w:hint="eastAsia" w:ascii="宋体" w:hAnsi="宋体" w:eastAsia="宋体" w:cs="宋体"/>
                <w:color w:val="auto"/>
                <w:highlight w:val="none"/>
              </w:rPr>
            </w:pPr>
          </w:p>
        </w:tc>
        <w:tc>
          <w:tcPr>
            <w:tcW w:w="1289" w:type="dxa"/>
            <w:vAlign w:val="top"/>
          </w:tcPr>
          <w:p w14:paraId="6AA14197">
            <w:pPr>
              <w:pStyle w:val="39"/>
              <w:rPr>
                <w:rFonts w:hint="eastAsia" w:ascii="宋体" w:hAnsi="宋体" w:eastAsia="宋体" w:cs="宋体"/>
                <w:color w:val="auto"/>
                <w:highlight w:val="none"/>
              </w:rPr>
            </w:pPr>
          </w:p>
        </w:tc>
        <w:tc>
          <w:tcPr>
            <w:tcW w:w="636" w:type="dxa"/>
            <w:vAlign w:val="top"/>
          </w:tcPr>
          <w:p w14:paraId="3FC99AA4">
            <w:pPr>
              <w:pStyle w:val="39"/>
              <w:rPr>
                <w:rFonts w:hint="eastAsia" w:ascii="宋体" w:hAnsi="宋体" w:eastAsia="宋体" w:cs="宋体"/>
                <w:color w:val="auto"/>
                <w:highlight w:val="none"/>
              </w:rPr>
            </w:pPr>
          </w:p>
        </w:tc>
      </w:tr>
      <w:tr w14:paraId="35A0C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25" w:type="dxa"/>
            <w:vAlign w:val="top"/>
          </w:tcPr>
          <w:p w14:paraId="1A9B4B32">
            <w:pPr>
              <w:pStyle w:val="39"/>
              <w:rPr>
                <w:rFonts w:hint="eastAsia" w:ascii="宋体" w:hAnsi="宋体" w:eastAsia="宋体" w:cs="宋体"/>
                <w:color w:val="auto"/>
                <w:highlight w:val="none"/>
              </w:rPr>
            </w:pPr>
          </w:p>
        </w:tc>
        <w:tc>
          <w:tcPr>
            <w:tcW w:w="1522" w:type="dxa"/>
            <w:vAlign w:val="top"/>
          </w:tcPr>
          <w:p w14:paraId="3BDA5240">
            <w:pPr>
              <w:pStyle w:val="39"/>
              <w:rPr>
                <w:rFonts w:hint="eastAsia" w:ascii="宋体" w:hAnsi="宋体" w:eastAsia="宋体" w:cs="宋体"/>
                <w:color w:val="auto"/>
                <w:highlight w:val="none"/>
              </w:rPr>
            </w:pPr>
          </w:p>
        </w:tc>
        <w:tc>
          <w:tcPr>
            <w:tcW w:w="712" w:type="dxa"/>
            <w:vAlign w:val="top"/>
          </w:tcPr>
          <w:p w14:paraId="421501D3">
            <w:pPr>
              <w:pStyle w:val="39"/>
              <w:rPr>
                <w:rFonts w:hint="eastAsia" w:ascii="宋体" w:hAnsi="宋体" w:eastAsia="宋体" w:cs="宋体"/>
                <w:color w:val="auto"/>
                <w:highlight w:val="none"/>
              </w:rPr>
            </w:pPr>
          </w:p>
        </w:tc>
        <w:tc>
          <w:tcPr>
            <w:tcW w:w="750" w:type="dxa"/>
            <w:vAlign w:val="top"/>
          </w:tcPr>
          <w:p w14:paraId="0205BD3A">
            <w:pPr>
              <w:pStyle w:val="39"/>
              <w:rPr>
                <w:rFonts w:hint="eastAsia" w:ascii="宋体" w:hAnsi="宋体" w:eastAsia="宋体" w:cs="宋体"/>
                <w:color w:val="auto"/>
                <w:highlight w:val="none"/>
              </w:rPr>
            </w:pPr>
          </w:p>
        </w:tc>
        <w:tc>
          <w:tcPr>
            <w:tcW w:w="1496" w:type="dxa"/>
            <w:vAlign w:val="top"/>
          </w:tcPr>
          <w:p w14:paraId="3F70E88F">
            <w:pPr>
              <w:pStyle w:val="39"/>
              <w:rPr>
                <w:rFonts w:hint="eastAsia" w:ascii="宋体" w:hAnsi="宋体" w:eastAsia="宋体" w:cs="宋体"/>
                <w:color w:val="auto"/>
                <w:highlight w:val="none"/>
              </w:rPr>
            </w:pPr>
          </w:p>
        </w:tc>
        <w:tc>
          <w:tcPr>
            <w:tcW w:w="1532" w:type="dxa"/>
            <w:vAlign w:val="top"/>
          </w:tcPr>
          <w:p w14:paraId="5E132819">
            <w:pPr>
              <w:pStyle w:val="39"/>
              <w:rPr>
                <w:rFonts w:hint="eastAsia" w:ascii="宋体" w:hAnsi="宋体" w:eastAsia="宋体" w:cs="宋体"/>
                <w:color w:val="auto"/>
                <w:highlight w:val="none"/>
              </w:rPr>
            </w:pPr>
          </w:p>
        </w:tc>
        <w:tc>
          <w:tcPr>
            <w:tcW w:w="674" w:type="dxa"/>
            <w:vAlign w:val="top"/>
          </w:tcPr>
          <w:p w14:paraId="060C5AEA">
            <w:pPr>
              <w:pStyle w:val="39"/>
              <w:rPr>
                <w:rFonts w:hint="eastAsia" w:ascii="宋体" w:hAnsi="宋体" w:eastAsia="宋体" w:cs="宋体"/>
                <w:color w:val="auto"/>
                <w:highlight w:val="none"/>
              </w:rPr>
            </w:pPr>
          </w:p>
        </w:tc>
        <w:tc>
          <w:tcPr>
            <w:tcW w:w="1289" w:type="dxa"/>
            <w:vAlign w:val="top"/>
          </w:tcPr>
          <w:p w14:paraId="28894837">
            <w:pPr>
              <w:pStyle w:val="39"/>
              <w:rPr>
                <w:rFonts w:hint="eastAsia" w:ascii="宋体" w:hAnsi="宋体" w:eastAsia="宋体" w:cs="宋体"/>
                <w:color w:val="auto"/>
                <w:highlight w:val="none"/>
              </w:rPr>
            </w:pPr>
          </w:p>
        </w:tc>
        <w:tc>
          <w:tcPr>
            <w:tcW w:w="636" w:type="dxa"/>
            <w:vAlign w:val="top"/>
          </w:tcPr>
          <w:p w14:paraId="7D36D23B">
            <w:pPr>
              <w:pStyle w:val="39"/>
              <w:rPr>
                <w:rFonts w:hint="eastAsia" w:ascii="宋体" w:hAnsi="宋体" w:eastAsia="宋体" w:cs="宋体"/>
                <w:color w:val="auto"/>
                <w:highlight w:val="none"/>
              </w:rPr>
            </w:pPr>
          </w:p>
        </w:tc>
      </w:tr>
      <w:tr w14:paraId="1FC54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25" w:type="dxa"/>
            <w:vAlign w:val="top"/>
          </w:tcPr>
          <w:p w14:paraId="7EBB7134">
            <w:pPr>
              <w:pStyle w:val="39"/>
              <w:rPr>
                <w:rFonts w:hint="eastAsia" w:ascii="宋体" w:hAnsi="宋体" w:eastAsia="宋体" w:cs="宋体"/>
                <w:color w:val="auto"/>
                <w:highlight w:val="none"/>
              </w:rPr>
            </w:pPr>
          </w:p>
        </w:tc>
        <w:tc>
          <w:tcPr>
            <w:tcW w:w="1522" w:type="dxa"/>
            <w:vAlign w:val="top"/>
          </w:tcPr>
          <w:p w14:paraId="205CC616">
            <w:pPr>
              <w:pStyle w:val="39"/>
              <w:rPr>
                <w:rFonts w:hint="eastAsia" w:ascii="宋体" w:hAnsi="宋体" w:eastAsia="宋体" w:cs="宋体"/>
                <w:color w:val="auto"/>
                <w:highlight w:val="none"/>
              </w:rPr>
            </w:pPr>
          </w:p>
        </w:tc>
        <w:tc>
          <w:tcPr>
            <w:tcW w:w="712" w:type="dxa"/>
            <w:vAlign w:val="top"/>
          </w:tcPr>
          <w:p w14:paraId="4AF4F0FF">
            <w:pPr>
              <w:pStyle w:val="39"/>
              <w:rPr>
                <w:rFonts w:hint="eastAsia" w:ascii="宋体" w:hAnsi="宋体" w:eastAsia="宋体" w:cs="宋体"/>
                <w:color w:val="auto"/>
                <w:highlight w:val="none"/>
              </w:rPr>
            </w:pPr>
          </w:p>
        </w:tc>
        <w:tc>
          <w:tcPr>
            <w:tcW w:w="750" w:type="dxa"/>
            <w:vAlign w:val="top"/>
          </w:tcPr>
          <w:p w14:paraId="601C3C45">
            <w:pPr>
              <w:pStyle w:val="39"/>
              <w:rPr>
                <w:rFonts w:hint="eastAsia" w:ascii="宋体" w:hAnsi="宋体" w:eastAsia="宋体" w:cs="宋体"/>
                <w:color w:val="auto"/>
                <w:highlight w:val="none"/>
              </w:rPr>
            </w:pPr>
          </w:p>
        </w:tc>
        <w:tc>
          <w:tcPr>
            <w:tcW w:w="1496" w:type="dxa"/>
            <w:vAlign w:val="top"/>
          </w:tcPr>
          <w:p w14:paraId="52EDB26D">
            <w:pPr>
              <w:pStyle w:val="39"/>
              <w:rPr>
                <w:rFonts w:hint="eastAsia" w:ascii="宋体" w:hAnsi="宋体" w:eastAsia="宋体" w:cs="宋体"/>
                <w:color w:val="auto"/>
                <w:highlight w:val="none"/>
              </w:rPr>
            </w:pPr>
          </w:p>
        </w:tc>
        <w:tc>
          <w:tcPr>
            <w:tcW w:w="1532" w:type="dxa"/>
            <w:vAlign w:val="top"/>
          </w:tcPr>
          <w:p w14:paraId="760ED8AD">
            <w:pPr>
              <w:pStyle w:val="39"/>
              <w:rPr>
                <w:rFonts w:hint="eastAsia" w:ascii="宋体" w:hAnsi="宋体" w:eastAsia="宋体" w:cs="宋体"/>
                <w:color w:val="auto"/>
                <w:highlight w:val="none"/>
              </w:rPr>
            </w:pPr>
          </w:p>
        </w:tc>
        <w:tc>
          <w:tcPr>
            <w:tcW w:w="674" w:type="dxa"/>
            <w:vAlign w:val="top"/>
          </w:tcPr>
          <w:p w14:paraId="23529867">
            <w:pPr>
              <w:pStyle w:val="39"/>
              <w:rPr>
                <w:rFonts w:hint="eastAsia" w:ascii="宋体" w:hAnsi="宋体" w:eastAsia="宋体" w:cs="宋体"/>
                <w:color w:val="auto"/>
                <w:highlight w:val="none"/>
              </w:rPr>
            </w:pPr>
          </w:p>
        </w:tc>
        <w:tc>
          <w:tcPr>
            <w:tcW w:w="1289" w:type="dxa"/>
            <w:vAlign w:val="top"/>
          </w:tcPr>
          <w:p w14:paraId="7A53AA36">
            <w:pPr>
              <w:pStyle w:val="39"/>
              <w:rPr>
                <w:rFonts w:hint="eastAsia" w:ascii="宋体" w:hAnsi="宋体" w:eastAsia="宋体" w:cs="宋体"/>
                <w:color w:val="auto"/>
                <w:highlight w:val="none"/>
              </w:rPr>
            </w:pPr>
          </w:p>
        </w:tc>
        <w:tc>
          <w:tcPr>
            <w:tcW w:w="636" w:type="dxa"/>
            <w:vAlign w:val="top"/>
          </w:tcPr>
          <w:p w14:paraId="24553796">
            <w:pPr>
              <w:pStyle w:val="39"/>
              <w:rPr>
                <w:rFonts w:hint="eastAsia" w:ascii="宋体" w:hAnsi="宋体" w:eastAsia="宋体" w:cs="宋体"/>
                <w:color w:val="auto"/>
                <w:highlight w:val="none"/>
              </w:rPr>
            </w:pPr>
          </w:p>
        </w:tc>
      </w:tr>
      <w:tr w14:paraId="73E4D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25" w:type="dxa"/>
            <w:vAlign w:val="top"/>
          </w:tcPr>
          <w:p w14:paraId="0B54D707">
            <w:pPr>
              <w:pStyle w:val="39"/>
              <w:rPr>
                <w:rFonts w:hint="eastAsia" w:ascii="宋体" w:hAnsi="宋体" w:eastAsia="宋体" w:cs="宋体"/>
                <w:color w:val="auto"/>
                <w:highlight w:val="none"/>
              </w:rPr>
            </w:pPr>
          </w:p>
        </w:tc>
        <w:tc>
          <w:tcPr>
            <w:tcW w:w="1522" w:type="dxa"/>
            <w:vAlign w:val="top"/>
          </w:tcPr>
          <w:p w14:paraId="534EFC00">
            <w:pPr>
              <w:pStyle w:val="39"/>
              <w:rPr>
                <w:rFonts w:hint="eastAsia" w:ascii="宋体" w:hAnsi="宋体" w:eastAsia="宋体" w:cs="宋体"/>
                <w:color w:val="auto"/>
                <w:highlight w:val="none"/>
              </w:rPr>
            </w:pPr>
          </w:p>
        </w:tc>
        <w:tc>
          <w:tcPr>
            <w:tcW w:w="712" w:type="dxa"/>
            <w:vAlign w:val="top"/>
          </w:tcPr>
          <w:p w14:paraId="769D7E84">
            <w:pPr>
              <w:pStyle w:val="39"/>
              <w:rPr>
                <w:rFonts w:hint="eastAsia" w:ascii="宋体" w:hAnsi="宋体" w:eastAsia="宋体" w:cs="宋体"/>
                <w:color w:val="auto"/>
                <w:highlight w:val="none"/>
              </w:rPr>
            </w:pPr>
          </w:p>
        </w:tc>
        <w:tc>
          <w:tcPr>
            <w:tcW w:w="750" w:type="dxa"/>
            <w:vAlign w:val="top"/>
          </w:tcPr>
          <w:p w14:paraId="5C9A3467">
            <w:pPr>
              <w:pStyle w:val="39"/>
              <w:rPr>
                <w:rFonts w:hint="eastAsia" w:ascii="宋体" w:hAnsi="宋体" w:eastAsia="宋体" w:cs="宋体"/>
                <w:color w:val="auto"/>
                <w:highlight w:val="none"/>
              </w:rPr>
            </w:pPr>
          </w:p>
        </w:tc>
        <w:tc>
          <w:tcPr>
            <w:tcW w:w="1496" w:type="dxa"/>
            <w:vAlign w:val="top"/>
          </w:tcPr>
          <w:p w14:paraId="2F3F349D">
            <w:pPr>
              <w:pStyle w:val="39"/>
              <w:rPr>
                <w:rFonts w:hint="eastAsia" w:ascii="宋体" w:hAnsi="宋体" w:eastAsia="宋体" w:cs="宋体"/>
                <w:color w:val="auto"/>
                <w:highlight w:val="none"/>
              </w:rPr>
            </w:pPr>
          </w:p>
        </w:tc>
        <w:tc>
          <w:tcPr>
            <w:tcW w:w="1532" w:type="dxa"/>
            <w:vAlign w:val="top"/>
          </w:tcPr>
          <w:p w14:paraId="3FF58881">
            <w:pPr>
              <w:pStyle w:val="39"/>
              <w:rPr>
                <w:rFonts w:hint="eastAsia" w:ascii="宋体" w:hAnsi="宋体" w:eastAsia="宋体" w:cs="宋体"/>
                <w:color w:val="auto"/>
                <w:highlight w:val="none"/>
              </w:rPr>
            </w:pPr>
          </w:p>
        </w:tc>
        <w:tc>
          <w:tcPr>
            <w:tcW w:w="674" w:type="dxa"/>
            <w:vAlign w:val="top"/>
          </w:tcPr>
          <w:p w14:paraId="14D0AD44">
            <w:pPr>
              <w:pStyle w:val="39"/>
              <w:rPr>
                <w:rFonts w:hint="eastAsia" w:ascii="宋体" w:hAnsi="宋体" w:eastAsia="宋体" w:cs="宋体"/>
                <w:color w:val="auto"/>
                <w:highlight w:val="none"/>
              </w:rPr>
            </w:pPr>
          </w:p>
        </w:tc>
        <w:tc>
          <w:tcPr>
            <w:tcW w:w="1289" w:type="dxa"/>
            <w:vAlign w:val="top"/>
          </w:tcPr>
          <w:p w14:paraId="5956E7F6">
            <w:pPr>
              <w:pStyle w:val="39"/>
              <w:rPr>
                <w:rFonts w:hint="eastAsia" w:ascii="宋体" w:hAnsi="宋体" w:eastAsia="宋体" w:cs="宋体"/>
                <w:color w:val="auto"/>
                <w:highlight w:val="none"/>
              </w:rPr>
            </w:pPr>
          </w:p>
        </w:tc>
        <w:tc>
          <w:tcPr>
            <w:tcW w:w="636" w:type="dxa"/>
            <w:vAlign w:val="top"/>
          </w:tcPr>
          <w:p w14:paraId="02269CFA">
            <w:pPr>
              <w:pStyle w:val="39"/>
              <w:rPr>
                <w:rFonts w:hint="eastAsia" w:ascii="宋体" w:hAnsi="宋体" w:eastAsia="宋体" w:cs="宋体"/>
                <w:color w:val="auto"/>
                <w:highlight w:val="none"/>
              </w:rPr>
            </w:pPr>
          </w:p>
        </w:tc>
      </w:tr>
    </w:tbl>
    <w:p w14:paraId="41EBF690">
      <w:pPr>
        <w:spacing w:before="32" w:line="227" w:lineRule="auto"/>
        <w:ind w:left="112"/>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1、项目服务人员由供应商自行确定，但应能够满</w:t>
      </w:r>
      <w:r>
        <w:rPr>
          <w:rFonts w:hint="eastAsia" w:ascii="宋体" w:hAnsi="宋体" w:eastAsia="宋体" w:cs="宋体"/>
          <w:color w:val="auto"/>
          <w:spacing w:val="7"/>
          <w:sz w:val="23"/>
          <w:szCs w:val="23"/>
          <w:highlight w:val="none"/>
        </w:rPr>
        <w:t>足本项目的基本需求。</w:t>
      </w:r>
    </w:p>
    <w:p w14:paraId="26AAD063">
      <w:pPr>
        <w:spacing w:before="274" w:line="274" w:lineRule="auto"/>
        <w:ind w:left="113" w:right="84" w:hanging="16"/>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2、上述人员应附身份证、相关执业证书、学历证书（如有）及其它一切有利于项目服务人员</w:t>
      </w:r>
      <w:r>
        <w:rPr>
          <w:rFonts w:hint="eastAsia" w:ascii="宋体" w:hAnsi="宋体" w:eastAsia="宋体" w:cs="宋体"/>
          <w:color w:val="auto"/>
          <w:spacing w:val="1"/>
          <w:sz w:val="23"/>
          <w:szCs w:val="23"/>
          <w:highlight w:val="none"/>
        </w:rPr>
        <w:t xml:space="preserve"> </w:t>
      </w:r>
      <w:r>
        <w:rPr>
          <w:rFonts w:hint="eastAsia" w:ascii="宋体" w:hAnsi="宋体" w:eastAsia="宋体" w:cs="宋体"/>
          <w:color w:val="auto"/>
          <w:spacing w:val="6"/>
          <w:sz w:val="23"/>
          <w:szCs w:val="23"/>
          <w:highlight w:val="none"/>
        </w:rPr>
        <w:t>的证明材料（提供上述材料彩印件）。</w:t>
      </w:r>
    </w:p>
    <w:p w14:paraId="12F81390">
      <w:pPr>
        <w:pStyle w:val="2"/>
        <w:spacing w:line="263" w:lineRule="auto"/>
        <w:rPr>
          <w:rFonts w:hint="eastAsia" w:ascii="宋体" w:hAnsi="宋体" w:eastAsia="宋体" w:cs="宋体"/>
          <w:color w:val="auto"/>
          <w:highlight w:val="none"/>
        </w:rPr>
      </w:pPr>
    </w:p>
    <w:p w14:paraId="6B03D97B">
      <w:pPr>
        <w:pStyle w:val="2"/>
        <w:spacing w:line="263" w:lineRule="auto"/>
        <w:rPr>
          <w:rFonts w:hint="eastAsia" w:ascii="宋体" w:hAnsi="宋体" w:eastAsia="宋体" w:cs="宋体"/>
          <w:color w:val="auto"/>
          <w:highlight w:val="none"/>
        </w:rPr>
        <w:sectPr>
          <w:footerReference r:id="rId25" w:type="default"/>
          <w:pgSz w:w="11906" w:h="16838"/>
          <w:pgMar w:top="522" w:right="1076" w:bottom="1171" w:left="1002" w:header="0" w:footer="996" w:gutter="0"/>
          <w:pgNumType w:fmt="decimal"/>
          <w:cols w:space="720" w:num="1"/>
        </w:sectPr>
      </w:pPr>
    </w:p>
    <w:p w14:paraId="6737E23F">
      <w:pPr>
        <w:pStyle w:val="2"/>
        <w:spacing w:line="263" w:lineRule="auto"/>
        <w:rPr>
          <w:rFonts w:hint="eastAsia" w:ascii="宋体" w:hAnsi="宋体" w:eastAsia="宋体" w:cs="宋体"/>
          <w:color w:val="auto"/>
          <w:highlight w:val="none"/>
        </w:rPr>
      </w:pPr>
    </w:p>
    <w:p w14:paraId="3892A951">
      <w:pPr>
        <w:spacing w:before="75" w:line="229" w:lineRule="auto"/>
        <w:ind w:firstLine="1230" w:firstLineChars="500"/>
        <w:jc w:val="both"/>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拟投入本项目的专业机械表</w:t>
      </w:r>
    </w:p>
    <w:p w14:paraId="75C67D9D">
      <w:pPr>
        <w:spacing w:line="147" w:lineRule="exact"/>
        <w:rPr>
          <w:rFonts w:hint="eastAsia" w:ascii="宋体" w:hAnsi="宋体" w:eastAsia="宋体" w:cs="宋体"/>
          <w:color w:val="auto"/>
          <w:highlight w:val="none"/>
        </w:rPr>
      </w:pPr>
    </w:p>
    <w:tbl>
      <w:tblPr>
        <w:tblStyle w:val="40"/>
        <w:tblW w:w="8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1"/>
        <w:gridCol w:w="1482"/>
        <w:gridCol w:w="1992"/>
        <w:gridCol w:w="1893"/>
        <w:gridCol w:w="1760"/>
      </w:tblGrid>
      <w:tr w14:paraId="28542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191" w:type="dxa"/>
            <w:vAlign w:val="top"/>
          </w:tcPr>
          <w:p w14:paraId="16F9422F">
            <w:pPr>
              <w:spacing w:before="180" w:line="231" w:lineRule="auto"/>
              <w:ind w:left="477"/>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序号</w:t>
            </w:r>
          </w:p>
        </w:tc>
        <w:tc>
          <w:tcPr>
            <w:tcW w:w="1482" w:type="dxa"/>
            <w:vAlign w:val="top"/>
          </w:tcPr>
          <w:p w14:paraId="16D41148">
            <w:pPr>
              <w:spacing w:before="181" w:line="229" w:lineRule="auto"/>
              <w:ind w:left="285"/>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机械具名称</w:t>
            </w:r>
          </w:p>
        </w:tc>
        <w:tc>
          <w:tcPr>
            <w:tcW w:w="1992" w:type="dxa"/>
            <w:vAlign w:val="top"/>
          </w:tcPr>
          <w:p w14:paraId="1C1C2FAB">
            <w:pPr>
              <w:spacing w:before="181" w:line="232" w:lineRule="auto"/>
              <w:ind w:left="947"/>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用途</w:t>
            </w:r>
          </w:p>
        </w:tc>
        <w:tc>
          <w:tcPr>
            <w:tcW w:w="1893" w:type="dxa"/>
            <w:vAlign w:val="top"/>
          </w:tcPr>
          <w:p w14:paraId="5B110D44">
            <w:pPr>
              <w:spacing w:before="181" w:line="231" w:lineRule="auto"/>
              <w:ind w:left="891"/>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数量</w:t>
            </w:r>
          </w:p>
        </w:tc>
        <w:tc>
          <w:tcPr>
            <w:tcW w:w="1760" w:type="dxa"/>
            <w:vAlign w:val="top"/>
          </w:tcPr>
          <w:p w14:paraId="280867F7">
            <w:pPr>
              <w:spacing w:before="181" w:line="233" w:lineRule="auto"/>
              <w:ind w:left="81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备注</w:t>
            </w:r>
          </w:p>
        </w:tc>
      </w:tr>
      <w:tr w14:paraId="4A296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191" w:type="dxa"/>
            <w:vAlign w:val="top"/>
          </w:tcPr>
          <w:p w14:paraId="6D7A7B9D">
            <w:pPr>
              <w:spacing w:before="186" w:line="187" w:lineRule="auto"/>
              <w:ind w:left="667"/>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w:t>
            </w:r>
          </w:p>
        </w:tc>
        <w:tc>
          <w:tcPr>
            <w:tcW w:w="1482" w:type="dxa"/>
            <w:vAlign w:val="top"/>
          </w:tcPr>
          <w:p w14:paraId="51940D3F">
            <w:pPr>
              <w:pStyle w:val="39"/>
              <w:rPr>
                <w:rFonts w:hint="eastAsia" w:ascii="宋体" w:hAnsi="宋体" w:eastAsia="宋体" w:cs="宋体"/>
                <w:color w:val="auto"/>
                <w:highlight w:val="none"/>
              </w:rPr>
            </w:pPr>
          </w:p>
        </w:tc>
        <w:tc>
          <w:tcPr>
            <w:tcW w:w="1992" w:type="dxa"/>
            <w:vAlign w:val="top"/>
          </w:tcPr>
          <w:p w14:paraId="04C12A9C">
            <w:pPr>
              <w:pStyle w:val="39"/>
              <w:rPr>
                <w:rFonts w:hint="eastAsia" w:ascii="宋体" w:hAnsi="宋体" w:eastAsia="宋体" w:cs="宋体"/>
                <w:color w:val="auto"/>
                <w:highlight w:val="none"/>
              </w:rPr>
            </w:pPr>
          </w:p>
        </w:tc>
        <w:tc>
          <w:tcPr>
            <w:tcW w:w="1893" w:type="dxa"/>
            <w:vAlign w:val="top"/>
          </w:tcPr>
          <w:p w14:paraId="75606DB2">
            <w:pPr>
              <w:pStyle w:val="39"/>
              <w:rPr>
                <w:rFonts w:hint="eastAsia" w:ascii="宋体" w:hAnsi="宋体" w:eastAsia="宋体" w:cs="宋体"/>
                <w:color w:val="auto"/>
                <w:highlight w:val="none"/>
              </w:rPr>
            </w:pPr>
          </w:p>
        </w:tc>
        <w:tc>
          <w:tcPr>
            <w:tcW w:w="1760" w:type="dxa"/>
            <w:vAlign w:val="top"/>
          </w:tcPr>
          <w:p w14:paraId="080A4B5E">
            <w:pPr>
              <w:pStyle w:val="39"/>
              <w:rPr>
                <w:rFonts w:hint="eastAsia" w:ascii="宋体" w:hAnsi="宋体" w:eastAsia="宋体" w:cs="宋体"/>
                <w:color w:val="auto"/>
                <w:highlight w:val="none"/>
              </w:rPr>
            </w:pPr>
          </w:p>
        </w:tc>
      </w:tr>
      <w:tr w14:paraId="2E7F6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191" w:type="dxa"/>
            <w:vAlign w:val="top"/>
          </w:tcPr>
          <w:p w14:paraId="279392C8">
            <w:pPr>
              <w:spacing w:before="188" w:line="186" w:lineRule="auto"/>
              <w:ind w:left="652"/>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2</w:t>
            </w:r>
          </w:p>
        </w:tc>
        <w:tc>
          <w:tcPr>
            <w:tcW w:w="1482" w:type="dxa"/>
            <w:vAlign w:val="top"/>
          </w:tcPr>
          <w:p w14:paraId="039D8AE4">
            <w:pPr>
              <w:pStyle w:val="39"/>
              <w:rPr>
                <w:rFonts w:hint="eastAsia" w:ascii="宋体" w:hAnsi="宋体" w:eastAsia="宋体" w:cs="宋体"/>
                <w:color w:val="auto"/>
                <w:highlight w:val="none"/>
              </w:rPr>
            </w:pPr>
          </w:p>
        </w:tc>
        <w:tc>
          <w:tcPr>
            <w:tcW w:w="1992" w:type="dxa"/>
            <w:vAlign w:val="top"/>
          </w:tcPr>
          <w:p w14:paraId="7E0F68EE">
            <w:pPr>
              <w:pStyle w:val="39"/>
              <w:rPr>
                <w:rFonts w:hint="eastAsia" w:ascii="宋体" w:hAnsi="宋体" w:eastAsia="宋体" w:cs="宋体"/>
                <w:color w:val="auto"/>
                <w:highlight w:val="none"/>
              </w:rPr>
            </w:pPr>
          </w:p>
        </w:tc>
        <w:tc>
          <w:tcPr>
            <w:tcW w:w="1893" w:type="dxa"/>
            <w:vAlign w:val="top"/>
          </w:tcPr>
          <w:p w14:paraId="7BED9D29">
            <w:pPr>
              <w:pStyle w:val="39"/>
              <w:rPr>
                <w:rFonts w:hint="eastAsia" w:ascii="宋体" w:hAnsi="宋体" w:eastAsia="宋体" w:cs="宋体"/>
                <w:color w:val="auto"/>
                <w:highlight w:val="none"/>
              </w:rPr>
            </w:pPr>
          </w:p>
        </w:tc>
        <w:tc>
          <w:tcPr>
            <w:tcW w:w="1760" w:type="dxa"/>
            <w:vAlign w:val="top"/>
          </w:tcPr>
          <w:p w14:paraId="26652A8F">
            <w:pPr>
              <w:pStyle w:val="39"/>
              <w:rPr>
                <w:rFonts w:hint="eastAsia" w:ascii="宋体" w:hAnsi="宋体" w:eastAsia="宋体" w:cs="宋体"/>
                <w:color w:val="auto"/>
                <w:highlight w:val="none"/>
              </w:rPr>
            </w:pPr>
          </w:p>
        </w:tc>
      </w:tr>
      <w:tr w14:paraId="07D0A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191" w:type="dxa"/>
            <w:vAlign w:val="top"/>
          </w:tcPr>
          <w:p w14:paraId="261BF834">
            <w:pPr>
              <w:spacing w:before="189" w:line="186" w:lineRule="auto"/>
              <w:ind w:left="654"/>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3</w:t>
            </w:r>
          </w:p>
        </w:tc>
        <w:tc>
          <w:tcPr>
            <w:tcW w:w="1482" w:type="dxa"/>
            <w:vAlign w:val="top"/>
          </w:tcPr>
          <w:p w14:paraId="0FFA172C">
            <w:pPr>
              <w:pStyle w:val="39"/>
              <w:rPr>
                <w:rFonts w:hint="eastAsia" w:ascii="宋体" w:hAnsi="宋体" w:eastAsia="宋体" w:cs="宋体"/>
                <w:color w:val="auto"/>
                <w:highlight w:val="none"/>
              </w:rPr>
            </w:pPr>
          </w:p>
        </w:tc>
        <w:tc>
          <w:tcPr>
            <w:tcW w:w="1992" w:type="dxa"/>
            <w:vAlign w:val="top"/>
          </w:tcPr>
          <w:p w14:paraId="473AD5E2">
            <w:pPr>
              <w:pStyle w:val="39"/>
              <w:rPr>
                <w:rFonts w:hint="eastAsia" w:ascii="宋体" w:hAnsi="宋体" w:eastAsia="宋体" w:cs="宋体"/>
                <w:color w:val="auto"/>
                <w:highlight w:val="none"/>
              </w:rPr>
            </w:pPr>
          </w:p>
        </w:tc>
        <w:tc>
          <w:tcPr>
            <w:tcW w:w="1893" w:type="dxa"/>
            <w:vAlign w:val="top"/>
          </w:tcPr>
          <w:p w14:paraId="46716AFA">
            <w:pPr>
              <w:pStyle w:val="39"/>
              <w:rPr>
                <w:rFonts w:hint="eastAsia" w:ascii="宋体" w:hAnsi="宋体" w:eastAsia="宋体" w:cs="宋体"/>
                <w:color w:val="auto"/>
                <w:highlight w:val="none"/>
              </w:rPr>
            </w:pPr>
          </w:p>
        </w:tc>
        <w:tc>
          <w:tcPr>
            <w:tcW w:w="1760" w:type="dxa"/>
            <w:vAlign w:val="top"/>
          </w:tcPr>
          <w:p w14:paraId="6BA03782">
            <w:pPr>
              <w:pStyle w:val="39"/>
              <w:rPr>
                <w:rFonts w:hint="eastAsia" w:ascii="宋体" w:hAnsi="宋体" w:eastAsia="宋体" w:cs="宋体"/>
                <w:color w:val="auto"/>
                <w:highlight w:val="none"/>
              </w:rPr>
            </w:pPr>
          </w:p>
        </w:tc>
      </w:tr>
      <w:tr w14:paraId="3AFB7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191" w:type="dxa"/>
            <w:vAlign w:val="top"/>
          </w:tcPr>
          <w:p w14:paraId="30B20AD7">
            <w:pPr>
              <w:spacing w:before="149" w:line="323" w:lineRule="exact"/>
              <w:ind w:left="606"/>
              <w:rPr>
                <w:rFonts w:hint="eastAsia" w:ascii="宋体" w:hAnsi="宋体" w:eastAsia="宋体" w:cs="宋体"/>
                <w:color w:val="auto"/>
                <w:sz w:val="23"/>
                <w:szCs w:val="23"/>
                <w:highlight w:val="none"/>
              </w:rPr>
            </w:pPr>
            <w:r>
              <w:rPr>
                <w:rFonts w:hint="eastAsia" w:ascii="宋体" w:hAnsi="宋体" w:eastAsia="宋体" w:cs="宋体"/>
                <w:color w:val="auto"/>
                <w:position w:val="1"/>
                <w:sz w:val="23"/>
                <w:szCs w:val="23"/>
                <w:highlight w:val="none"/>
              </w:rPr>
              <w:t>…</w:t>
            </w:r>
          </w:p>
        </w:tc>
        <w:tc>
          <w:tcPr>
            <w:tcW w:w="1482" w:type="dxa"/>
            <w:vAlign w:val="top"/>
          </w:tcPr>
          <w:p w14:paraId="5B019741">
            <w:pPr>
              <w:pStyle w:val="39"/>
              <w:rPr>
                <w:rFonts w:hint="eastAsia" w:ascii="宋体" w:hAnsi="宋体" w:eastAsia="宋体" w:cs="宋体"/>
                <w:color w:val="auto"/>
                <w:highlight w:val="none"/>
              </w:rPr>
            </w:pPr>
          </w:p>
        </w:tc>
        <w:tc>
          <w:tcPr>
            <w:tcW w:w="1992" w:type="dxa"/>
            <w:vAlign w:val="top"/>
          </w:tcPr>
          <w:p w14:paraId="10E95401">
            <w:pPr>
              <w:pStyle w:val="39"/>
              <w:rPr>
                <w:rFonts w:hint="eastAsia" w:ascii="宋体" w:hAnsi="宋体" w:eastAsia="宋体" w:cs="宋体"/>
                <w:color w:val="auto"/>
                <w:highlight w:val="none"/>
              </w:rPr>
            </w:pPr>
          </w:p>
        </w:tc>
        <w:tc>
          <w:tcPr>
            <w:tcW w:w="1893" w:type="dxa"/>
            <w:vAlign w:val="top"/>
          </w:tcPr>
          <w:p w14:paraId="4846FF4D">
            <w:pPr>
              <w:pStyle w:val="39"/>
              <w:rPr>
                <w:rFonts w:hint="eastAsia" w:ascii="宋体" w:hAnsi="宋体" w:eastAsia="宋体" w:cs="宋体"/>
                <w:color w:val="auto"/>
                <w:highlight w:val="none"/>
              </w:rPr>
            </w:pPr>
          </w:p>
        </w:tc>
        <w:tc>
          <w:tcPr>
            <w:tcW w:w="1760" w:type="dxa"/>
            <w:vAlign w:val="top"/>
          </w:tcPr>
          <w:p w14:paraId="25AC4602">
            <w:pPr>
              <w:pStyle w:val="39"/>
              <w:rPr>
                <w:rFonts w:hint="eastAsia" w:ascii="宋体" w:hAnsi="宋体" w:eastAsia="宋体" w:cs="宋体"/>
                <w:color w:val="auto"/>
                <w:highlight w:val="none"/>
              </w:rPr>
            </w:pPr>
          </w:p>
        </w:tc>
      </w:tr>
    </w:tbl>
    <w:p w14:paraId="403ED515">
      <w:pPr>
        <w:spacing w:before="33" w:line="228" w:lineRule="auto"/>
        <w:ind w:left="107"/>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注：1）在填写时，如本表格不适合供应商的实际情况，可根据本表格式自行制表填写</w:t>
      </w:r>
    </w:p>
    <w:p w14:paraId="4EAF3D63">
      <w:pPr>
        <w:spacing w:line="228" w:lineRule="auto"/>
        <w:rPr>
          <w:rFonts w:hint="eastAsia" w:ascii="宋体" w:hAnsi="宋体" w:eastAsia="宋体" w:cs="宋体"/>
          <w:color w:val="auto"/>
          <w:sz w:val="23"/>
          <w:szCs w:val="23"/>
          <w:highlight w:val="none"/>
        </w:rPr>
        <w:sectPr>
          <w:pgSz w:w="11906" w:h="16838"/>
          <w:pgMar w:top="1440" w:right="1800" w:bottom="1440" w:left="1800" w:header="964" w:footer="996" w:gutter="0"/>
          <w:pgNumType w:fmt="decimal"/>
          <w:cols w:space="720" w:num="1"/>
        </w:sectPr>
      </w:pPr>
    </w:p>
    <w:p w14:paraId="3E54FA92">
      <w:pPr>
        <w:pStyle w:val="22"/>
        <w:spacing w:line="360" w:lineRule="auto"/>
        <w:rPr>
          <w:rFonts w:hint="eastAsia" w:ascii="宋体" w:hAnsi="宋体" w:eastAsia="宋体" w:cs="宋体"/>
          <w:color w:val="auto"/>
          <w:spacing w:val="5"/>
          <w:kern w:val="2"/>
          <w:sz w:val="31"/>
          <w:szCs w:val="31"/>
          <w:highlight w:val="none"/>
          <w:lang w:val="en-US" w:eastAsia="zh-CN" w:bidi="ar-SA"/>
          <w14:textOutline w14:w="5793" w14:cap="sq" w14:cmpd="sng">
            <w14:solidFill>
              <w14:srgbClr w14:val="000000"/>
            </w14:solidFill>
            <w14:prstDash w14:val="solid"/>
            <w14:bevel/>
          </w14:textOutline>
        </w:rPr>
      </w:pPr>
      <w:r>
        <w:rPr>
          <w:rFonts w:hint="eastAsia" w:ascii="宋体" w:hAnsi="宋体" w:eastAsia="宋体" w:cs="宋体"/>
          <w:color w:val="auto"/>
          <w:spacing w:val="5"/>
          <w:kern w:val="2"/>
          <w:sz w:val="31"/>
          <w:szCs w:val="31"/>
          <w:highlight w:val="none"/>
          <w:lang w:val="en-US" w:eastAsia="zh-CN" w:bidi="ar-SA"/>
          <w14:textOutline w14:w="5793" w14:cap="sq" w14:cmpd="sng">
            <w14:solidFill>
              <w14:srgbClr w14:val="000000"/>
            </w14:solidFill>
            <w14:prstDash w14:val="solid"/>
            <w14:bevel/>
          </w14:textOutline>
        </w:rPr>
        <w:t>9.已标价工程量清单</w:t>
      </w:r>
    </w:p>
    <w:p w14:paraId="327ED185">
      <w:pPr>
        <w:spacing w:before="101" w:line="230" w:lineRule="auto"/>
        <w:ind w:left="18"/>
        <w:rPr>
          <w:rFonts w:hint="eastAsia" w:ascii="宋体" w:hAnsi="宋体" w:eastAsia="宋体" w:cs="宋体"/>
          <w:color w:val="auto"/>
          <w:sz w:val="28"/>
          <w:szCs w:val="28"/>
          <w:highlight w:val="none"/>
        </w:rPr>
      </w:pPr>
      <w:r>
        <w:rPr>
          <w:rFonts w:hint="eastAsia" w:ascii="宋体" w:hAnsi="宋体" w:eastAsia="宋体" w:cs="宋体"/>
          <w:color w:val="auto"/>
          <w:spacing w:val="5"/>
          <w:sz w:val="31"/>
          <w:szCs w:val="31"/>
          <w:highlight w:val="none"/>
          <w14:textOutline w14:w="5793" w14:cap="sq" w14:cmpd="sng">
            <w14:solidFill>
              <w14:srgbClr w14:val="000000"/>
            </w14:solidFill>
            <w14:prstDash w14:val="solid"/>
            <w14:bevel/>
          </w14:textOutline>
        </w:rPr>
        <w:t>已标价工程量清单</w:t>
      </w:r>
      <w:r>
        <w:rPr>
          <w:rFonts w:hint="eastAsia" w:ascii="宋体" w:hAnsi="宋体" w:eastAsia="宋体" w:cs="宋体"/>
          <w:color w:val="auto"/>
          <w:spacing w:val="5"/>
          <w:sz w:val="31"/>
          <w:szCs w:val="31"/>
          <w:highlight w:val="none"/>
        </w:rPr>
        <w:t xml:space="preserve"> </w:t>
      </w:r>
      <w:r>
        <w:rPr>
          <w:rFonts w:hint="eastAsia" w:ascii="宋体" w:hAnsi="宋体" w:eastAsia="宋体" w:cs="宋体"/>
          <w:color w:val="auto"/>
          <w:spacing w:val="5"/>
          <w:sz w:val="28"/>
          <w:szCs w:val="28"/>
          <w:highlight w:val="none"/>
          <w14:textOutline w14:w="5103" w14:cap="sq" w14:cmpd="sng">
            <w14:solidFill>
              <w14:srgbClr w14:val="000000"/>
            </w14:solidFill>
            <w14:prstDash w14:val="solid"/>
            <w14:bevel/>
          </w14:textOutline>
        </w:rPr>
        <w:t>(格式)</w:t>
      </w:r>
    </w:p>
    <w:p w14:paraId="7ED182AC">
      <w:pPr>
        <w:spacing w:line="300" w:lineRule="auto"/>
        <w:rPr>
          <w:rFonts w:hint="eastAsia" w:ascii="宋体" w:hAnsi="宋体" w:eastAsia="宋体" w:cs="宋体"/>
          <w:color w:val="auto"/>
          <w:sz w:val="21"/>
          <w:highlight w:val="none"/>
        </w:rPr>
      </w:pPr>
    </w:p>
    <w:p w14:paraId="7FCCB732">
      <w:pPr>
        <w:spacing w:line="301" w:lineRule="auto"/>
        <w:rPr>
          <w:rFonts w:hint="eastAsia" w:ascii="宋体" w:hAnsi="宋体" w:eastAsia="宋体" w:cs="宋体"/>
          <w:color w:val="auto"/>
          <w:sz w:val="21"/>
          <w:highlight w:val="none"/>
        </w:rPr>
      </w:pPr>
    </w:p>
    <w:p w14:paraId="336F3EF6">
      <w:pPr>
        <w:spacing w:before="101" w:line="218" w:lineRule="auto"/>
        <w:ind w:left="2347"/>
        <w:rPr>
          <w:rFonts w:hint="eastAsia" w:ascii="宋体" w:hAnsi="宋体" w:eastAsia="宋体" w:cs="宋体"/>
          <w:color w:val="auto"/>
          <w:sz w:val="31"/>
          <w:szCs w:val="31"/>
          <w:highlight w:val="none"/>
        </w:rPr>
      </w:pPr>
      <w:r>
        <w:rPr>
          <w:rFonts w:hint="eastAsia" w:ascii="宋体" w:hAnsi="宋体" w:eastAsia="宋体" w:cs="宋体"/>
          <w:color w:val="auto"/>
          <w:spacing w:val="10"/>
          <w:sz w:val="31"/>
          <w:szCs w:val="31"/>
          <w:highlight w:val="none"/>
        </w:rPr>
        <w:t>__</w:t>
      </w:r>
      <w:r>
        <w:rPr>
          <w:rFonts w:hint="eastAsia" w:ascii="宋体" w:hAnsi="宋体" w:eastAsia="宋体" w:cs="宋体"/>
          <w:color w:val="auto"/>
          <w:spacing w:val="7"/>
          <w:sz w:val="31"/>
          <w:szCs w:val="31"/>
          <w:highlight w:val="none"/>
        </w:rPr>
        <w:t>_</w:t>
      </w:r>
      <w:r>
        <w:rPr>
          <w:rFonts w:hint="eastAsia" w:ascii="宋体" w:hAnsi="宋体" w:eastAsia="宋体" w:cs="宋体"/>
          <w:color w:val="auto"/>
          <w:spacing w:val="5"/>
          <w:sz w:val="31"/>
          <w:szCs w:val="31"/>
          <w:highlight w:val="none"/>
        </w:rPr>
        <w:t>_______________________工程</w:t>
      </w:r>
    </w:p>
    <w:p w14:paraId="17D21AF0">
      <w:pPr>
        <w:spacing w:line="262" w:lineRule="auto"/>
        <w:rPr>
          <w:rFonts w:hint="eastAsia" w:ascii="宋体" w:hAnsi="宋体" w:eastAsia="宋体" w:cs="宋体"/>
          <w:color w:val="auto"/>
          <w:sz w:val="21"/>
          <w:highlight w:val="none"/>
        </w:rPr>
      </w:pPr>
    </w:p>
    <w:p w14:paraId="4CD59D36">
      <w:pPr>
        <w:spacing w:line="262" w:lineRule="auto"/>
        <w:rPr>
          <w:rFonts w:hint="eastAsia" w:ascii="宋体" w:hAnsi="宋体" w:eastAsia="宋体" w:cs="宋体"/>
          <w:color w:val="auto"/>
          <w:sz w:val="21"/>
          <w:highlight w:val="none"/>
        </w:rPr>
      </w:pPr>
    </w:p>
    <w:p w14:paraId="33C7FD1D">
      <w:pPr>
        <w:spacing w:line="263" w:lineRule="auto"/>
        <w:rPr>
          <w:rFonts w:hint="eastAsia" w:ascii="宋体" w:hAnsi="宋体" w:eastAsia="宋体" w:cs="宋体"/>
          <w:color w:val="auto"/>
          <w:sz w:val="21"/>
          <w:highlight w:val="none"/>
        </w:rPr>
      </w:pPr>
    </w:p>
    <w:p w14:paraId="5A2329DE">
      <w:pPr>
        <w:spacing w:line="263" w:lineRule="auto"/>
        <w:rPr>
          <w:rFonts w:hint="eastAsia" w:ascii="宋体" w:hAnsi="宋体" w:eastAsia="宋体" w:cs="宋体"/>
          <w:color w:val="auto"/>
          <w:sz w:val="21"/>
          <w:highlight w:val="none"/>
        </w:rPr>
      </w:pPr>
    </w:p>
    <w:p w14:paraId="46E65625">
      <w:pPr>
        <w:spacing w:before="114" w:line="224" w:lineRule="auto"/>
        <w:ind w:left="3328"/>
        <w:rPr>
          <w:rFonts w:hint="eastAsia" w:ascii="宋体" w:hAnsi="宋体" w:eastAsia="宋体" w:cs="宋体"/>
          <w:color w:val="auto"/>
          <w:sz w:val="35"/>
          <w:szCs w:val="35"/>
          <w:highlight w:val="none"/>
        </w:rPr>
      </w:pPr>
      <w:r>
        <w:rPr>
          <w:rFonts w:hint="eastAsia" w:ascii="宋体" w:hAnsi="宋体" w:eastAsia="宋体" w:cs="宋体"/>
          <w:color w:val="auto"/>
          <w:spacing w:val="12"/>
          <w:sz w:val="35"/>
          <w:szCs w:val="35"/>
          <w:highlight w:val="none"/>
        </w:rPr>
        <w:t>工</w:t>
      </w:r>
      <w:r>
        <w:rPr>
          <w:rFonts w:hint="eastAsia" w:ascii="宋体" w:hAnsi="宋体" w:eastAsia="宋体" w:cs="宋体"/>
          <w:color w:val="auto"/>
          <w:spacing w:val="7"/>
          <w:sz w:val="35"/>
          <w:szCs w:val="35"/>
          <w:highlight w:val="none"/>
        </w:rPr>
        <w:t>程量清单报价表</w:t>
      </w:r>
    </w:p>
    <w:p w14:paraId="6FD7C295">
      <w:pPr>
        <w:spacing w:line="247" w:lineRule="auto"/>
        <w:rPr>
          <w:rFonts w:hint="eastAsia" w:ascii="宋体" w:hAnsi="宋体" w:eastAsia="宋体" w:cs="宋体"/>
          <w:color w:val="auto"/>
          <w:sz w:val="21"/>
          <w:highlight w:val="none"/>
        </w:rPr>
      </w:pPr>
    </w:p>
    <w:p w14:paraId="061313F6">
      <w:pPr>
        <w:spacing w:line="247" w:lineRule="auto"/>
        <w:rPr>
          <w:rFonts w:hint="eastAsia" w:ascii="宋体" w:hAnsi="宋体" w:eastAsia="宋体" w:cs="宋体"/>
          <w:color w:val="auto"/>
          <w:sz w:val="21"/>
          <w:highlight w:val="none"/>
        </w:rPr>
      </w:pPr>
    </w:p>
    <w:p w14:paraId="13BBFB51">
      <w:pPr>
        <w:spacing w:line="247" w:lineRule="auto"/>
        <w:rPr>
          <w:rFonts w:hint="eastAsia" w:ascii="宋体" w:hAnsi="宋体" w:eastAsia="宋体" w:cs="宋体"/>
          <w:color w:val="auto"/>
          <w:sz w:val="21"/>
          <w:highlight w:val="none"/>
        </w:rPr>
      </w:pPr>
    </w:p>
    <w:p w14:paraId="7A60BC3F">
      <w:pPr>
        <w:spacing w:line="248" w:lineRule="auto"/>
        <w:rPr>
          <w:rFonts w:hint="eastAsia" w:ascii="宋体" w:hAnsi="宋体" w:eastAsia="宋体" w:cs="宋体"/>
          <w:color w:val="auto"/>
          <w:sz w:val="21"/>
          <w:highlight w:val="none"/>
        </w:rPr>
      </w:pPr>
    </w:p>
    <w:p w14:paraId="6E1CC908">
      <w:pPr>
        <w:spacing w:line="248" w:lineRule="auto"/>
        <w:rPr>
          <w:rFonts w:hint="eastAsia" w:ascii="宋体" w:hAnsi="宋体" w:eastAsia="宋体" w:cs="宋体"/>
          <w:color w:val="auto"/>
          <w:sz w:val="21"/>
          <w:highlight w:val="none"/>
        </w:rPr>
      </w:pPr>
    </w:p>
    <w:p w14:paraId="604FDF0B">
      <w:pPr>
        <w:spacing w:line="248" w:lineRule="auto"/>
        <w:rPr>
          <w:rFonts w:hint="eastAsia" w:ascii="宋体" w:hAnsi="宋体" w:eastAsia="宋体" w:cs="宋体"/>
          <w:color w:val="auto"/>
          <w:sz w:val="21"/>
          <w:highlight w:val="none"/>
        </w:rPr>
      </w:pPr>
    </w:p>
    <w:p w14:paraId="4C40E063">
      <w:pPr>
        <w:spacing w:before="95" w:line="393" w:lineRule="exact"/>
        <w:rPr>
          <w:rFonts w:hint="eastAsia" w:ascii="宋体" w:hAnsi="宋体" w:eastAsia="宋体" w:cs="宋体"/>
          <w:color w:val="auto"/>
          <w:sz w:val="29"/>
          <w:szCs w:val="29"/>
          <w:highlight w:val="none"/>
        </w:rPr>
      </w:pPr>
      <w:r>
        <w:rPr>
          <w:rFonts w:hint="eastAsia" w:ascii="宋体" w:hAnsi="宋体" w:eastAsia="宋体" w:cs="宋体"/>
          <w:color w:val="auto"/>
          <w:spacing w:val="10"/>
          <w:position w:val="3"/>
          <w:sz w:val="29"/>
          <w:szCs w:val="29"/>
          <w:highlight w:val="none"/>
        </w:rPr>
        <w:t>承包人：</w:t>
      </w:r>
      <w:r>
        <w:rPr>
          <w:rFonts w:hint="eastAsia" w:ascii="宋体" w:hAnsi="宋体" w:eastAsia="宋体" w:cs="宋体"/>
          <w:color w:val="auto"/>
          <w:spacing w:val="6"/>
          <w:position w:val="3"/>
          <w:sz w:val="29"/>
          <w:szCs w:val="29"/>
          <w:highlight w:val="none"/>
        </w:rPr>
        <w:t>_</w:t>
      </w:r>
      <w:r>
        <w:rPr>
          <w:rFonts w:hint="eastAsia" w:ascii="宋体" w:hAnsi="宋体" w:eastAsia="宋体" w:cs="宋体"/>
          <w:color w:val="auto"/>
          <w:spacing w:val="5"/>
          <w:position w:val="3"/>
          <w:sz w:val="29"/>
          <w:szCs w:val="29"/>
          <w:highlight w:val="none"/>
        </w:rPr>
        <w:t>________________________ (单位盖章)</w:t>
      </w:r>
    </w:p>
    <w:p w14:paraId="438997F2">
      <w:pPr>
        <w:spacing w:line="275" w:lineRule="auto"/>
        <w:rPr>
          <w:rFonts w:hint="eastAsia" w:ascii="宋体" w:hAnsi="宋体" w:eastAsia="宋体" w:cs="宋体"/>
          <w:color w:val="auto"/>
          <w:sz w:val="21"/>
          <w:highlight w:val="none"/>
        </w:rPr>
      </w:pPr>
    </w:p>
    <w:p w14:paraId="49832232">
      <w:pPr>
        <w:spacing w:line="275" w:lineRule="auto"/>
        <w:rPr>
          <w:rFonts w:hint="eastAsia" w:ascii="宋体" w:hAnsi="宋体" w:eastAsia="宋体" w:cs="宋体"/>
          <w:color w:val="auto"/>
          <w:sz w:val="21"/>
          <w:highlight w:val="none"/>
        </w:rPr>
      </w:pPr>
    </w:p>
    <w:p w14:paraId="3F198934">
      <w:pPr>
        <w:spacing w:line="275" w:lineRule="auto"/>
        <w:rPr>
          <w:rFonts w:hint="eastAsia" w:ascii="宋体" w:hAnsi="宋体" w:eastAsia="宋体" w:cs="宋体"/>
          <w:color w:val="auto"/>
          <w:sz w:val="21"/>
          <w:highlight w:val="none"/>
        </w:rPr>
      </w:pPr>
    </w:p>
    <w:p w14:paraId="5CA67943">
      <w:pPr>
        <w:spacing w:line="275" w:lineRule="auto"/>
        <w:rPr>
          <w:rFonts w:hint="eastAsia" w:ascii="宋体" w:hAnsi="宋体" w:eastAsia="宋体" w:cs="宋体"/>
          <w:color w:val="auto"/>
          <w:sz w:val="21"/>
          <w:highlight w:val="none"/>
        </w:rPr>
      </w:pPr>
    </w:p>
    <w:p w14:paraId="2BDB657F">
      <w:pPr>
        <w:spacing w:line="275" w:lineRule="auto"/>
        <w:rPr>
          <w:rFonts w:hint="eastAsia" w:ascii="宋体" w:hAnsi="宋体" w:eastAsia="宋体" w:cs="宋体"/>
          <w:color w:val="auto"/>
          <w:sz w:val="21"/>
          <w:highlight w:val="none"/>
        </w:rPr>
      </w:pPr>
    </w:p>
    <w:p w14:paraId="3DFD76C5">
      <w:pPr>
        <w:spacing w:before="95" w:line="393" w:lineRule="exact"/>
        <w:ind w:left="1"/>
        <w:rPr>
          <w:rFonts w:hint="eastAsia" w:ascii="宋体" w:hAnsi="宋体" w:eastAsia="宋体" w:cs="宋体"/>
          <w:color w:val="auto"/>
          <w:sz w:val="29"/>
          <w:szCs w:val="29"/>
          <w:highlight w:val="none"/>
        </w:rPr>
      </w:pPr>
      <w:r>
        <w:rPr>
          <w:rFonts w:hint="eastAsia" w:ascii="宋体" w:hAnsi="宋体" w:eastAsia="宋体" w:cs="宋体"/>
          <w:color w:val="auto"/>
          <w:spacing w:val="6"/>
          <w:position w:val="3"/>
          <w:sz w:val="29"/>
          <w:szCs w:val="29"/>
          <w:highlight w:val="none"/>
        </w:rPr>
        <w:t>法定代表人：____________________ (签字盖章</w:t>
      </w:r>
      <w:r>
        <w:rPr>
          <w:rFonts w:hint="eastAsia" w:ascii="宋体" w:hAnsi="宋体" w:eastAsia="宋体" w:cs="宋体"/>
          <w:color w:val="auto"/>
          <w:spacing w:val="4"/>
          <w:position w:val="3"/>
          <w:sz w:val="29"/>
          <w:szCs w:val="29"/>
          <w:highlight w:val="none"/>
        </w:rPr>
        <w:t>)</w:t>
      </w:r>
    </w:p>
    <w:p w14:paraId="642A41CA">
      <w:pPr>
        <w:spacing w:line="255" w:lineRule="auto"/>
        <w:rPr>
          <w:rFonts w:hint="eastAsia" w:ascii="宋体" w:hAnsi="宋体" w:eastAsia="宋体" w:cs="宋体"/>
          <w:color w:val="auto"/>
          <w:sz w:val="21"/>
          <w:highlight w:val="none"/>
        </w:rPr>
      </w:pPr>
    </w:p>
    <w:p w14:paraId="43427AF6">
      <w:pPr>
        <w:spacing w:line="255" w:lineRule="auto"/>
        <w:rPr>
          <w:rFonts w:hint="eastAsia" w:ascii="宋体" w:hAnsi="宋体" w:eastAsia="宋体" w:cs="宋体"/>
          <w:color w:val="auto"/>
          <w:sz w:val="21"/>
          <w:highlight w:val="none"/>
        </w:rPr>
      </w:pPr>
    </w:p>
    <w:p w14:paraId="0E05E853">
      <w:pPr>
        <w:spacing w:line="255" w:lineRule="auto"/>
        <w:rPr>
          <w:rFonts w:hint="eastAsia" w:ascii="宋体" w:hAnsi="宋体" w:eastAsia="宋体" w:cs="宋体"/>
          <w:color w:val="auto"/>
          <w:sz w:val="21"/>
          <w:highlight w:val="none"/>
        </w:rPr>
      </w:pPr>
    </w:p>
    <w:p w14:paraId="6D71FD3A">
      <w:pPr>
        <w:spacing w:line="256" w:lineRule="auto"/>
        <w:rPr>
          <w:rFonts w:hint="eastAsia" w:ascii="宋体" w:hAnsi="宋体" w:eastAsia="宋体" w:cs="宋体"/>
          <w:color w:val="auto"/>
          <w:sz w:val="21"/>
          <w:highlight w:val="none"/>
        </w:rPr>
      </w:pPr>
    </w:p>
    <w:p w14:paraId="3A8DDD2A">
      <w:pPr>
        <w:spacing w:line="256" w:lineRule="auto"/>
        <w:rPr>
          <w:rFonts w:hint="eastAsia" w:ascii="宋体" w:hAnsi="宋体" w:eastAsia="宋体" w:cs="宋体"/>
          <w:color w:val="auto"/>
          <w:sz w:val="21"/>
          <w:highlight w:val="none"/>
        </w:rPr>
      </w:pPr>
    </w:p>
    <w:p w14:paraId="7A72993F">
      <w:pPr>
        <w:spacing w:before="95" w:line="217" w:lineRule="auto"/>
        <w:ind w:left="2"/>
        <w:rPr>
          <w:rFonts w:hint="eastAsia" w:ascii="宋体" w:hAnsi="宋体" w:eastAsia="宋体" w:cs="宋体"/>
          <w:color w:val="auto"/>
          <w:highlight w:val="none"/>
        </w:rPr>
        <w:sectPr>
          <w:pgSz w:w="11906" w:h="16839"/>
          <w:pgMar w:top="1440" w:right="1080" w:bottom="1440" w:left="1080" w:header="964" w:footer="996" w:gutter="0"/>
          <w:pgNumType w:fmt="decimal"/>
          <w:cols w:space="720" w:num="1"/>
        </w:sectPr>
      </w:pPr>
      <w:r>
        <w:rPr>
          <w:rFonts w:hint="eastAsia" w:ascii="宋体" w:hAnsi="宋体" w:eastAsia="宋体" w:cs="宋体"/>
          <w:color w:val="auto"/>
          <w:spacing w:val="10"/>
          <w:sz w:val="29"/>
          <w:szCs w:val="29"/>
          <w:highlight w:val="none"/>
        </w:rPr>
        <w:t>编制</w:t>
      </w:r>
      <w:r>
        <w:rPr>
          <w:rFonts w:hint="eastAsia" w:ascii="宋体" w:hAnsi="宋体" w:eastAsia="宋体" w:cs="宋体"/>
          <w:color w:val="auto"/>
          <w:spacing w:val="8"/>
          <w:sz w:val="29"/>
          <w:szCs w:val="29"/>
          <w:highlight w:val="none"/>
        </w:rPr>
        <w:t>时</w:t>
      </w:r>
      <w:r>
        <w:rPr>
          <w:rFonts w:hint="eastAsia" w:ascii="宋体" w:hAnsi="宋体" w:eastAsia="宋体" w:cs="宋体"/>
          <w:color w:val="auto"/>
          <w:spacing w:val="5"/>
          <w:sz w:val="29"/>
          <w:szCs w:val="29"/>
          <w:highlight w:val="none"/>
        </w:rPr>
        <w:t>间：__________________________</w:t>
      </w:r>
    </w:p>
    <w:p w14:paraId="403568AD">
      <w:pPr>
        <w:pStyle w:val="37"/>
        <w:numPr>
          <w:ilvl w:val="0"/>
          <w:numId w:val="0"/>
        </w:numPr>
        <w:spacing w:line="440" w:lineRule="exact"/>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10、</w:t>
      </w:r>
      <w:r>
        <w:rPr>
          <w:rFonts w:hint="eastAsia" w:ascii="宋体" w:hAnsi="宋体" w:eastAsia="宋体" w:cs="宋体"/>
          <w:b/>
          <w:bCs/>
          <w:color w:val="auto"/>
          <w:sz w:val="21"/>
          <w:szCs w:val="21"/>
          <w:highlight w:val="none"/>
        </w:rPr>
        <w:t>最</w:t>
      </w:r>
      <w:r>
        <w:rPr>
          <w:rFonts w:hint="eastAsia" w:ascii="宋体" w:hAnsi="宋体" w:eastAsia="宋体" w:cs="宋体"/>
          <w:b/>
          <w:bCs/>
          <w:color w:val="auto"/>
          <w:sz w:val="21"/>
          <w:szCs w:val="21"/>
          <w:highlight w:val="none"/>
          <w:lang w:val="en-US" w:eastAsia="zh-CN"/>
        </w:rPr>
        <w:t>终</w:t>
      </w:r>
      <w:r>
        <w:rPr>
          <w:rFonts w:hint="eastAsia" w:ascii="宋体" w:hAnsi="宋体" w:eastAsia="宋体" w:cs="宋体"/>
          <w:b/>
          <w:bCs/>
          <w:color w:val="auto"/>
          <w:sz w:val="21"/>
          <w:szCs w:val="21"/>
          <w:highlight w:val="none"/>
        </w:rPr>
        <w:t>报价表</w:t>
      </w:r>
    </w:p>
    <w:p w14:paraId="5B20A5A6">
      <w:pPr>
        <w:pStyle w:val="37"/>
        <w:numPr>
          <w:ilvl w:val="0"/>
          <w:numId w:val="0"/>
        </w:numPr>
        <w:spacing w:line="440" w:lineRule="exac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最</w:t>
      </w:r>
      <w:r>
        <w:rPr>
          <w:rFonts w:hint="eastAsia" w:ascii="宋体" w:hAnsi="宋体" w:eastAsia="宋体" w:cs="宋体"/>
          <w:b/>
          <w:bCs/>
          <w:color w:val="auto"/>
          <w:sz w:val="21"/>
          <w:szCs w:val="21"/>
          <w:highlight w:val="none"/>
          <w:lang w:val="en-US" w:eastAsia="zh-CN"/>
        </w:rPr>
        <w:t>终</w:t>
      </w:r>
      <w:r>
        <w:rPr>
          <w:rFonts w:hint="eastAsia" w:ascii="宋体" w:hAnsi="宋体" w:eastAsia="宋体" w:cs="宋体"/>
          <w:b/>
          <w:bCs/>
          <w:color w:val="auto"/>
          <w:sz w:val="21"/>
          <w:szCs w:val="21"/>
          <w:highlight w:val="none"/>
        </w:rPr>
        <w:t>报价表</w:t>
      </w:r>
    </w:p>
    <w:p w14:paraId="380EE4AD">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项目编号：</w:t>
      </w:r>
    </w:p>
    <w:p w14:paraId="34D8FF39">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项目名称： </w:t>
      </w:r>
    </w:p>
    <w:tbl>
      <w:tblPr>
        <w:tblStyle w:val="25"/>
        <w:tblpPr w:leftFromText="180" w:rightFromText="180" w:vertAnchor="text" w:horzAnchor="page" w:tblpX="1397" w:tblpY="587"/>
        <w:tblOverlap w:val="never"/>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6135"/>
        <w:gridCol w:w="948"/>
      </w:tblGrid>
      <w:tr w14:paraId="407A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2475" w:type="dxa"/>
            <w:noWrap w:val="0"/>
            <w:vAlign w:val="center"/>
          </w:tcPr>
          <w:p w14:paraId="7BC57D17">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项目类别</w:t>
            </w:r>
          </w:p>
        </w:tc>
        <w:tc>
          <w:tcPr>
            <w:tcW w:w="6135" w:type="dxa"/>
            <w:noWrap w:val="0"/>
            <w:vAlign w:val="center"/>
          </w:tcPr>
          <w:p w14:paraId="65126D54">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报价（元）</w:t>
            </w:r>
          </w:p>
        </w:tc>
        <w:tc>
          <w:tcPr>
            <w:tcW w:w="948" w:type="dxa"/>
            <w:noWrap w:val="0"/>
            <w:vAlign w:val="center"/>
          </w:tcPr>
          <w:p w14:paraId="56FDC201">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r>
      <w:tr w14:paraId="627A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4" w:hRule="atLeast"/>
        </w:trPr>
        <w:tc>
          <w:tcPr>
            <w:tcW w:w="2475" w:type="dxa"/>
            <w:noWrap w:val="0"/>
            <w:vAlign w:val="center"/>
          </w:tcPr>
          <w:p w14:paraId="279543CE">
            <w:pPr>
              <w:spacing w:line="360" w:lineRule="auto"/>
              <w:jc w:val="center"/>
              <w:rPr>
                <w:rFonts w:hint="eastAsia" w:ascii="宋体" w:hAnsi="宋体" w:eastAsia="宋体" w:cs="宋体"/>
                <w:bCs/>
                <w:color w:val="auto"/>
                <w:sz w:val="21"/>
                <w:szCs w:val="21"/>
                <w:highlight w:val="none"/>
              </w:rPr>
            </w:pPr>
          </w:p>
        </w:tc>
        <w:tc>
          <w:tcPr>
            <w:tcW w:w="6135" w:type="dxa"/>
            <w:noWrap w:val="0"/>
            <w:vAlign w:val="center"/>
          </w:tcPr>
          <w:p w14:paraId="1441C8CA">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（大写）</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元</w:t>
            </w:r>
          </w:p>
          <w:p w14:paraId="06643A35">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（小写</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元</w:t>
            </w:r>
          </w:p>
        </w:tc>
        <w:tc>
          <w:tcPr>
            <w:tcW w:w="948" w:type="dxa"/>
            <w:noWrap w:val="0"/>
            <w:vAlign w:val="center"/>
          </w:tcPr>
          <w:p w14:paraId="7BAE11D8">
            <w:pPr>
              <w:spacing w:line="360" w:lineRule="auto"/>
              <w:jc w:val="center"/>
              <w:rPr>
                <w:rFonts w:hint="eastAsia" w:ascii="宋体" w:hAnsi="宋体" w:eastAsia="宋体" w:cs="宋体"/>
                <w:bCs/>
                <w:color w:val="auto"/>
                <w:sz w:val="21"/>
                <w:szCs w:val="21"/>
                <w:highlight w:val="none"/>
              </w:rPr>
            </w:pPr>
          </w:p>
        </w:tc>
      </w:tr>
      <w:tr w14:paraId="27D2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4" w:hRule="atLeast"/>
        </w:trPr>
        <w:tc>
          <w:tcPr>
            <w:tcW w:w="9558" w:type="dxa"/>
            <w:gridSpan w:val="3"/>
            <w:noWrap w:val="0"/>
            <w:vAlign w:val="center"/>
          </w:tcPr>
          <w:p w14:paraId="0265B9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79F4506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1.本表按照磋商小组的要求另外单独提交，不放在磋商响应文件中。该表的价格可以事先填写，也可以磋商结束后根据磋商情况填写。</w:t>
            </w:r>
          </w:p>
          <w:p w14:paraId="2ABB9990">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本表应按照第一章供应商须知9.6款的规定签署。签署不符合规定的最后报价无效。</w:t>
            </w:r>
          </w:p>
          <w:p w14:paraId="32A623E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最后报价应是供应商完成供应商须知前附表采购内容中说明的全部工作内容的所有费用和合理的利润。</w:t>
            </w:r>
          </w:p>
        </w:tc>
      </w:tr>
    </w:tbl>
    <w:p w14:paraId="53119F90">
      <w:pPr>
        <w:autoSpaceDE w:val="0"/>
        <w:autoSpaceDN w:val="0"/>
        <w:spacing w:line="480" w:lineRule="exact"/>
        <w:ind w:firstLine="420" w:firstLineChars="200"/>
        <w:jc w:val="left"/>
        <w:rPr>
          <w:rFonts w:hint="eastAsia" w:ascii="宋体" w:hAnsi="宋体" w:eastAsia="宋体" w:cs="宋体"/>
          <w:color w:val="auto"/>
          <w:kern w:val="0"/>
          <w:sz w:val="21"/>
          <w:szCs w:val="21"/>
          <w:highlight w:val="none"/>
        </w:rPr>
      </w:pPr>
    </w:p>
    <w:p w14:paraId="69425F27">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供应商(公章):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bCs/>
          <w:color w:val="auto"/>
          <w:sz w:val="21"/>
          <w:szCs w:val="21"/>
          <w:highlight w:val="none"/>
        </w:rPr>
        <w:t xml:space="preserve">                 </w:t>
      </w:r>
    </w:p>
    <w:p w14:paraId="667C4423">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 xml:space="preserve">法定代表人或授权代理人（签字）: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 xml:space="preserve">    </w:t>
      </w:r>
    </w:p>
    <w:p w14:paraId="35A2AADF">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宋体" w:hAnsi="宋体" w:eastAsia="宋体" w:cs="宋体"/>
          <w:color w:val="auto"/>
          <w:kern w:val="0"/>
          <w:sz w:val="21"/>
          <w:szCs w:val="21"/>
          <w:highlight w:val="none"/>
        </w:rPr>
      </w:pPr>
    </w:p>
    <w:p w14:paraId="75CD4B8D">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14:paraId="3F0E875C">
      <w:pPr>
        <w:autoSpaceDE w:val="0"/>
        <w:autoSpaceDN w:val="0"/>
        <w:spacing w:line="480" w:lineRule="exact"/>
        <w:ind w:firstLine="420" w:firstLineChars="200"/>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  年   月   日</w:t>
      </w:r>
    </w:p>
    <w:p w14:paraId="09A82B9E">
      <w:pPr>
        <w:autoSpaceDE w:val="0"/>
        <w:autoSpaceDN w:val="0"/>
        <w:spacing w:line="480" w:lineRule="exact"/>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注：本项目</w:t>
      </w:r>
      <w:r>
        <w:rPr>
          <w:rFonts w:hint="eastAsia" w:ascii="宋体" w:hAnsi="宋体" w:eastAsia="宋体" w:cs="宋体"/>
          <w:color w:val="auto"/>
          <w:kern w:val="0"/>
          <w:sz w:val="21"/>
          <w:szCs w:val="21"/>
          <w:highlight w:val="none"/>
        </w:rPr>
        <w:t>采用在线竞价，若系统</w:t>
      </w:r>
      <w:r>
        <w:rPr>
          <w:rFonts w:hint="eastAsia" w:ascii="宋体" w:hAnsi="宋体" w:eastAsia="宋体" w:cs="宋体"/>
          <w:color w:val="auto"/>
          <w:kern w:val="0"/>
          <w:sz w:val="21"/>
          <w:szCs w:val="21"/>
          <w:highlight w:val="none"/>
          <w:lang w:val="en-US" w:eastAsia="zh-CN"/>
        </w:rPr>
        <w:t>出现不可抗力因素，将通知供应商将二次报价单在规定时间内签章完毕送达至指定邮箱。</w:t>
      </w:r>
    </w:p>
    <w:p w14:paraId="0F778184">
      <w:pPr>
        <w:spacing w:before="101" w:line="230" w:lineRule="auto"/>
        <w:ind w:left="18"/>
        <w:rPr>
          <w:rFonts w:hint="eastAsia" w:ascii="宋体" w:hAnsi="宋体" w:eastAsia="宋体" w:cs="宋体"/>
          <w:color w:val="auto"/>
          <w:sz w:val="28"/>
          <w:szCs w:val="28"/>
          <w:highlight w:val="none"/>
        </w:rPr>
      </w:pPr>
      <w:r>
        <w:rPr>
          <w:rFonts w:hint="eastAsia" w:ascii="宋体" w:hAnsi="宋体" w:eastAsia="宋体" w:cs="宋体"/>
          <w:color w:val="auto"/>
          <w:spacing w:val="5"/>
          <w:sz w:val="31"/>
          <w:szCs w:val="31"/>
          <w:highlight w:val="none"/>
          <w:lang w:val="en-US" w:eastAsia="zh-CN"/>
          <w14:textOutline w14:w="5793" w14:cap="sq" w14:cmpd="sng">
            <w14:solidFill>
              <w14:srgbClr w14:val="000000"/>
            </w14:solidFill>
            <w14:prstDash w14:val="solid"/>
            <w14:bevel/>
          </w14:textOutline>
        </w:rPr>
        <w:t>附</w:t>
      </w:r>
      <w:r>
        <w:rPr>
          <w:rFonts w:hint="eastAsia" w:ascii="宋体" w:hAnsi="宋体" w:eastAsia="宋体" w:cs="宋体"/>
          <w:color w:val="auto"/>
          <w:spacing w:val="5"/>
          <w:sz w:val="31"/>
          <w:szCs w:val="31"/>
          <w:highlight w:val="none"/>
          <w14:textOutline w14:w="5793" w14:cap="sq" w14:cmpd="sng">
            <w14:solidFill>
              <w14:srgbClr w14:val="000000"/>
            </w14:solidFill>
            <w14:prstDash w14:val="solid"/>
            <w14:bevel/>
          </w14:textOutline>
        </w:rPr>
        <w:t>已标价工程量清单</w:t>
      </w:r>
    </w:p>
    <w:p w14:paraId="2563B188">
      <w:pPr>
        <w:spacing w:line="300" w:lineRule="auto"/>
        <w:rPr>
          <w:rFonts w:hint="eastAsia" w:ascii="宋体" w:hAnsi="宋体" w:eastAsia="宋体" w:cs="宋体"/>
          <w:color w:val="auto"/>
          <w:sz w:val="21"/>
          <w:highlight w:val="none"/>
        </w:rPr>
      </w:pPr>
    </w:p>
    <w:p w14:paraId="65192CDD">
      <w:pPr>
        <w:spacing w:line="301" w:lineRule="auto"/>
        <w:rPr>
          <w:rFonts w:hint="eastAsia" w:ascii="宋体" w:hAnsi="宋体" w:eastAsia="宋体" w:cs="宋体"/>
          <w:color w:val="auto"/>
          <w:sz w:val="21"/>
          <w:highlight w:val="none"/>
        </w:rPr>
      </w:pPr>
    </w:p>
    <w:p w14:paraId="6550826F">
      <w:pPr>
        <w:spacing w:before="101" w:line="218" w:lineRule="auto"/>
        <w:ind w:left="2347"/>
        <w:rPr>
          <w:rFonts w:hint="eastAsia" w:ascii="宋体" w:hAnsi="宋体" w:eastAsia="宋体" w:cs="宋体"/>
          <w:color w:val="auto"/>
          <w:sz w:val="31"/>
          <w:szCs w:val="31"/>
          <w:highlight w:val="none"/>
        </w:rPr>
      </w:pPr>
      <w:r>
        <w:rPr>
          <w:rFonts w:hint="eastAsia" w:ascii="宋体" w:hAnsi="宋体" w:eastAsia="宋体" w:cs="宋体"/>
          <w:color w:val="auto"/>
          <w:spacing w:val="10"/>
          <w:sz w:val="31"/>
          <w:szCs w:val="31"/>
          <w:highlight w:val="none"/>
        </w:rPr>
        <w:t>__</w:t>
      </w:r>
      <w:r>
        <w:rPr>
          <w:rFonts w:hint="eastAsia" w:ascii="宋体" w:hAnsi="宋体" w:eastAsia="宋体" w:cs="宋体"/>
          <w:color w:val="auto"/>
          <w:spacing w:val="7"/>
          <w:sz w:val="31"/>
          <w:szCs w:val="31"/>
          <w:highlight w:val="none"/>
        </w:rPr>
        <w:t>_</w:t>
      </w:r>
      <w:r>
        <w:rPr>
          <w:rFonts w:hint="eastAsia" w:ascii="宋体" w:hAnsi="宋体" w:eastAsia="宋体" w:cs="宋体"/>
          <w:color w:val="auto"/>
          <w:spacing w:val="5"/>
          <w:sz w:val="31"/>
          <w:szCs w:val="31"/>
          <w:highlight w:val="none"/>
        </w:rPr>
        <w:t>_______________________工程</w:t>
      </w:r>
    </w:p>
    <w:p w14:paraId="2DAA73AE">
      <w:pPr>
        <w:spacing w:line="262" w:lineRule="auto"/>
        <w:rPr>
          <w:rFonts w:hint="eastAsia" w:ascii="宋体" w:hAnsi="宋体" w:eastAsia="宋体" w:cs="宋体"/>
          <w:color w:val="auto"/>
          <w:sz w:val="21"/>
          <w:highlight w:val="none"/>
        </w:rPr>
      </w:pPr>
    </w:p>
    <w:p w14:paraId="61B03D5B">
      <w:pPr>
        <w:spacing w:line="262" w:lineRule="auto"/>
        <w:rPr>
          <w:rFonts w:hint="eastAsia" w:ascii="宋体" w:hAnsi="宋体" w:eastAsia="宋体" w:cs="宋体"/>
          <w:color w:val="auto"/>
          <w:sz w:val="21"/>
          <w:highlight w:val="none"/>
        </w:rPr>
      </w:pPr>
    </w:p>
    <w:p w14:paraId="0BFAEC8A">
      <w:pPr>
        <w:spacing w:line="263" w:lineRule="auto"/>
        <w:rPr>
          <w:rFonts w:hint="eastAsia" w:ascii="宋体" w:hAnsi="宋体" w:eastAsia="宋体" w:cs="宋体"/>
          <w:color w:val="auto"/>
          <w:sz w:val="21"/>
          <w:highlight w:val="none"/>
        </w:rPr>
      </w:pPr>
    </w:p>
    <w:p w14:paraId="47AC2E99">
      <w:pPr>
        <w:spacing w:line="263" w:lineRule="auto"/>
        <w:rPr>
          <w:rFonts w:hint="eastAsia" w:ascii="宋体" w:hAnsi="宋体" w:eastAsia="宋体" w:cs="宋体"/>
          <w:color w:val="auto"/>
          <w:sz w:val="21"/>
          <w:highlight w:val="none"/>
        </w:rPr>
      </w:pPr>
    </w:p>
    <w:p w14:paraId="3F8653C8">
      <w:pPr>
        <w:spacing w:before="114" w:line="224" w:lineRule="auto"/>
        <w:ind w:left="3328"/>
        <w:rPr>
          <w:rFonts w:hint="eastAsia" w:ascii="宋体" w:hAnsi="宋体" w:eastAsia="宋体" w:cs="宋体"/>
          <w:color w:val="auto"/>
          <w:sz w:val="21"/>
          <w:highlight w:val="none"/>
        </w:rPr>
      </w:pPr>
      <w:r>
        <w:rPr>
          <w:rFonts w:hint="eastAsia" w:ascii="宋体" w:hAnsi="宋体" w:eastAsia="宋体" w:cs="宋体"/>
          <w:color w:val="auto"/>
          <w:spacing w:val="12"/>
          <w:sz w:val="35"/>
          <w:szCs w:val="35"/>
          <w:highlight w:val="none"/>
        </w:rPr>
        <w:t>工</w:t>
      </w:r>
      <w:r>
        <w:rPr>
          <w:rFonts w:hint="eastAsia" w:ascii="宋体" w:hAnsi="宋体" w:eastAsia="宋体" w:cs="宋体"/>
          <w:color w:val="auto"/>
          <w:spacing w:val="7"/>
          <w:sz w:val="35"/>
          <w:szCs w:val="35"/>
          <w:highlight w:val="none"/>
        </w:rPr>
        <w:t>程量清单报价表</w:t>
      </w:r>
    </w:p>
    <w:p w14:paraId="3CFC33E2">
      <w:pPr>
        <w:spacing w:line="247" w:lineRule="auto"/>
        <w:rPr>
          <w:rFonts w:hint="eastAsia" w:ascii="宋体" w:hAnsi="宋体" w:eastAsia="宋体" w:cs="宋体"/>
          <w:color w:val="auto"/>
          <w:sz w:val="21"/>
          <w:highlight w:val="none"/>
        </w:rPr>
      </w:pPr>
    </w:p>
    <w:p w14:paraId="358FCC5E">
      <w:pPr>
        <w:spacing w:line="248" w:lineRule="auto"/>
        <w:rPr>
          <w:rFonts w:hint="eastAsia" w:ascii="宋体" w:hAnsi="宋体" w:eastAsia="宋体" w:cs="宋体"/>
          <w:color w:val="auto"/>
          <w:sz w:val="21"/>
          <w:highlight w:val="none"/>
        </w:rPr>
      </w:pPr>
    </w:p>
    <w:p w14:paraId="2BAF0A9E">
      <w:pPr>
        <w:spacing w:line="248" w:lineRule="auto"/>
        <w:rPr>
          <w:rFonts w:hint="eastAsia" w:ascii="宋体" w:hAnsi="宋体" w:eastAsia="宋体" w:cs="宋体"/>
          <w:color w:val="auto"/>
          <w:sz w:val="21"/>
          <w:highlight w:val="none"/>
        </w:rPr>
      </w:pPr>
    </w:p>
    <w:p w14:paraId="21C31F77">
      <w:pPr>
        <w:spacing w:line="248" w:lineRule="auto"/>
        <w:rPr>
          <w:rFonts w:hint="eastAsia" w:ascii="宋体" w:hAnsi="宋体" w:eastAsia="宋体" w:cs="宋体"/>
          <w:color w:val="auto"/>
          <w:sz w:val="21"/>
          <w:highlight w:val="none"/>
        </w:rPr>
      </w:pPr>
    </w:p>
    <w:p w14:paraId="0886C635">
      <w:pPr>
        <w:spacing w:before="95" w:line="393" w:lineRule="exact"/>
        <w:rPr>
          <w:rFonts w:hint="eastAsia" w:ascii="宋体" w:hAnsi="宋体" w:eastAsia="宋体" w:cs="宋体"/>
          <w:color w:val="auto"/>
          <w:sz w:val="29"/>
          <w:szCs w:val="29"/>
          <w:highlight w:val="none"/>
        </w:rPr>
      </w:pPr>
      <w:r>
        <w:rPr>
          <w:rFonts w:hint="eastAsia" w:ascii="宋体" w:hAnsi="宋体" w:eastAsia="宋体" w:cs="宋体"/>
          <w:color w:val="auto"/>
          <w:spacing w:val="10"/>
          <w:position w:val="3"/>
          <w:sz w:val="29"/>
          <w:szCs w:val="29"/>
          <w:highlight w:val="none"/>
        </w:rPr>
        <w:t>承包人：</w:t>
      </w:r>
      <w:r>
        <w:rPr>
          <w:rFonts w:hint="eastAsia" w:ascii="宋体" w:hAnsi="宋体" w:eastAsia="宋体" w:cs="宋体"/>
          <w:color w:val="auto"/>
          <w:spacing w:val="6"/>
          <w:position w:val="3"/>
          <w:sz w:val="29"/>
          <w:szCs w:val="29"/>
          <w:highlight w:val="none"/>
        </w:rPr>
        <w:t>_</w:t>
      </w:r>
      <w:r>
        <w:rPr>
          <w:rFonts w:hint="eastAsia" w:ascii="宋体" w:hAnsi="宋体" w:eastAsia="宋体" w:cs="宋体"/>
          <w:color w:val="auto"/>
          <w:spacing w:val="5"/>
          <w:position w:val="3"/>
          <w:sz w:val="29"/>
          <w:szCs w:val="29"/>
          <w:highlight w:val="none"/>
        </w:rPr>
        <w:t>________________________ (单位盖章)</w:t>
      </w:r>
    </w:p>
    <w:p w14:paraId="382C1B09">
      <w:pPr>
        <w:spacing w:line="275" w:lineRule="auto"/>
        <w:rPr>
          <w:rFonts w:hint="eastAsia" w:ascii="宋体" w:hAnsi="宋体" w:eastAsia="宋体" w:cs="宋体"/>
          <w:color w:val="auto"/>
          <w:sz w:val="21"/>
          <w:highlight w:val="none"/>
        </w:rPr>
      </w:pPr>
    </w:p>
    <w:p w14:paraId="118A07DB">
      <w:pPr>
        <w:spacing w:line="275" w:lineRule="auto"/>
        <w:rPr>
          <w:rFonts w:hint="eastAsia" w:ascii="宋体" w:hAnsi="宋体" w:eastAsia="宋体" w:cs="宋体"/>
          <w:color w:val="auto"/>
          <w:sz w:val="21"/>
          <w:highlight w:val="none"/>
        </w:rPr>
      </w:pPr>
    </w:p>
    <w:p w14:paraId="6939FFFB">
      <w:pPr>
        <w:spacing w:line="275" w:lineRule="auto"/>
        <w:rPr>
          <w:rFonts w:hint="eastAsia" w:ascii="宋体" w:hAnsi="宋体" w:eastAsia="宋体" w:cs="宋体"/>
          <w:color w:val="auto"/>
          <w:sz w:val="21"/>
          <w:highlight w:val="none"/>
        </w:rPr>
      </w:pPr>
    </w:p>
    <w:p w14:paraId="6E9A11C7">
      <w:pPr>
        <w:spacing w:line="275" w:lineRule="auto"/>
        <w:rPr>
          <w:rFonts w:hint="eastAsia" w:ascii="宋体" w:hAnsi="宋体" w:eastAsia="宋体" w:cs="宋体"/>
          <w:color w:val="auto"/>
          <w:sz w:val="21"/>
          <w:highlight w:val="none"/>
        </w:rPr>
      </w:pPr>
    </w:p>
    <w:p w14:paraId="0E8FE87C">
      <w:pPr>
        <w:spacing w:line="275" w:lineRule="auto"/>
        <w:rPr>
          <w:rFonts w:hint="eastAsia" w:ascii="宋体" w:hAnsi="宋体" w:eastAsia="宋体" w:cs="宋体"/>
          <w:color w:val="auto"/>
          <w:sz w:val="21"/>
          <w:highlight w:val="none"/>
        </w:rPr>
      </w:pPr>
    </w:p>
    <w:p w14:paraId="5483D038">
      <w:pPr>
        <w:spacing w:before="95" w:line="393" w:lineRule="exact"/>
        <w:ind w:left="1"/>
        <w:rPr>
          <w:rFonts w:hint="eastAsia" w:ascii="宋体" w:hAnsi="宋体" w:eastAsia="宋体" w:cs="宋体"/>
          <w:color w:val="auto"/>
          <w:sz w:val="29"/>
          <w:szCs w:val="29"/>
          <w:highlight w:val="none"/>
        </w:rPr>
      </w:pPr>
      <w:r>
        <w:rPr>
          <w:rFonts w:hint="eastAsia" w:ascii="宋体" w:hAnsi="宋体" w:eastAsia="宋体" w:cs="宋体"/>
          <w:color w:val="auto"/>
          <w:spacing w:val="6"/>
          <w:position w:val="3"/>
          <w:sz w:val="29"/>
          <w:szCs w:val="29"/>
          <w:highlight w:val="none"/>
        </w:rPr>
        <w:t>法定代表人：____________________ (签字盖章</w:t>
      </w:r>
      <w:r>
        <w:rPr>
          <w:rFonts w:hint="eastAsia" w:ascii="宋体" w:hAnsi="宋体" w:eastAsia="宋体" w:cs="宋体"/>
          <w:color w:val="auto"/>
          <w:spacing w:val="4"/>
          <w:position w:val="3"/>
          <w:sz w:val="29"/>
          <w:szCs w:val="29"/>
          <w:highlight w:val="none"/>
        </w:rPr>
        <w:t>)</w:t>
      </w:r>
    </w:p>
    <w:p w14:paraId="124445AB">
      <w:pPr>
        <w:spacing w:line="255" w:lineRule="auto"/>
        <w:rPr>
          <w:rFonts w:hint="eastAsia" w:ascii="宋体" w:hAnsi="宋体" w:eastAsia="宋体" w:cs="宋体"/>
          <w:color w:val="auto"/>
          <w:sz w:val="21"/>
          <w:highlight w:val="none"/>
        </w:rPr>
      </w:pPr>
    </w:p>
    <w:p w14:paraId="0B053BAC">
      <w:pPr>
        <w:spacing w:before="95" w:line="217" w:lineRule="auto"/>
        <w:ind w:left="2"/>
        <w:rPr>
          <w:rFonts w:hint="eastAsia" w:ascii="宋体" w:hAnsi="宋体" w:eastAsia="宋体" w:cs="宋体"/>
          <w:color w:val="auto"/>
          <w:spacing w:val="10"/>
          <w:sz w:val="29"/>
          <w:szCs w:val="29"/>
          <w:highlight w:val="none"/>
        </w:rPr>
      </w:pPr>
    </w:p>
    <w:p w14:paraId="46E7B756">
      <w:pPr>
        <w:spacing w:before="95" w:line="217" w:lineRule="auto"/>
        <w:ind w:left="2"/>
        <w:rPr>
          <w:rFonts w:hint="eastAsia" w:ascii="宋体" w:hAnsi="宋体" w:eastAsia="宋体" w:cs="宋体"/>
          <w:color w:val="auto"/>
          <w:spacing w:val="10"/>
          <w:sz w:val="29"/>
          <w:szCs w:val="29"/>
          <w:highlight w:val="none"/>
        </w:rPr>
      </w:pPr>
    </w:p>
    <w:p w14:paraId="36C518A7">
      <w:pPr>
        <w:spacing w:before="95" w:line="217" w:lineRule="auto"/>
        <w:ind w:left="2"/>
        <w:rPr>
          <w:rFonts w:hint="eastAsia" w:ascii="宋体" w:hAnsi="宋体" w:eastAsia="宋体" w:cs="宋体"/>
          <w:color w:val="auto"/>
          <w:spacing w:val="5"/>
          <w:sz w:val="29"/>
          <w:szCs w:val="29"/>
          <w:highlight w:val="none"/>
        </w:rPr>
      </w:pPr>
      <w:r>
        <w:rPr>
          <w:rFonts w:hint="eastAsia" w:ascii="宋体" w:hAnsi="宋体" w:eastAsia="宋体" w:cs="宋体"/>
          <w:color w:val="auto"/>
          <w:spacing w:val="10"/>
          <w:sz w:val="29"/>
          <w:szCs w:val="29"/>
          <w:highlight w:val="none"/>
        </w:rPr>
        <w:t>编制</w:t>
      </w:r>
      <w:r>
        <w:rPr>
          <w:rFonts w:hint="eastAsia" w:ascii="宋体" w:hAnsi="宋体" w:eastAsia="宋体" w:cs="宋体"/>
          <w:color w:val="auto"/>
          <w:spacing w:val="8"/>
          <w:sz w:val="29"/>
          <w:szCs w:val="29"/>
          <w:highlight w:val="none"/>
        </w:rPr>
        <w:t>时</w:t>
      </w:r>
      <w:r>
        <w:rPr>
          <w:rFonts w:hint="eastAsia" w:ascii="宋体" w:hAnsi="宋体" w:eastAsia="宋体" w:cs="宋体"/>
          <w:color w:val="auto"/>
          <w:spacing w:val="5"/>
          <w:sz w:val="29"/>
          <w:szCs w:val="29"/>
          <w:highlight w:val="none"/>
        </w:rPr>
        <w:t>间：________________________</w:t>
      </w:r>
    </w:p>
    <w:p w14:paraId="04F52D49">
      <w:pPr>
        <w:rPr>
          <w:rFonts w:hint="eastAsia" w:ascii="宋体" w:hAnsi="宋体" w:eastAsia="宋体" w:cs="宋体"/>
          <w:color w:val="auto"/>
          <w:highlight w:val="none"/>
          <w:lang w:val="en-US" w:eastAsia="zh-CN"/>
        </w:rPr>
      </w:pPr>
    </w:p>
    <w:sectPr>
      <w:headerReference r:id="rId26" w:type="default"/>
      <w:footerReference r:id="rId27" w:type="default"/>
      <w:pgSz w:w="12240" w:h="15840"/>
      <w:pgMar w:top="1440" w:right="1080" w:bottom="1440" w:left="1080" w:header="964"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39F95">
    <w:pPr>
      <w:spacing w:line="196" w:lineRule="auto"/>
      <w:ind w:left="4656"/>
      <w:rPr>
        <w:rFonts w:hint="eastAsia" w:ascii="Times New Roman" w:hAnsi="Times New Roman" w:eastAsia="宋体" w:cs="Times New Roman"/>
        <w:sz w:val="17"/>
        <w:szCs w:val="17"/>
        <w:lang w:val="en-US"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9C142">
    <w:pPr>
      <w:spacing w:before="1" w:line="176" w:lineRule="auto"/>
      <w:rPr>
        <w:rFonts w:ascii="宋体" w:hAns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168C6">
                          <w:pPr>
                            <w:pStyle w:val="19"/>
                          </w:pPr>
                          <w:r>
                            <w:fldChar w:fldCharType="begin"/>
                          </w:r>
                          <w:r>
                            <w:instrText xml:space="preserve"> PAGE  \* MERGEFORMAT </w:instrText>
                          </w:r>
                          <w:r>
                            <w:fldChar w:fldCharType="separate"/>
                          </w:r>
                          <w:r>
                            <w:t>180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29168C6">
                    <w:pPr>
                      <w:pStyle w:val="19"/>
                    </w:pPr>
                    <w:r>
                      <w:fldChar w:fldCharType="begin"/>
                    </w:r>
                    <w:r>
                      <w:instrText xml:space="preserve"> PAGE  \* MERGEFORMAT </w:instrText>
                    </w:r>
                    <w:r>
                      <w:fldChar w:fldCharType="separate"/>
                    </w:r>
                    <w:r>
                      <w:t>180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BF8A7">
    <w:pPr>
      <w:spacing w:line="179" w:lineRule="auto"/>
      <w:ind w:left="4242"/>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87489">
                          <w:pPr>
                            <w:pStyle w:val="19"/>
                          </w:pPr>
                          <w:r>
                            <w:fldChar w:fldCharType="begin"/>
                          </w:r>
                          <w:r>
                            <w:instrText xml:space="preserve"> PAGE  \* MERGEFORMAT </w:instrText>
                          </w:r>
                          <w:r>
                            <w:fldChar w:fldCharType="separate"/>
                          </w:r>
                          <w:r>
                            <w:t>181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A187489">
                    <w:pPr>
                      <w:pStyle w:val="19"/>
                    </w:pPr>
                    <w:r>
                      <w:fldChar w:fldCharType="begin"/>
                    </w:r>
                    <w:r>
                      <w:instrText xml:space="preserve"> PAGE  \* MERGEFORMAT </w:instrText>
                    </w:r>
                    <w:r>
                      <w:fldChar w:fldCharType="separate"/>
                    </w:r>
                    <w:r>
                      <w:t>181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C5973">
    <w:pPr>
      <w:spacing w:line="179" w:lineRule="auto"/>
      <w:ind w:left="4087"/>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49E69">
                          <w:pPr>
                            <w:pStyle w:val="19"/>
                          </w:pPr>
                          <w:r>
                            <w:fldChar w:fldCharType="begin"/>
                          </w:r>
                          <w:r>
                            <w:instrText xml:space="preserve"> PAGE  \* MERGEFORMAT </w:instrText>
                          </w:r>
                          <w:r>
                            <w:fldChar w:fldCharType="separate"/>
                          </w:r>
                          <w:r>
                            <w:t>185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5349E69">
                    <w:pPr>
                      <w:pStyle w:val="19"/>
                    </w:pPr>
                    <w:r>
                      <w:fldChar w:fldCharType="begin"/>
                    </w:r>
                    <w:r>
                      <w:instrText xml:space="preserve"> PAGE  \* MERGEFORMAT </w:instrText>
                    </w:r>
                    <w:r>
                      <w:fldChar w:fldCharType="separate"/>
                    </w:r>
                    <w:r>
                      <w:t>185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9C526">
    <w:pPr>
      <w:spacing w:line="179" w:lineRule="auto"/>
      <w:ind w:left="7352"/>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15C04">
                          <w:pPr>
                            <w:pStyle w:val="19"/>
                          </w:pPr>
                          <w:r>
                            <w:fldChar w:fldCharType="begin"/>
                          </w:r>
                          <w:r>
                            <w:instrText xml:space="preserve"> PAGE  \* MERGEFORMAT </w:instrText>
                          </w:r>
                          <w:r>
                            <w:fldChar w:fldCharType="separate"/>
                          </w:r>
                          <w:r>
                            <w:t>186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8E15C04">
                    <w:pPr>
                      <w:pStyle w:val="19"/>
                    </w:pPr>
                    <w:r>
                      <w:fldChar w:fldCharType="begin"/>
                    </w:r>
                    <w:r>
                      <w:instrText xml:space="preserve"> PAGE  \* MERGEFORMAT </w:instrText>
                    </w:r>
                    <w:r>
                      <w:fldChar w:fldCharType="separate"/>
                    </w:r>
                    <w:r>
                      <w:t>186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5D18A">
    <w:pPr>
      <w:spacing w:line="179" w:lineRule="auto"/>
      <w:ind w:left="6353"/>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C935F">
                          <w:pPr>
                            <w:pStyle w:val="19"/>
                          </w:pPr>
                          <w:r>
                            <w:fldChar w:fldCharType="begin"/>
                          </w:r>
                          <w:r>
                            <w:instrText xml:space="preserve"> PAGE  \* MERGEFORMAT </w:instrText>
                          </w:r>
                          <w:r>
                            <w:fldChar w:fldCharType="separate"/>
                          </w:r>
                          <w:r>
                            <w:t>187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F2C935F">
                    <w:pPr>
                      <w:pStyle w:val="19"/>
                    </w:pPr>
                    <w:r>
                      <w:fldChar w:fldCharType="begin"/>
                    </w:r>
                    <w:r>
                      <w:instrText xml:space="preserve"> PAGE  \* MERGEFORMAT </w:instrText>
                    </w:r>
                    <w:r>
                      <w:fldChar w:fldCharType="separate"/>
                    </w:r>
                    <w:r>
                      <w:t>187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EECA">
    <w:pPr>
      <w:spacing w:line="179" w:lineRule="auto"/>
      <w:ind w:left="4383"/>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F5B8B">
                          <w:pPr>
                            <w:pStyle w:val="19"/>
                          </w:pPr>
                          <w:r>
                            <w:fldChar w:fldCharType="begin"/>
                          </w:r>
                          <w:r>
                            <w:instrText xml:space="preserve"> PAGE  \* MERGEFORMAT </w:instrText>
                          </w:r>
                          <w:r>
                            <w:fldChar w:fldCharType="separate"/>
                          </w:r>
                          <w:r>
                            <w:t>188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E5F5B8B">
                    <w:pPr>
                      <w:pStyle w:val="19"/>
                    </w:pPr>
                    <w:r>
                      <w:fldChar w:fldCharType="begin"/>
                    </w:r>
                    <w:r>
                      <w:instrText xml:space="preserve"> PAGE  \* MERGEFORMAT </w:instrText>
                    </w:r>
                    <w:r>
                      <w:fldChar w:fldCharType="separate"/>
                    </w:r>
                    <w:r>
                      <w:t>188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76381">
    <w:pPr>
      <w:spacing w:line="180" w:lineRule="auto"/>
      <w:ind w:left="4293"/>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A87BC">
                          <w:pPr>
                            <w:pStyle w:val="19"/>
                          </w:pPr>
                          <w:r>
                            <w:fldChar w:fldCharType="begin"/>
                          </w:r>
                          <w:r>
                            <w:instrText xml:space="preserve"> PAGE  \* MERGEFORMAT </w:instrText>
                          </w:r>
                          <w:r>
                            <w:fldChar w:fldCharType="separate"/>
                          </w:r>
                          <w:r>
                            <w:t>189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12A87BC">
                    <w:pPr>
                      <w:pStyle w:val="19"/>
                    </w:pPr>
                    <w:r>
                      <w:fldChar w:fldCharType="begin"/>
                    </w:r>
                    <w:r>
                      <w:instrText xml:space="preserve"> PAGE  \* MERGEFORMAT </w:instrText>
                    </w:r>
                    <w:r>
                      <w:fldChar w:fldCharType="separate"/>
                    </w:r>
                    <w:r>
                      <w:t>189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F645D">
    <w:pPr>
      <w:spacing w:line="179" w:lineRule="auto"/>
      <w:ind w:left="4728"/>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A514D">
                          <w:pPr>
                            <w:pStyle w:val="19"/>
                          </w:pPr>
                          <w:r>
                            <w:fldChar w:fldCharType="begin"/>
                          </w:r>
                          <w:r>
                            <w:instrText xml:space="preserve"> PAGE  \* MERGEFORMAT </w:instrText>
                          </w:r>
                          <w:r>
                            <w:fldChar w:fldCharType="separate"/>
                          </w:r>
                          <w:r>
                            <w:t>190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48A514D">
                    <w:pPr>
                      <w:pStyle w:val="19"/>
                    </w:pPr>
                    <w:r>
                      <w:fldChar w:fldCharType="begin"/>
                    </w:r>
                    <w:r>
                      <w:instrText xml:space="preserve"> PAGE  \* MERGEFORMAT </w:instrText>
                    </w:r>
                    <w:r>
                      <w:fldChar w:fldCharType="separate"/>
                    </w:r>
                    <w:r>
                      <w:t>190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73FD5">
    <w:pPr>
      <w:spacing w:line="179" w:lineRule="auto"/>
      <w:ind w:left="4715"/>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0D918">
                          <w:pPr>
                            <w:pStyle w:val="19"/>
                          </w:pPr>
                          <w:r>
                            <w:fldChar w:fldCharType="begin"/>
                          </w:r>
                          <w:r>
                            <w:instrText xml:space="preserve"> PAGE  \* MERGEFORMAT </w:instrText>
                          </w:r>
                          <w:r>
                            <w:fldChar w:fldCharType="separate"/>
                          </w:r>
                          <w:r>
                            <w:t>193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4E0D918">
                    <w:pPr>
                      <w:pStyle w:val="19"/>
                    </w:pPr>
                    <w:r>
                      <w:fldChar w:fldCharType="begin"/>
                    </w:r>
                    <w:r>
                      <w:instrText xml:space="preserve"> PAGE  \* MERGEFORMAT </w:instrText>
                    </w:r>
                    <w:r>
                      <w:fldChar w:fldCharType="separate"/>
                    </w:r>
                    <w:r>
                      <w:t>193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1B596">
    <w:pPr>
      <w:spacing w:line="179" w:lineRule="auto"/>
      <w:rPr>
        <w:rFonts w:hint="eastAsia" w:ascii="宋体" w:hAnsi="宋体" w:eastAsia="宋体" w:cs="宋体"/>
        <w:sz w:val="17"/>
        <w:szCs w:val="17"/>
        <w:lang w:val="en-US" w:eastAsia="zh-CN"/>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59265">
                          <w:pPr>
                            <w:pStyle w:val="19"/>
                          </w:pPr>
                          <w:r>
                            <w:fldChar w:fldCharType="begin"/>
                          </w:r>
                          <w:r>
                            <w:instrText xml:space="preserve"> PAGE  \* MERGEFORMAT </w:instrText>
                          </w:r>
                          <w:r>
                            <w:fldChar w:fldCharType="separate"/>
                          </w:r>
                          <w:r>
                            <w:t>194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9059265">
                    <w:pPr>
                      <w:pStyle w:val="19"/>
                    </w:pPr>
                    <w:r>
                      <w:fldChar w:fldCharType="begin"/>
                    </w:r>
                    <w:r>
                      <w:instrText xml:space="preserve"> PAGE  \* MERGEFORMAT </w:instrText>
                    </w:r>
                    <w:r>
                      <w:fldChar w:fldCharType="separate"/>
                    </w:r>
                    <w:r>
                      <w:t>194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965CC">
    <w:pPr>
      <w:spacing w:line="196" w:lineRule="auto"/>
      <w:ind w:left="4656"/>
      <w:rPr>
        <w:rFonts w:hint="eastAsia" w:ascii="Times New Roman" w:hAnsi="Times New Roman" w:eastAsia="宋体" w:cs="Times New Roman"/>
        <w:sz w:val="17"/>
        <w:szCs w:val="17"/>
        <w:lang w:val="en-US" w:eastAsia="zh-CN"/>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0623">
    <w:pPr>
      <w:spacing w:after="0"/>
      <w:ind w:right="104"/>
      <w:jc w:val="center"/>
    </w:pPr>
    <w:r>
      <w:rPr>
        <w:sz w:val="22"/>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55C58">
                          <w:pPr>
                            <w:pStyle w:val="19"/>
                          </w:pPr>
                          <w:r>
                            <w:fldChar w:fldCharType="begin"/>
                          </w:r>
                          <w:r>
                            <w:instrText xml:space="preserve"> PAGE  \* MERGEFORMAT </w:instrText>
                          </w:r>
                          <w:r>
                            <w:fldChar w:fldCharType="separate"/>
                          </w:r>
                          <w:r>
                            <w:t>197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7955C58">
                    <w:pPr>
                      <w:pStyle w:val="19"/>
                    </w:pPr>
                    <w:r>
                      <w:fldChar w:fldCharType="begin"/>
                    </w:r>
                    <w:r>
                      <w:instrText xml:space="preserve"> PAGE  \* MERGEFORMAT </w:instrText>
                    </w:r>
                    <w:r>
                      <w:fldChar w:fldCharType="separate"/>
                    </w:r>
                    <w:r>
                      <w:t>197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DE3F1">
    <w:pPr>
      <w:spacing w:line="179" w:lineRule="auto"/>
      <w:ind w:left="4086"/>
      <w:rPr>
        <w:rFonts w:ascii="宋体" w:hAnsi="宋体" w:eastAsia="宋体" w:cs="宋体"/>
        <w:sz w:val="21"/>
        <w:szCs w:val="21"/>
      </w:rPr>
    </w:pPr>
    <w:r>
      <w:rPr>
        <w:sz w:val="21"/>
        <w:szCs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2EBD2">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242EBD2">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06122">
    <w:pPr>
      <w:spacing w:line="196" w:lineRule="auto"/>
      <w:ind w:left="465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1D251">
                          <w:pPr>
                            <w:pStyle w:val="1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BF1D251">
                    <w:pPr>
                      <w:pStyle w:val="1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8FF6E">
    <w:pPr>
      <w:pStyle w:val="19"/>
      <w:rPr>
        <w:rFonts w:ascii="Times New Roman" w:hAnsi="Times New Roman"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A4C39">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B6A4C39">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82311">
    <w:r>
      <w:rPr>
        <w:sz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FEC7A">
                          <w:pPr>
                            <w:pStyle w:val="1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0EFEC7A">
                    <w:pPr>
                      <w:pStyle w:val="1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413F3">
    <w:pPr>
      <w:spacing w:line="196" w:lineRule="auto"/>
      <w:ind w:left="466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76BFA5">
                          <w:pPr>
                            <w:pStyle w:val="19"/>
                          </w:pPr>
                          <w:r>
                            <w:fldChar w:fldCharType="begin"/>
                          </w:r>
                          <w:r>
                            <w:instrText xml:space="preserve"> PAGE  \* MERGEFORMAT </w:instrText>
                          </w:r>
                          <w:r>
                            <w:fldChar w:fldCharType="separate"/>
                          </w:r>
                          <w:r>
                            <w:t>170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D76BFA5">
                    <w:pPr>
                      <w:pStyle w:val="19"/>
                    </w:pPr>
                    <w:r>
                      <w:fldChar w:fldCharType="begin"/>
                    </w:r>
                    <w:r>
                      <w:instrText xml:space="preserve"> PAGE  \* MERGEFORMAT </w:instrText>
                    </w:r>
                    <w:r>
                      <w:fldChar w:fldCharType="separate"/>
                    </w:r>
                    <w:r>
                      <w:t>170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85F0F">
    <w:pPr>
      <w:spacing w:line="179" w:lineRule="auto"/>
      <w:ind w:left="4086"/>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1EA0D">
                          <w:pPr>
                            <w:pStyle w:val="19"/>
                          </w:pPr>
                          <w:r>
                            <w:fldChar w:fldCharType="begin"/>
                          </w:r>
                          <w:r>
                            <w:instrText xml:space="preserve"> PAGE  \* MERGEFORMAT </w:instrText>
                          </w:r>
                          <w:r>
                            <w:fldChar w:fldCharType="separate"/>
                          </w:r>
                          <w:r>
                            <w:t>177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D21EA0D">
                    <w:pPr>
                      <w:pStyle w:val="19"/>
                    </w:pPr>
                    <w:r>
                      <w:fldChar w:fldCharType="begin"/>
                    </w:r>
                    <w:r>
                      <w:instrText xml:space="preserve"> PAGE  \* MERGEFORMAT </w:instrText>
                    </w:r>
                    <w:r>
                      <w:fldChar w:fldCharType="separate"/>
                    </w:r>
                    <w:r>
                      <w:t>177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A2AA1">
    <w:pPr>
      <w:spacing w:line="179" w:lineRule="auto"/>
      <w:ind w:left="4754"/>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82C33">
                          <w:pPr>
                            <w:pStyle w:val="19"/>
                          </w:pPr>
                          <w:r>
                            <w:fldChar w:fldCharType="begin"/>
                          </w:r>
                          <w:r>
                            <w:instrText xml:space="preserve"> PAGE  \* MERGEFORMAT </w:instrText>
                          </w:r>
                          <w:r>
                            <w:fldChar w:fldCharType="separate"/>
                          </w:r>
                          <w:r>
                            <w:t>178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B782C33">
                    <w:pPr>
                      <w:pStyle w:val="19"/>
                    </w:pPr>
                    <w:r>
                      <w:fldChar w:fldCharType="begin"/>
                    </w:r>
                    <w:r>
                      <w:instrText xml:space="preserve"> PAGE  \* MERGEFORMAT </w:instrText>
                    </w:r>
                    <w:r>
                      <w:fldChar w:fldCharType="separate"/>
                    </w:r>
                    <w:r>
                      <w:t>178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67F44">
    <w:pPr>
      <w:pStyle w:val="20"/>
      <w:rPr>
        <w:rFonts w:hint="eastAsia"/>
        <w:lang w:val="en-US" w:eastAsia="zh-CN"/>
      </w:rPr>
    </w:pPr>
    <w:r>
      <w:rPr>
        <w:rFonts w:hint="eastAsia"/>
        <w:lang w:val="en-US" w:eastAsia="zh-CN"/>
      </w:rPr>
      <w:t>喀什光电保护盖板产业链项目土地平整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BB5AC">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F5342">
    <w:pPr>
      <w:pStyle w:val="20"/>
      <w:jc w:val="left"/>
      <w:rPr>
        <w:rFonts w:hint="default"/>
        <w:lang w:val="en-US" w:eastAsia="zh-CN"/>
      </w:rPr>
    </w:pPr>
    <w:r>
      <w:rPr>
        <w:rFonts w:hint="eastAsia"/>
        <w:lang w:val="en-US" w:eastAsia="zh-CN"/>
      </w:rPr>
      <w:t>喀什光电保护盖板产业链项目土地平整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7B43"/>
    <w:multiLevelType w:val="singleLevel"/>
    <w:tmpl w:val="820C7B43"/>
    <w:lvl w:ilvl="0" w:tentative="0">
      <w:start w:val="1"/>
      <w:numFmt w:val="chineseCounting"/>
      <w:suff w:val="space"/>
      <w:lvlText w:val="第%1章"/>
      <w:lvlJc w:val="left"/>
      <w:rPr>
        <w:rFonts w:hint="eastAsia"/>
      </w:rPr>
    </w:lvl>
  </w:abstractNum>
  <w:abstractNum w:abstractNumId="1">
    <w:nsid w:val="D7638217"/>
    <w:multiLevelType w:val="singleLevel"/>
    <w:tmpl w:val="D7638217"/>
    <w:lvl w:ilvl="0" w:tentative="0">
      <w:start w:val="2"/>
      <w:numFmt w:val="chineseCounting"/>
      <w:suff w:val="nothing"/>
      <w:lvlText w:val="（%1）"/>
      <w:lvlJc w:val="left"/>
      <w:rPr>
        <w:rFonts w:hint="eastAsia"/>
      </w:rPr>
    </w:lvl>
  </w:abstractNum>
  <w:abstractNum w:abstractNumId="2">
    <w:nsid w:val="00000006"/>
    <w:multiLevelType w:val="singleLevel"/>
    <w:tmpl w:val="00000006"/>
    <w:lvl w:ilvl="0" w:tentative="0">
      <w:start w:val="1"/>
      <w:numFmt w:val="decimal"/>
      <w:suff w:val="nothing"/>
      <w:lvlText w:val="（%1）"/>
      <w:lvlJc w:val="left"/>
    </w:lvl>
  </w:abstractNum>
  <w:abstractNum w:abstractNumId="3">
    <w:nsid w:val="00000007"/>
    <w:multiLevelType w:val="multilevel"/>
    <w:tmpl w:val="00000007"/>
    <w:lvl w:ilvl="0" w:tentative="0">
      <w:start w:val="1"/>
      <w:numFmt w:val="chineseCountingThousand"/>
      <w:pStyle w:val="3"/>
      <w:suff w:val="nothing"/>
      <w:lvlText w:val="%1、"/>
      <w:lvlJc w:val="left"/>
      <w:pPr>
        <w:ind w:left="0" w:firstLine="0"/>
      </w:pPr>
      <w:rPr>
        <w:rFonts w:hint="eastAsia"/>
      </w:rPr>
    </w:lvl>
    <w:lvl w:ilvl="1" w:tentative="0">
      <w:start w:val="1"/>
      <w:numFmt w:val="decimal"/>
      <w:isLgl/>
      <w:suff w:val="nothing"/>
      <w:lvlText w:val="%1.%2 "/>
      <w:lvlJc w:val="left"/>
      <w:pPr>
        <w:ind w:left="3970" w:firstLine="0"/>
      </w:pPr>
    </w:lvl>
    <w:lvl w:ilvl="2" w:tentative="0">
      <w:start w:val="1"/>
      <w:numFmt w:val="decimal"/>
      <w:isLgl/>
      <w:suff w:val="nothing"/>
      <w:lvlText w:val="%1.%2.%3 "/>
      <w:lvlJc w:val="left"/>
      <w:pPr>
        <w:ind w:left="142"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E"/>
    <w:multiLevelType w:val="multilevel"/>
    <w:tmpl w:val="0000000E"/>
    <w:lvl w:ilvl="0" w:tentative="0">
      <w:start w:val="1"/>
      <w:numFmt w:val="decimal"/>
      <w:suff w:val="nothing"/>
      <w:lvlText w:val="%1、"/>
      <w:lvlJc w:val="left"/>
    </w:lvl>
    <w:lvl w:ilvl="1" w:tentative="0">
      <w:start w:val="0"/>
      <w:numFmt w:val="decimal"/>
      <w:lvlText w:val="ƐĂआĆāā"/>
      <w:lvlJc w:val="left"/>
    </w:lvl>
    <w:lvl w:ilvl="2" w:tentative="0">
      <w:start w:val="0"/>
      <w:numFmt w:val="decimal"/>
      <w:pStyle w:val="5"/>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EB94F77"/>
    <w:multiLevelType w:val="singleLevel"/>
    <w:tmpl w:val="1EB94F77"/>
    <w:lvl w:ilvl="0" w:tentative="0">
      <w:start w:val="3"/>
      <w:numFmt w:val="chineseCounting"/>
      <w:suff w:val="space"/>
      <w:lvlText w:val="第%1部分"/>
      <w:lvlJc w:val="left"/>
      <w:rPr>
        <w:rFonts w:hint="eastAsia"/>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2A880EA1"/>
    <w:rsid w:val="00082EB3"/>
    <w:rsid w:val="000A002F"/>
    <w:rsid w:val="000C024B"/>
    <w:rsid w:val="004025E9"/>
    <w:rsid w:val="005F527D"/>
    <w:rsid w:val="00647C7C"/>
    <w:rsid w:val="00A2165A"/>
    <w:rsid w:val="00B37964"/>
    <w:rsid w:val="00B95CDD"/>
    <w:rsid w:val="00C37110"/>
    <w:rsid w:val="00C7130C"/>
    <w:rsid w:val="00C84223"/>
    <w:rsid w:val="00D24A44"/>
    <w:rsid w:val="0185261A"/>
    <w:rsid w:val="01941FF7"/>
    <w:rsid w:val="01B446F6"/>
    <w:rsid w:val="022B40C3"/>
    <w:rsid w:val="02C553E4"/>
    <w:rsid w:val="04675A50"/>
    <w:rsid w:val="04697304"/>
    <w:rsid w:val="048E7D0A"/>
    <w:rsid w:val="04BC302F"/>
    <w:rsid w:val="057E3B74"/>
    <w:rsid w:val="05E337FC"/>
    <w:rsid w:val="06355B9E"/>
    <w:rsid w:val="065966C5"/>
    <w:rsid w:val="06A1650D"/>
    <w:rsid w:val="06A20FC1"/>
    <w:rsid w:val="06E8618F"/>
    <w:rsid w:val="07067683"/>
    <w:rsid w:val="0790350F"/>
    <w:rsid w:val="07954F47"/>
    <w:rsid w:val="08160E07"/>
    <w:rsid w:val="085C4FA1"/>
    <w:rsid w:val="08656B9B"/>
    <w:rsid w:val="089932EF"/>
    <w:rsid w:val="08B97B10"/>
    <w:rsid w:val="09065B4C"/>
    <w:rsid w:val="094E3682"/>
    <w:rsid w:val="09B23740"/>
    <w:rsid w:val="09C8586B"/>
    <w:rsid w:val="09DC2A3C"/>
    <w:rsid w:val="0AA0001D"/>
    <w:rsid w:val="0AB51320"/>
    <w:rsid w:val="0AD0721D"/>
    <w:rsid w:val="0B0B301C"/>
    <w:rsid w:val="0B790A13"/>
    <w:rsid w:val="0C473B32"/>
    <w:rsid w:val="0C765747"/>
    <w:rsid w:val="0CBC4BBF"/>
    <w:rsid w:val="0CEF7AC7"/>
    <w:rsid w:val="0CF44EF8"/>
    <w:rsid w:val="0D2C3167"/>
    <w:rsid w:val="0D385C16"/>
    <w:rsid w:val="0D7D6966"/>
    <w:rsid w:val="0DAA4593"/>
    <w:rsid w:val="0DC10C74"/>
    <w:rsid w:val="0DE14811"/>
    <w:rsid w:val="0DF20505"/>
    <w:rsid w:val="0E3B2427"/>
    <w:rsid w:val="0E7A199E"/>
    <w:rsid w:val="0F735101"/>
    <w:rsid w:val="0F7B4AA5"/>
    <w:rsid w:val="0F9567ED"/>
    <w:rsid w:val="0F9C1A17"/>
    <w:rsid w:val="10211B7A"/>
    <w:rsid w:val="10AA2D22"/>
    <w:rsid w:val="10FF2916"/>
    <w:rsid w:val="11070643"/>
    <w:rsid w:val="11A670D3"/>
    <w:rsid w:val="11BA175E"/>
    <w:rsid w:val="1215392E"/>
    <w:rsid w:val="12764809"/>
    <w:rsid w:val="1283614B"/>
    <w:rsid w:val="1347361C"/>
    <w:rsid w:val="13821EBA"/>
    <w:rsid w:val="13885EF0"/>
    <w:rsid w:val="13C25CFF"/>
    <w:rsid w:val="14C54BBD"/>
    <w:rsid w:val="158741A4"/>
    <w:rsid w:val="173E2BCB"/>
    <w:rsid w:val="178346A7"/>
    <w:rsid w:val="179130B8"/>
    <w:rsid w:val="17C4404E"/>
    <w:rsid w:val="186D0E42"/>
    <w:rsid w:val="18D565C6"/>
    <w:rsid w:val="18DF0839"/>
    <w:rsid w:val="18E13BCB"/>
    <w:rsid w:val="18EA0B32"/>
    <w:rsid w:val="191127F1"/>
    <w:rsid w:val="1A150E12"/>
    <w:rsid w:val="1ABF52E7"/>
    <w:rsid w:val="1AE477D8"/>
    <w:rsid w:val="1B585A00"/>
    <w:rsid w:val="1B706385"/>
    <w:rsid w:val="1B8C2E19"/>
    <w:rsid w:val="1BA34A95"/>
    <w:rsid w:val="1C36150A"/>
    <w:rsid w:val="1C9A6636"/>
    <w:rsid w:val="1D1B75EB"/>
    <w:rsid w:val="1D234516"/>
    <w:rsid w:val="1DC6338F"/>
    <w:rsid w:val="1DC72084"/>
    <w:rsid w:val="1DC75A85"/>
    <w:rsid w:val="1DF47DBC"/>
    <w:rsid w:val="1E132A67"/>
    <w:rsid w:val="1E260113"/>
    <w:rsid w:val="1E393507"/>
    <w:rsid w:val="1E6F0DA0"/>
    <w:rsid w:val="1E890F8D"/>
    <w:rsid w:val="1F2069C9"/>
    <w:rsid w:val="1F250F88"/>
    <w:rsid w:val="1F43691E"/>
    <w:rsid w:val="1F6F454D"/>
    <w:rsid w:val="1F944845"/>
    <w:rsid w:val="1F960DCB"/>
    <w:rsid w:val="1F973235"/>
    <w:rsid w:val="1FB57C8F"/>
    <w:rsid w:val="2060251A"/>
    <w:rsid w:val="208914CE"/>
    <w:rsid w:val="209236B0"/>
    <w:rsid w:val="20A72536"/>
    <w:rsid w:val="216830DB"/>
    <w:rsid w:val="21CF267C"/>
    <w:rsid w:val="229972C4"/>
    <w:rsid w:val="22AD2D70"/>
    <w:rsid w:val="22FE1E92"/>
    <w:rsid w:val="231B2D7E"/>
    <w:rsid w:val="23B00100"/>
    <w:rsid w:val="23B33D31"/>
    <w:rsid w:val="23B35144"/>
    <w:rsid w:val="23BB2522"/>
    <w:rsid w:val="23C37C38"/>
    <w:rsid w:val="23FE3883"/>
    <w:rsid w:val="240B1629"/>
    <w:rsid w:val="240D07EC"/>
    <w:rsid w:val="256E27E7"/>
    <w:rsid w:val="25815E2C"/>
    <w:rsid w:val="26864004"/>
    <w:rsid w:val="278C7CAB"/>
    <w:rsid w:val="27C84A08"/>
    <w:rsid w:val="28161285"/>
    <w:rsid w:val="28AB7C47"/>
    <w:rsid w:val="28BD4D07"/>
    <w:rsid w:val="28E21A05"/>
    <w:rsid w:val="291C4124"/>
    <w:rsid w:val="29365C13"/>
    <w:rsid w:val="29D20076"/>
    <w:rsid w:val="2A056EC2"/>
    <w:rsid w:val="2A3F1C5C"/>
    <w:rsid w:val="2A880EA1"/>
    <w:rsid w:val="2B88437A"/>
    <w:rsid w:val="2BD355F5"/>
    <w:rsid w:val="2CD705DD"/>
    <w:rsid w:val="2CE73A8D"/>
    <w:rsid w:val="2DD25A47"/>
    <w:rsid w:val="2DF34DBC"/>
    <w:rsid w:val="2E624F7F"/>
    <w:rsid w:val="2E9700CF"/>
    <w:rsid w:val="2E970439"/>
    <w:rsid w:val="2EED32FE"/>
    <w:rsid w:val="2F1C5505"/>
    <w:rsid w:val="2F3956B0"/>
    <w:rsid w:val="2F3F055F"/>
    <w:rsid w:val="2F434A67"/>
    <w:rsid w:val="2FAE1AE2"/>
    <w:rsid w:val="2FB02277"/>
    <w:rsid w:val="2FC55B9D"/>
    <w:rsid w:val="2FF535E4"/>
    <w:rsid w:val="312E0174"/>
    <w:rsid w:val="31620A25"/>
    <w:rsid w:val="318B24CE"/>
    <w:rsid w:val="319D6DC7"/>
    <w:rsid w:val="32472B0E"/>
    <w:rsid w:val="32BB3BE8"/>
    <w:rsid w:val="32C97752"/>
    <w:rsid w:val="33256C2B"/>
    <w:rsid w:val="33303D1A"/>
    <w:rsid w:val="33713562"/>
    <w:rsid w:val="33C54FC4"/>
    <w:rsid w:val="340A2F60"/>
    <w:rsid w:val="343412B3"/>
    <w:rsid w:val="344C635F"/>
    <w:rsid w:val="345704F7"/>
    <w:rsid w:val="34F8248C"/>
    <w:rsid w:val="35134512"/>
    <w:rsid w:val="35337621"/>
    <w:rsid w:val="355B5F86"/>
    <w:rsid w:val="359F29EC"/>
    <w:rsid w:val="36355C08"/>
    <w:rsid w:val="36824B83"/>
    <w:rsid w:val="368E7383"/>
    <w:rsid w:val="36F45330"/>
    <w:rsid w:val="37D03331"/>
    <w:rsid w:val="37D36D59"/>
    <w:rsid w:val="37DF5322"/>
    <w:rsid w:val="37EC247C"/>
    <w:rsid w:val="382B61AD"/>
    <w:rsid w:val="38781CCA"/>
    <w:rsid w:val="388C0506"/>
    <w:rsid w:val="38A2790F"/>
    <w:rsid w:val="38C337B9"/>
    <w:rsid w:val="393F1D07"/>
    <w:rsid w:val="399A5A8C"/>
    <w:rsid w:val="39A6610E"/>
    <w:rsid w:val="3A186E90"/>
    <w:rsid w:val="3A407BAF"/>
    <w:rsid w:val="3AB4646B"/>
    <w:rsid w:val="3B205831"/>
    <w:rsid w:val="3B9F1AB1"/>
    <w:rsid w:val="3C1A2DCC"/>
    <w:rsid w:val="3C765526"/>
    <w:rsid w:val="3C7E7E22"/>
    <w:rsid w:val="3D817B8E"/>
    <w:rsid w:val="3DAA77AB"/>
    <w:rsid w:val="3DC96858"/>
    <w:rsid w:val="3F0044FB"/>
    <w:rsid w:val="3F0D3E00"/>
    <w:rsid w:val="3F13107A"/>
    <w:rsid w:val="3F217805"/>
    <w:rsid w:val="3FAC5897"/>
    <w:rsid w:val="3FB24545"/>
    <w:rsid w:val="40FC0B8B"/>
    <w:rsid w:val="420A24C2"/>
    <w:rsid w:val="422E4CC6"/>
    <w:rsid w:val="42B67B1C"/>
    <w:rsid w:val="43006924"/>
    <w:rsid w:val="43195C18"/>
    <w:rsid w:val="439671DC"/>
    <w:rsid w:val="43B32CA6"/>
    <w:rsid w:val="43DD0601"/>
    <w:rsid w:val="455E5CAD"/>
    <w:rsid w:val="45FA2122"/>
    <w:rsid w:val="4699755A"/>
    <w:rsid w:val="471F077F"/>
    <w:rsid w:val="47485DE3"/>
    <w:rsid w:val="477737C9"/>
    <w:rsid w:val="47867568"/>
    <w:rsid w:val="47AA1DDA"/>
    <w:rsid w:val="47B6609F"/>
    <w:rsid w:val="47EC3EEB"/>
    <w:rsid w:val="480E49F6"/>
    <w:rsid w:val="48147846"/>
    <w:rsid w:val="48876DD1"/>
    <w:rsid w:val="489A17F5"/>
    <w:rsid w:val="495E7FC4"/>
    <w:rsid w:val="4A01164F"/>
    <w:rsid w:val="4A28250E"/>
    <w:rsid w:val="4A630759"/>
    <w:rsid w:val="4A802994"/>
    <w:rsid w:val="4A9A29D1"/>
    <w:rsid w:val="4B34363F"/>
    <w:rsid w:val="4B4B2FA2"/>
    <w:rsid w:val="4BC103D7"/>
    <w:rsid w:val="4C1A4723"/>
    <w:rsid w:val="4C615080"/>
    <w:rsid w:val="4C770EE0"/>
    <w:rsid w:val="4CB03A37"/>
    <w:rsid w:val="4D01600E"/>
    <w:rsid w:val="4D241CFD"/>
    <w:rsid w:val="4D331F40"/>
    <w:rsid w:val="4D4E6D7A"/>
    <w:rsid w:val="4D6B16DA"/>
    <w:rsid w:val="4DD04947"/>
    <w:rsid w:val="4E473EF5"/>
    <w:rsid w:val="4E916683"/>
    <w:rsid w:val="4F530677"/>
    <w:rsid w:val="4F6447A2"/>
    <w:rsid w:val="4F7137B8"/>
    <w:rsid w:val="4F7C6826"/>
    <w:rsid w:val="4FC648AD"/>
    <w:rsid w:val="4FEE03A0"/>
    <w:rsid w:val="4FFD7F31"/>
    <w:rsid w:val="500D55C3"/>
    <w:rsid w:val="50630D8E"/>
    <w:rsid w:val="50701CB4"/>
    <w:rsid w:val="512964E0"/>
    <w:rsid w:val="513269EB"/>
    <w:rsid w:val="51782617"/>
    <w:rsid w:val="51C63383"/>
    <w:rsid w:val="51DE21D9"/>
    <w:rsid w:val="52104138"/>
    <w:rsid w:val="521C62D4"/>
    <w:rsid w:val="522F33DC"/>
    <w:rsid w:val="53104BBF"/>
    <w:rsid w:val="53F86BF3"/>
    <w:rsid w:val="54FB51A6"/>
    <w:rsid w:val="555B2360"/>
    <w:rsid w:val="555F7E5E"/>
    <w:rsid w:val="55685080"/>
    <w:rsid w:val="559E63C4"/>
    <w:rsid w:val="55E43999"/>
    <w:rsid w:val="55EC0146"/>
    <w:rsid w:val="55EF42DB"/>
    <w:rsid w:val="56075E06"/>
    <w:rsid w:val="568F4C08"/>
    <w:rsid w:val="57142502"/>
    <w:rsid w:val="57292293"/>
    <w:rsid w:val="574251CB"/>
    <w:rsid w:val="57690238"/>
    <w:rsid w:val="577E1477"/>
    <w:rsid w:val="577F63D3"/>
    <w:rsid w:val="58024B5D"/>
    <w:rsid w:val="5875340D"/>
    <w:rsid w:val="58782299"/>
    <w:rsid w:val="588C442F"/>
    <w:rsid w:val="58980BA0"/>
    <w:rsid w:val="590A1433"/>
    <w:rsid w:val="59FE1F54"/>
    <w:rsid w:val="5A2A46CB"/>
    <w:rsid w:val="5A351CDE"/>
    <w:rsid w:val="5A503BB7"/>
    <w:rsid w:val="5A731BCE"/>
    <w:rsid w:val="5A9914D6"/>
    <w:rsid w:val="5ABA4D52"/>
    <w:rsid w:val="5ACB72BE"/>
    <w:rsid w:val="5ACE046E"/>
    <w:rsid w:val="5B1E422F"/>
    <w:rsid w:val="5B766812"/>
    <w:rsid w:val="5B7F0CD7"/>
    <w:rsid w:val="5BD501A7"/>
    <w:rsid w:val="5C3136DC"/>
    <w:rsid w:val="5CFC054B"/>
    <w:rsid w:val="5D287238"/>
    <w:rsid w:val="5DBB7EF0"/>
    <w:rsid w:val="5E1338F9"/>
    <w:rsid w:val="5E2437E5"/>
    <w:rsid w:val="5E5378D2"/>
    <w:rsid w:val="5EAE33B7"/>
    <w:rsid w:val="5F6C76AD"/>
    <w:rsid w:val="5F8F39EE"/>
    <w:rsid w:val="5FD01870"/>
    <w:rsid w:val="5FDA1493"/>
    <w:rsid w:val="60A96349"/>
    <w:rsid w:val="60F637DE"/>
    <w:rsid w:val="61D513C0"/>
    <w:rsid w:val="621648C8"/>
    <w:rsid w:val="624A3B5C"/>
    <w:rsid w:val="62970423"/>
    <w:rsid w:val="62AD57D5"/>
    <w:rsid w:val="63060191"/>
    <w:rsid w:val="63496881"/>
    <w:rsid w:val="63F02D22"/>
    <w:rsid w:val="63F10007"/>
    <w:rsid w:val="646A64E6"/>
    <w:rsid w:val="64F55857"/>
    <w:rsid w:val="656E5DB3"/>
    <w:rsid w:val="65E33EC0"/>
    <w:rsid w:val="65F90A36"/>
    <w:rsid w:val="666351EC"/>
    <w:rsid w:val="669135C3"/>
    <w:rsid w:val="66FC0DF3"/>
    <w:rsid w:val="67280181"/>
    <w:rsid w:val="67674868"/>
    <w:rsid w:val="67C777D6"/>
    <w:rsid w:val="680F41DC"/>
    <w:rsid w:val="68D077BF"/>
    <w:rsid w:val="691427CE"/>
    <w:rsid w:val="69E10DBC"/>
    <w:rsid w:val="69EB1FDC"/>
    <w:rsid w:val="6A622837"/>
    <w:rsid w:val="6A8C5AC4"/>
    <w:rsid w:val="6AA650E7"/>
    <w:rsid w:val="6ACA583A"/>
    <w:rsid w:val="6B56048D"/>
    <w:rsid w:val="6B8638AA"/>
    <w:rsid w:val="6BE25CE1"/>
    <w:rsid w:val="6C34716E"/>
    <w:rsid w:val="6C5A0FEC"/>
    <w:rsid w:val="6C7001DA"/>
    <w:rsid w:val="6D5C2995"/>
    <w:rsid w:val="6D895F88"/>
    <w:rsid w:val="6E025624"/>
    <w:rsid w:val="6E7149E9"/>
    <w:rsid w:val="6E7B6E4B"/>
    <w:rsid w:val="6FEC1711"/>
    <w:rsid w:val="70205299"/>
    <w:rsid w:val="70B233C0"/>
    <w:rsid w:val="70CE694A"/>
    <w:rsid w:val="71193077"/>
    <w:rsid w:val="72255A4C"/>
    <w:rsid w:val="728F134A"/>
    <w:rsid w:val="73022512"/>
    <w:rsid w:val="735D1538"/>
    <w:rsid w:val="73BB7481"/>
    <w:rsid w:val="73ED4C8A"/>
    <w:rsid w:val="74B73CAE"/>
    <w:rsid w:val="753928C9"/>
    <w:rsid w:val="76543D9C"/>
    <w:rsid w:val="76AA57AD"/>
    <w:rsid w:val="76D163FC"/>
    <w:rsid w:val="77F67856"/>
    <w:rsid w:val="782A5B6A"/>
    <w:rsid w:val="78915BE9"/>
    <w:rsid w:val="78B418D7"/>
    <w:rsid w:val="79132AA2"/>
    <w:rsid w:val="79273E57"/>
    <w:rsid w:val="79A76158"/>
    <w:rsid w:val="79AF7E21"/>
    <w:rsid w:val="7A2E4CE5"/>
    <w:rsid w:val="7A6657B9"/>
    <w:rsid w:val="7B5C136B"/>
    <w:rsid w:val="7BC226F7"/>
    <w:rsid w:val="7C271DCE"/>
    <w:rsid w:val="7C3C7373"/>
    <w:rsid w:val="7C59783B"/>
    <w:rsid w:val="7D334961"/>
    <w:rsid w:val="7DF5551E"/>
    <w:rsid w:val="7E194978"/>
    <w:rsid w:val="7E383692"/>
    <w:rsid w:val="7E5B4217"/>
    <w:rsid w:val="7EC03256"/>
    <w:rsid w:val="7EF14CDF"/>
    <w:rsid w:val="7F5A01C0"/>
    <w:rsid w:val="7F5F30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3">
    <w:name w:val="heading 1"/>
    <w:basedOn w:val="1"/>
    <w:next w:val="1"/>
    <w:autoRedefine/>
    <w:qFormat/>
    <w:uiPriority w:val="0"/>
    <w:pPr>
      <w:keepNext/>
      <w:keepLines/>
      <w:numPr>
        <w:ilvl w:val="0"/>
        <w:numId w:val="1"/>
      </w:numPr>
      <w:jc w:val="center"/>
      <w:outlineLvl w:val="0"/>
    </w:pPr>
    <w:rPr>
      <w:b/>
      <w:bCs/>
      <w:color w:val="0000FF"/>
      <w:kern w:val="44"/>
      <w:sz w:val="32"/>
      <w:szCs w:val="44"/>
    </w:rPr>
  </w:style>
  <w:style w:type="paragraph" w:styleId="4">
    <w:name w:val="heading 2"/>
    <w:basedOn w:val="1"/>
    <w:next w:val="1"/>
    <w:autoRedefine/>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5">
    <w:name w:val="heading 3"/>
    <w:basedOn w:val="1"/>
    <w:next w:val="1"/>
    <w:autoRedefine/>
    <w:qFormat/>
    <w:uiPriority w:val="0"/>
    <w:pPr>
      <w:keepNext/>
      <w:keepLines/>
      <w:widowControl/>
      <w:numPr>
        <w:ilvl w:val="2"/>
        <w:numId w:val="2"/>
      </w:numPr>
      <w:tabs>
        <w:tab w:val="left" w:pos="720"/>
      </w:tabs>
      <w:spacing w:before="120" w:after="120" w:line="360" w:lineRule="auto"/>
      <w:ind w:left="720" w:hanging="720"/>
      <w:jc w:val="center"/>
      <w:outlineLvl w:val="2"/>
    </w:pPr>
    <w:rPr>
      <w:rFonts w:ascii="Times New Roman" w:hAnsi="Times New Roman"/>
      <w:b/>
      <w:sz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360" w:lineRule="auto"/>
    </w:pPr>
    <w:rPr>
      <w:rFonts w:ascii="宋体"/>
      <w:sz w:val="24"/>
    </w:rPr>
  </w:style>
  <w:style w:type="paragraph" w:styleId="7">
    <w:name w:val="Normal Indent"/>
    <w:basedOn w:val="1"/>
    <w:autoRedefine/>
    <w:qFormat/>
    <w:uiPriority w:val="0"/>
    <w:pPr>
      <w:widowControl/>
      <w:ind w:firstLine="420"/>
      <w:jc w:val="left"/>
    </w:pPr>
    <w:rPr>
      <w:rFonts w:ascii="Times New Roman" w:hAnsi="Times New Roman"/>
      <w:kern w:val="0"/>
      <w:sz w:val="20"/>
      <w:szCs w:val="20"/>
    </w:rPr>
  </w:style>
  <w:style w:type="paragraph" w:styleId="8">
    <w:name w:val="index 5"/>
    <w:basedOn w:val="1"/>
    <w:next w:val="1"/>
    <w:autoRedefine/>
    <w:unhideWhenUsed/>
    <w:qFormat/>
    <w:uiPriority w:val="99"/>
    <w:pPr>
      <w:ind w:left="1680"/>
    </w:pPr>
  </w:style>
  <w:style w:type="paragraph" w:styleId="9">
    <w:name w:val="toa heading"/>
    <w:basedOn w:val="1"/>
    <w:next w:val="1"/>
    <w:autoRedefine/>
    <w:qFormat/>
    <w:uiPriority w:val="0"/>
    <w:pPr>
      <w:spacing w:before="120"/>
    </w:pPr>
    <w:rPr>
      <w:rFonts w:ascii="Arial" w:hAnsi="Arial"/>
      <w:sz w:val="24"/>
      <w:szCs w:val="21"/>
    </w:rPr>
  </w:style>
  <w:style w:type="paragraph" w:styleId="10">
    <w:name w:val="annotation text"/>
    <w:basedOn w:val="1"/>
    <w:qFormat/>
    <w:uiPriority w:val="0"/>
    <w:pPr>
      <w:jc w:val="left"/>
    </w:pPr>
  </w:style>
  <w:style w:type="paragraph" w:styleId="11">
    <w:name w:val="Body Text 3"/>
    <w:basedOn w:val="1"/>
    <w:next w:val="1"/>
    <w:autoRedefine/>
    <w:qFormat/>
    <w:uiPriority w:val="0"/>
    <w:pPr>
      <w:spacing w:line="440" w:lineRule="exact"/>
    </w:pPr>
    <w:rPr>
      <w:color w:val="000000"/>
      <w:kern w:val="2"/>
      <w:sz w:val="21"/>
      <w:szCs w:val="20"/>
    </w:rPr>
  </w:style>
  <w:style w:type="paragraph" w:styleId="12">
    <w:name w:val="Body Text Indent"/>
    <w:basedOn w:val="1"/>
    <w:next w:val="13"/>
    <w:autoRedefine/>
    <w:qFormat/>
    <w:uiPriority w:val="0"/>
    <w:pPr>
      <w:ind w:firstLine="560" w:firstLineChars="200"/>
    </w:pPr>
    <w:rPr>
      <w:rFonts w:eastAsia="仿宋_GB2312"/>
      <w:sz w:val="28"/>
      <w:szCs w:val="21"/>
    </w:rPr>
  </w:style>
  <w:style w:type="paragraph" w:styleId="13">
    <w:name w:val="Body Text First Indent"/>
    <w:basedOn w:val="2"/>
    <w:next w:val="1"/>
    <w:autoRedefine/>
    <w:qFormat/>
    <w:uiPriority w:val="0"/>
    <w:pPr>
      <w:spacing w:line="540" w:lineRule="exact"/>
      <w:ind w:firstLine="420" w:firstLineChars="100"/>
    </w:pPr>
    <w:rPr>
      <w:rFonts w:eastAsia="仿宋_GB2312"/>
      <w:sz w:val="28"/>
      <w:szCs w:val="24"/>
    </w:rPr>
  </w:style>
  <w:style w:type="paragraph" w:styleId="14">
    <w:name w:val="toc 5"/>
    <w:basedOn w:val="1"/>
    <w:next w:val="1"/>
    <w:qFormat/>
    <w:uiPriority w:val="0"/>
    <w:pPr>
      <w:tabs>
        <w:tab w:val="right" w:leader="dot" w:pos="8296"/>
      </w:tabs>
      <w:ind w:left="1050" w:leftChars="500"/>
    </w:pPr>
  </w:style>
  <w:style w:type="paragraph" w:styleId="15">
    <w:name w:val="toc 3"/>
    <w:basedOn w:val="1"/>
    <w:next w:val="1"/>
    <w:autoRedefine/>
    <w:qFormat/>
    <w:uiPriority w:val="0"/>
    <w:pPr>
      <w:ind w:left="420"/>
      <w:jc w:val="left"/>
    </w:pPr>
    <w:rPr>
      <w:i/>
      <w:iCs/>
      <w:sz w:val="20"/>
      <w:szCs w:val="20"/>
    </w:rPr>
  </w:style>
  <w:style w:type="paragraph" w:styleId="16">
    <w:name w:val="Plain Text"/>
    <w:basedOn w:val="1"/>
    <w:autoRedefine/>
    <w:qFormat/>
    <w:uiPriority w:val="0"/>
    <w:pPr>
      <w:spacing w:line="382" w:lineRule="exact"/>
      <w:ind w:firstLine="200" w:firstLineChars="200"/>
    </w:pPr>
    <w:rPr>
      <w:rFonts w:ascii="宋体" w:hAnsi="Courier New" w:cs="Courier New"/>
      <w:sz w:val="24"/>
      <w:szCs w:val="21"/>
    </w:rPr>
  </w:style>
  <w:style w:type="paragraph" w:styleId="17">
    <w:name w:val="Date"/>
    <w:basedOn w:val="1"/>
    <w:next w:val="1"/>
    <w:autoRedefine/>
    <w:qFormat/>
    <w:uiPriority w:val="0"/>
    <w:rPr>
      <w:sz w:val="24"/>
      <w:szCs w:val="20"/>
    </w:rPr>
  </w:style>
  <w:style w:type="paragraph" w:styleId="18">
    <w:name w:val="endnote text"/>
    <w:basedOn w:val="1"/>
    <w:next w:val="1"/>
    <w:autoRedefine/>
    <w:qFormat/>
    <w:uiPriority w:val="0"/>
    <w:pPr>
      <w:snapToGrid w:val="0"/>
      <w:jc w:val="left"/>
    </w:pPr>
  </w:style>
  <w:style w:type="paragraph" w:styleId="19">
    <w:name w:val="footer"/>
    <w:basedOn w:val="1"/>
    <w:autoRedefine/>
    <w:qFormat/>
    <w:uiPriority w:val="0"/>
    <w:pPr>
      <w:tabs>
        <w:tab w:val="center" w:pos="4153"/>
        <w:tab w:val="right" w:pos="8306"/>
      </w:tabs>
      <w:snapToGrid w:val="0"/>
      <w:jc w:val="left"/>
    </w:pPr>
    <w:rPr>
      <w:sz w:val="18"/>
      <w:szCs w:val="18"/>
    </w:rPr>
  </w:style>
  <w:style w:type="paragraph" w:styleId="20">
    <w:name w:val="header"/>
    <w:basedOn w:val="1"/>
    <w:link w:val="32"/>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4"/>
    <w:basedOn w:val="1"/>
    <w:next w:val="1"/>
    <w:qFormat/>
    <w:uiPriority w:val="0"/>
    <w:pPr>
      <w:tabs>
        <w:tab w:val="left" w:pos="1890"/>
        <w:tab w:val="right" w:leader="dot" w:pos="8296"/>
      </w:tabs>
      <w:ind w:left="630" w:leftChars="300"/>
    </w:pPr>
  </w:style>
  <w:style w:type="paragraph" w:styleId="22">
    <w:name w:val="footnote text"/>
    <w:basedOn w:val="1"/>
    <w:next w:val="2"/>
    <w:autoRedefine/>
    <w:qFormat/>
    <w:uiPriority w:val="0"/>
    <w:pPr>
      <w:snapToGrid w:val="0"/>
      <w:jc w:val="left"/>
    </w:pPr>
    <w:rPr>
      <w:sz w:val="18"/>
    </w:rPr>
  </w:style>
  <w:style w:type="paragraph" w:styleId="23">
    <w:name w:val="Normal (Web)"/>
    <w:basedOn w:val="1"/>
    <w:autoRedefine/>
    <w:unhideWhenUsed/>
    <w:qFormat/>
    <w:uiPriority w:val="99"/>
    <w:pPr>
      <w:spacing w:before="100" w:beforeAutospacing="1" w:after="100" w:afterAutospacing="1"/>
    </w:pPr>
    <w:rPr>
      <w:rFonts w:ascii="宋体" w:hAnsi="宋体" w:eastAsia="宋体" w:cs="宋体"/>
      <w:kern w:val="0"/>
      <w:sz w:val="24"/>
      <w:szCs w:val="24"/>
    </w:rPr>
  </w:style>
  <w:style w:type="paragraph" w:styleId="24">
    <w:name w:val="Body Text First Indent 2"/>
    <w:basedOn w:val="12"/>
    <w:next w:val="1"/>
    <w:autoRedefine/>
    <w:qFormat/>
    <w:uiPriority w:val="0"/>
    <w:pPr>
      <w:ind w:firstLine="420" w:firstLineChars="200"/>
    </w:p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Hyperlink"/>
    <w:basedOn w:val="27"/>
    <w:unhideWhenUsed/>
    <w:qFormat/>
    <w:uiPriority w:val="99"/>
    <w:rPr>
      <w:color w:val="0563C1"/>
      <w:u w:val="single"/>
    </w:rPr>
  </w:style>
  <w:style w:type="character" w:styleId="30">
    <w:name w:val="HTML Sample"/>
    <w:basedOn w:val="27"/>
    <w:autoRedefine/>
    <w:qFormat/>
    <w:uiPriority w:val="0"/>
    <w:rPr>
      <w:rFonts w:hint="default" w:ascii="Consolas" w:hAnsi="Consolas" w:eastAsia="Consolas" w:cs="Consolas"/>
      <w:sz w:val="21"/>
      <w:szCs w:val="21"/>
    </w:rPr>
  </w:style>
  <w:style w:type="paragraph" w:customStyle="1" w:styleId="31">
    <w:name w:val="首行缩进"/>
    <w:basedOn w:val="1"/>
    <w:qFormat/>
    <w:uiPriority w:val="0"/>
    <w:pPr>
      <w:spacing w:line="360" w:lineRule="auto"/>
      <w:ind w:firstLine="480" w:firstLineChars="200"/>
    </w:pPr>
    <w:rPr>
      <w:rFonts w:ascii="Calibri" w:hAnsi="Calibri" w:cs="Times New Roman"/>
      <w:sz w:val="24"/>
      <w:szCs w:val="22"/>
      <w:lang w:val="zh-CN"/>
    </w:rPr>
  </w:style>
  <w:style w:type="character" w:customStyle="1" w:styleId="32">
    <w:name w:val="页眉 字符"/>
    <w:link w:val="20"/>
    <w:autoRedefine/>
    <w:qFormat/>
    <w:uiPriority w:val="0"/>
    <w:rPr>
      <w:rFonts w:ascii="Calibri" w:hAnsi="Calibri" w:eastAsia="Calibri" w:cs="Calibri"/>
      <w:color w:val="000000"/>
      <w:kern w:val="2"/>
      <w:sz w:val="18"/>
      <w:szCs w:val="18"/>
    </w:rPr>
  </w:style>
  <w:style w:type="character" w:customStyle="1" w:styleId="33">
    <w:name w:val="15"/>
    <w:qFormat/>
    <w:uiPriority w:val="0"/>
    <w:rPr>
      <w:rFonts w:hint="default" w:ascii="Calibri" w:hAnsi="Calibri" w:cs="Calibri"/>
      <w:color w:val="0000FF"/>
      <w:u w:val="single"/>
    </w:rPr>
  </w:style>
  <w:style w:type="paragraph" w:customStyle="1" w:styleId="34">
    <w:name w:val="Table Paragraph"/>
    <w:basedOn w:val="1"/>
    <w:qFormat/>
    <w:uiPriority w:val="1"/>
    <w:rPr>
      <w:rFonts w:ascii="宋体" w:hAnsi="宋体" w:eastAsia="宋体" w:cs="宋体"/>
      <w:lang w:val="zh-CN" w:eastAsia="zh-CN" w:bidi="zh-CN"/>
    </w:rPr>
  </w:style>
  <w:style w:type="paragraph" w:customStyle="1" w:styleId="35">
    <w:name w:val="Normal_0"/>
    <w:qFormat/>
    <w:uiPriority w:val="0"/>
    <w:rPr>
      <w:rFonts w:ascii="Times New Roman" w:hAnsi="Times New Roman" w:eastAsia="Times New Roman" w:cs="Times New Roman"/>
      <w:sz w:val="24"/>
      <w:szCs w:val="24"/>
      <w:lang w:val="en-US" w:eastAsia="zh-CN" w:bidi="ar-SA"/>
    </w:rPr>
  </w:style>
  <w:style w:type="paragraph" w:customStyle="1" w:styleId="3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7">
    <w:name w:val="List Paragraph"/>
    <w:basedOn w:val="1"/>
    <w:autoRedefine/>
    <w:qFormat/>
    <w:uiPriority w:val="34"/>
    <w:pPr>
      <w:ind w:firstLine="420" w:firstLineChars="200"/>
    </w:pPr>
  </w:style>
  <w:style w:type="character" w:customStyle="1" w:styleId="38">
    <w:name w:val="NormalCharacter"/>
    <w:autoRedefine/>
    <w:semiHidden/>
    <w:qFormat/>
    <w:uiPriority w:val="0"/>
  </w:style>
  <w:style w:type="paragraph" w:customStyle="1" w:styleId="39">
    <w:name w:val="Table Text"/>
    <w:basedOn w:val="1"/>
    <w:semiHidden/>
    <w:qFormat/>
    <w:uiPriority w:val="0"/>
    <w:rPr>
      <w:rFonts w:ascii="仿宋" w:hAnsi="仿宋" w:eastAsia="仿宋" w:cs="仿宋"/>
      <w:sz w:val="20"/>
      <w:szCs w:val="20"/>
      <w:lang w:val="en-US" w:eastAsia="en-US" w:bidi="ar-SA"/>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customStyle="1" w:styleId="41">
    <w:name w:val="_Style 4"/>
    <w:basedOn w:val="3"/>
    <w:next w:val="1"/>
    <w:qFormat/>
    <w:uiPriority w:val="0"/>
    <w:pPr>
      <w:outlineLvl w:val="9"/>
    </w:p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正文_0"/>
    <w:next w:val="9"/>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11.png"/><Relationship Id="rId43" Type="http://schemas.openxmlformats.org/officeDocument/2006/relationships/image" Target="media/image10.png"/><Relationship Id="rId42" Type="http://schemas.openxmlformats.org/officeDocument/2006/relationships/image" Target="media/image9.png"/><Relationship Id="rId41" Type="http://schemas.openxmlformats.org/officeDocument/2006/relationships/image" Target="media/image8.png"/><Relationship Id="rId40" Type="http://schemas.openxmlformats.org/officeDocument/2006/relationships/image" Target="media/image7.png"/><Relationship Id="rId4" Type="http://schemas.openxmlformats.org/officeDocument/2006/relationships/endnotes" Target="endnotes.xml"/><Relationship Id="rId39" Type="http://schemas.openxmlformats.org/officeDocument/2006/relationships/image" Target="media/image6.png"/><Relationship Id="rId38" Type="http://schemas.openxmlformats.org/officeDocument/2006/relationships/image" Target="media/image5.wmf"/><Relationship Id="rId37" Type="http://schemas.openxmlformats.org/officeDocument/2006/relationships/oleObject" Target="embeddings/oleObject5.bin"/><Relationship Id="rId36" Type="http://schemas.openxmlformats.org/officeDocument/2006/relationships/image" Target="media/image4.wmf"/><Relationship Id="rId35" Type="http://schemas.openxmlformats.org/officeDocument/2006/relationships/oleObject" Target="embeddings/oleObject4.bin"/><Relationship Id="rId34" Type="http://schemas.openxmlformats.org/officeDocument/2006/relationships/image" Target="media/image3.wmf"/><Relationship Id="rId33" Type="http://schemas.openxmlformats.org/officeDocument/2006/relationships/oleObject" Target="embeddings/oleObject3.bin"/><Relationship Id="rId32" Type="http://schemas.openxmlformats.org/officeDocument/2006/relationships/image" Target="media/image2.wmf"/><Relationship Id="rId31" Type="http://schemas.openxmlformats.org/officeDocument/2006/relationships/oleObject" Target="embeddings/oleObject2.bin"/><Relationship Id="rId30" Type="http://schemas.openxmlformats.org/officeDocument/2006/relationships/image" Target="media/image1.wmf"/><Relationship Id="rId3" Type="http://schemas.openxmlformats.org/officeDocument/2006/relationships/footnotes" Target="footnotes.xml"/><Relationship Id="rId29" Type="http://schemas.openxmlformats.org/officeDocument/2006/relationships/oleObject" Target="embeddings/oleObject1.bin"/><Relationship Id="rId28" Type="http://schemas.openxmlformats.org/officeDocument/2006/relationships/theme" Target="theme/theme1.xml"/><Relationship Id="rId27" Type="http://schemas.openxmlformats.org/officeDocument/2006/relationships/footer" Target="footer20.xml"/><Relationship Id="rId26" Type="http://schemas.openxmlformats.org/officeDocument/2006/relationships/header" Target="header3.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0923;&#21830;&#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磋商文件.dot</Template>
  <Pages>201</Pages>
  <Words>17106</Words>
  <Characters>18973</Characters>
  <Lines>333</Lines>
  <Paragraphs>93</Paragraphs>
  <TotalTime>20</TotalTime>
  <ScaleCrop>false</ScaleCrop>
  <LinksUpToDate>false</LinksUpToDate>
  <CharactersWithSpaces>19416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2022-05-20T10:59:00Z</dcterms:created>
  <dc:creator>koala1394913089</dc:creator>
  <cp:lastModifiedBy>谎伴</cp:lastModifiedBy>
  <dcterms:modified xsi:type="dcterms:W3CDTF">2025-01-01T04:48:10Z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AB44BECB7F3B4389BBEE1F50F2A6FD85_13</vt:lpwstr>
  </property>
  <property fmtid="{D5CDD505-2E9C-101B-9397-08002B2CF9AE}" pid="4" name="KSOTemplateDocerSaveRecord">
    <vt:lpwstr>eyJoZGlkIjoiZjFmZWIzNDg2MmIzZjExOTIzMmViNTBmYTMwYTk0ZWYiLCJ1c2VySWQiOiIyNjU2MDE1NjcifQ==</vt:lpwstr>
  </property>
</Properties>
</file>