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C6A9">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14:paraId="7A87282F">
      <w:pPr>
        <w:spacing w:line="760" w:lineRule="exact"/>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w w:val="90"/>
          <w:sz w:val="48"/>
          <w:szCs w:val="48"/>
          <w:lang w:eastAsia="zh-CN"/>
          <w14:textFill>
            <w14:solidFill>
              <w14:schemeClr w14:val="tx1"/>
            </w14:solidFill>
          </w14:textFill>
        </w:rPr>
        <w:t>巴里坤县智慧指挥中心基础设施建设项目（一标段）</w:t>
      </w:r>
      <w:r>
        <w:rPr>
          <w:rFonts w:hint="eastAsia" w:ascii="仿宋" w:hAnsi="仿宋" w:eastAsia="仿宋" w:cs="仿宋"/>
          <w:b/>
          <w:bCs/>
          <w:color w:val="000000" w:themeColor="text1"/>
          <w:sz w:val="40"/>
          <w:szCs w:val="40"/>
          <w:lang w:eastAsia="zh-CN"/>
          <w14:textFill>
            <w14:solidFill>
              <w14:schemeClr w14:val="tx1"/>
            </w14:solidFill>
          </w14:textFill>
        </w:rPr>
        <w:t>项目编号：XJDH【2025】-H001</w:t>
      </w:r>
    </w:p>
    <w:p w14:paraId="3E3B5DDF">
      <w:pPr>
        <w:pStyle w:val="35"/>
        <w:rPr>
          <w:rFonts w:ascii="仿宋" w:hAnsi="仿宋" w:eastAsia="仿宋" w:cs="仿宋"/>
          <w:color w:val="000000" w:themeColor="text1"/>
          <w14:textFill>
            <w14:solidFill>
              <w14:schemeClr w14:val="tx1"/>
            </w14:solidFill>
          </w14:textFill>
        </w:rPr>
      </w:pPr>
    </w:p>
    <w:p w14:paraId="1E3EBBE5">
      <w:pPr>
        <w:pStyle w:val="35"/>
        <w:rPr>
          <w:rFonts w:ascii="仿宋" w:hAnsi="仿宋" w:eastAsia="仿宋" w:cs="仿宋"/>
          <w:color w:val="000000" w:themeColor="text1"/>
          <w14:textFill>
            <w14:solidFill>
              <w14:schemeClr w14:val="tx1"/>
            </w14:solidFill>
          </w14:textFill>
        </w:rPr>
      </w:pPr>
    </w:p>
    <w:p w14:paraId="1A432795">
      <w:pPr>
        <w:pStyle w:val="35"/>
        <w:rPr>
          <w:rFonts w:ascii="仿宋" w:hAnsi="仿宋" w:eastAsia="仿宋" w:cs="仿宋"/>
          <w:color w:val="000000" w:themeColor="text1"/>
          <w14:textFill>
            <w14:solidFill>
              <w14:schemeClr w14:val="tx1"/>
            </w14:solidFill>
          </w14:textFill>
        </w:rPr>
      </w:pPr>
    </w:p>
    <w:p w14:paraId="09CAB450">
      <w:pPr>
        <w:pStyle w:val="35"/>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14:paraId="33CF7717">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14:paraId="16D6B1BC">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14:paraId="1765228E">
      <w:pPr>
        <w:pStyle w:val="35"/>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14:paraId="7D745661">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采购单位：巴里坤哈萨克自治县三塘湖工业园区管理委员会 </w:t>
      </w:r>
    </w:p>
    <w:p w14:paraId="5C4E7295">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联 系 人：李磊 </w:t>
      </w:r>
    </w:p>
    <w:p w14:paraId="3348BB10">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联系电话：18509020422</w:t>
      </w:r>
    </w:p>
    <w:p w14:paraId="38F5CAAB">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代理机构：新疆德鸿项目管理咨询有限公司</w:t>
      </w:r>
    </w:p>
    <w:p w14:paraId="1CC04DCB">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人：苟雅丽</w:t>
      </w:r>
    </w:p>
    <w:p w14:paraId="49B1DA64">
      <w:pPr>
        <w:spacing w:line="700" w:lineRule="exact"/>
        <w:ind w:firstLine="360" w:firstLineChars="100"/>
        <w:rPr>
          <w:rFonts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联系电话:09022-6996999</w:t>
      </w:r>
    </w:p>
    <w:p w14:paraId="3AD408D2">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231B9954">
      <w:pPr>
        <w:pStyle w:val="43"/>
        <w:spacing w:before="0" w:line="360" w:lineRule="auto"/>
        <w:jc w:val="center"/>
        <w:rPr>
          <w:rFonts w:ascii="仿宋" w:hAnsi="仿宋" w:eastAsia="仿宋" w:cs="仿宋"/>
          <w:color w:val="000000" w:themeColor="text1"/>
          <w:sz w:val="44"/>
          <w:szCs w:val="44"/>
          <w:lang w:val="zh-CN" w:eastAsia="zh-CN"/>
          <w14:textFill>
            <w14:solidFill>
              <w14:schemeClr w14:val="tx1"/>
            </w14:solidFill>
          </w14:textFill>
        </w:rPr>
      </w:pPr>
    </w:p>
    <w:p w14:paraId="53FBC345">
      <w:pPr>
        <w:pStyle w:val="4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14:paraId="6D0821C7">
      <w:pPr>
        <w:rPr>
          <w:rFonts w:ascii="仿宋" w:hAnsi="仿宋" w:eastAsia="仿宋" w:cs="仿宋"/>
          <w:color w:val="000000" w:themeColor="text1"/>
          <w:sz w:val="30"/>
          <w:szCs w:val="30"/>
          <w:lang w:val="zh-CN"/>
          <w14:textFill>
            <w14:solidFill>
              <w14:schemeClr w14:val="tx1"/>
            </w14:solidFill>
          </w14:textFill>
        </w:rPr>
      </w:pPr>
    </w:p>
    <w:p w14:paraId="5C8EC077">
      <w:pPr>
        <w:spacing w:line="360" w:lineRule="auto"/>
        <w:rPr>
          <w:rFonts w:ascii="仿宋" w:hAnsi="仿宋" w:eastAsia="仿宋" w:cs="仿宋"/>
          <w:color w:val="000000" w:themeColor="text1"/>
          <w:sz w:val="30"/>
          <w:szCs w:val="30"/>
          <w14:textFill>
            <w14:solidFill>
              <w14:schemeClr w14:val="tx1"/>
            </w14:solidFill>
          </w14:textFill>
        </w:rPr>
      </w:pPr>
    </w:p>
    <w:p w14:paraId="692D9490">
      <w:pPr>
        <w:widowControl/>
        <w:rPr>
          <w:rFonts w:ascii="仿宋" w:hAnsi="仿宋" w:eastAsia="仿宋" w:cs="仿宋"/>
          <w:color w:val="000000" w:themeColor="text1"/>
          <w:sz w:val="30"/>
          <w:szCs w:val="30"/>
          <w14:textFill>
            <w14:solidFill>
              <w14:schemeClr w14:val="tx1"/>
            </w14:solidFill>
          </w14:textFill>
        </w:rPr>
      </w:pPr>
    </w:p>
    <w:p w14:paraId="79FB80F6">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第一部分      招标公告</w:t>
      </w:r>
    </w:p>
    <w:p w14:paraId="04FA994B">
      <w:pPr>
        <w:spacing w:line="360" w:lineRule="auto"/>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第二部分      供应商须知</w:t>
      </w:r>
    </w:p>
    <w:p w14:paraId="3F1804A9">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第三部分      评标办法</w:t>
      </w:r>
    </w:p>
    <w:p w14:paraId="72B12BD0">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14:paraId="7A1EEABD">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14:paraId="5EA3F5B4">
      <w:pPr>
        <w:pStyle w:val="41"/>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14:paraId="7F1B75B8">
      <w:pPr>
        <w:pStyle w:val="9"/>
        <w:numPr>
          <w:ilvl w:val="0"/>
          <w:numId w:val="0"/>
        </w:numPr>
        <w:rPr>
          <w:rFonts w:ascii="仿宋" w:hAnsi="仿宋" w:eastAsia="仿宋" w:cs="仿宋"/>
          <w:color w:val="000000" w:themeColor="text1"/>
          <w:lang w:eastAsia="zh-CN"/>
          <w14:textFill>
            <w14:solidFill>
              <w14:schemeClr w14:val="tx1"/>
            </w14:solidFill>
          </w14:textFill>
        </w:rPr>
      </w:pPr>
    </w:p>
    <w:p w14:paraId="53A01F9F">
      <w:pPr>
        <w:rPr>
          <w:rFonts w:ascii="仿宋" w:hAnsi="仿宋" w:eastAsia="仿宋" w:cs="仿宋"/>
          <w:color w:val="000000" w:themeColor="text1"/>
          <w:lang w:eastAsia="zh-CN"/>
          <w14:textFill>
            <w14:solidFill>
              <w14:schemeClr w14:val="tx1"/>
            </w14:solidFill>
          </w14:textFill>
        </w:rPr>
      </w:pPr>
    </w:p>
    <w:p w14:paraId="17DCC29E">
      <w:pPr>
        <w:pStyle w:val="5"/>
        <w:rPr>
          <w:rFonts w:ascii="仿宋" w:hAnsi="仿宋" w:eastAsia="仿宋" w:cs="仿宋"/>
          <w:color w:val="000000" w:themeColor="text1"/>
          <w:lang w:eastAsia="zh-CN"/>
          <w14:textFill>
            <w14:solidFill>
              <w14:schemeClr w14:val="tx1"/>
            </w14:solidFill>
          </w14:textFill>
        </w:rPr>
      </w:pPr>
    </w:p>
    <w:p w14:paraId="6B7F2F10">
      <w:pPr>
        <w:rPr>
          <w:rFonts w:ascii="仿宋" w:hAnsi="仿宋" w:eastAsia="仿宋" w:cs="仿宋"/>
          <w:color w:val="000000" w:themeColor="text1"/>
          <w:lang w:eastAsia="zh-CN"/>
          <w14:textFill>
            <w14:solidFill>
              <w14:schemeClr w14:val="tx1"/>
            </w14:solidFill>
          </w14:textFill>
        </w:rPr>
      </w:pPr>
    </w:p>
    <w:p w14:paraId="1FD7327A">
      <w:pPr>
        <w:pStyle w:val="5"/>
        <w:rPr>
          <w:rFonts w:ascii="仿宋" w:hAnsi="仿宋" w:eastAsia="仿宋" w:cs="仿宋"/>
          <w:color w:val="000000" w:themeColor="text1"/>
          <w:lang w:eastAsia="zh-CN"/>
          <w14:textFill>
            <w14:solidFill>
              <w14:schemeClr w14:val="tx1"/>
            </w14:solidFill>
          </w14:textFill>
        </w:rPr>
      </w:pPr>
    </w:p>
    <w:p w14:paraId="5BAD47FD">
      <w:pPr>
        <w:rPr>
          <w:rFonts w:ascii="仿宋" w:hAnsi="仿宋" w:eastAsia="仿宋" w:cs="仿宋"/>
          <w:color w:val="000000" w:themeColor="text1"/>
          <w:lang w:eastAsia="zh-CN"/>
          <w14:textFill>
            <w14:solidFill>
              <w14:schemeClr w14:val="tx1"/>
            </w14:solidFill>
          </w14:textFill>
        </w:rPr>
      </w:pPr>
    </w:p>
    <w:p w14:paraId="206195F8">
      <w:pPr>
        <w:pStyle w:val="5"/>
        <w:rPr>
          <w:rFonts w:ascii="仿宋" w:hAnsi="仿宋" w:eastAsia="仿宋" w:cs="仿宋"/>
          <w:color w:val="000000" w:themeColor="text1"/>
          <w:lang w:eastAsia="zh-CN"/>
          <w14:textFill>
            <w14:solidFill>
              <w14:schemeClr w14:val="tx1"/>
            </w14:solidFill>
          </w14:textFill>
        </w:rPr>
      </w:pPr>
    </w:p>
    <w:p w14:paraId="37EA753F">
      <w:pPr>
        <w:rPr>
          <w:rFonts w:ascii="仿宋" w:hAnsi="仿宋" w:eastAsia="仿宋" w:cs="仿宋"/>
          <w:color w:val="000000" w:themeColor="text1"/>
          <w:lang w:eastAsia="zh-CN"/>
          <w14:textFill>
            <w14:solidFill>
              <w14:schemeClr w14:val="tx1"/>
            </w14:solidFill>
          </w14:textFill>
        </w:rPr>
      </w:pPr>
    </w:p>
    <w:p w14:paraId="02FE1924">
      <w:pPr>
        <w:pStyle w:val="5"/>
        <w:rPr>
          <w:rFonts w:ascii="仿宋" w:hAnsi="仿宋" w:eastAsia="仿宋" w:cs="仿宋"/>
          <w:color w:val="000000" w:themeColor="text1"/>
          <w:lang w:eastAsia="zh-CN"/>
          <w14:textFill>
            <w14:solidFill>
              <w14:schemeClr w14:val="tx1"/>
            </w14:solidFill>
          </w14:textFill>
        </w:rPr>
      </w:pPr>
    </w:p>
    <w:p w14:paraId="25C9277C">
      <w:pPr>
        <w:rPr>
          <w:rFonts w:ascii="仿宋" w:hAnsi="仿宋" w:eastAsia="仿宋" w:cs="仿宋"/>
          <w:color w:val="000000" w:themeColor="text1"/>
          <w:lang w:eastAsia="zh-CN"/>
          <w14:textFill>
            <w14:solidFill>
              <w14:schemeClr w14:val="tx1"/>
            </w14:solidFill>
          </w14:textFill>
        </w:rPr>
      </w:pPr>
    </w:p>
    <w:p w14:paraId="365B3549">
      <w:pPr>
        <w:pStyle w:val="44"/>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14:paraId="6D08435A">
      <w:pPr>
        <w:pStyle w:val="44"/>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14:paraId="0F1F70D0">
      <w:pPr>
        <w:widowControl/>
        <w:jc w:val="center"/>
        <w:rPr>
          <w:lang w:eastAsia="zh-CN"/>
        </w:rPr>
      </w:pPr>
      <w:r>
        <w:rPr>
          <w:rFonts w:hint="eastAsia" w:ascii="宋体" w:hAnsi="宋体" w:eastAsia="宋体" w:cs="宋体"/>
          <w:b/>
          <w:bCs/>
          <w:color w:val="333333"/>
          <w:kern w:val="2"/>
          <w:lang w:eastAsia="zh-CN"/>
        </w:rPr>
        <w:t>巴里坤县智慧指挥中心基础设施建设项目（一标段）公开招标公告</w:t>
      </w:r>
    </w:p>
    <w:p w14:paraId="11E79BD9">
      <w:pPr>
        <w:widowControl/>
        <w:rPr>
          <w:lang w:eastAsia="zh-CN"/>
        </w:rPr>
      </w:pPr>
      <w:r>
        <w:rPr>
          <w:rFonts w:hint="eastAsia" w:eastAsia="宋体"/>
          <w:color w:val="333333"/>
          <w:kern w:val="2"/>
          <w:sz w:val="21"/>
          <w:szCs w:val="21"/>
          <w:lang w:eastAsia="zh-CN"/>
        </w:rPr>
        <w:t xml:space="preserve"> </w:t>
      </w:r>
    </w:p>
    <w:p w14:paraId="23BD5E61">
      <w:pPr>
        <w:pBdr>
          <w:top w:val="single" w:color="auto" w:sz="4" w:space="1"/>
          <w:left w:val="single" w:color="auto" w:sz="4" w:space="4"/>
          <w:bottom w:val="single" w:color="auto" w:sz="4" w:space="1"/>
          <w:right w:val="single" w:color="auto" w:sz="4" w:space="4"/>
        </w:pBdr>
        <w:ind w:firstLine="480" w:firstLineChars="200"/>
        <w:rPr>
          <w:lang w:eastAsia="zh-CN"/>
        </w:rPr>
      </w:pPr>
      <w:r>
        <w:rPr>
          <w:rFonts w:ascii="仿宋" w:hAnsi="仿宋" w:eastAsia="仿宋" w:cs="仿宋"/>
          <w:color w:val="333333"/>
          <w:kern w:val="2"/>
          <w:lang w:eastAsia="zh-CN"/>
        </w:rPr>
        <w:t>项目概况:</w:t>
      </w:r>
      <w:r>
        <w:rPr>
          <w:rFonts w:hint="eastAsia" w:ascii="仿宋" w:hAnsi="仿宋" w:eastAsia="仿宋" w:cs="仿宋"/>
          <w:color w:val="333333"/>
          <w:kern w:val="2"/>
          <w:lang w:eastAsia="zh-CN"/>
        </w:rPr>
        <w:t>巴里坤县智慧指挥中心基础设施建设项目（一标段）潜在投标人应在供应商登陆政采云平台</w:t>
      </w:r>
      <w:r>
        <w:fldChar w:fldCharType="begin"/>
      </w:r>
      <w:r>
        <w:instrText xml:space="preserve"> HYPERLINK "http://www.zcygov.cn/" </w:instrText>
      </w:r>
      <w:r>
        <w:fldChar w:fldCharType="separate"/>
      </w:r>
      <w:r>
        <w:rPr>
          <w:rStyle w:val="28"/>
          <w:rFonts w:hint="eastAsia" w:ascii="仿宋" w:hAnsi="仿宋" w:eastAsia="仿宋" w:cs="仿宋"/>
          <w:kern w:val="2"/>
          <w:u w:val="none"/>
          <w:lang w:eastAsia="zh-CN"/>
        </w:rPr>
        <w:t>http://www.zcygov.cn/</w:t>
      </w:r>
      <w:r>
        <w:rPr>
          <w:rStyle w:val="28"/>
          <w:rFonts w:hint="eastAsia" w:ascii="仿宋" w:hAnsi="仿宋" w:eastAsia="仿宋" w:cs="仿宋"/>
          <w:kern w:val="2"/>
          <w:u w:val="none"/>
          <w:lang w:eastAsia="zh-CN"/>
        </w:rPr>
        <w:fldChar w:fldCharType="end"/>
      </w:r>
      <w:r>
        <w:rPr>
          <w:rFonts w:hint="eastAsia" w:ascii="仿宋" w:hAnsi="仿宋" w:eastAsia="仿宋" w:cs="仿宋"/>
          <w:color w:val="333333"/>
          <w:kern w:val="2"/>
          <w:lang w:eastAsia="zh-CN"/>
        </w:rPr>
        <w:t>，在线申请获取招标文件（登录政府采购云平台 → 项目采购 → 获取招标文件→申请，下载招标文件，如有操作性问题，可与政采云在线客服进行咨询，咨询电话：95763）获取招标文件，并于</w:t>
      </w:r>
      <w:r>
        <w:rPr>
          <w:rFonts w:hint="eastAsia" w:ascii="仿宋" w:hAnsi="仿宋" w:eastAsia="仿宋" w:cs="仿宋"/>
          <w:color w:val="333333"/>
          <w:kern w:val="2"/>
          <w:highlight w:val="none"/>
          <w:u w:val="single"/>
          <w:lang w:eastAsia="zh-CN"/>
        </w:rPr>
        <w:t>202</w:t>
      </w:r>
      <w:r>
        <w:rPr>
          <w:rFonts w:hint="eastAsia" w:ascii="仿宋" w:hAnsi="仿宋" w:eastAsia="仿宋" w:cs="仿宋"/>
          <w:color w:val="333333"/>
          <w:kern w:val="2"/>
          <w:highlight w:val="none"/>
          <w:u w:val="single"/>
          <w:lang w:val="en-US" w:eastAsia="zh-CN"/>
        </w:rPr>
        <w:t>5</w:t>
      </w:r>
      <w:r>
        <w:rPr>
          <w:rFonts w:hint="eastAsia" w:ascii="仿宋" w:hAnsi="仿宋" w:eastAsia="仿宋" w:cs="仿宋"/>
          <w:color w:val="333333"/>
          <w:kern w:val="2"/>
          <w:highlight w:val="none"/>
          <w:u w:val="single"/>
          <w:lang w:eastAsia="zh-CN"/>
        </w:rPr>
        <w:t xml:space="preserve">年 </w:t>
      </w:r>
      <w:r>
        <w:rPr>
          <w:rFonts w:hint="eastAsia" w:ascii="仿宋" w:hAnsi="仿宋" w:eastAsia="仿宋" w:cs="仿宋"/>
          <w:color w:val="333333"/>
          <w:kern w:val="2"/>
          <w:highlight w:val="none"/>
          <w:u w:val="single"/>
          <w:lang w:val="en-US" w:eastAsia="zh-CN"/>
        </w:rPr>
        <w:t>3</w:t>
      </w:r>
      <w:r>
        <w:rPr>
          <w:rFonts w:hint="eastAsia" w:ascii="仿宋" w:hAnsi="仿宋" w:eastAsia="仿宋" w:cs="仿宋"/>
          <w:color w:val="333333"/>
          <w:kern w:val="2"/>
          <w:highlight w:val="none"/>
          <w:u w:val="single"/>
          <w:lang w:eastAsia="zh-CN"/>
        </w:rPr>
        <w:t xml:space="preserve"> 月 </w:t>
      </w:r>
      <w:r>
        <w:rPr>
          <w:rFonts w:hint="eastAsia" w:ascii="仿宋" w:hAnsi="仿宋" w:eastAsia="仿宋" w:cs="仿宋"/>
          <w:color w:val="333333"/>
          <w:kern w:val="2"/>
          <w:highlight w:val="none"/>
          <w:u w:val="single"/>
          <w:lang w:val="en-US" w:eastAsia="zh-CN"/>
        </w:rPr>
        <w:t>27</w:t>
      </w:r>
      <w:r>
        <w:rPr>
          <w:rFonts w:hint="eastAsia" w:ascii="仿宋" w:hAnsi="仿宋" w:eastAsia="仿宋" w:cs="仿宋"/>
          <w:color w:val="333333"/>
          <w:kern w:val="2"/>
          <w:highlight w:val="none"/>
          <w:u w:val="single"/>
          <w:lang w:eastAsia="zh-CN"/>
        </w:rPr>
        <w:t>日10点00分</w:t>
      </w:r>
      <w:r>
        <w:rPr>
          <w:rFonts w:hint="eastAsia" w:ascii="仿宋" w:hAnsi="仿宋" w:eastAsia="仿宋" w:cs="仿宋"/>
          <w:color w:val="333333"/>
          <w:kern w:val="2"/>
          <w:highlight w:val="none"/>
          <w:lang w:eastAsia="zh-CN"/>
        </w:rPr>
        <w:t>（北</w:t>
      </w:r>
      <w:r>
        <w:rPr>
          <w:rFonts w:hint="eastAsia" w:ascii="仿宋" w:hAnsi="仿宋" w:eastAsia="仿宋" w:cs="仿宋"/>
          <w:color w:val="333333"/>
          <w:kern w:val="2"/>
          <w:lang w:eastAsia="zh-CN"/>
        </w:rPr>
        <w:t xml:space="preserve">京时间）前（上传）电子投标文件。     </w:t>
      </w:r>
      <w:r>
        <w:rPr>
          <w:rFonts w:hint="eastAsia" w:ascii="仿宋" w:hAnsi="仿宋" w:eastAsia="仿宋" w:cs="仿宋"/>
          <w:color w:val="333333"/>
          <w:kern w:val="2"/>
          <w:sz w:val="16"/>
          <w:szCs w:val="16"/>
          <w:lang w:eastAsia="zh-CN"/>
        </w:rPr>
        <w:t xml:space="preserve">                       </w:t>
      </w:r>
    </w:p>
    <w:p w14:paraId="5BA45083">
      <w:pPr>
        <w:pStyle w:val="16"/>
        <w:spacing w:before="255" w:after="255" w:line="240" w:lineRule="exact"/>
        <w:jc w:val="both"/>
        <w:rPr>
          <w:rFonts w:ascii="微软雅黑" w:hAnsi="微软雅黑" w:eastAsia="微软雅黑" w:cs="微软雅黑"/>
          <w:color w:val="333333"/>
          <w:lang w:eastAsia="zh-CN"/>
        </w:rPr>
      </w:pPr>
      <w:r>
        <w:rPr>
          <w:rFonts w:ascii="黑体" w:eastAsia="黑体" w:cs="黑体"/>
          <w:b/>
          <w:bCs/>
          <w:color w:val="333333"/>
          <w:lang w:eastAsia="zh-CN"/>
        </w:rPr>
        <w:t>一、项目基本情况</w:t>
      </w:r>
    </w:p>
    <w:p w14:paraId="13EE3C45">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项目编号：XJDH【2025】-H001</w:t>
      </w:r>
    </w:p>
    <w:p w14:paraId="43AFC310">
      <w:pPr>
        <w:pStyle w:val="16"/>
        <w:spacing w:before="75" w:after="75" w:line="360" w:lineRule="auto"/>
        <w:ind w:firstLine="660" w:firstLineChars="275"/>
        <w:rPr>
          <w:rFonts w:hint="eastAsia" w:ascii="仿宋" w:hAnsi="仿宋" w:eastAsia="仿宋" w:cs="仿宋"/>
          <w:color w:val="333333"/>
          <w:kern w:val="2"/>
          <w:lang w:eastAsia="zh-CN"/>
        </w:rPr>
      </w:pPr>
      <w:r>
        <w:rPr>
          <w:rFonts w:hint="eastAsia" w:ascii="仿宋" w:hAnsi="仿宋" w:eastAsia="仿宋" w:cs="仿宋"/>
          <w:color w:val="333333"/>
          <w:kern w:val="2"/>
          <w:lang w:eastAsia="zh-CN"/>
        </w:rPr>
        <w:t>项目名称：巴里坤县智慧指挥中心基础设施建设项目（一标段）</w:t>
      </w:r>
    </w:p>
    <w:p w14:paraId="4C80BAFA">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采购</w:t>
      </w:r>
      <w:r>
        <w:rPr>
          <w:rFonts w:hint="eastAsia" w:ascii="仿宋" w:hAnsi="仿宋" w:eastAsia="仿宋" w:cs="仿宋"/>
          <w:color w:val="333333"/>
          <w:kern w:val="2"/>
          <w:highlight w:val="none"/>
          <w:lang w:eastAsia="zh-CN"/>
        </w:rPr>
        <w:t>方式：公开招标</w:t>
      </w:r>
    </w:p>
    <w:p w14:paraId="239E5F45">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预算金额（元）：40503000.00</w:t>
      </w:r>
    </w:p>
    <w:p w14:paraId="7B6D7785">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最高限价（元）：37871138.63</w:t>
      </w:r>
    </w:p>
    <w:p w14:paraId="0C6F5989">
      <w:pPr>
        <w:shd w:val="clear"/>
        <w:spacing w:line="360" w:lineRule="auto"/>
        <w:ind w:firstLine="720" w:firstLineChars="3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采购需求：</w:t>
      </w:r>
      <w:r>
        <w:rPr>
          <w:rFonts w:hint="eastAsia" w:ascii="仿宋" w:hAnsi="仿宋" w:eastAsia="仿宋" w:cs="仿宋"/>
          <w:highlight w:val="none"/>
          <w:lang w:eastAsia="zh-CN"/>
        </w:rPr>
        <w:t>包括</w:t>
      </w:r>
      <w:r>
        <w:rPr>
          <w:rFonts w:hint="eastAsia" w:ascii="仿宋" w:hAnsi="仿宋" w:eastAsia="仿宋" w:cs="仿宋"/>
          <w:highlight w:val="none"/>
        </w:rPr>
        <w:t>指挥中心</w:t>
      </w:r>
      <w:r>
        <w:rPr>
          <w:rFonts w:hint="eastAsia" w:ascii="仿宋" w:hAnsi="仿宋" w:eastAsia="仿宋" w:cs="仿宋"/>
          <w:highlight w:val="none"/>
          <w:lang w:eastAsia="zh-CN"/>
        </w:rPr>
        <w:t>配套</w:t>
      </w:r>
      <w:r>
        <w:rPr>
          <w:rFonts w:hint="eastAsia" w:ascii="仿宋" w:hAnsi="仿宋" w:eastAsia="仿宋" w:cs="仿宋"/>
          <w:highlight w:val="none"/>
        </w:rPr>
        <w:t>建设、化工园区智能管控软件平台建设、化工园区配套建设</w:t>
      </w:r>
      <w:r>
        <w:rPr>
          <w:rFonts w:hint="eastAsia" w:ascii="仿宋" w:hAnsi="仿宋" w:eastAsia="仿宋" w:cs="仿宋"/>
          <w:highlight w:val="none"/>
          <w:lang w:eastAsia="zh-CN"/>
        </w:rPr>
        <w:t>等内容</w:t>
      </w:r>
      <w:r>
        <w:rPr>
          <w:rFonts w:hint="eastAsia" w:ascii="仿宋" w:hAnsi="仿宋" w:eastAsia="仿宋" w:cs="仿宋"/>
          <w:highlight w:val="none"/>
        </w:rPr>
        <w:t>。</w:t>
      </w:r>
      <w:r>
        <w:rPr>
          <w:rFonts w:hint="eastAsia" w:ascii="仿宋" w:hAnsi="仿宋" w:eastAsia="仿宋" w:cs="仿宋"/>
          <w:color w:val="333333"/>
          <w:kern w:val="2"/>
          <w:highlight w:val="none"/>
          <w:lang w:eastAsia="zh-CN"/>
        </w:rPr>
        <w:t>（具体内容详见招标文件）。</w:t>
      </w:r>
    </w:p>
    <w:p w14:paraId="0BE96064">
      <w:pPr>
        <w:pStyle w:val="16"/>
        <w:shd w:val="clear"/>
        <w:spacing w:before="75" w:after="75" w:line="360" w:lineRule="auto"/>
        <w:ind w:firstLine="420"/>
        <w:rPr>
          <w:rFonts w:hint="default" w:ascii="仿宋" w:hAnsi="仿宋" w:eastAsia="仿宋" w:cs="仿宋"/>
          <w:color w:val="333333"/>
          <w:kern w:val="2"/>
          <w:highlight w:val="none"/>
          <w:lang w:val="en-US" w:eastAsia="zh-CN"/>
        </w:rPr>
      </w:pPr>
      <w:r>
        <w:rPr>
          <w:rFonts w:hint="eastAsia" w:ascii="仿宋" w:hAnsi="仿宋" w:eastAsia="仿宋" w:cs="仿宋"/>
          <w:color w:val="333333"/>
          <w:kern w:val="2"/>
          <w:highlight w:val="none"/>
          <w:lang w:eastAsia="zh-CN"/>
        </w:rPr>
        <w:t>   标项名称:巴里坤县智慧指挥中心基础设施建设项目（一标段）   数量：</w:t>
      </w:r>
      <w:r>
        <w:rPr>
          <w:rFonts w:hint="eastAsia" w:ascii="仿宋" w:hAnsi="仿宋" w:eastAsia="仿宋" w:cs="仿宋"/>
          <w:color w:val="333333"/>
          <w:kern w:val="2"/>
          <w:highlight w:val="none"/>
          <w:lang w:val="en-US" w:eastAsia="zh-CN"/>
        </w:rPr>
        <w:t>1批</w:t>
      </w:r>
    </w:p>
    <w:p w14:paraId="3961F031">
      <w:pPr>
        <w:pStyle w:val="16"/>
        <w:shd w:val="clear"/>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预算金额（元）:40503000.00</w:t>
      </w:r>
    </w:p>
    <w:p w14:paraId="69ECD5BB">
      <w:pPr>
        <w:pStyle w:val="16"/>
        <w:shd w:val="clear"/>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最高限价（元）：37871138.63</w:t>
      </w:r>
    </w:p>
    <w:p w14:paraId="42D3EA60">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xml:space="preserve"> 简要规格描述或项目基本概况介绍、用途：详见招标文件。 </w:t>
      </w:r>
    </w:p>
    <w:p w14:paraId="27D4BCE2">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合同履约期限：标项 1，详见招标文件</w:t>
      </w:r>
    </w:p>
    <w:p w14:paraId="4E52AEE9">
      <w:pPr>
        <w:pStyle w:val="16"/>
        <w:shd w:val="clear"/>
        <w:spacing w:before="75" w:after="75" w:line="360" w:lineRule="auto"/>
        <w:ind w:firstLine="720" w:firstLineChars="3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本项目（否）接受联合体投标。</w:t>
      </w:r>
    </w:p>
    <w:p w14:paraId="6C98E28D">
      <w:pPr>
        <w:pStyle w:val="16"/>
        <w:shd w:val="clear"/>
        <w:spacing w:before="255" w:after="255"/>
        <w:jc w:val="both"/>
        <w:rPr>
          <w:rFonts w:ascii="黑体" w:eastAsia="黑体" w:cs="黑体"/>
          <w:b/>
          <w:bCs/>
          <w:color w:val="333333"/>
          <w:highlight w:val="none"/>
          <w:lang w:eastAsia="zh-CN"/>
        </w:rPr>
      </w:pPr>
      <w:r>
        <w:rPr>
          <w:rFonts w:hint="eastAsia" w:ascii="黑体" w:eastAsia="黑体" w:cs="黑体"/>
          <w:b/>
          <w:bCs/>
          <w:color w:val="333333"/>
          <w:highlight w:val="none"/>
          <w:lang w:eastAsia="zh-CN"/>
        </w:rPr>
        <w:t>二、申请人的资格要求：</w:t>
      </w:r>
    </w:p>
    <w:p w14:paraId="451606C4">
      <w:pPr>
        <w:pStyle w:val="16"/>
        <w:shd w:val="clear"/>
        <w:wordWrap w:val="0"/>
        <w:spacing w:line="500" w:lineRule="atLeast"/>
        <w:ind w:firstLine="480" w:firstLineChars="2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1.满足《中华人民共和国政府采购法》第二十二条规定；</w:t>
      </w:r>
    </w:p>
    <w:p w14:paraId="26CDE6FB">
      <w:pPr>
        <w:pStyle w:val="16"/>
        <w:shd w:val="clear"/>
        <w:wordWrap w:val="0"/>
        <w:spacing w:line="500" w:lineRule="atLeast"/>
        <w:ind w:firstLine="480" w:firstLineChars="200"/>
        <w:rPr>
          <w:rFonts w:ascii="仿宋" w:hAnsi="仿宋" w:eastAsia="仿宋" w:cs="仿宋"/>
          <w:color w:val="333333"/>
          <w:kern w:val="2"/>
          <w:lang w:eastAsia="zh-CN"/>
        </w:rPr>
      </w:pPr>
      <w:r>
        <w:rPr>
          <w:rFonts w:hint="eastAsia" w:ascii="仿宋" w:hAnsi="仿宋" w:eastAsia="仿宋" w:cs="仿宋"/>
          <w:color w:val="333333"/>
          <w:kern w:val="2"/>
          <w:highlight w:val="none"/>
          <w:lang w:eastAsia="zh-CN"/>
        </w:rPr>
        <w:t>2.落实政府采购政策需满足的资格要求：本项目为非专门面向中小企业，根据《</w:t>
      </w:r>
      <w:r>
        <w:rPr>
          <w:rFonts w:hint="eastAsia" w:ascii="仿宋" w:hAnsi="仿宋" w:eastAsia="仿宋" w:cs="仿宋"/>
          <w:color w:val="333333"/>
          <w:kern w:val="2"/>
          <w:lang w:eastAsia="zh-CN"/>
        </w:rPr>
        <w:t>政府采购促进中小企业发展管理办法》（财库【2020】46号）的规定，评标时将给予</w:t>
      </w:r>
      <w:r>
        <w:rPr>
          <w:rFonts w:hint="eastAsia" w:ascii="仿宋" w:hAnsi="仿宋" w:eastAsia="仿宋" w:cs="仿宋"/>
          <w:color w:val="000000" w:themeColor="text1"/>
          <w:lang w:eastAsia="zh-CN"/>
          <w14:textFill>
            <w14:solidFill>
              <w14:schemeClr w14:val="tx1"/>
            </w14:solidFill>
          </w14:textFill>
        </w:rPr>
        <w:t>小型和微型企业</w:t>
      </w:r>
      <w:r>
        <w:rPr>
          <w:rFonts w:hint="eastAsia" w:ascii="仿宋" w:hAnsi="仿宋" w:eastAsia="仿宋" w:cs="仿宋"/>
          <w:color w:val="333333"/>
          <w:kern w:val="2"/>
          <w:lang w:eastAsia="zh-CN"/>
        </w:rPr>
        <w:t>进行价格扣除10%的优惠，用优惠后的价格参与评审。</w:t>
      </w:r>
    </w:p>
    <w:p w14:paraId="40CBA25F">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3.本项目的特定资格要求：</w:t>
      </w:r>
    </w:p>
    <w:p w14:paraId="56EFEE17">
      <w:pPr>
        <w:spacing w:line="440" w:lineRule="exact"/>
        <w:ind w:firstLine="352" w:firstLineChars="147"/>
        <w:rPr>
          <w:rFonts w:ascii="仿宋" w:hAnsi="仿宋" w:eastAsia="仿宋" w:cs="仿宋"/>
          <w:color w:val="000000" w:themeColor="text1"/>
          <w:kern w:val="2"/>
          <w:lang w:eastAsia="zh-CN"/>
          <w14:textFill>
            <w14:solidFill>
              <w14:schemeClr w14:val="tx1"/>
            </w14:solidFill>
          </w14:textFill>
        </w:rPr>
      </w:pPr>
      <w:r>
        <w:rPr>
          <w:rFonts w:hint="eastAsia" w:ascii="仿宋" w:hAnsi="仿宋" w:eastAsia="仿宋" w:cs="仿宋"/>
          <w:color w:val="000000" w:themeColor="text1"/>
          <w:kern w:val="2"/>
          <w:lang w:eastAsia="zh-CN"/>
          <w14:textFill>
            <w14:solidFill>
              <w14:schemeClr w14:val="tx1"/>
            </w14:solidFill>
          </w14:textFill>
        </w:rPr>
        <w:t>（1）单位负责人为同一人或者存在直接控股、管理关系的不同供应商，不得参加同一合同下的政府采购活动；</w:t>
      </w:r>
    </w:p>
    <w:p w14:paraId="601A26E6">
      <w:pPr>
        <w:spacing w:line="440" w:lineRule="exact"/>
        <w:ind w:firstLine="352" w:firstLineChars="147"/>
        <w:rPr>
          <w:rFonts w:hint="eastAsia" w:ascii="仿宋" w:hAnsi="仿宋" w:eastAsia="仿宋" w:cs="仿宋"/>
          <w:color w:val="333333"/>
          <w:kern w:val="2"/>
          <w:highlight w:val="none"/>
          <w:lang w:eastAsia="zh-CN"/>
        </w:rPr>
      </w:pPr>
      <w:r>
        <w:rPr>
          <w:rFonts w:hint="eastAsia" w:ascii="仿宋" w:hAnsi="仿宋" w:eastAsia="仿宋" w:cs="仿宋"/>
          <w:color w:val="333333"/>
          <w:kern w:val="2"/>
          <w:lang w:eastAsia="zh-CN"/>
        </w:rPr>
        <w:t>（2）未被列入中国执行信息公开网（http://zxgk.court.gov.cn/shixin/）失信被执行人名单、信用中国网站（www.creditchina.gov.cn）</w:t>
      </w:r>
      <w:r>
        <w:rPr>
          <w:rFonts w:hint="eastAsia" w:ascii="仿宋" w:hAnsi="仿宋" w:eastAsia="仿宋" w:cs="仿宋"/>
          <w:color w:val="333333"/>
          <w:kern w:val="2"/>
          <w:lang w:val="zh-CN" w:eastAsia="zh-CN"/>
        </w:rPr>
        <w:t>重大税收违法</w:t>
      </w:r>
      <w:r>
        <w:rPr>
          <w:rFonts w:hint="eastAsia" w:ascii="仿宋" w:hAnsi="仿宋" w:eastAsia="仿宋" w:cs="仿宋"/>
          <w:color w:val="333333"/>
          <w:kern w:val="2"/>
          <w:lang w:eastAsia="zh-CN"/>
        </w:rPr>
        <w:t>失信主体和中国政府采购网（www.ccgp.gov.cn）政府采购严重违法失信行为记录名单</w:t>
      </w:r>
      <w:r>
        <w:rPr>
          <w:rFonts w:hint="eastAsia" w:ascii="仿宋" w:hAnsi="仿宋" w:eastAsia="仿宋" w:cs="仿宋"/>
          <w:color w:val="333333"/>
          <w:kern w:val="2"/>
          <w:highlight w:val="none"/>
          <w:lang w:eastAsia="zh-CN"/>
        </w:rPr>
        <w:t>；</w:t>
      </w:r>
      <w:r>
        <w:rPr>
          <w:rFonts w:hint="eastAsia" w:ascii="仿宋" w:hAnsi="仿宋" w:eastAsia="仿宋" w:cs="仿宋"/>
          <w:color w:val="000000" w:themeColor="text1"/>
          <w:szCs w:val="21"/>
          <w:highlight w:val="none"/>
          <w:lang w:eastAsia="zh-CN"/>
          <w14:textFill>
            <w14:solidFill>
              <w14:schemeClr w14:val="tx1"/>
            </w14:solidFill>
          </w14:textFill>
        </w:rPr>
        <w:t>（如投标单位提供信用截图在评标过程中有争议，以招标代理机构或评标委员会成员现场查询截图为准）</w:t>
      </w:r>
    </w:p>
    <w:p w14:paraId="1D467B02">
      <w:pPr>
        <w:spacing w:line="440" w:lineRule="exact"/>
        <w:ind w:firstLine="352" w:firstLineChars="147"/>
        <w:rPr>
          <w:rFonts w:hint="eastAsia" w:ascii="仿宋" w:hAnsi="仿宋" w:eastAsia="仿宋" w:cs="仿宋"/>
          <w:color w:val="333333"/>
          <w:kern w:val="2"/>
          <w:lang w:eastAsia="zh-CN"/>
        </w:rPr>
      </w:pPr>
      <w:r>
        <w:rPr>
          <w:rFonts w:hint="eastAsia" w:ascii="仿宋" w:hAnsi="仿宋" w:eastAsia="仿宋" w:cs="仿宋"/>
          <w:color w:val="333333"/>
          <w:kern w:val="2"/>
          <w:highlight w:val="none"/>
          <w:lang w:eastAsia="zh-CN"/>
        </w:rPr>
        <w:t>（3）投标单位（供应商）针对本次采购项目《反商业贿赂承诺书》的书面声</w:t>
      </w:r>
      <w:r>
        <w:rPr>
          <w:rFonts w:hint="eastAsia" w:ascii="仿宋" w:hAnsi="仿宋" w:eastAsia="仿宋" w:cs="仿宋"/>
          <w:color w:val="333333"/>
          <w:kern w:val="2"/>
          <w:lang w:eastAsia="zh-CN"/>
        </w:rPr>
        <w:t>明。</w:t>
      </w:r>
    </w:p>
    <w:p w14:paraId="4C4109AA">
      <w:pPr>
        <w:pStyle w:val="16"/>
        <w:spacing w:before="255" w:after="255"/>
        <w:jc w:val="both"/>
        <w:rPr>
          <w:rFonts w:ascii="黑体" w:eastAsia="黑体" w:cs="黑体"/>
          <w:b/>
          <w:bCs/>
          <w:color w:val="333333"/>
          <w:highlight w:val="none"/>
          <w:lang w:eastAsia="zh-CN"/>
        </w:rPr>
      </w:pPr>
      <w:r>
        <w:rPr>
          <w:rFonts w:hint="eastAsia" w:ascii="黑体" w:eastAsia="黑体" w:cs="黑体"/>
          <w:b/>
          <w:bCs/>
          <w:color w:val="333333"/>
          <w:lang w:eastAsia="zh-CN"/>
        </w:rPr>
        <w:t>三、获</w:t>
      </w:r>
      <w:r>
        <w:rPr>
          <w:rFonts w:hint="eastAsia" w:ascii="黑体" w:eastAsia="黑体" w:cs="黑体"/>
          <w:b/>
          <w:bCs/>
          <w:color w:val="333333"/>
          <w:highlight w:val="none"/>
          <w:lang w:eastAsia="zh-CN"/>
        </w:rPr>
        <w:t>取招标文件</w:t>
      </w:r>
    </w:p>
    <w:p w14:paraId="43FD86AE">
      <w:pPr>
        <w:pStyle w:val="16"/>
        <w:wordWrap w:val="0"/>
        <w:spacing w:line="500" w:lineRule="atLeast"/>
        <w:ind w:firstLine="480" w:firstLineChars="200"/>
        <w:rPr>
          <w:rFonts w:ascii="仿宋" w:hAnsi="仿宋" w:eastAsia="仿宋" w:cs="仿宋"/>
          <w:color w:val="auto"/>
          <w:kern w:val="2"/>
          <w:lang w:eastAsia="zh-CN"/>
        </w:rPr>
      </w:pPr>
      <w:r>
        <w:rPr>
          <w:rFonts w:hint="eastAsia" w:ascii="仿宋" w:hAnsi="仿宋" w:eastAsia="仿宋" w:cs="仿宋"/>
          <w:color w:val="333333"/>
          <w:kern w:val="2"/>
          <w:highlight w:val="none"/>
          <w:lang w:eastAsia="zh-CN"/>
        </w:rPr>
        <w:t>时间：</w:t>
      </w:r>
      <w:r>
        <w:rPr>
          <w:rFonts w:hint="eastAsia" w:ascii="仿宋" w:hAnsi="仿宋" w:eastAsia="仿宋" w:cs="仿宋"/>
          <w:color w:val="auto"/>
          <w:kern w:val="2"/>
          <w:highlight w:val="none"/>
          <w:lang w:eastAsia="zh-CN"/>
        </w:rPr>
        <w:t>2025年 3月</w:t>
      </w:r>
      <w:r>
        <w:rPr>
          <w:rFonts w:hint="eastAsia" w:ascii="仿宋" w:hAnsi="仿宋" w:eastAsia="仿宋" w:cs="仿宋"/>
          <w:color w:val="auto"/>
          <w:kern w:val="2"/>
          <w:highlight w:val="none"/>
          <w:lang w:val="en-US" w:eastAsia="zh-CN"/>
        </w:rPr>
        <w:t>7</w:t>
      </w:r>
      <w:r>
        <w:rPr>
          <w:rFonts w:hint="eastAsia" w:ascii="仿宋" w:hAnsi="仿宋" w:eastAsia="仿宋" w:cs="仿宋"/>
          <w:color w:val="auto"/>
          <w:kern w:val="2"/>
          <w:highlight w:val="none"/>
          <w:lang w:eastAsia="zh-CN"/>
        </w:rPr>
        <w:t>日至2025年3月</w:t>
      </w:r>
      <w:r>
        <w:rPr>
          <w:rFonts w:hint="eastAsia" w:ascii="仿宋" w:hAnsi="仿宋" w:eastAsia="仿宋" w:cs="仿宋"/>
          <w:color w:val="auto"/>
          <w:kern w:val="2"/>
          <w:highlight w:val="none"/>
          <w:lang w:val="en-US" w:eastAsia="zh-CN"/>
        </w:rPr>
        <w:t>14</w:t>
      </w:r>
      <w:r>
        <w:rPr>
          <w:rFonts w:hint="eastAsia" w:ascii="仿宋" w:hAnsi="仿宋" w:eastAsia="仿宋" w:cs="仿宋"/>
          <w:color w:val="auto"/>
          <w:kern w:val="2"/>
          <w:highlight w:val="none"/>
          <w:lang w:eastAsia="zh-CN"/>
        </w:rPr>
        <w:t>日</w:t>
      </w:r>
      <w:r>
        <w:rPr>
          <w:rFonts w:hint="eastAsia" w:ascii="仿宋" w:hAnsi="仿宋" w:eastAsia="仿宋" w:cs="仿宋"/>
          <w:color w:val="333333"/>
          <w:kern w:val="2"/>
          <w:highlight w:val="none"/>
          <w:lang w:eastAsia="zh-CN"/>
        </w:rPr>
        <w:t>，</w:t>
      </w:r>
      <w:r>
        <w:rPr>
          <w:rFonts w:hint="eastAsia" w:ascii="仿宋" w:hAnsi="仿宋" w:eastAsia="仿宋" w:cs="仿宋"/>
          <w:color w:val="auto"/>
          <w:kern w:val="2"/>
          <w:highlight w:val="none"/>
          <w:lang w:eastAsia="zh-CN"/>
        </w:rPr>
        <w:t>每天</w:t>
      </w:r>
      <w:r>
        <w:rPr>
          <w:rFonts w:hint="eastAsia" w:ascii="仿宋" w:hAnsi="仿宋" w:eastAsia="仿宋" w:cs="仿宋"/>
          <w:color w:val="auto"/>
          <w:kern w:val="2"/>
          <w:lang w:eastAsia="zh-CN"/>
        </w:rPr>
        <w:t>00:00至23:59（北京时间，法定节假日除外）</w:t>
      </w:r>
    </w:p>
    <w:p w14:paraId="65D99596">
      <w:pPr>
        <w:pStyle w:val="16"/>
        <w:spacing w:before="75" w:after="75"/>
        <w:ind w:firstLine="420"/>
        <w:rPr>
          <w:rFonts w:hint="eastAsia" w:ascii="仿宋" w:hAnsi="仿宋" w:eastAsia="仿宋" w:cs="仿宋"/>
          <w:color w:val="333333"/>
          <w:kern w:val="2"/>
          <w:lang w:eastAsia="zh-CN"/>
        </w:rPr>
      </w:pPr>
      <w:r>
        <w:rPr>
          <w:rFonts w:hint="eastAsia" w:ascii="仿宋" w:hAnsi="仿宋" w:eastAsia="仿宋" w:cs="仿宋"/>
          <w:color w:val="333333"/>
          <w:kern w:val="2"/>
          <w:lang w:eastAsia="zh-CN"/>
        </w:rPr>
        <w:t>地点：政采云平台线上</w:t>
      </w:r>
    </w:p>
    <w:p w14:paraId="0998A193">
      <w:pPr>
        <w:pStyle w:val="16"/>
        <w:spacing w:before="75" w:after="75"/>
        <w:ind w:firstLine="480" w:firstLineChars="200"/>
        <w:rPr>
          <w:rFonts w:ascii="仿宋" w:hAnsi="仿宋" w:eastAsia="仿宋" w:cs="仿宋"/>
          <w:color w:val="333333"/>
          <w:kern w:val="2"/>
          <w:lang w:eastAsia="zh-CN"/>
        </w:rPr>
      </w:pPr>
      <w:r>
        <w:rPr>
          <w:rFonts w:hint="eastAsia" w:ascii="仿宋" w:hAnsi="仿宋" w:eastAsia="仿宋" w:cs="仿宋"/>
          <w:color w:val="333333"/>
          <w:kern w:val="2"/>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D728F1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售价（元）：0</w:t>
      </w:r>
    </w:p>
    <w:p w14:paraId="1C63AF7A">
      <w:pPr>
        <w:pStyle w:val="16"/>
        <w:spacing w:before="255" w:after="255"/>
        <w:jc w:val="both"/>
        <w:rPr>
          <w:rFonts w:ascii="黑体" w:eastAsia="黑体" w:cs="黑体"/>
          <w:b/>
          <w:bCs/>
          <w:color w:val="333333"/>
          <w:lang w:eastAsia="zh-CN"/>
        </w:rPr>
      </w:pPr>
      <w:r>
        <w:rPr>
          <w:rFonts w:hint="eastAsia" w:ascii="黑体" w:eastAsia="黑体" w:cs="黑体"/>
          <w:b/>
          <w:bCs/>
          <w:color w:val="333333"/>
          <w:lang w:eastAsia="zh-CN"/>
        </w:rPr>
        <w:t>四、提交投标文件截止时间、开标时间和地点</w:t>
      </w:r>
    </w:p>
    <w:p w14:paraId="4187F213">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提交投标文件截止时间：</w:t>
      </w:r>
      <w:r>
        <w:rPr>
          <w:rFonts w:hint="eastAsia" w:ascii="仿宋" w:hAnsi="仿宋" w:eastAsia="仿宋" w:cs="仿宋"/>
          <w:color w:val="333333"/>
          <w:kern w:val="2"/>
          <w:highlight w:val="none"/>
          <w:lang w:eastAsia="zh-CN"/>
        </w:rPr>
        <w:t>2025年3月 2</w:t>
      </w:r>
      <w:r>
        <w:rPr>
          <w:rFonts w:hint="eastAsia" w:ascii="仿宋" w:hAnsi="仿宋" w:eastAsia="仿宋" w:cs="仿宋"/>
          <w:color w:val="333333"/>
          <w:kern w:val="2"/>
          <w:highlight w:val="none"/>
          <w:lang w:val="en-US" w:eastAsia="zh-CN"/>
        </w:rPr>
        <w:t>7</w:t>
      </w:r>
      <w:r>
        <w:rPr>
          <w:rFonts w:hint="eastAsia" w:ascii="仿宋" w:hAnsi="仿宋" w:eastAsia="仿宋" w:cs="仿宋"/>
          <w:color w:val="333333"/>
          <w:kern w:val="2"/>
          <w:highlight w:val="none"/>
          <w:lang w:eastAsia="zh-CN"/>
        </w:rPr>
        <w:t>日 10:00（北京时间）</w:t>
      </w:r>
    </w:p>
    <w:p w14:paraId="55B3F801">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投标地点：政府采购云平台（www.zcygov.cn）</w:t>
      </w:r>
    </w:p>
    <w:p w14:paraId="5A5A0A4A">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开标时间：2025年3月2</w:t>
      </w:r>
      <w:r>
        <w:rPr>
          <w:rFonts w:hint="eastAsia" w:ascii="仿宋" w:hAnsi="仿宋" w:eastAsia="仿宋" w:cs="仿宋"/>
          <w:color w:val="333333"/>
          <w:kern w:val="2"/>
          <w:highlight w:val="none"/>
          <w:lang w:val="en-US" w:eastAsia="zh-CN"/>
        </w:rPr>
        <w:t>7</w:t>
      </w:r>
      <w:r>
        <w:rPr>
          <w:rFonts w:hint="eastAsia" w:ascii="仿宋" w:hAnsi="仿宋" w:eastAsia="仿宋" w:cs="仿宋"/>
          <w:color w:val="333333"/>
          <w:kern w:val="2"/>
          <w:highlight w:val="none"/>
          <w:lang w:eastAsia="zh-CN"/>
        </w:rPr>
        <w:t>日 10:00（北京时间）</w:t>
      </w:r>
    </w:p>
    <w:p w14:paraId="4E27FE6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开标地点：在政府采购云平台（www.zcygov.cn）上开启投标文件</w:t>
      </w:r>
    </w:p>
    <w:p w14:paraId="2AD71D76">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五、公告期限</w:t>
      </w:r>
    </w:p>
    <w:p w14:paraId="11792099">
      <w:pPr>
        <w:pStyle w:val="16"/>
        <w:spacing w:before="75" w:after="75" w:line="240" w:lineRule="exact"/>
        <w:ind w:firstLine="420"/>
        <w:rPr>
          <w:rFonts w:ascii="仿宋" w:hAnsi="仿宋" w:eastAsia="仿宋" w:cs="仿宋"/>
          <w:lang w:eastAsia="zh-CN"/>
        </w:rPr>
      </w:pPr>
      <w:r>
        <w:rPr>
          <w:rFonts w:hint="eastAsia" w:ascii="仿宋" w:hAnsi="仿宋" w:eastAsia="仿宋" w:cs="仿宋"/>
          <w:color w:val="333333"/>
          <w:kern w:val="2"/>
          <w:lang w:eastAsia="zh-CN"/>
        </w:rPr>
        <w:t>自本公告发布之日起5个工作日。</w:t>
      </w:r>
      <w:r>
        <w:rPr>
          <w:rFonts w:hint="eastAsia" w:ascii="仿宋" w:hAnsi="仿宋" w:eastAsia="仿宋" w:cs="仿宋"/>
          <w:lang w:eastAsia="zh-CN"/>
        </w:rPr>
        <w:t> </w:t>
      </w:r>
    </w:p>
    <w:p w14:paraId="429A8E72">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六、其他补充事宜</w:t>
      </w:r>
    </w:p>
    <w:p w14:paraId="5D6D0EBC">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1、本项目实行网上投标，采用电子投标文件；</w:t>
      </w:r>
    </w:p>
    <w:p w14:paraId="511115F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003C376F">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E79D122">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4、供应商操作指南详见新疆政府采购网（http://www.ccgp-xinjiang.gov.cn）—办事指南—操作指南。</w:t>
      </w:r>
    </w:p>
    <w:p w14:paraId="57BACE8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特别提示：</w:t>
      </w:r>
    </w:p>
    <w:p w14:paraId="5C87FE9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33A35F86">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7AA77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7207802">
      <w:pPr>
        <w:pStyle w:val="16"/>
        <w:spacing w:before="75" w:after="75"/>
        <w:ind w:firstLine="420"/>
        <w:rPr>
          <w:rFonts w:ascii="黑体" w:eastAsia="黑体" w:cs="黑体"/>
          <w:b/>
          <w:bCs/>
          <w:color w:val="333333"/>
          <w:lang w:eastAsia="zh-CN"/>
        </w:rPr>
      </w:pPr>
      <w:r>
        <w:rPr>
          <w:rFonts w:hint="eastAsia" w:ascii="黑体" w:eastAsia="黑体" w:cs="黑体"/>
          <w:b/>
          <w:bCs/>
          <w:color w:val="333333"/>
          <w:lang w:eastAsia="zh-CN"/>
        </w:rPr>
        <w:t>七、对本次采购提出询问，请按以下方式联系</w:t>
      </w:r>
    </w:p>
    <w:p w14:paraId="07437666">
      <w:pPr>
        <w:pStyle w:val="16"/>
        <w:spacing w:before="75" w:after="75"/>
        <w:ind w:firstLine="420"/>
        <w:rPr>
          <w:rFonts w:ascii="仿宋" w:hAnsi="仿宋" w:eastAsia="仿宋" w:cs="仿宋"/>
          <w:lang w:eastAsia="zh-CN"/>
        </w:rPr>
      </w:pPr>
      <w:r>
        <w:rPr>
          <w:rFonts w:hint="eastAsia" w:ascii="仿宋" w:hAnsi="仿宋" w:eastAsia="仿宋" w:cs="仿宋"/>
          <w:lang w:eastAsia="zh-CN"/>
        </w:rPr>
        <w:t>1.采购人信息</w:t>
      </w:r>
    </w:p>
    <w:p w14:paraId="637B269E">
      <w:pPr>
        <w:pStyle w:val="16"/>
        <w:spacing w:before="75" w:after="75"/>
        <w:ind w:firstLine="420"/>
        <w:rPr>
          <w:rFonts w:ascii="仿宋" w:hAnsi="仿宋" w:eastAsia="仿宋" w:cs="仿宋"/>
          <w:lang w:eastAsia="zh-CN"/>
        </w:rPr>
      </w:pPr>
      <w:r>
        <w:rPr>
          <w:rFonts w:hint="eastAsia" w:ascii="仿宋" w:hAnsi="仿宋" w:eastAsia="仿宋" w:cs="仿宋"/>
          <w:lang w:eastAsia="zh-CN"/>
        </w:rPr>
        <w:t xml:space="preserve">名 称：巴里坤哈萨克自治县三塘湖工业园区管理委员会 </w:t>
      </w:r>
    </w:p>
    <w:p w14:paraId="70B79E63">
      <w:pPr>
        <w:pStyle w:val="16"/>
        <w:spacing w:before="75" w:after="75"/>
        <w:ind w:firstLine="420"/>
        <w:rPr>
          <w:rFonts w:ascii="仿宋" w:hAnsi="仿宋" w:eastAsia="仿宋" w:cs="仿宋"/>
          <w:lang w:eastAsia="zh-CN"/>
        </w:rPr>
      </w:pPr>
      <w:r>
        <w:rPr>
          <w:rFonts w:hint="eastAsia" w:ascii="仿宋" w:hAnsi="仿宋" w:eastAsia="仿宋" w:cs="仿宋"/>
          <w:lang w:eastAsia="zh-CN"/>
        </w:rPr>
        <w:t>地 址：巴里坤县</w:t>
      </w:r>
    </w:p>
    <w:p w14:paraId="3DEE4674">
      <w:pPr>
        <w:pStyle w:val="16"/>
        <w:spacing w:before="75" w:after="75"/>
        <w:ind w:firstLine="420"/>
        <w:rPr>
          <w:rFonts w:ascii="仿宋" w:hAnsi="仿宋" w:eastAsia="仿宋" w:cs="仿宋"/>
          <w:lang w:eastAsia="zh-CN"/>
        </w:rPr>
      </w:pPr>
      <w:r>
        <w:rPr>
          <w:rFonts w:hint="eastAsia" w:ascii="仿宋" w:hAnsi="仿宋" w:eastAsia="仿宋" w:cs="仿宋"/>
          <w:lang w:eastAsia="zh-CN"/>
        </w:rPr>
        <w:t>联系电话：18509020422</w:t>
      </w:r>
    </w:p>
    <w:p w14:paraId="3181243A">
      <w:pPr>
        <w:pStyle w:val="16"/>
        <w:spacing w:before="75" w:after="75"/>
        <w:ind w:firstLine="420"/>
        <w:rPr>
          <w:rFonts w:ascii="仿宋" w:hAnsi="仿宋" w:eastAsia="仿宋" w:cs="仿宋"/>
          <w:lang w:eastAsia="zh-CN"/>
        </w:rPr>
      </w:pPr>
      <w:r>
        <w:rPr>
          <w:rFonts w:hint="eastAsia" w:ascii="仿宋" w:hAnsi="仿宋" w:eastAsia="仿宋" w:cs="仿宋"/>
          <w:lang w:eastAsia="zh-CN"/>
        </w:rPr>
        <w:t>2.采购代理机构信息</w:t>
      </w:r>
    </w:p>
    <w:p w14:paraId="6CC63C93">
      <w:pPr>
        <w:pStyle w:val="16"/>
        <w:spacing w:before="75" w:after="75"/>
        <w:ind w:firstLine="420"/>
        <w:rPr>
          <w:rFonts w:ascii="仿宋" w:hAnsi="仿宋" w:eastAsia="仿宋" w:cs="仿宋"/>
          <w:lang w:eastAsia="zh-CN"/>
        </w:rPr>
      </w:pPr>
      <w:r>
        <w:rPr>
          <w:rFonts w:hint="eastAsia" w:ascii="仿宋" w:hAnsi="仿宋" w:eastAsia="仿宋" w:cs="仿宋"/>
          <w:lang w:eastAsia="zh-CN"/>
        </w:rPr>
        <w:t>名 称：新疆德鸿项目管理咨询有限公司</w:t>
      </w:r>
    </w:p>
    <w:p w14:paraId="30085FF9">
      <w:pPr>
        <w:pStyle w:val="16"/>
        <w:spacing w:before="75" w:after="75"/>
        <w:ind w:firstLine="420"/>
        <w:rPr>
          <w:rFonts w:ascii="仿宋" w:hAnsi="仿宋" w:eastAsia="仿宋" w:cs="仿宋"/>
          <w:lang w:eastAsia="zh-CN"/>
        </w:rPr>
      </w:pPr>
      <w:r>
        <w:rPr>
          <w:rFonts w:hint="eastAsia" w:ascii="仿宋" w:hAnsi="仿宋" w:eastAsia="仿宋" w:cs="仿宋"/>
          <w:lang w:eastAsia="zh-CN"/>
        </w:rPr>
        <w:t>地 址：新疆哈密市向阳东路东延源泉小区旁小二楼2-20 </w:t>
      </w:r>
    </w:p>
    <w:p w14:paraId="0016EA0A">
      <w:pPr>
        <w:pStyle w:val="16"/>
        <w:spacing w:before="75" w:after="75"/>
        <w:ind w:firstLine="420"/>
        <w:rPr>
          <w:rFonts w:ascii="仿宋" w:hAnsi="仿宋" w:eastAsia="仿宋" w:cs="仿宋"/>
          <w:lang w:eastAsia="zh-CN"/>
        </w:rPr>
      </w:pPr>
      <w:r>
        <w:rPr>
          <w:rFonts w:hint="eastAsia" w:ascii="仿宋" w:hAnsi="仿宋" w:eastAsia="仿宋" w:cs="仿宋"/>
          <w:lang w:eastAsia="zh-CN"/>
        </w:rPr>
        <w:t>联系方式：苟雅丽</w:t>
      </w:r>
    </w:p>
    <w:p w14:paraId="17E1EBDC">
      <w:pPr>
        <w:pStyle w:val="16"/>
        <w:spacing w:before="75" w:after="75"/>
        <w:ind w:firstLine="420"/>
        <w:rPr>
          <w:rFonts w:ascii="仿宋" w:hAnsi="仿宋" w:eastAsia="仿宋" w:cs="仿宋"/>
          <w:szCs w:val="21"/>
          <w:lang w:eastAsia="zh-CN"/>
        </w:rPr>
      </w:pPr>
      <w:r>
        <w:rPr>
          <w:rFonts w:hint="eastAsia" w:ascii="仿宋" w:hAnsi="仿宋" w:eastAsia="仿宋" w:cs="仿宋"/>
          <w:lang w:eastAsia="zh-CN"/>
        </w:rPr>
        <w:t xml:space="preserve">联系电话：0902-6996999    </w:t>
      </w:r>
      <w:r>
        <w:rPr>
          <w:rFonts w:hint="eastAsia" w:ascii="仿宋" w:hAnsi="仿宋" w:eastAsia="仿宋" w:cs="仿宋"/>
          <w:szCs w:val="21"/>
          <w:lang w:eastAsia="zh-CN"/>
        </w:rPr>
        <w:t xml:space="preserve">   </w:t>
      </w:r>
    </w:p>
    <w:p w14:paraId="1F162B65">
      <w:pPr>
        <w:rPr>
          <w:rFonts w:ascii="仿宋" w:hAnsi="仿宋" w:eastAsia="仿宋" w:cs="仿宋"/>
          <w:color w:val="000000" w:themeColor="text1"/>
          <w:lang w:eastAsia="zh-CN"/>
          <w14:textFill>
            <w14:solidFill>
              <w14:schemeClr w14:val="tx1"/>
            </w14:solidFill>
          </w14:textFill>
        </w:rPr>
      </w:pPr>
    </w:p>
    <w:p w14:paraId="7872E0F6">
      <w:pPr>
        <w:rPr>
          <w:rFonts w:ascii="仿宋" w:hAnsi="仿宋" w:eastAsia="仿宋" w:cs="仿宋"/>
          <w:color w:val="000000" w:themeColor="text1"/>
          <w:lang w:eastAsia="zh-CN"/>
          <w14:textFill>
            <w14:solidFill>
              <w14:schemeClr w14:val="tx1"/>
            </w14:solidFill>
          </w14:textFill>
        </w:rPr>
      </w:pPr>
    </w:p>
    <w:p w14:paraId="79F5A593">
      <w:pPr>
        <w:rPr>
          <w:rFonts w:ascii="仿宋" w:hAnsi="仿宋" w:eastAsia="仿宋" w:cs="仿宋"/>
          <w:color w:val="000000" w:themeColor="text1"/>
          <w:lang w:eastAsia="zh-CN"/>
          <w14:textFill>
            <w14:solidFill>
              <w14:schemeClr w14:val="tx1"/>
            </w14:solidFill>
          </w14:textFill>
        </w:rPr>
      </w:pPr>
    </w:p>
    <w:p w14:paraId="421256DF">
      <w:pPr>
        <w:jc w:val="center"/>
        <w:rPr>
          <w:rFonts w:ascii="仿宋" w:hAnsi="仿宋" w:eastAsia="仿宋" w:cs="仿宋"/>
          <w:color w:val="000000" w:themeColor="text1"/>
          <w:sz w:val="32"/>
          <w:szCs w:val="32"/>
          <w:lang w:eastAsia="zh-CN"/>
          <w14:textFill>
            <w14:solidFill>
              <w14:schemeClr w14:val="tx1"/>
            </w14:solidFill>
          </w14:textFill>
        </w:rPr>
      </w:pPr>
    </w:p>
    <w:p w14:paraId="460B93B4">
      <w:pPr>
        <w:jc w:val="both"/>
        <w:rPr>
          <w:rFonts w:ascii="仿宋" w:hAnsi="仿宋" w:eastAsia="仿宋" w:cs="仿宋"/>
          <w:color w:val="000000" w:themeColor="text1"/>
          <w:sz w:val="32"/>
          <w:szCs w:val="32"/>
          <w:lang w:eastAsia="zh-CN"/>
          <w14:textFill>
            <w14:solidFill>
              <w14:schemeClr w14:val="tx1"/>
            </w14:solidFill>
          </w14:textFill>
        </w:rPr>
      </w:pPr>
    </w:p>
    <w:p w14:paraId="68318E7F">
      <w:pPr>
        <w:jc w:val="center"/>
        <w:rPr>
          <w:rFonts w:hint="eastAsia" w:ascii="仿宋" w:hAnsi="仿宋" w:eastAsia="仿宋" w:cs="仿宋"/>
          <w:color w:val="000000" w:themeColor="text1"/>
          <w:sz w:val="32"/>
          <w:szCs w:val="32"/>
          <w:lang w:eastAsia="zh-CN"/>
          <w14:textFill>
            <w14:solidFill>
              <w14:schemeClr w14:val="tx1"/>
            </w14:solidFill>
          </w14:textFill>
        </w:rPr>
      </w:pPr>
    </w:p>
    <w:p w14:paraId="0C9F7AED">
      <w:pPr>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第二部分  供应商须知</w:t>
      </w:r>
    </w:p>
    <w:p w14:paraId="6F52B4D2">
      <w:pPr>
        <w:pStyle w:val="45"/>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19"/>
        <w:tblW w:w="9025" w:type="dxa"/>
        <w:jc w:val="center"/>
        <w:tblLayout w:type="fixed"/>
        <w:tblCellMar>
          <w:top w:w="0" w:type="dxa"/>
          <w:left w:w="108" w:type="dxa"/>
          <w:bottom w:w="0" w:type="dxa"/>
          <w:right w:w="108" w:type="dxa"/>
        </w:tblCellMar>
      </w:tblPr>
      <w:tblGrid>
        <w:gridCol w:w="712"/>
        <w:gridCol w:w="1550"/>
        <w:gridCol w:w="6763"/>
      </w:tblGrid>
      <w:tr w14:paraId="28440A79">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1D913E6">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vAlign w:val="center"/>
          </w:tcPr>
          <w:p w14:paraId="1474B5C6">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vAlign w:val="center"/>
          </w:tcPr>
          <w:p w14:paraId="6E82B89E">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0D5E415E">
        <w:tblPrEx>
          <w:tblCellMar>
            <w:top w:w="0" w:type="dxa"/>
            <w:left w:w="108" w:type="dxa"/>
            <w:bottom w:w="0" w:type="dxa"/>
            <w:right w:w="108" w:type="dxa"/>
          </w:tblCellMar>
        </w:tblPrEx>
        <w:trPr>
          <w:trHeight w:val="27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D799E9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vAlign w:val="center"/>
          </w:tcPr>
          <w:p w14:paraId="70C64C6D">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项目名称</w:t>
            </w:r>
          </w:p>
          <w:p w14:paraId="4F98F0F3">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项目编号</w:t>
            </w:r>
          </w:p>
          <w:p w14:paraId="19534A30">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采购内容  </w:t>
            </w:r>
          </w:p>
          <w:p w14:paraId="61A7BD60">
            <w:pPr>
              <w:spacing w:line="360" w:lineRule="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w:t>
            </w:r>
          </w:p>
          <w:p w14:paraId="46C2AB6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付款方式</w:t>
            </w:r>
          </w:p>
        </w:tc>
        <w:tc>
          <w:tcPr>
            <w:tcW w:w="6763" w:type="dxa"/>
            <w:tcBorders>
              <w:top w:val="single" w:color="auto" w:sz="4" w:space="0"/>
              <w:left w:val="single" w:color="auto" w:sz="4" w:space="0"/>
              <w:bottom w:val="single" w:color="auto" w:sz="4" w:space="0"/>
              <w:right w:val="single" w:color="auto" w:sz="4" w:space="0"/>
            </w:tcBorders>
            <w:vAlign w:val="center"/>
          </w:tcPr>
          <w:p w14:paraId="2A09D9F2">
            <w:pPr>
              <w:spacing w:line="36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项目名称：巴里坤县智慧指挥中心基础设施建设（一标段）</w:t>
            </w:r>
          </w:p>
          <w:p w14:paraId="31612FC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项目编号：XJDH【2025】-H001</w:t>
            </w:r>
          </w:p>
          <w:p w14:paraId="1ABCA782">
            <w:pPr>
              <w:pageBreakBefore/>
              <w:spacing w:line="360" w:lineRule="auto"/>
              <w:outlineLvl w:val="0"/>
              <w:rPr>
                <w:rFonts w:ascii="仿宋" w:hAnsi="仿宋" w:eastAsia="仿宋" w:cs="仿宋"/>
                <w:color w:val="333333"/>
                <w:kern w:val="2"/>
                <w:sz w:val="21"/>
                <w:szCs w:val="21"/>
                <w:highlight w:val="none"/>
                <w:lang w:eastAsia="zh-CN"/>
              </w:rPr>
            </w:pPr>
            <w:r>
              <w:rPr>
                <w:rFonts w:hint="eastAsia" w:ascii="仿宋" w:hAnsi="仿宋" w:eastAsia="仿宋" w:cs="仿宋"/>
                <w:color w:val="000000" w:themeColor="text1"/>
                <w:sz w:val="21"/>
                <w:szCs w:val="21"/>
                <w:highlight w:val="none"/>
                <w:lang w:eastAsia="zh-CN"/>
                <w14:textFill>
                  <w14:solidFill>
                    <w14:schemeClr w14:val="tx1"/>
                  </w14:solidFill>
                </w14:textFill>
              </w:rPr>
              <w:t>采购内容：包括指挥中心配套建设、化工园区智能管控软件平台建设、化工园区配套建设等内容</w:t>
            </w:r>
            <w:r>
              <w:rPr>
                <w:rFonts w:hint="eastAsia" w:ascii="仿宋" w:hAnsi="仿宋" w:eastAsia="仿宋" w:cs="仿宋"/>
                <w:color w:val="333333"/>
                <w:kern w:val="2"/>
                <w:sz w:val="21"/>
                <w:szCs w:val="21"/>
                <w:highlight w:val="none"/>
                <w:lang w:eastAsia="zh-CN"/>
              </w:rPr>
              <w:t>。</w:t>
            </w:r>
            <w:r>
              <w:rPr>
                <w:rFonts w:hint="eastAsia" w:ascii="仿宋" w:hAnsi="仿宋" w:eastAsia="仿宋" w:cs="仿宋"/>
                <w:color w:val="000000" w:themeColor="text1"/>
                <w:sz w:val="21"/>
                <w:szCs w:val="21"/>
                <w:highlight w:val="none"/>
                <w:lang w:eastAsia="zh-CN"/>
                <w14:textFill>
                  <w14:solidFill>
                    <w14:schemeClr w14:val="tx1"/>
                  </w14:solidFill>
                </w14:textFill>
              </w:rPr>
              <w:t>具体详见第四章 技术规格、数量及质量要求。</w:t>
            </w:r>
          </w:p>
          <w:p w14:paraId="1B2DFFBB">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5个月，</w:t>
            </w:r>
            <w:r>
              <w:rPr>
                <w:rFonts w:hint="eastAsia" w:ascii="仿宋" w:hAnsi="仿宋" w:eastAsia="仿宋" w:cs="仿宋"/>
                <w:color w:val="auto"/>
                <w:sz w:val="21"/>
                <w:szCs w:val="21"/>
                <w:highlight w:val="none"/>
                <w:lang w:eastAsia="zh-CN"/>
              </w:rPr>
              <w:t>截至</w:t>
            </w:r>
            <w:r>
              <w:rPr>
                <w:rFonts w:hint="eastAsia" w:ascii="仿宋" w:hAnsi="仿宋" w:eastAsia="仿宋" w:cs="仿宋"/>
                <w:color w:val="auto"/>
                <w:sz w:val="21"/>
                <w:szCs w:val="21"/>
                <w:highlight w:val="none"/>
                <w:lang w:val="en-US" w:eastAsia="zh-CN"/>
              </w:rPr>
              <w:t>到</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sz w:val="21"/>
                <w:szCs w:val="21"/>
                <w:highlight w:val="none"/>
                <w:lang w:val="en-US" w:eastAsia="zh-CN"/>
              </w:rPr>
              <w:t>完成</w:t>
            </w:r>
            <w:r>
              <w:rPr>
                <w:rFonts w:hint="eastAsia" w:ascii="仿宋" w:hAnsi="仿宋" w:eastAsia="仿宋" w:cs="仿宋"/>
                <w:color w:val="auto"/>
                <w:sz w:val="21"/>
                <w:szCs w:val="21"/>
                <w:highlight w:val="none"/>
                <w:lang w:eastAsia="zh-CN"/>
              </w:rPr>
              <w:t>供货安装</w:t>
            </w:r>
            <w:r>
              <w:rPr>
                <w:rFonts w:hint="eastAsia" w:ascii="仿宋" w:hAnsi="仿宋" w:eastAsia="仿宋" w:cs="仿宋"/>
                <w:color w:val="auto"/>
                <w:sz w:val="21"/>
                <w:szCs w:val="21"/>
                <w:highlight w:val="none"/>
                <w:lang w:val="en-US" w:eastAsia="zh-CN"/>
              </w:rPr>
              <w:t>及调试完毕进入试运行阶段，若未能按时完成扣除履约保证金</w:t>
            </w:r>
            <w:r>
              <w:rPr>
                <w:rFonts w:hint="eastAsia" w:ascii="仿宋" w:hAnsi="仿宋" w:eastAsia="仿宋" w:cs="仿宋"/>
                <w:color w:val="auto"/>
                <w:sz w:val="21"/>
                <w:szCs w:val="21"/>
                <w:highlight w:val="none"/>
                <w:lang w:eastAsia="zh-CN"/>
              </w:rPr>
              <w:t>。</w:t>
            </w:r>
          </w:p>
          <w:p w14:paraId="1C89C267">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付款方式：签订合同后7日内,甲方向乙方支付货款的30%,货物现场交货验收后,甲方向乙方支付至货款的80%,货物安装调试完成后，甲方向乙方支付至货款的100%。</w:t>
            </w:r>
          </w:p>
        </w:tc>
      </w:tr>
      <w:tr w14:paraId="58783E6F">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51530F0">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vAlign w:val="center"/>
          </w:tcPr>
          <w:p w14:paraId="74981D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vAlign w:val="center"/>
          </w:tcPr>
          <w:p w14:paraId="6298D6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名  称：巴里坤哈萨克自治县三塘湖工业园区管理委员会 </w:t>
            </w:r>
          </w:p>
          <w:p w14:paraId="50B1DFD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联系人：李磊      电  话：18509020422</w:t>
            </w:r>
          </w:p>
        </w:tc>
      </w:tr>
      <w:tr w14:paraId="517B6C4C">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7A00CF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vAlign w:val="center"/>
          </w:tcPr>
          <w:p w14:paraId="6843E94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vAlign w:val="center"/>
          </w:tcPr>
          <w:p w14:paraId="65DC89B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称：新疆德鸿项目管理咨询有限公司</w:t>
            </w:r>
          </w:p>
          <w:p w14:paraId="2A46DE6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址：新疆哈密市向阳东路东延源泉小区旁小二楼2-20 </w:t>
            </w:r>
          </w:p>
          <w:p w14:paraId="4B2A058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联系人：苟雅丽       电  话：0902-6996999</w:t>
            </w:r>
          </w:p>
        </w:tc>
      </w:tr>
      <w:tr w14:paraId="3EDD7505">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89520E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vAlign w:val="center"/>
          </w:tcPr>
          <w:p w14:paraId="5FFF14B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vAlign w:val="center"/>
          </w:tcPr>
          <w:p w14:paraId="32293163">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哈密市巴里坤县三塘湖工业园区条湖区</w:t>
            </w:r>
          </w:p>
        </w:tc>
      </w:tr>
      <w:tr w14:paraId="48B29A27">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D44C9A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vAlign w:val="center"/>
          </w:tcPr>
          <w:p w14:paraId="48D5701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vAlign w:val="center"/>
          </w:tcPr>
          <w:p w14:paraId="41939E26">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1.满足《中华人民共和国政府采购法》第二十二条规定；</w:t>
            </w:r>
          </w:p>
          <w:p w14:paraId="7EFC3FE3">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2.落实政府采购政策需满足的资格要求：本项目为非专门面向中小企业，根据《政府采购促进中小企业发展管理办法》（财库【2020】46号）的规定</w:t>
            </w:r>
            <w:r>
              <w:rPr>
                <w:rFonts w:hint="eastAsia" w:ascii="仿宋" w:hAnsi="仿宋" w:eastAsia="仿宋" w:cs="仿宋"/>
                <w:color w:val="000000" w:themeColor="text1"/>
                <w:kern w:val="2"/>
                <w:sz w:val="21"/>
                <w:szCs w:val="21"/>
                <w:lang w:eastAsia="zh-CN"/>
                <w14:textFill>
                  <w14:solidFill>
                    <w14:schemeClr w14:val="tx1"/>
                  </w14:solidFill>
                </w14:textFill>
              </w:rPr>
              <w:t>，评标时将给予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000000" w:themeColor="text1"/>
                <w:kern w:val="2"/>
                <w:sz w:val="21"/>
                <w:szCs w:val="21"/>
                <w:lang w:eastAsia="zh-CN"/>
                <w14:textFill>
                  <w14:solidFill>
                    <w14:schemeClr w14:val="tx1"/>
                  </w14:solidFill>
                </w14:textFill>
              </w:rPr>
              <w:t>进行价格扣除10%的优惠，</w:t>
            </w:r>
            <w:r>
              <w:rPr>
                <w:rFonts w:hint="eastAsia" w:ascii="仿宋" w:hAnsi="仿宋" w:eastAsia="仿宋" w:cs="仿宋"/>
                <w:color w:val="333333"/>
                <w:kern w:val="2"/>
                <w:sz w:val="21"/>
                <w:szCs w:val="21"/>
                <w:lang w:eastAsia="zh-CN"/>
              </w:rPr>
              <w:t>用优惠后的价格参与评审。</w:t>
            </w:r>
          </w:p>
          <w:p w14:paraId="3C46B8D6">
            <w:pPr>
              <w:pStyle w:val="16"/>
              <w:spacing w:before="75" w:after="75"/>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3.本项目的特定资格要求：</w:t>
            </w:r>
          </w:p>
          <w:p w14:paraId="1B67B049">
            <w:pPr>
              <w:spacing w:line="440" w:lineRule="exact"/>
              <w:rPr>
                <w:rFonts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（1）</w:t>
            </w:r>
            <w:bookmarkStart w:id="0" w:name="_Hlk144572012"/>
            <w:r>
              <w:rPr>
                <w:rFonts w:hint="eastAsia" w:ascii="仿宋" w:hAnsi="仿宋" w:eastAsia="仿宋" w:cs="仿宋"/>
                <w:color w:val="000000" w:themeColor="text1"/>
                <w:kern w:val="2"/>
                <w:sz w:val="21"/>
                <w:szCs w:val="21"/>
                <w:lang w:eastAsia="zh-CN"/>
                <w14:textFill>
                  <w14:solidFill>
                    <w14:schemeClr w14:val="tx1"/>
                  </w14:solidFill>
                </w14:textFill>
              </w:rPr>
              <w:t>单位负责人为同一人或者存在直接控股、管理关系的不同供应商，不得参加同一合同下的政府采购活动；</w:t>
            </w:r>
          </w:p>
          <w:bookmarkEnd w:id="0"/>
          <w:p w14:paraId="3C6E74EC">
            <w:pPr>
              <w:spacing w:line="440" w:lineRule="exact"/>
              <w:rPr>
                <w:rFonts w:ascii="仿宋" w:hAnsi="仿宋" w:eastAsia="仿宋" w:cs="仿宋"/>
                <w:color w:val="333333"/>
                <w:kern w:val="2"/>
                <w:sz w:val="21"/>
                <w:szCs w:val="21"/>
                <w:highlight w:val="yellow"/>
                <w:lang w:eastAsia="zh-CN"/>
              </w:rPr>
            </w:pPr>
            <w:r>
              <w:rPr>
                <w:rFonts w:hint="eastAsia" w:ascii="仿宋" w:hAnsi="仿宋" w:eastAsia="仿宋" w:cs="仿宋"/>
                <w:color w:val="333333"/>
                <w:kern w:val="2"/>
                <w:sz w:val="21"/>
                <w:szCs w:val="21"/>
                <w:highlight w:val="none"/>
                <w:lang w:eastAsia="zh-CN"/>
              </w:rPr>
              <w:t>（2）未被列入中国执行信息公开网（http://zxgk.court.gov.cn/shixin/）失信被执行人名单、信用中国网站（www.creditchina.gov.cn）</w:t>
            </w:r>
            <w:r>
              <w:rPr>
                <w:rFonts w:hint="eastAsia" w:ascii="仿宋" w:hAnsi="仿宋" w:eastAsia="仿宋" w:cs="仿宋"/>
                <w:color w:val="333333"/>
                <w:kern w:val="2"/>
                <w:sz w:val="21"/>
                <w:szCs w:val="21"/>
                <w:highlight w:val="none"/>
                <w:lang w:val="zh-CN" w:eastAsia="zh-CN"/>
              </w:rPr>
              <w:t>重大税收违法</w:t>
            </w:r>
            <w:r>
              <w:rPr>
                <w:rFonts w:hint="eastAsia" w:ascii="仿宋" w:hAnsi="仿宋" w:eastAsia="仿宋" w:cs="仿宋"/>
                <w:color w:val="333333"/>
                <w:kern w:val="2"/>
                <w:sz w:val="21"/>
                <w:szCs w:val="21"/>
                <w:highlight w:val="none"/>
                <w:lang w:eastAsia="zh-CN"/>
              </w:rPr>
              <w:t>失信主体和中国政府采购网（www.ccgp.gov.cn）政府采购严重违法失信行为记录名单；（如投标单位提供信用截图在评标过程中有争议，以招标代理机构或评标委员会成员现场查询截图为准）</w:t>
            </w:r>
          </w:p>
          <w:p w14:paraId="08D2A59F">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（3）投标单位（供应商）针对本次采购项目《反商业贿赂承诺书》的书面声明。</w:t>
            </w:r>
          </w:p>
        </w:tc>
      </w:tr>
      <w:tr w14:paraId="2D45201A">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5B9077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vAlign w:val="center"/>
          </w:tcPr>
          <w:p w14:paraId="65D858A4">
            <w:pPr>
              <w:spacing w:line="360" w:lineRule="auto"/>
              <w:rPr>
                <w:rFonts w:ascii="仿宋" w:hAnsi="仿宋" w:eastAsia="仿宋" w:cs="仿宋"/>
                <w:color w:val="000000" w:themeColor="text1"/>
                <w:sz w:val="21"/>
                <w:szCs w:val="21"/>
                <w:highlight w:val="yellow"/>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vAlign w:val="center"/>
          </w:tcPr>
          <w:p w14:paraId="7ACD17B6">
            <w:pPr>
              <w:spacing w:line="360" w:lineRule="auto"/>
              <w:rPr>
                <w:rFonts w:ascii="仿宋" w:hAnsi="仿宋" w:eastAsia="仿宋" w:cs="仿宋"/>
                <w:color w:val="000000" w:themeColor="text1"/>
                <w:sz w:val="21"/>
                <w:szCs w:val="21"/>
                <w:highlight w:val="yellow"/>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一般债券资金及县财政配套资金</w:t>
            </w:r>
          </w:p>
        </w:tc>
      </w:tr>
      <w:tr w14:paraId="6A852D1D">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5DAF54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vAlign w:val="center"/>
          </w:tcPr>
          <w:p w14:paraId="117784E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vAlign w:val="center"/>
          </w:tcPr>
          <w:p w14:paraId="5232F6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14:paraId="7BEF8E35">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33BA6F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vAlign w:val="center"/>
          </w:tcPr>
          <w:p w14:paraId="3BE9715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vAlign w:val="center"/>
          </w:tcPr>
          <w:p w14:paraId="4FFF3698">
            <w:pPr>
              <w:numPr>
                <w:ilvl w:val="0"/>
                <w:numId w:val="4"/>
              </w:numPr>
              <w:spacing w:line="360" w:lineRule="auto"/>
              <w:rPr>
                <w:rFonts w:ascii="仿宋" w:hAnsi="仿宋" w:eastAsia="仿宋" w:cs="仿宋"/>
                <w:color w:val="333333"/>
                <w:kern w:val="2"/>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查询渠道：</w:t>
            </w:r>
            <w:r>
              <w:rPr>
                <w:rFonts w:hint="eastAsia" w:ascii="仿宋" w:hAnsi="仿宋" w:eastAsia="仿宋" w:cs="仿宋"/>
                <w:color w:val="333333"/>
                <w:kern w:val="2"/>
                <w:sz w:val="21"/>
                <w:szCs w:val="21"/>
                <w:lang w:eastAsia="zh-CN"/>
              </w:rPr>
              <w:t>中国执行信息公开（http://zxgk.court.gov.cn/shixin/）</w:t>
            </w:r>
          </w:p>
          <w:p w14:paraId="4497A5A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信用中国（网址：http://www.creditchina.gov.cn）、中国政府采购网(网址：http://www.ccgp.gov.cn）。</w:t>
            </w:r>
          </w:p>
          <w:p w14:paraId="7C1A5C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14:paraId="76356B9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14:paraId="3A5860B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、使用规则：对列入失信被执行人、</w:t>
            </w:r>
            <w:r>
              <w:rPr>
                <w:rFonts w:hint="eastAsia" w:ascii="仿宋" w:hAnsi="仿宋" w:eastAsia="仿宋" w:cs="仿宋"/>
                <w:color w:val="333333"/>
                <w:kern w:val="2"/>
                <w:sz w:val="21"/>
                <w:szCs w:val="21"/>
                <w:lang w:val="zh-CN" w:eastAsia="zh-CN"/>
              </w:rPr>
              <w:t>重大税收违法</w:t>
            </w:r>
            <w:r>
              <w:rPr>
                <w:rFonts w:hint="eastAsia" w:ascii="仿宋" w:hAnsi="仿宋" w:eastAsia="仿宋" w:cs="仿宋"/>
                <w:color w:val="333333"/>
                <w:kern w:val="2"/>
                <w:sz w:val="21"/>
                <w:szCs w:val="21"/>
                <w:lang w:eastAsia="zh-CN"/>
              </w:rPr>
              <w:t>失信主体</w:t>
            </w:r>
            <w:r>
              <w:rPr>
                <w:rFonts w:hint="eastAsia" w:ascii="仿宋" w:hAnsi="仿宋" w:eastAsia="仿宋" w:cs="仿宋"/>
                <w:color w:val="000000" w:themeColor="text1"/>
                <w:sz w:val="21"/>
                <w:szCs w:val="21"/>
                <w:lang w:eastAsia="zh-CN"/>
                <w14:textFill>
                  <w14:solidFill>
                    <w14:schemeClr w14:val="tx1"/>
                  </w14:solidFill>
                </w14:textFill>
              </w:rPr>
              <w:t>、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62A1A26">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D59FD8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vAlign w:val="center"/>
          </w:tcPr>
          <w:p w14:paraId="34C1F6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vAlign w:val="center"/>
          </w:tcPr>
          <w:p w14:paraId="69192EE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14:paraId="4260CCF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14:paraId="6770375A">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6A78E2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vAlign w:val="center"/>
          </w:tcPr>
          <w:p w14:paraId="7D025A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vAlign w:val="center"/>
          </w:tcPr>
          <w:p w14:paraId="73F5BB9D">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截止时间：2025年3月 2</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lang w:eastAsia="zh-CN"/>
                <w14:textFill>
                  <w14:solidFill>
                    <w14:schemeClr w14:val="tx1"/>
                  </w14:solidFill>
                </w14:textFill>
              </w:rPr>
              <w:t>日上午10时00分（北京时间）</w:t>
            </w:r>
          </w:p>
        </w:tc>
      </w:tr>
      <w:tr w14:paraId="3AB8D630">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4C4F3F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vAlign w:val="center"/>
          </w:tcPr>
          <w:p w14:paraId="284C241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vAlign w:val="center"/>
          </w:tcPr>
          <w:p w14:paraId="3374F9C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60 天</w:t>
            </w:r>
          </w:p>
        </w:tc>
      </w:tr>
      <w:tr w14:paraId="5FA62624">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26137C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vAlign w:val="center"/>
          </w:tcPr>
          <w:p w14:paraId="2532B1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vAlign w:val="center"/>
          </w:tcPr>
          <w:p w14:paraId="0192DA8B">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投标保证金要求：</w:t>
            </w:r>
          </w:p>
          <w:p w14:paraId="47D356A8">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投标保证金交纳方式：投标保证金应当以支票、汇票、本票、网上银行支付或者金融机构、担保机构出具的保函等非现金形式交纳。</w:t>
            </w:r>
          </w:p>
          <w:p w14:paraId="26816C96">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投标保证金的金额：</w:t>
            </w:r>
            <w:r>
              <w:rPr>
                <w:rFonts w:hint="eastAsia" w:ascii="仿宋" w:hAnsi="仿宋" w:eastAsia="仿宋" w:cs="仿宋"/>
                <w:color w:val="000000" w:themeColor="text1"/>
                <w:sz w:val="21"/>
                <w:szCs w:val="21"/>
                <w:highlight w:val="none"/>
                <w:lang w:val="en-US" w:eastAsia="zh-CN"/>
                <w14:textFill>
                  <w14:solidFill>
                    <w14:schemeClr w14:val="tx1"/>
                  </w14:solidFill>
                </w14:textFill>
              </w:rPr>
              <w:t>80</w:t>
            </w:r>
            <w:r>
              <w:rPr>
                <w:rFonts w:hint="eastAsia" w:ascii="仿宋" w:hAnsi="仿宋" w:eastAsia="仿宋" w:cs="仿宋"/>
                <w:color w:val="000000" w:themeColor="text1"/>
                <w:sz w:val="21"/>
                <w:szCs w:val="21"/>
                <w:highlight w:val="none"/>
                <w:lang w:eastAsia="zh-CN"/>
                <w14:textFill>
                  <w14:solidFill>
                    <w14:schemeClr w14:val="tx1"/>
                  </w14:solidFill>
                </w14:textFill>
              </w:rPr>
              <w:t>0000元（大写：</w:t>
            </w:r>
            <w:r>
              <w:rPr>
                <w:rFonts w:hint="eastAsia" w:ascii="仿宋" w:hAnsi="仿宋" w:eastAsia="仿宋" w:cs="仿宋"/>
                <w:color w:val="000000" w:themeColor="text1"/>
                <w:sz w:val="21"/>
                <w:szCs w:val="21"/>
                <w:highlight w:val="none"/>
                <w:lang w:val="en-US" w:eastAsia="zh-CN"/>
                <w14:textFill>
                  <w14:solidFill>
                    <w14:schemeClr w14:val="tx1"/>
                  </w14:solidFill>
                </w14:textFill>
              </w:rPr>
              <w:t>捌拾万元整</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62C8AD41">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投标保证金交纳要求：</w:t>
            </w:r>
          </w:p>
          <w:p w14:paraId="3FB3BD0B">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auto"/>
                <w:sz w:val="21"/>
                <w:szCs w:val="21"/>
                <w:highlight w:val="none"/>
                <w:lang w:eastAsia="zh-CN"/>
              </w:rPr>
              <w:t>、投标保证金以电汇、网银等转账形式提交的，应在投标截止时间2025年 3 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午1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0分（北京时间）前以总公司的基本账户一次性汇</w:t>
            </w:r>
            <w:r>
              <w:rPr>
                <w:rFonts w:hint="eastAsia" w:ascii="仿宋" w:hAnsi="仿宋" w:eastAsia="仿宋" w:cs="仿宋"/>
                <w:color w:val="000000" w:themeColor="text1"/>
                <w:sz w:val="21"/>
                <w:szCs w:val="21"/>
                <w:highlight w:val="none"/>
                <w:lang w:eastAsia="zh-CN"/>
                <w14:textFill>
                  <w14:solidFill>
                    <w14:schemeClr w14:val="tx1"/>
                  </w14:solidFill>
                </w14:textFill>
              </w:rPr>
              <w:t>入指定账户（以到账时间为准），不接受现金及任何个人汇款。（</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7CF1D187">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14:paraId="2C7BEDA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开户名：新疆德鸿项目管理咨询有限公司哈密分公司</w:t>
            </w:r>
          </w:p>
          <w:p w14:paraId="68AB47E1">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开户账号：908070100100056227</w:t>
            </w:r>
          </w:p>
          <w:p w14:paraId="798BF03D">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开户银行：哈密市商业银行股份有限公司广场北路支行</w:t>
            </w:r>
          </w:p>
          <w:p w14:paraId="25EDD17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行号：313 884 000 081</w:t>
            </w:r>
          </w:p>
          <w:p w14:paraId="60644F74">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联系人：苟雅丽</w:t>
            </w:r>
          </w:p>
          <w:p w14:paraId="780F77AB">
            <w:pPr>
              <w:spacing w:line="360" w:lineRule="auto"/>
              <w:rPr>
                <w:rFonts w:ascii="宋体" w:hAnsi="宋体" w:cs="宋体" w:eastAsiaTheme="minor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电话：0902-6996999</w:t>
            </w:r>
          </w:p>
        </w:tc>
      </w:tr>
      <w:tr w14:paraId="2F93B381">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5C9C84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vAlign w:val="center"/>
          </w:tcPr>
          <w:p w14:paraId="16F7843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vAlign w:val="center"/>
          </w:tcPr>
          <w:p w14:paraId="31BA6B8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14:paraId="3BC610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14:paraId="7B380191">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155B49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vAlign w:val="center"/>
          </w:tcPr>
          <w:p w14:paraId="5111070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vAlign w:val="center"/>
          </w:tcPr>
          <w:p w14:paraId="4142B642">
            <w:pPr>
              <w:spacing w:line="360" w:lineRule="auto"/>
              <w:rPr>
                <w:rFonts w:ascii="仿宋" w:hAnsi="仿宋" w:eastAsia="仿宋" w:cs="仿宋"/>
                <w:color w:val="auto"/>
                <w:kern w:val="2"/>
                <w:sz w:val="21"/>
                <w:szCs w:val="21"/>
                <w:highlight w:val="none"/>
                <w:lang w:eastAsia="zh-CN"/>
              </w:rPr>
            </w:pPr>
            <w:r>
              <w:rPr>
                <w:rFonts w:hint="eastAsia" w:ascii="仿宋" w:hAnsi="仿宋" w:eastAsia="仿宋" w:cs="仿宋"/>
                <w:color w:val="000000" w:themeColor="text1"/>
                <w:sz w:val="21"/>
                <w:szCs w:val="21"/>
                <w:lang w:eastAsia="zh-CN"/>
                <w14:textFill>
                  <w14:solidFill>
                    <w14:schemeClr w14:val="tx1"/>
                  </w14:solidFill>
                </w14:textFill>
              </w:rPr>
              <w:t>时</w:t>
            </w:r>
            <w:r>
              <w:rPr>
                <w:rFonts w:hint="eastAsia" w:ascii="仿宋" w:hAnsi="仿宋" w:eastAsia="仿宋" w:cs="仿宋"/>
                <w:color w:val="000000" w:themeColor="text1"/>
                <w:sz w:val="21"/>
                <w:szCs w:val="21"/>
                <w:highlight w:val="none"/>
                <w:lang w:eastAsia="zh-CN"/>
                <w14:textFill>
                  <w14:solidFill>
                    <w14:schemeClr w14:val="tx1"/>
                  </w14:solidFill>
                </w14:textFill>
              </w:rPr>
              <w:t>间：</w:t>
            </w:r>
            <w:r>
              <w:rPr>
                <w:rFonts w:hint="eastAsia" w:ascii="仿宋" w:hAnsi="仿宋" w:eastAsia="仿宋" w:cs="仿宋"/>
                <w:color w:val="auto"/>
                <w:sz w:val="21"/>
                <w:szCs w:val="21"/>
                <w:highlight w:val="none"/>
                <w:lang w:eastAsia="zh-CN"/>
              </w:rPr>
              <w:t>2025年3月</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日至2025年3月</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kern w:val="2"/>
                <w:sz w:val="21"/>
                <w:szCs w:val="21"/>
                <w:highlight w:val="none"/>
                <w:lang w:eastAsia="zh-CN"/>
              </w:rPr>
              <w:t>每天00:00至23:59（北京时间，法定节假日除外）</w:t>
            </w:r>
          </w:p>
          <w:p w14:paraId="7981CF3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地点：供应</w:t>
            </w:r>
            <w:r>
              <w:rPr>
                <w:rFonts w:hint="eastAsia" w:ascii="仿宋" w:hAnsi="仿宋" w:eastAsia="仿宋" w:cs="仿宋"/>
                <w:color w:val="000000" w:themeColor="text1"/>
                <w:sz w:val="21"/>
                <w:szCs w:val="21"/>
                <w:lang w:eastAsia="zh-CN"/>
                <w14:textFill>
                  <w14:solidFill>
                    <w14:schemeClr w14:val="tx1"/>
                  </w14:solidFill>
                </w14:textFill>
              </w:rPr>
              <w:t>商登陆政采云平台http://www.zcygov.cn/，在线申请获取招标文件 （登录政府采购云平台 → 项目采购 → 获取招标文件 →申请，下载招标文件 ，如有操作性问题，可与政采云在线客服进行咨询，咨询电话：95763）。</w:t>
            </w:r>
          </w:p>
          <w:p w14:paraId="30E4D28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申请，下载招标文件 ）。本次招标不提供纸质版招标文件 。</w:t>
            </w:r>
          </w:p>
          <w:p w14:paraId="28EB176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（2）供应商获取招标文件前应注册成为政府采购云平台正式供应商。</w:t>
            </w:r>
          </w:p>
        </w:tc>
      </w:tr>
      <w:tr w14:paraId="6EFF9206">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005596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vAlign w:val="center"/>
          </w:tcPr>
          <w:p w14:paraId="7389A68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vAlign w:val="center"/>
          </w:tcPr>
          <w:p w14:paraId="2922BD2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w:t>
            </w:r>
            <w:r>
              <w:rPr>
                <w:rFonts w:hint="eastAsia" w:ascii="仿宋" w:hAnsi="仿宋" w:eastAsia="仿宋" w:cs="仿宋"/>
                <w:color w:val="auto"/>
                <w:sz w:val="21"/>
                <w:szCs w:val="21"/>
                <w:lang w:eastAsia="zh-CN"/>
              </w:rPr>
              <w:t>“备份投标文件”</w:t>
            </w:r>
            <w:r>
              <w:rPr>
                <w:rFonts w:hint="eastAsia" w:ascii="仿宋" w:hAnsi="仿宋" w:eastAsia="仿宋" w:cs="仿宋"/>
                <w:color w:val="000000" w:themeColor="text1"/>
                <w:sz w:val="21"/>
                <w:szCs w:val="21"/>
                <w:lang w:eastAsia="zh-CN"/>
                <w14:textFill>
                  <w14:solidFill>
                    <w14:schemeClr w14:val="tx1"/>
                  </w14:solidFill>
                </w14:textFill>
              </w:rPr>
              <w:t>，在投标文件编制完成后同时生成。</w:t>
            </w:r>
          </w:p>
          <w:p w14:paraId="5FC4F35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14:paraId="350A05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177BD1B3">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29BC0E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vAlign w:val="center"/>
          </w:tcPr>
          <w:p w14:paraId="43FC8D8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vAlign w:val="center"/>
          </w:tcPr>
          <w:p w14:paraId="31766F2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14:paraId="58C9C2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14:paraId="0141E34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w:t>
            </w:r>
            <w:r>
              <w:rPr>
                <w:rFonts w:hint="eastAsia" w:ascii="仿宋" w:hAnsi="仿宋" w:eastAsia="仿宋" w:cs="仿宋"/>
                <w:color w:val="000000" w:themeColor="text1"/>
                <w:sz w:val="21"/>
                <w:szCs w:val="21"/>
                <w:highlight w:val="none"/>
                <w:lang w:eastAsia="zh-CN"/>
                <w14:textFill>
                  <w14:solidFill>
                    <w14:schemeClr w14:val="tx1"/>
                  </w14:solidFill>
                </w14:textFill>
              </w:rPr>
              <w:t>业请</w:t>
            </w:r>
            <w:r>
              <w:rPr>
                <w:rFonts w:hint="eastAsia" w:ascii="仿宋" w:hAnsi="仿宋" w:eastAsia="仿宋" w:cs="仿宋"/>
                <w:color w:val="auto"/>
                <w:sz w:val="21"/>
                <w:szCs w:val="21"/>
                <w:highlight w:val="none"/>
                <w:lang w:eastAsia="zh-CN"/>
              </w:rPr>
              <w:t>于</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lang w:eastAsia="zh-CN"/>
              </w:rPr>
              <w:t>日20:00</w:t>
            </w:r>
            <w:r>
              <w:rPr>
                <w:rFonts w:hint="eastAsia" w:ascii="仿宋" w:hAnsi="仿宋" w:eastAsia="仿宋" w:cs="仿宋"/>
                <w:color w:val="auto"/>
                <w:sz w:val="21"/>
                <w:szCs w:val="21"/>
                <w:highlight w:val="none"/>
                <w:lang w:eastAsia="zh-CN"/>
              </w:rPr>
              <w:t>前</w:t>
            </w:r>
            <w:r>
              <w:rPr>
                <w:rFonts w:hint="eastAsia" w:ascii="仿宋" w:hAnsi="仿宋" w:eastAsia="仿宋" w:cs="仿宋"/>
                <w:color w:val="000000" w:themeColor="text1"/>
                <w:sz w:val="21"/>
                <w:szCs w:val="21"/>
                <w:highlight w:val="none"/>
                <w:lang w:eastAsia="zh-CN"/>
                <w14:textFill>
                  <w14:solidFill>
                    <w14:schemeClr w14:val="tx1"/>
                  </w14:solidFill>
                </w14:textFill>
              </w:rPr>
              <w:t>提供纸</w:t>
            </w:r>
            <w:r>
              <w:rPr>
                <w:rFonts w:hint="eastAsia" w:ascii="仿宋" w:hAnsi="仿宋" w:eastAsia="仿宋" w:cs="仿宋"/>
                <w:color w:val="000000" w:themeColor="text1"/>
                <w:sz w:val="21"/>
                <w:szCs w:val="21"/>
                <w:lang w:eastAsia="zh-CN"/>
                <w14:textFill>
                  <w14:solidFill>
                    <w14:schemeClr w14:val="tx1"/>
                  </w14:solidFill>
                </w14:textFill>
              </w:rPr>
              <w:t>质投标文件叁份并承诺与电子投标文件内容一致的承诺书至新疆德鸿项目管理咨询有限公司（新疆哈密市向阳东路东延源泉小区旁小二楼2-20 ）。中标人可采用邮寄方式提供纸质版投标文件（收件地址：新疆哈密市向阳东路东延源泉小区旁小二楼2-20 ，收件人：苟雅丽，电话：0902-6996999），费用自行承担。）</w:t>
            </w:r>
          </w:p>
        </w:tc>
      </w:tr>
      <w:tr w14:paraId="1F97AF4B">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vAlign w:val="center"/>
          </w:tcPr>
          <w:p w14:paraId="7B8FFE3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vAlign w:val="center"/>
          </w:tcPr>
          <w:p w14:paraId="6C997EB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vAlign w:val="center"/>
          </w:tcPr>
          <w:p w14:paraId="39BC5DB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3417BA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14:paraId="7B6F33E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14:paraId="65ECCCB5">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vAlign w:val="center"/>
          </w:tcPr>
          <w:p w14:paraId="4A2DEB0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E4D3C8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E19C43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1499710297@qq.com，接收人：苟雅丽，电话：0902-6996999），“备份投标文件”由供应商自愿提供，招标文件 不作强制性要求；如不提供或未按要求提供的，当电子投标文件无法解密时，将导致无备份投标文件而失去投标资格。</w:t>
            </w:r>
          </w:p>
          <w:p w14:paraId="0A3E38F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F4D2F1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8090C2C">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6D61CD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vAlign w:val="center"/>
          </w:tcPr>
          <w:p w14:paraId="47C08BA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vAlign w:val="center"/>
          </w:tcPr>
          <w:p w14:paraId="3C466CF8">
            <w:pPr>
              <w:spacing w:line="360" w:lineRule="auto"/>
              <w:rPr>
                <w:rFonts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eastAsia="zh-CN"/>
                <w14:textFill>
                  <w14:solidFill>
                    <w14:schemeClr w14:val="tx1"/>
                  </w14:solidFill>
                </w14:textFill>
              </w:rPr>
              <w:t>评标委员会由招标人依法组建，评审专家</w:t>
            </w: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lang w:val="zh-CN" w:eastAsia="zh-CN"/>
                <w14:textFill>
                  <w14:solidFill>
                    <w14:schemeClr w14:val="tx1"/>
                  </w14:solidFill>
                </w14:textFill>
              </w:rPr>
              <w:t>人，共</w:t>
            </w: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lang w:val="zh-CN" w:eastAsia="zh-CN"/>
                <w14:textFill>
                  <w14:solidFill>
                    <w14:schemeClr w14:val="tx1"/>
                  </w14:solidFill>
                </w14:textFill>
              </w:rPr>
              <w:t>人组成。</w:t>
            </w:r>
          </w:p>
          <w:p w14:paraId="735C0B38">
            <w:pPr>
              <w:spacing w:line="360" w:lineRule="auto"/>
              <w:rPr>
                <w:rFonts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eastAsia="zh-CN"/>
                <w14:textFill>
                  <w14:solidFill>
                    <w14:schemeClr w14:val="tx1"/>
                  </w14:solidFill>
                </w14:textFill>
              </w:rPr>
              <w:t>评审专家确定方式：评审专家由招标人在开标前从政采云专家库中随机抽取。</w:t>
            </w:r>
          </w:p>
        </w:tc>
      </w:tr>
      <w:tr w14:paraId="2AB15292">
        <w:tblPrEx>
          <w:tblCellMar>
            <w:top w:w="0" w:type="dxa"/>
            <w:left w:w="108" w:type="dxa"/>
            <w:bottom w:w="0" w:type="dxa"/>
            <w:right w:w="108" w:type="dxa"/>
          </w:tblCellMar>
        </w:tblPrEx>
        <w:trPr>
          <w:trHeight w:val="66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6C82C3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vAlign w:val="center"/>
          </w:tcPr>
          <w:p w14:paraId="74B4BD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vAlign w:val="center"/>
          </w:tcPr>
          <w:p w14:paraId="59CDF0D6">
            <w:pPr>
              <w:spacing w:line="360" w:lineRule="auto"/>
              <w:rPr>
                <w:rFonts w:ascii="仿宋" w:hAnsi="仿宋" w:eastAsia="仿宋" w:cs="仿宋"/>
                <w:color w:val="FF0000"/>
                <w:sz w:val="21"/>
                <w:szCs w:val="21"/>
                <w:highlight w:val="none"/>
                <w:lang w:val="zh-CN"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否</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，评标委员会推荐</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名中标</w:t>
            </w:r>
            <w:r>
              <w:rPr>
                <w:rFonts w:hint="eastAsia" w:ascii="仿宋" w:hAnsi="仿宋" w:eastAsia="仿宋" w:cs="仿宋"/>
                <w:color w:val="000000" w:themeColor="text1"/>
                <w:sz w:val="21"/>
                <w:szCs w:val="21"/>
                <w:highlight w:val="none"/>
                <w:lang w:val="en-US" w:eastAsia="zh-CN"/>
                <w14:textFill>
                  <w14:solidFill>
                    <w14:schemeClr w14:val="tx1"/>
                  </w14:solidFill>
                </w14:textFill>
              </w:rPr>
              <w:t>候选</w:t>
            </w:r>
            <w:r>
              <w:rPr>
                <w:rFonts w:hint="eastAsia" w:ascii="仿宋" w:hAnsi="仿宋" w:eastAsia="仿宋" w:cs="仿宋"/>
                <w:color w:val="000000" w:themeColor="text1"/>
                <w:sz w:val="21"/>
                <w:szCs w:val="21"/>
                <w:highlight w:val="none"/>
                <w:lang w:eastAsia="zh-CN"/>
                <w14:textFill>
                  <w14:solidFill>
                    <w14:schemeClr w14:val="tx1"/>
                  </w14:solidFill>
                </w14:textFill>
              </w:rPr>
              <w:t>成交供应商。</w:t>
            </w:r>
            <w:r>
              <w:rPr>
                <w:rFonts w:hint="eastAsia" w:ascii="仿宋" w:hAnsi="仿宋" w:eastAsia="仿宋" w:cs="仿宋"/>
                <w:color w:val="000000" w:themeColor="text1"/>
                <w:sz w:val="21"/>
                <w:szCs w:val="21"/>
                <w:highlight w:val="none"/>
                <w:lang w:eastAsia="zh-CN"/>
                <w14:textFill>
                  <w14:solidFill>
                    <w14:schemeClr w14:val="tx1"/>
                  </w14:solidFill>
                </w14:textFill>
              </w:rPr>
              <w:tab/>
            </w:r>
          </w:p>
        </w:tc>
      </w:tr>
      <w:tr w14:paraId="44B05631">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4158A3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vAlign w:val="center"/>
          </w:tcPr>
          <w:p w14:paraId="0A8FF12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vAlign w:val="center"/>
          </w:tcPr>
          <w:p w14:paraId="260BC235">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投标截止时间：2025年3 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日上午10时00分（北京时间）</w:t>
            </w:r>
          </w:p>
          <w:p w14:paraId="40655D91">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投标地点：新疆政府采购云平台（www.zcygov.cn）</w:t>
            </w:r>
          </w:p>
        </w:tc>
      </w:tr>
      <w:tr w14:paraId="3FC38D09">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vAlign w:val="center"/>
          </w:tcPr>
          <w:p w14:paraId="71ADD2C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vAlign w:val="center"/>
          </w:tcPr>
          <w:p w14:paraId="43E283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vAlign w:val="center"/>
          </w:tcPr>
          <w:p w14:paraId="6805BE65">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开标时间：2025年3月2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日上午10时00分（北京时间）</w:t>
            </w:r>
          </w:p>
          <w:p w14:paraId="608ED51A">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开标地点：新疆政府采购云平台（www.zcygov.cn）         </w:t>
            </w:r>
          </w:p>
        </w:tc>
      </w:tr>
      <w:tr w14:paraId="14B02F6C">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vAlign w:val="center"/>
          </w:tcPr>
          <w:p w14:paraId="0E5FB93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vAlign w:val="center"/>
          </w:tcPr>
          <w:p w14:paraId="7345FE5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vAlign w:val="center"/>
          </w:tcPr>
          <w:p w14:paraId="54DAC19A">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1、本项目实行网上投标，采用电子投标文件；</w:t>
            </w:r>
          </w:p>
          <w:p w14:paraId="04A4916D">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26C14AF3">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333333"/>
                <w:kern w:val="2"/>
                <w:sz w:val="21"/>
                <w:szCs w:val="21"/>
                <w:lang w:eastAsia="zh-CN"/>
              </w:rPr>
              <w:t>95763</w:t>
            </w:r>
            <w:r>
              <w:rPr>
                <w:rFonts w:hint="eastAsia" w:ascii="仿宋" w:hAnsi="仿宋" w:eastAsia="仿宋" w:cs="仿宋"/>
                <w:color w:val="000000" w:themeColor="text1"/>
                <w:sz w:val="21"/>
                <w:szCs w:val="21"/>
                <w:lang w:eastAsia="zh-CN"/>
                <w14:textFill>
                  <w14:solidFill>
                    <w14:schemeClr w14:val="tx1"/>
                  </w14:solidFill>
                </w14:textFill>
              </w:rPr>
              <w:t>进行咨询。如因供应商自身原因导致在规定时间内无法正常解密的（如：浏览器故障、未安装相关驱动、网络故障、加密CA与解密CA不一致等），采购中心/代理机构不予异常处理，视为供应商自动弃标。</w:t>
            </w:r>
          </w:p>
          <w:p w14:paraId="4665A8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4、供应商操作指南详见新疆政府采购网（http://www.ccgp-xinjiang.gov.cn）—办事指南—操作指南。</w:t>
            </w:r>
          </w:p>
        </w:tc>
      </w:tr>
      <w:tr w14:paraId="5C63B238">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vAlign w:val="center"/>
          </w:tcPr>
          <w:p w14:paraId="3572C52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61A639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529988A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14:paraId="39C1D37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14:paraId="6775B6A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4D6FE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14:paraId="39B052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14:paraId="4CBEEB0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1499710297@qq.com，接收人：苟雅丽，电话：0902-6996999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51EAD8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12A763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14:paraId="6AE4AF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14:paraId="1396EB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14:paraId="09E1F09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质疑答复最终以财政部94号文为准</w:t>
            </w:r>
          </w:p>
        </w:tc>
      </w:tr>
      <w:tr w14:paraId="0BDD0072">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DE8313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vAlign w:val="center"/>
          </w:tcPr>
          <w:p w14:paraId="6D48ECA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vAlign w:val="center"/>
          </w:tcPr>
          <w:p w14:paraId="6AF48383">
            <w:pPr>
              <w:spacing w:line="360" w:lineRule="auto"/>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新疆政府采购网（www.zjzfcg.gov.cn），公示期为一个工作日。</w:t>
            </w:r>
          </w:p>
        </w:tc>
      </w:tr>
      <w:tr w14:paraId="23F56DEE">
        <w:tblPrEx>
          <w:tblCellMar>
            <w:top w:w="0" w:type="dxa"/>
            <w:left w:w="108" w:type="dxa"/>
            <w:bottom w:w="0" w:type="dxa"/>
            <w:right w:w="108" w:type="dxa"/>
          </w:tblCellMar>
        </w:tblPrEx>
        <w:trPr>
          <w:trHeight w:val="38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87F0160">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1A6D52C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14:paraId="2544EBEF">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E97472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5B01D0E5">
            <w:pPr>
              <w:spacing w:line="360" w:lineRule="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收费标准：</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招标代理机构</w:t>
            </w:r>
            <w:r>
              <w:rPr>
                <w:rFonts w:hint="eastAsia" w:ascii="仿宋" w:hAnsi="仿宋" w:eastAsia="仿宋" w:cs="仿宋"/>
                <w:color w:val="000000" w:themeColor="text1"/>
                <w:sz w:val="21"/>
                <w:szCs w:val="21"/>
                <w:highlight w:val="none"/>
                <w:lang w:eastAsia="zh-CN"/>
                <w14:textFill>
                  <w14:solidFill>
                    <w14:schemeClr w14:val="tx1"/>
                  </w14:solidFill>
                </w14:textFill>
              </w:rPr>
              <w:t>按照《国家计委关于印发招标代理服务收费管理暂行办法的通知（计价格[2002]1980号）中规定收费基准下浮50%</w:t>
            </w:r>
            <w:r>
              <w:rPr>
                <w:rFonts w:hint="eastAsia" w:ascii="仿宋" w:hAnsi="仿宋" w:eastAsia="仿宋" w:cs="仿宋"/>
                <w:color w:val="000000" w:themeColor="text1"/>
                <w:sz w:val="21"/>
                <w:szCs w:val="21"/>
                <w:highlight w:val="none"/>
                <w:lang w:val="en-US" w:eastAsia="zh-CN"/>
                <w14:textFill>
                  <w14:solidFill>
                    <w14:schemeClr w14:val="tx1"/>
                  </w14:solidFill>
                </w14:textFill>
              </w:rPr>
              <w:t>支付</w:t>
            </w:r>
            <w:r>
              <w:rPr>
                <w:rFonts w:hint="eastAsia" w:ascii="仿宋" w:hAnsi="仿宋" w:eastAsia="仿宋" w:cs="仿宋"/>
                <w:color w:val="000000" w:themeColor="text1"/>
                <w:sz w:val="21"/>
                <w:szCs w:val="21"/>
                <w:highlight w:val="none"/>
                <w:lang w:eastAsia="zh-CN"/>
                <w14:textFill>
                  <w14:solidFill>
                    <w14:schemeClr w14:val="tx1"/>
                  </w14:solidFill>
                </w14:textFill>
              </w:rPr>
              <w:t>代理费及《招标代理服务收费有关问题》（发改价格[2015]299号）中规定收取代理费；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招标代理服务费由采购人支付。</w:t>
            </w:r>
          </w:p>
          <w:p w14:paraId="6B726D34">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招标代理服务收费标准( 费 率)</w:t>
            </w:r>
          </w:p>
          <w:tbl>
            <w:tblPr>
              <w:tblStyle w:val="19"/>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6D8C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vAlign w:val="center"/>
                </w:tcPr>
                <w:p w14:paraId="1629BAE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14:paraId="286433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14:paraId="09DC02D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14:paraId="354DFA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14:paraId="6B8E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743C951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14:paraId="06E7C9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14:paraId="610FBDC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14:paraId="33DF86E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r>
            <w:tr w14:paraId="446B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47263F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14:paraId="7D8EF54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14:paraId="7C155D2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14:paraId="4BEC55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0.7%</w:t>
                  </w:r>
                </w:p>
              </w:tc>
            </w:tr>
            <w:tr w14:paraId="6B1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3A7C114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14:paraId="0FC60E6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14:paraId="10D1FE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14:paraId="76F3D0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0.55%</w:t>
                  </w:r>
                </w:p>
              </w:tc>
            </w:tr>
            <w:tr w14:paraId="4251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191353B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14:paraId="23A78CB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14:paraId="7863517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14:paraId="428B633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0.35%</w:t>
                  </w:r>
                </w:p>
              </w:tc>
            </w:tr>
            <w:tr w14:paraId="206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09C884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14:paraId="118DEF7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14:paraId="4658BA6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14:paraId="78816A7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w:t>
                  </w:r>
                </w:p>
              </w:tc>
            </w:tr>
            <w:tr w14:paraId="437D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2C1488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14:paraId="78A1780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14:paraId="1D0F9C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14:paraId="40EA13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w:t>
                  </w:r>
                  <w:r>
                    <w:rPr>
                      <w:rFonts w:hint="eastAsia" w:ascii="仿宋" w:hAnsi="仿宋" w:eastAsia="仿宋" w:cs="仿宋"/>
                      <w:color w:val="000000" w:themeColor="text1"/>
                      <w:sz w:val="21"/>
                      <w:szCs w:val="21"/>
                      <w:lang w:eastAsia="zh-CN"/>
                      <w14:textFill>
                        <w14:solidFill>
                          <w14:schemeClr w14:val="tx1"/>
                        </w14:solidFill>
                      </w14:textFill>
                    </w:rPr>
                    <w:cr/>
                  </w:r>
                  <w:r>
                    <w:rPr>
                      <w:rFonts w:hint="eastAsia" w:ascii="仿宋" w:hAnsi="仿宋" w:eastAsia="仿宋" w:cs="仿宋"/>
                      <w:color w:val="000000" w:themeColor="text1"/>
                      <w:sz w:val="21"/>
                      <w:szCs w:val="21"/>
                      <w:lang w:eastAsia="zh-CN"/>
                      <w14:textFill>
                        <w14:solidFill>
                          <w14:schemeClr w14:val="tx1"/>
                        </w14:solidFill>
                      </w14:textFill>
                    </w:rPr>
                    <w:t>%</w:t>
                  </w:r>
                </w:p>
              </w:tc>
            </w:tr>
            <w:tr w14:paraId="03B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5EAB622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14:paraId="335FC5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14:paraId="4D474B9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14:paraId="4409258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r>
            <w:tr w14:paraId="762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33C0AC4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14:paraId="284DEBE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14:paraId="343F585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14:paraId="79E7F54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r>
            <w:tr w14:paraId="178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3B60EF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14:paraId="2D3108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14:paraId="2CC3EEF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14:paraId="40BDC1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r>
            <w:tr w14:paraId="0ECC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7E15E33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14:paraId="7BEBAA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14:paraId="32E09BA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14:paraId="468193A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r>
          </w:tbl>
          <w:p w14:paraId="5AD0AC5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14:paraId="09050A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14:paraId="4E12470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2、招标代理服务收费按差额定率累进法计算。例如：某工程招标代理业务中标金额为6000万元，计算招标代理服务费额如下：</w:t>
            </w:r>
          </w:p>
          <w:p w14:paraId="5FE0992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100万元×1.0％＝1万元</w:t>
            </w:r>
          </w:p>
          <w:p w14:paraId="05402C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（500－100）万元×0.7％＝2.8万元</w:t>
            </w:r>
          </w:p>
          <w:p w14:paraId="3F981B7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（1000－500）万元×0.55％＝2.75万元</w:t>
            </w:r>
          </w:p>
          <w:p w14:paraId="00CD8BF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（5000－1000）万元×0.35％＝14万元</w:t>
            </w:r>
          </w:p>
          <w:p w14:paraId="783FAF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（6000－5000）万元×0.2％＝2万元</w:t>
            </w:r>
          </w:p>
          <w:p w14:paraId="785F98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合计收费＝1＋2.8＋2.75＋14＋2＝22.55(万元)</w:t>
            </w:r>
          </w:p>
        </w:tc>
      </w:tr>
      <w:tr w14:paraId="4E4B72A0">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D6FC44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21527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评标办法：本项目采用综合评分法</w:t>
            </w:r>
          </w:p>
        </w:tc>
      </w:tr>
      <w:tr w14:paraId="3ADC917D">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2D174C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962AB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14:paraId="73A05AA7">
        <w:tblPrEx>
          <w:tblCellMar>
            <w:top w:w="0" w:type="dxa"/>
            <w:left w:w="108" w:type="dxa"/>
            <w:bottom w:w="0" w:type="dxa"/>
            <w:right w:w="108" w:type="dxa"/>
          </w:tblCellMar>
        </w:tblPrEx>
        <w:trPr>
          <w:trHeight w:val="35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43C3EC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B274AFF">
            <w:pPr>
              <w:pStyle w:val="16"/>
              <w:spacing w:before="75" w:after="75" w:line="24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本次招标最高限价：</w:t>
            </w:r>
            <w:r>
              <w:rPr>
                <w:rFonts w:hint="eastAsia" w:ascii="仿宋" w:hAnsi="仿宋" w:eastAsia="仿宋" w:cs="仿宋"/>
                <w:color w:val="333333"/>
                <w:kern w:val="2"/>
                <w:sz w:val="21"/>
                <w:szCs w:val="21"/>
                <w:highlight w:val="none"/>
                <w:lang w:eastAsia="zh-CN"/>
              </w:rPr>
              <w:t>37871138.63元</w:t>
            </w:r>
          </w:p>
        </w:tc>
      </w:tr>
      <w:tr w14:paraId="45D57968">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vAlign w:val="center"/>
          </w:tcPr>
          <w:p w14:paraId="02290E6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vAlign w:val="center"/>
          </w:tcPr>
          <w:p w14:paraId="74EAA96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vAlign w:val="center"/>
          </w:tcPr>
          <w:p w14:paraId="18C09B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0B15B978">
        <w:tblPrEx>
          <w:tblCellMar>
            <w:top w:w="0" w:type="dxa"/>
            <w:left w:w="108" w:type="dxa"/>
            <w:bottom w:w="0" w:type="dxa"/>
            <w:right w:w="108" w:type="dxa"/>
          </w:tblCellMar>
        </w:tblPrEx>
        <w:trPr>
          <w:trHeight w:val="90" w:hRule="atLeast"/>
          <w:jc w:val="center"/>
        </w:trPr>
        <w:tc>
          <w:tcPr>
            <w:tcW w:w="712" w:type="dxa"/>
            <w:vMerge w:val="continue"/>
            <w:tcBorders>
              <w:left w:val="single" w:color="auto" w:sz="4" w:space="0"/>
              <w:right w:val="single" w:color="auto" w:sz="4" w:space="0"/>
            </w:tcBorders>
            <w:vAlign w:val="center"/>
          </w:tcPr>
          <w:p w14:paraId="774089A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right w:val="single" w:color="auto" w:sz="4" w:space="0"/>
            </w:tcBorders>
            <w:vAlign w:val="center"/>
          </w:tcPr>
          <w:p w14:paraId="05C4279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6AD874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出具的属于监狱企业的证明文件。监狱企业视同小型、微型企业。</w:t>
            </w:r>
          </w:p>
        </w:tc>
      </w:tr>
      <w:tr w14:paraId="07780C57">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vAlign w:val="center"/>
          </w:tcPr>
          <w:p w14:paraId="5A4CABA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679942EA">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2FC119C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D50E39E">
        <w:tblPrEx>
          <w:tblCellMar>
            <w:top w:w="0" w:type="dxa"/>
            <w:left w:w="108" w:type="dxa"/>
            <w:bottom w:w="0" w:type="dxa"/>
            <w:right w:w="108" w:type="dxa"/>
          </w:tblCellMar>
        </w:tblPrEx>
        <w:trPr>
          <w:trHeight w:val="1895" w:hRule="atLeast"/>
          <w:jc w:val="center"/>
        </w:trPr>
        <w:tc>
          <w:tcPr>
            <w:tcW w:w="712" w:type="dxa"/>
            <w:vMerge w:val="restart"/>
            <w:tcBorders>
              <w:top w:val="single" w:color="auto" w:sz="4" w:space="0"/>
              <w:left w:val="single" w:color="auto" w:sz="4" w:space="0"/>
              <w:right w:val="single" w:color="auto" w:sz="4" w:space="0"/>
            </w:tcBorders>
            <w:vAlign w:val="center"/>
          </w:tcPr>
          <w:p w14:paraId="03FB37E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vAlign w:val="center"/>
          </w:tcPr>
          <w:p w14:paraId="036EC5F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vAlign w:val="center"/>
          </w:tcPr>
          <w:p w14:paraId="1D3A805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r>
              <w:rPr>
                <w:rFonts w:hint="eastAsia" w:ascii="仿宋" w:hAnsi="仿宋" w:eastAsia="仿宋" w:cs="仿宋"/>
                <w:color w:val="000000" w:themeColor="text1"/>
                <w:sz w:val="21"/>
                <w:szCs w:val="21"/>
                <w:lang w:eastAsia="zh-CN"/>
                <w14:textFill>
                  <w14:solidFill>
                    <w14:schemeClr w14:val="tx1"/>
                  </w14:solidFill>
                </w14:textFill>
              </w:rPr>
              <w:t>。</w:t>
            </w:r>
          </w:p>
        </w:tc>
      </w:tr>
      <w:tr w14:paraId="59A007B3">
        <w:tblPrEx>
          <w:tblCellMar>
            <w:top w:w="0" w:type="dxa"/>
            <w:left w:w="108" w:type="dxa"/>
            <w:bottom w:w="0" w:type="dxa"/>
            <w:right w:w="108" w:type="dxa"/>
          </w:tblCellMar>
        </w:tblPrEx>
        <w:trPr>
          <w:trHeight w:val="408" w:hRule="atLeast"/>
          <w:jc w:val="center"/>
        </w:trPr>
        <w:tc>
          <w:tcPr>
            <w:tcW w:w="712" w:type="dxa"/>
            <w:vMerge w:val="continue"/>
            <w:tcBorders>
              <w:left w:val="single" w:color="auto" w:sz="4" w:space="0"/>
              <w:bottom w:val="single" w:color="auto" w:sz="4" w:space="0"/>
              <w:right w:val="single" w:color="auto" w:sz="4" w:space="0"/>
            </w:tcBorders>
            <w:vAlign w:val="center"/>
          </w:tcPr>
          <w:p w14:paraId="1D8AE76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D2D519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15CF652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3E437398">
        <w:tblPrEx>
          <w:tblCellMar>
            <w:top w:w="0" w:type="dxa"/>
            <w:left w:w="108" w:type="dxa"/>
            <w:bottom w:w="0" w:type="dxa"/>
            <w:right w:w="108" w:type="dxa"/>
          </w:tblCellMar>
        </w:tblPrEx>
        <w:trPr>
          <w:trHeight w:val="598" w:hRule="atLeast"/>
          <w:jc w:val="center"/>
        </w:trPr>
        <w:tc>
          <w:tcPr>
            <w:tcW w:w="712" w:type="dxa"/>
            <w:tcBorders>
              <w:left w:val="single" w:color="auto" w:sz="4" w:space="0"/>
              <w:bottom w:val="single" w:color="auto" w:sz="4" w:space="0"/>
              <w:right w:val="single" w:color="auto" w:sz="4" w:space="0"/>
            </w:tcBorders>
            <w:vAlign w:val="center"/>
          </w:tcPr>
          <w:p w14:paraId="2F906FA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vAlign w:val="center"/>
          </w:tcPr>
          <w:p w14:paraId="320242EA">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履约保证金</w:t>
            </w:r>
          </w:p>
        </w:tc>
        <w:tc>
          <w:tcPr>
            <w:tcW w:w="6763" w:type="dxa"/>
            <w:tcBorders>
              <w:top w:val="single" w:color="auto" w:sz="4" w:space="0"/>
              <w:left w:val="single" w:color="auto" w:sz="4" w:space="0"/>
              <w:bottom w:val="single" w:color="auto" w:sz="4" w:space="0"/>
              <w:right w:val="single" w:color="auto" w:sz="4" w:space="0"/>
            </w:tcBorders>
            <w:vAlign w:val="center"/>
          </w:tcPr>
          <w:p w14:paraId="3EADB3E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成交人应在领取《成交通知书》后的七个日历日内，办理履约保证金（支持银行保函），金额不超过合同总价的10%，否则采购人可取消成交人的成交资格，并没收其投标保证金。</w:t>
            </w:r>
          </w:p>
        </w:tc>
      </w:tr>
      <w:tr w14:paraId="01FFC2E2">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vAlign w:val="center"/>
          </w:tcPr>
          <w:p w14:paraId="165471B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vAlign w:val="center"/>
          </w:tcPr>
          <w:p w14:paraId="4B2BE5A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14:paraId="6D211F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14:paraId="36C6171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14:paraId="77199B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0F609D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14:paraId="0CB2260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14:paraId="190FA01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14:paraId="2371D1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p w14:paraId="5C4BA5E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（4）招标文件中如出现前后不一致情况，均以前附表内容为准。</w:t>
            </w:r>
          </w:p>
        </w:tc>
      </w:tr>
      <w:tr w14:paraId="20289DF5">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vAlign w:val="center"/>
          </w:tcPr>
          <w:p w14:paraId="142C5000">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E88CF00">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1:本次招标所有标的均</w:t>
            </w:r>
            <w:r>
              <w:rPr>
                <w:rFonts w:hint="eastAsia" w:ascii="仿宋" w:hAnsi="仿宋" w:eastAsia="仿宋" w:cs="仿宋"/>
                <w:color w:val="auto"/>
                <w:sz w:val="21"/>
                <w:szCs w:val="21"/>
                <w:highlight w:val="none"/>
                <w:lang w:eastAsia="zh-CN"/>
              </w:rPr>
              <w:t>属于</w:t>
            </w:r>
            <w:r>
              <w:rPr>
                <w:rFonts w:hint="eastAsia" w:ascii="仿宋" w:hAnsi="仿宋" w:eastAsia="仿宋" w:cs="仿宋"/>
                <w:color w:val="auto"/>
                <w:sz w:val="21"/>
                <w:szCs w:val="21"/>
                <w:highlight w:val="none"/>
                <w:u w:val="single"/>
                <w:lang w:val="en-US" w:eastAsia="zh-CN"/>
              </w:rPr>
              <w:t>工业</w:t>
            </w:r>
            <w:r>
              <w:rPr>
                <w:rFonts w:hint="eastAsia" w:ascii="仿宋" w:hAnsi="仿宋" w:eastAsia="仿宋" w:cs="仿宋"/>
                <w:color w:val="auto"/>
                <w:sz w:val="21"/>
                <w:szCs w:val="21"/>
                <w:highlight w:val="none"/>
                <w:lang w:eastAsia="zh-CN"/>
              </w:rPr>
              <w:t>行业</w:t>
            </w:r>
          </w:p>
          <w:p w14:paraId="0BF2927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1534DB7B">
      <w:pPr>
        <w:pageBreakBefore/>
        <w:spacing w:beforeLines="100"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14:paraId="528CC827">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1"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1"/>
    </w:p>
    <w:p w14:paraId="365FD80C">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14:paraId="49F6AD5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14:paraId="7E9D682B">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14:paraId="0DB1AB81">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14:paraId="2A5B4C09">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lang w:val="en-US" w:eastAsia="zh-CN"/>
          <w14:textFill>
            <w14:solidFill>
              <w14:schemeClr w14:val="tx1"/>
            </w14:solidFill>
          </w14:textFill>
        </w:rPr>
        <w:t xml:space="preserve">      交货</w:t>
      </w:r>
      <w:r>
        <w:rPr>
          <w:rFonts w:hint="eastAsia" w:ascii="仿宋" w:hAnsi="仿宋" w:eastAsia="仿宋" w:cs="仿宋"/>
          <w:color w:val="000000" w:themeColor="text1"/>
          <w:szCs w:val="21"/>
          <w:lang w:eastAsia="zh-CN"/>
          <w14:textFill>
            <w14:solidFill>
              <w14:schemeClr w14:val="tx1"/>
            </w14:solidFill>
          </w14:textFill>
        </w:rPr>
        <w:t>期：见投标人须知前附表。</w:t>
      </w:r>
    </w:p>
    <w:p w14:paraId="2D9C284F">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14:paraId="4E8B458E">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14:paraId="41571384">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14:paraId="4041546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14:paraId="0ABD17CE">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14:paraId="0C0292D0">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14:paraId="76B85861">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14:paraId="4477ABEA">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14:paraId="1F02181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14:paraId="4FD5A71B">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14:paraId="09DA7C86">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14:paraId="7EB8B1DB">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14:paraId="09C17771">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14:paraId="67401B98">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14:paraId="390792D0">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综合单</w:t>
      </w:r>
      <w:r>
        <w:rPr>
          <w:rFonts w:hint="eastAsia" w:ascii="仿宋" w:hAnsi="仿宋" w:eastAsia="仿宋" w:cs="仿宋"/>
          <w:color w:val="auto"/>
          <w:szCs w:val="21"/>
          <w:highlight w:val="none"/>
          <w:u w:val="single"/>
          <w:lang w:eastAsia="zh-CN"/>
        </w:rPr>
        <w:t>价</w:t>
      </w:r>
      <w:r>
        <w:rPr>
          <w:rFonts w:hint="eastAsia" w:ascii="仿宋" w:hAnsi="仿宋" w:eastAsia="仿宋" w:cs="仿宋"/>
          <w:color w:val="000000" w:themeColor="text1"/>
          <w:szCs w:val="21"/>
          <w:highlight w:val="none"/>
          <w:u w:val="single"/>
          <w:lang w:eastAsia="zh-CN"/>
          <w14:textFill>
            <w14:solidFill>
              <w14:schemeClr w14:val="tx1"/>
            </w14:solidFill>
          </w14:textFill>
        </w:rPr>
        <w:t>。</w:t>
      </w:r>
    </w:p>
    <w:p w14:paraId="66D5DAA9">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14:paraId="7104DE6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14:paraId="6F14CE16">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14:paraId="0DF1736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14:paraId="4A8AFDDD">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14:paraId="3CEA9EB0">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C8FA1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500DD1B6">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14:paraId="472A5851">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14:paraId="36D02CD1">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2" w:name="_Toc152042315"/>
      <w:bookmarkStart w:id="3" w:name="_Toc144974507"/>
      <w:bookmarkStart w:id="4" w:name="_Toc247527563"/>
      <w:bookmarkStart w:id="5" w:name="_Toc152045539"/>
      <w:bookmarkStart w:id="6" w:name="_Toc296602429"/>
      <w:bookmarkStart w:id="7" w:name="_Toc247592876"/>
      <w:bookmarkStart w:id="8" w:name="_Toc247513962"/>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2"/>
      <w:bookmarkEnd w:id="3"/>
      <w:bookmarkEnd w:id="4"/>
      <w:bookmarkEnd w:id="5"/>
      <w:bookmarkEnd w:id="6"/>
      <w:bookmarkEnd w:id="7"/>
      <w:bookmarkEnd w:id="8"/>
    </w:p>
    <w:p w14:paraId="1E0380B3">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14:paraId="6F62B71B">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14:paraId="095A93F8">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14:paraId="787510C7">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9" w:name="_Toc247527564"/>
      <w:bookmarkStart w:id="10" w:name="_Toc152042316"/>
      <w:bookmarkStart w:id="11" w:name="_Toc247513963"/>
      <w:bookmarkStart w:id="12" w:name="_Toc144974508"/>
      <w:bookmarkStart w:id="13" w:name="_Toc296602430"/>
      <w:bookmarkStart w:id="14" w:name="_Toc152045540"/>
      <w:bookmarkStart w:id="15" w:name="_Toc247592877"/>
    </w:p>
    <w:p w14:paraId="7B462A5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9"/>
      <w:bookmarkEnd w:id="10"/>
      <w:bookmarkEnd w:id="11"/>
      <w:bookmarkEnd w:id="12"/>
      <w:bookmarkEnd w:id="13"/>
      <w:bookmarkEnd w:id="14"/>
      <w:bookmarkEnd w:id="15"/>
    </w:p>
    <w:p w14:paraId="61A2C9D9">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14:paraId="3F9FCCA2">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14:paraId="4B1545EC">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14:paraId="4895E0E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14:paraId="4AC788E1">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4925EF4C">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DC59D26">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0891E25A">
      <w:pPr>
        <w:pStyle w:val="10"/>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14:paraId="3A1D501F">
      <w:pPr>
        <w:spacing w:line="440" w:lineRule="exact"/>
        <w:ind w:firstLine="470" w:firstLineChars="196"/>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12.招标代理</w:t>
      </w:r>
      <w:r>
        <w:rPr>
          <w:rFonts w:hint="eastAsia" w:ascii="仿宋" w:hAnsi="仿宋" w:eastAsia="仿宋" w:cs="仿宋"/>
          <w:b/>
          <w:color w:val="000000" w:themeColor="text1"/>
          <w:szCs w:val="21"/>
          <w:highlight w:val="none"/>
          <w:lang w:val="en-US" w:eastAsia="zh-CN"/>
          <w14:textFill>
            <w14:solidFill>
              <w14:schemeClr w14:val="tx1"/>
            </w14:solidFill>
          </w14:textFill>
        </w:rPr>
        <w:t>服务</w:t>
      </w:r>
      <w:r>
        <w:rPr>
          <w:rFonts w:hint="eastAsia" w:ascii="仿宋" w:hAnsi="仿宋" w:eastAsia="仿宋" w:cs="仿宋"/>
          <w:b/>
          <w:color w:val="000000" w:themeColor="text1"/>
          <w:szCs w:val="21"/>
          <w:highlight w:val="none"/>
          <w:lang w:eastAsia="zh-CN"/>
          <w14:textFill>
            <w14:solidFill>
              <w14:schemeClr w14:val="tx1"/>
            </w14:solidFill>
          </w14:textFill>
        </w:rPr>
        <w:t>费</w:t>
      </w:r>
    </w:p>
    <w:p w14:paraId="77086635">
      <w:pPr>
        <w:spacing w:line="440" w:lineRule="exact"/>
        <w:ind w:firstLine="48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12.1中标单位在领取本项目中标通知书时，按照《国家计委关于印发招标代理服务收费管理暂行办法的通知（计价格[2002]1980号）及《招标代理服务收费有关问题》（发改价格[2015]299号）中规定由</w:t>
      </w:r>
      <w:r>
        <w:rPr>
          <w:rFonts w:hint="eastAsia" w:ascii="仿宋" w:hAnsi="仿宋" w:eastAsia="仿宋" w:cs="仿宋"/>
          <w:color w:val="000000" w:themeColor="text1"/>
          <w:szCs w:val="21"/>
          <w:highlight w:val="none"/>
          <w:lang w:val="en-US" w:eastAsia="zh-CN"/>
          <w14:textFill>
            <w14:solidFill>
              <w14:schemeClr w14:val="tx1"/>
            </w14:solidFill>
          </w14:textFill>
        </w:rPr>
        <w:t>采购人</w:t>
      </w:r>
      <w:r>
        <w:rPr>
          <w:rFonts w:hint="eastAsia" w:ascii="仿宋" w:hAnsi="仿宋" w:eastAsia="仿宋" w:cs="仿宋"/>
          <w:color w:val="000000" w:themeColor="text1"/>
          <w:szCs w:val="21"/>
          <w:highlight w:val="none"/>
          <w:lang w:eastAsia="zh-CN"/>
          <w14:textFill>
            <w14:solidFill>
              <w14:schemeClr w14:val="tx1"/>
            </w14:solidFill>
          </w14:textFill>
        </w:rPr>
        <w:t>向招标代理机构支付本项目代理费。收费标准如下：</w:t>
      </w:r>
    </w:p>
    <w:p w14:paraId="01B40823">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1E23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14:paraId="2BE63F2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14:paraId="7E1C4D9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14:paraId="26E1812F">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14:paraId="0AFEAFC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14:paraId="6B0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14:paraId="7E3A8F7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14:paraId="28E5ED75">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14:paraId="4AD7574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14:paraId="4B475A0D">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339E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14:paraId="24F4AF3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14:paraId="2B076C7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14:paraId="7DAC188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CF33A86">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08BD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14:paraId="3F046FE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14:paraId="7B1B6F01">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14:paraId="387806A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0FE47696">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40BA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14:paraId="6165AA0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14:paraId="0D91761B">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14:paraId="0F9601E0">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341A055">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14:paraId="724DE03B">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14:paraId="489F1D3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14:paraId="01735C08">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14:paraId="231AB0C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14:paraId="1D26BED8">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14:paraId="385E7486">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14:paraId="480F5B51">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14:paraId="78186ED1">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4BF36D53">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14:paraId="6C796D31">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14:paraId="028CE7B0">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14:paraId="271B69A6">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已在政采云平台其他省份入驻的供应商无须重复注册）。因未注册入库、未办理CA数字证书等原因造成无法投标或投标失败等后果由供应商自行承担。</w:t>
      </w:r>
    </w:p>
    <w:p w14:paraId="030F4105">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14:paraId="5E9AAF68">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14:paraId="3B510C28">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14:paraId="6C45A5B3">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（3）招标人的相关场地情况、基础建设、热力供应情况及相关设计标准。</w:t>
      </w:r>
    </w:p>
    <w:p w14:paraId="5BD8098C">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14:paraId="1A99819E">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6"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6"/>
      <w:r>
        <w:rPr>
          <w:rFonts w:hint="eastAsia" w:ascii="仿宋" w:hAnsi="仿宋" w:eastAsia="仿宋" w:cs="仿宋"/>
          <w:b/>
          <w:color w:val="000000" w:themeColor="text1"/>
          <w:sz w:val="28"/>
          <w:szCs w:val="28"/>
          <w:lang w:eastAsia="zh-CN"/>
          <w14:textFill>
            <w14:solidFill>
              <w14:schemeClr w14:val="tx1"/>
            </w14:solidFill>
          </w14:textFill>
        </w:rPr>
        <w:t>招标文件</w:t>
      </w:r>
    </w:p>
    <w:p w14:paraId="2592883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14:paraId="598946EB">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根据《中华人民共和国政府采购法》、《政府采购货物和服务招标投标管理办法》和《民法典》</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14:paraId="5BF929F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14:paraId="483E7A07">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14:paraId="3C0B4BEF">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14:paraId="6935CAEB">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14:paraId="58901B68">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14:paraId="7D41A4D0">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14:paraId="0394C8F7">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14:paraId="16E90AAA">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14:paraId="241D67F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14:paraId="04244D9E">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14:paraId="5342006B">
      <w:pPr>
        <w:pStyle w:val="11"/>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31C9B372">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309F0374">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14:paraId="1199F70D">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7292B384">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E512941">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14:paraId="0234591B">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14:paraId="0CA48C02">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bookmarkStart w:id="17" w:name="_Toc469495726"/>
    </w:p>
    <w:p w14:paraId="36B8D5BD">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7"/>
    </w:p>
    <w:p w14:paraId="41759E85">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14:paraId="63E0815E">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5D25698F">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14:paraId="40ED4B8A">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14:paraId="1DDE0C03">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14:paraId="06443FB7">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14:paraId="0C073B24">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14:paraId="12F21C0E">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0A3F52E7">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33E35994">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2839C94C">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3EA5A61E">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00DFA18D">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3E1B2BD3">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4812EC82">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失信主体和中国政府采购网（www.ccgp.gov.cn）政府采购严重违法失信行为记录名单；（如投标单位提供信用截图在评标过程中有争议，以招标代理机构或评标委员会成员现场查询截图为准）</w:t>
      </w:r>
    </w:p>
    <w:p w14:paraId="09F8E2C6">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bookmarkStart w:id="18" w:name="_Hlk144572232"/>
      <w:bookmarkStart w:id="19" w:name="_Hlk144571937"/>
      <w:r>
        <w:rPr>
          <w:rFonts w:hint="eastAsia" w:ascii="仿宋" w:hAnsi="仿宋" w:eastAsia="仿宋" w:cs="仿宋"/>
          <w:color w:val="000000" w:themeColor="text1"/>
          <w:szCs w:val="21"/>
          <w:lang w:eastAsia="zh-CN"/>
          <w14:textFill>
            <w14:solidFill>
              <w14:schemeClr w14:val="tx1"/>
            </w14:solidFill>
          </w14:textFill>
        </w:rPr>
        <w:t>4、单位负责人为同一人或者存在直接控股、管理关系的不同供应商，不得参加同一合同下的政府采购活动（提供书面声明）。</w:t>
      </w:r>
    </w:p>
    <w:bookmarkEnd w:id="18"/>
    <w:p w14:paraId="10A24952">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bookmarkEnd w:id="19"/>
    <w:p w14:paraId="41F65ADF">
      <w:pPr>
        <w:spacing w:line="440" w:lineRule="exact"/>
        <w:ind w:firstLine="352" w:firstLineChars="147"/>
        <w:rPr>
          <w:rFonts w:hint="eastAsia" w:ascii="仿宋" w:hAnsi="仿宋" w:eastAsia="仿宋" w:cs="仿宋"/>
          <w:b/>
          <w:color w:val="FF0000"/>
          <w:szCs w:val="20"/>
          <w:highlight w:val="none"/>
          <w:lang w:val="en-US" w:eastAsia="zh-CN"/>
        </w:rPr>
      </w:pPr>
      <w:r>
        <w:rPr>
          <w:rFonts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auto"/>
          <w:szCs w:val="21"/>
          <w:highlight w:val="none"/>
          <w:lang w:val="en-US" w:eastAsia="zh-CN"/>
        </w:rPr>
        <w:t>。</w:t>
      </w:r>
      <w:r>
        <w:rPr>
          <w:rFonts w:hint="eastAsia" w:ascii="仿宋" w:hAnsi="仿宋" w:eastAsia="仿宋" w:cs="仿宋"/>
          <w:b/>
          <w:color w:val="auto"/>
          <w:szCs w:val="20"/>
          <w:highlight w:val="none"/>
          <w:lang w:val="en-US" w:eastAsia="zh-CN"/>
        </w:rPr>
        <w:t>（需提供基本账户信息）</w:t>
      </w:r>
    </w:p>
    <w:p w14:paraId="5B07282F">
      <w:pPr>
        <w:spacing w:line="440" w:lineRule="exact"/>
        <w:ind w:firstLine="352"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7、保密承诺书</w:t>
      </w:r>
    </w:p>
    <w:p w14:paraId="215783B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14:paraId="2710516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14:paraId="118A054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14:paraId="3F554DF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14:paraId="6B86F4C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14:paraId="2D9A0171">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14:paraId="7B6BCA7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14:paraId="13B0A2B9">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14:paraId="0F70FA6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8、类似项目业绩表</w:t>
      </w:r>
    </w:p>
    <w:p w14:paraId="26DDA115">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9、中小企业声明函(货物)</w:t>
      </w:r>
    </w:p>
    <w:p w14:paraId="777450D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14:paraId="5D349FB5">
      <w:pPr>
        <w:pStyle w:val="11"/>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774197C5">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73960E2B">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095B6D2">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2A0E3C88">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14:paraId="4D470D4C">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14:paraId="3455E155">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1ED0E4E">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14:paraId="6D2E207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3BDE900E">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14:paraId="53E5DD5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77AE6712">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14:paraId="0BE97BF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14:paraId="3019E95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14:paraId="6AA7597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14:paraId="745B0F92">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lang w:eastAsia="zh-CN"/>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14:paraId="228A41C8">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14:paraId="2AC3A965">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22.6技术要求中规定的安装、调试和培训费用应包括在投标价格中。投标文件报价为含税价等直至交付使用的一切费用，招标人不再为此次招标支付任何费用。</w:t>
      </w:r>
    </w:p>
    <w:p w14:paraId="060A2A16">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14:paraId="157C2A18">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22.8</w:t>
      </w:r>
      <w:r>
        <w:rPr>
          <w:rFonts w:hint="eastAsia" w:ascii="仿宋" w:hAnsi="仿宋" w:eastAsia="仿宋" w:cs="仿宋"/>
          <w:b/>
          <w:color w:val="auto"/>
          <w:szCs w:val="21"/>
          <w:highlight w:val="none"/>
          <w:lang w:eastAsia="zh-CN"/>
        </w:rPr>
        <w:t>投标人投标总报价，不得高于本次招标设置的最高限价，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05D44E8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4A982995">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392BC51E">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2706F36">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14:paraId="05B5ABF5">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B89CA0F">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14:paraId="774F6BE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14:paraId="10DFAE2C">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14:paraId="0F8A4E6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ED3E28B">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14:paraId="24F2F5A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224871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652F5E3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14:paraId="69DA35B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14:paraId="4195318F">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14:paraId="7524079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14:paraId="1164B096">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14:paraId="41B0395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0"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14:paraId="2A36190F">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0"/>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14:paraId="752A4C6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14:paraId="02A55602">
      <w:pPr>
        <w:pStyle w:val="6"/>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18C4B012">
      <w:pPr>
        <w:pStyle w:val="6"/>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1916F39">
      <w:pPr>
        <w:pStyle w:val="6"/>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14:paraId="4A138263">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14:paraId="4955C502">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5A6B97CC">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77C3C70C">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14:paraId="4B3763E6">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14:paraId="071E6A18">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14:paraId="64DF2BDB">
      <w:pPr>
        <w:pStyle w:val="6"/>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14:paraId="14A4F039">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14:paraId="4F198F56">
      <w:pPr>
        <w:pStyle w:val="6"/>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14:paraId="1276F0CC">
      <w:pPr>
        <w:pStyle w:val="6"/>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14:paraId="1BB3CF32">
      <w:pPr>
        <w:pStyle w:val="6"/>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Cs w:val="24"/>
          <w:u w:val="single"/>
          <w:lang w:eastAsia="zh-CN" w:bidi="zh-CN"/>
          <w14:textFill>
            <w14:solidFill>
              <w14:schemeClr w14:val="tx1"/>
            </w14:solidFill>
          </w14:textFill>
        </w:rPr>
        <w:t>1499710297</w:t>
      </w:r>
      <w:r>
        <w:rPr>
          <w:rFonts w:hint="eastAsia" w:ascii="仿宋" w:hAnsi="仿宋" w:eastAsia="仿宋" w:cs="仿宋"/>
          <w:color w:val="000000" w:themeColor="text1"/>
          <w:szCs w:val="24"/>
          <w:lang w:eastAsia="zh-CN" w:bidi="zh-CN"/>
          <w14:textFill>
            <w14:solidFill>
              <w14:schemeClr w14:val="tx1"/>
            </w14:solidFill>
          </w14:textFill>
        </w:rPr>
        <w:t>）；</w:t>
      </w:r>
    </w:p>
    <w:p w14:paraId="04E94439">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6E6C19">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14:paraId="51ABE6F2">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5526AE30">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6594E142">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4791E002">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14:paraId="3575756D">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BCBEF34">
      <w:pPr>
        <w:spacing w:beforeLines="100"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1" w:name="_Toc469495728"/>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1"/>
    </w:p>
    <w:p w14:paraId="485A0467">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14:paraId="6164BC57">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2"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2"/>
    </w:p>
    <w:p w14:paraId="1A9BD232">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14:paraId="1EF261FB">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14:paraId="6750F212">
      <w:pPr>
        <w:pStyle w:val="11"/>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8"/>
          <w:rFonts w:hint="eastAsia" w:ascii="仿宋" w:hAnsi="仿宋" w:eastAsia="仿宋" w:cs="仿宋"/>
          <w:color w:val="000000" w:themeColor="text1"/>
          <w:szCs w:val="24"/>
          <w:u w:val="none"/>
          <w14:textFill>
            <w14:solidFill>
              <w14:schemeClr w14:val="tx1"/>
            </w14:solidFill>
          </w14:textFill>
        </w:rPr>
        <w:t>www.zcygov.cn</w:t>
      </w:r>
      <w:r>
        <w:rPr>
          <w:rStyle w:val="28"/>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14:paraId="0063EDD5">
      <w:pPr>
        <w:pStyle w:val="11"/>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E70347D">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3"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w:t>
      </w:r>
      <w:bookmarkEnd w:id="23"/>
    </w:p>
    <w:p w14:paraId="2A876F5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14:paraId="147408D0">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14:paraId="13BC12B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14:paraId="0C30233B">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p>
    <w:p w14:paraId="2C8966A1">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（5）开启标书信息（资格证明文件、商务技术文件）。标书信息开启后，首先由采购人或采购代理机构组依法对投标供应商的资格证明文件进行审查（具体见本章“29.3 投标供应商资格审查”）， 审查结束公布投标供应商的资格符合情况。资格审查未获通过的供应商，其商务技术文件及报价文件不再进入评审。</w:t>
      </w:r>
    </w:p>
    <w:p w14:paraId="691FAB83">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14:paraId="238DF14D">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（7）评审结束后，采购代理机构在系统上公布评审结果。</w:t>
      </w:r>
    </w:p>
    <w:p w14:paraId="0A6C9628">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14:paraId="1EB2FF8E">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14:paraId="66178703">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14:paraId="330F7C4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14:paraId="6739C3A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00B29A1F">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1251659">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14:paraId="29A4E6F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14:paraId="680B498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43FCF52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14:paraId="4258721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14:paraId="3CB47C3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14:paraId="53DCAF3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14:paraId="05F187A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14:paraId="375AFC6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14:paraId="2A9EA46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14:paraId="24562EC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14:paraId="3399219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14:paraId="6A79A5A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14:paraId="626196A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379B561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14:paraId="7A2C4A9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3D05EFF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13B13E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3149CC9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14:paraId="1826457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0BE71FF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14:paraId="626C509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14:paraId="05A8297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4A58F0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3A7D582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05A0C331">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w:t>
      </w:r>
      <w:r>
        <w:rPr>
          <w:rFonts w:hint="eastAsia" w:ascii="仿宋" w:hAnsi="仿宋" w:eastAsia="仿宋" w:cs="仿宋"/>
          <w:color w:val="auto"/>
          <w:szCs w:val="21"/>
          <w:lang w:eastAsia="zh-CN"/>
        </w:rPr>
        <w:t>为30％，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1403B89">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14:paraId="781CB76F">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14:paraId="0C5DD908">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14:paraId="1CF4FA7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A6FD5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B4F43D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14:paraId="45B1454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14:paraId="799BC90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14:paraId="270965D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14:paraId="569E4C6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14:paraId="62232D6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14:paraId="50ACFAC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14:paraId="6429C67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14:paraId="2F8E3B2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14:paraId="34FFD59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2FD70E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14:paraId="7F53D65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14:paraId="0EB9D28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A7AACC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ABA09E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14:paraId="7CF620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5BE329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421C673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14:paraId="22C75B4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14:paraId="179ED74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14:paraId="7002CA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14:paraId="4258C64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14:paraId="4EC212C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33761B6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14:paraId="6F837DEB">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14:paraId="736D1CC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14:paraId="4750C5D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14:paraId="2AE3534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14:paraId="1707DAC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14:paraId="4B3307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14:paraId="624093E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14:paraId="655B797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14:paraId="3C3CC98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5ADAEBF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14:paraId="3E24D2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14:paraId="5AC3E41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14:paraId="32E0E54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14:paraId="42783D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4F05508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14:paraId="52D32D1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14:paraId="79136C4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14:paraId="4EDB8E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14:paraId="0A1589B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14:paraId="01C20F1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14:paraId="17DEEE6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14:paraId="4DB6445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14:paraId="6AC9C53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14:paraId="3510100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14:paraId="710886B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14:paraId="2291D7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14:paraId="5007D21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14:paraId="578F0A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0D1D8C5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14:paraId="476D208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14:paraId="0194893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14:paraId="57A9433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14:paraId="2B46041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14:paraId="36CDCB5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4F1CB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2CA826B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14:paraId="3895DE9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754F0329">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14:paraId="3EF685B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4"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14:paraId="60908A3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1F32C00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14:paraId="53C578A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0C1039DD">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新疆政府采购网（www.zjzfcg.gov.cn）上公告采购结果，中标公告期限为1个工作日。</w:t>
      </w:r>
    </w:p>
    <w:p w14:paraId="18EDEE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14:paraId="5DD674D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14:paraId="78D104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ACA878F">
      <w:pPr>
        <w:spacing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4"/>
    </w:p>
    <w:p w14:paraId="508ADCE1">
      <w:pPr>
        <w:spacing w:line="440" w:lineRule="exact"/>
        <w:ind w:firstLine="240" w:firstLineChars="100"/>
        <w:rPr>
          <w:rFonts w:ascii="仿宋" w:hAnsi="仿宋" w:eastAsia="仿宋" w:cs="仿宋"/>
          <w:color w:val="auto"/>
          <w:szCs w:val="21"/>
          <w:lang w:eastAsia="zh-CN"/>
        </w:rPr>
      </w:pPr>
      <w:bookmarkStart w:id="25" w:name="_Toc73975842"/>
      <w:bookmarkStart w:id="26" w:name="_Toc469495730"/>
      <w:r>
        <w:rPr>
          <w:rFonts w:hint="eastAsia" w:ascii="仿宋" w:hAnsi="仿宋" w:eastAsia="仿宋" w:cs="仿宋"/>
          <w:color w:val="auto"/>
          <w:szCs w:val="21"/>
          <w:lang w:eastAsia="zh-CN"/>
        </w:rPr>
        <w:t>43．履约保证金</w:t>
      </w:r>
      <w:bookmarkEnd w:id="25"/>
    </w:p>
    <w:p w14:paraId="6F9A374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16B9EA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14:paraId="62A19C5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2DC322A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7"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7"/>
    </w:p>
    <w:p w14:paraId="5A1E5AC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14:paraId="6F2B7C0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14:paraId="21C7523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585F9B5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126AEC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4C4264BB">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6"/>
    </w:p>
    <w:p w14:paraId="326FEF8B">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14:paraId="0278B602">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14:paraId="42BE6917">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14:paraId="22E13179">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806E23B">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14:paraId="4E46E292">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3C18E0C1">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50E228B8">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14:paraId="7415D0CB">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BCFC212">
      <w:pPr>
        <w:spacing w:beforeLines="50"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14:paraId="6A05C9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14:paraId="016EDC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37FBA0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14:paraId="37B3488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14:paraId="5181386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14:paraId="08362D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4884ED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3514CAA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F4CA64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6533592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49.5供应商有下列情形之一的，采购代理机构上报</w:t>
      </w:r>
      <w:r>
        <w:rPr>
          <w:rFonts w:hint="eastAsia" w:ascii="仿宋" w:hAnsi="仿宋" w:eastAsia="仿宋" w:cs="仿宋"/>
          <w:color w:val="000000" w:themeColor="text1"/>
          <w:szCs w:val="21"/>
          <w:lang w:val="en-US" w:eastAsia="zh-CN"/>
          <w14:textFill>
            <w14:solidFill>
              <w14:schemeClr w14:val="tx1"/>
            </w14:solidFill>
          </w14:textFill>
        </w:rPr>
        <w:t>巴里坤</w:t>
      </w:r>
      <w:bookmarkStart w:id="76" w:name="_GoBack"/>
      <w:bookmarkEnd w:id="76"/>
      <w:r>
        <w:rPr>
          <w:rFonts w:hint="eastAsia" w:ascii="仿宋" w:hAnsi="仿宋" w:eastAsia="仿宋" w:cs="仿宋"/>
          <w:color w:val="000000" w:themeColor="text1"/>
          <w:szCs w:val="21"/>
          <w:lang w:eastAsia="zh-CN"/>
          <w14:textFill>
            <w14:solidFill>
              <w14:schemeClr w14:val="tx1"/>
            </w14:solidFill>
          </w14:textFill>
        </w:rPr>
        <w:t>县财政局，将其列入不良行为记录名单：</w:t>
      </w:r>
    </w:p>
    <w:p w14:paraId="0B5EE7E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14:paraId="06088E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14:paraId="5F24BD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7B7E3B42">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14:paraId="1622134C">
      <w:pPr>
        <w:pStyle w:val="41"/>
        <w:rPr>
          <w:rFonts w:ascii="仿宋" w:hAnsi="仿宋" w:eastAsia="仿宋" w:cs="仿宋"/>
          <w:color w:val="000000" w:themeColor="text1"/>
          <w:sz w:val="30"/>
          <w:szCs w:val="30"/>
          <w:lang w:eastAsia="zh-CN"/>
          <w14:textFill>
            <w14:solidFill>
              <w14:schemeClr w14:val="tx1"/>
            </w14:solidFill>
          </w14:textFill>
        </w:rPr>
      </w:pPr>
    </w:p>
    <w:p w14:paraId="357BBB4E">
      <w:pPr>
        <w:rPr>
          <w:rFonts w:ascii="仿宋" w:hAnsi="仿宋" w:eastAsia="仿宋" w:cs="仿宋"/>
          <w:b/>
          <w:bCs/>
          <w:color w:val="000000" w:themeColor="text1"/>
          <w:sz w:val="21"/>
          <w:szCs w:val="21"/>
          <w:lang w:eastAsia="zh-CN"/>
          <w14:textFill>
            <w14:solidFill>
              <w14:schemeClr w14:val="tx1"/>
            </w14:solidFill>
          </w14:textFill>
        </w:rPr>
      </w:pPr>
    </w:p>
    <w:p w14:paraId="591DD6E3">
      <w:pPr>
        <w:rPr>
          <w:rFonts w:ascii="仿宋" w:hAnsi="仿宋" w:eastAsia="仿宋" w:cs="仿宋"/>
          <w:b/>
          <w:bCs/>
          <w:color w:val="000000" w:themeColor="text1"/>
          <w:sz w:val="21"/>
          <w:szCs w:val="21"/>
          <w:lang w:eastAsia="zh-CN"/>
          <w14:textFill>
            <w14:solidFill>
              <w14:schemeClr w14:val="tx1"/>
            </w14:solidFill>
          </w14:textFill>
        </w:rPr>
      </w:pPr>
    </w:p>
    <w:p w14:paraId="38986F25">
      <w:pPr>
        <w:rPr>
          <w:rFonts w:ascii="仿宋" w:hAnsi="仿宋" w:eastAsia="仿宋" w:cs="仿宋"/>
          <w:b/>
          <w:bCs/>
          <w:color w:val="000000" w:themeColor="text1"/>
          <w:sz w:val="21"/>
          <w:szCs w:val="21"/>
          <w:lang w:eastAsia="zh-CN"/>
          <w14:textFill>
            <w14:solidFill>
              <w14:schemeClr w14:val="tx1"/>
            </w14:solidFill>
          </w14:textFill>
        </w:rPr>
      </w:pPr>
    </w:p>
    <w:p w14:paraId="66B54A71">
      <w:pPr>
        <w:rPr>
          <w:rFonts w:ascii="仿宋" w:hAnsi="仿宋" w:eastAsia="仿宋" w:cs="仿宋"/>
          <w:b/>
          <w:bCs/>
          <w:color w:val="000000" w:themeColor="text1"/>
          <w:sz w:val="21"/>
          <w:szCs w:val="21"/>
          <w:lang w:eastAsia="zh-CN"/>
          <w14:textFill>
            <w14:solidFill>
              <w14:schemeClr w14:val="tx1"/>
            </w14:solidFill>
          </w14:textFill>
        </w:rPr>
      </w:pPr>
    </w:p>
    <w:p w14:paraId="3C970F5F">
      <w:pPr>
        <w:rPr>
          <w:rFonts w:ascii="仿宋" w:hAnsi="仿宋" w:eastAsia="仿宋" w:cs="仿宋"/>
          <w:b/>
          <w:bCs/>
          <w:color w:val="000000" w:themeColor="text1"/>
          <w:sz w:val="21"/>
          <w:szCs w:val="21"/>
          <w:lang w:eastAsia="zh-CN"/>
          <w14:textFill>
            <w14:solidFill>
              <w14:schemeClr w14:val="tx1"/>
            </w14:solidFill>
          </w14:textFill>
        </w:rPr>
      </w:pPr>
    </w:p>
    <w:p w14:paraId="3800B537">
      <w:pPr>
        <w:rPr>
          <w:rFonts w:ascii="仿宋" w:hAnsi="仿宋" w:eastAsia="仿宋" w:cs="仿宋"/>
          <w:b/>
          <w:bCs/>
          <w:color w:val="000000" w:themeColor="text1"/>
          <w:sz w:val="21"/>
          <w:szCs w:val="21"/>
          <w:lang w:eastAsia="zh-CN"/>
          <w14:textFill>
            <w14:solidFill>
              <w14:schemeClr w14:val="tx1"/>
            </w14:solidFill>
          </w14:textFill>
        </w:rPr>
      </w:pPr>
    </w:p>
    <w:p w14:paraId="4F33B167">
      <w:pPr>
        <w:rPr>
          <w:rFonts w:ascii="仿宋" w:hAnsi="仿宋" w:eastAsia="仿宋" w:cs="仿宋"/>
          <w:b/>
          <w:bCs/>
          <w:color w:val="000000" w:themeColor="text1"/>
          <w:sz w:val="21"/>
          <w:szCs w:val="21"/>
          <w:lang w:eastAsia="zh-CN"/>
          <w14:textFill>
            <w14:solidFill>
              <w14:schemeClr w14:val="tx1"/>
            </w14:solidFill>
          </w14:textFill>
        </w:rPr>
      </w:pPr>
    </w:p>
    <w:p w14:paraId="1F47B71D">
      <w:pPr>
        <w:rPr>
          <w:rFonts w:ascii="仿宋" w:hAnsi="仿宋" w:eastAsia="仿宋" w:cs="仿宋"/>
          <w:b/>
          <w:bCs/>
          <w:color w:val="000000" w:themeColor="text1"/>
          <w:sz w:val="21"/>
          <w:szCs w:val="21"/>
          <w:lang w:eastAsia="zh-CN"/>
          <w14:textFill>
            <w14:solidFill>
              <w14:schemeClr w14:val="tx1"/>
            </w14:solidFill>
          </w14:textFill>
        </w:rPr>
      </w:pPr>
    </w:p>
    <w:p w14:paraId="020CD4AB">
      <w:pPr>
        <w:rPr>
          <w:rFonts w:ascii="仿宋" w:hAnsi="仿宋" w:eastAsia="仿宋" w:cs="仿宋"/>
          <w:b/>
          <w:bCs/>
          <w:color w:val="000000" w:themeColor="text1"/>
          <w:sz w:val="21"/>
          <w:szCs w:val="21"/>
          <w:lang w:eastAsia="zh-CN"/>
          <w14:textFill>
            <w14:solidFill>
              <w14:schemeClr w14:val="tx1"/>
            </w14:solidFill>
          </w14:textFill>
        </w:rPr>
      </w:pPr>
    </w:p>
    <w:p w14:paraId="26B0322E">
      <w:pPr>
        <w:rPr>
          <w:rFonts w:ascii="仿宋" w:hAnsi="仿宋" w:eastAsia="仿宋" w:cs="仿宋"/>
          <w:b/>
          <w:bCs/>
          <w:color w:val="000000" w:themeColor="text1"/>
          <w:sz w:val="21"/>
          <w:szCs w:val="21"/>
          <w:lang w:eastAsia="zh-CN"/>
          <w14:textFill>
            <w14:solidFill>
              <w14:schemeClr w14:val="tx1"/>
            </w14:solidFill>
          </w14:textFill>
        </w:rPr>
      </w:pPr>
    </w:p>
    <w:p w14:paraId="3F149FFE">
      <w:pPr>
        <w:rPr>
          <w:rFonts w:ascii="仿宋" w:hAnsi="仿宋" w:eastAsia="仿宋" w:cs="仿宋"/>
          <w:b/>
          <w:bCs/>
          <w:color w:val="000000" w:themeColor="text1"/>
          <w:sz w:val="21"/>
          <w:szCs w:val="21"/>
          <w:lang w:eastAsia="zh-CN"/>
          <w14:textFill>
            <w14:solidFill>
              <w14:schemeClr w14:val="tx1"/>
            </w14:solidFill>
          </w14:textFill>
        </w:rPr>
      </w:pPr>
    </w:p>
    <w:p w14:paraId="42AB5881">
      <w:pPr>
        <w:rPr>
          <w:rFonts w:ascii="仿宋" w:hAnsi="仿宋" w:eastAsia="仿宋" w:cs="仿宋"/>
          <w:b/>
          <w:bCs/>
          <w:color w:val="000000" w:themeColor="text1"/>
          <w:sz w:val="21"/>
          <w:szCs w:val="21"/>
          <w:lang w:eastAsia="zh-CN"/>
          <w14:textFill>
            <w14:solidFill>
              <w14:schemeClr w14:val="tx1"/>
            </w14:solidFill>
          </w14:textFill>
        </w:rPr>
      </w:pPr>
    </w:p>
    <w:p w14:paraId="150BAF0B">
      <w:pPr>
        <w:rPr>
          <w:rFonts w:ascii="仿宋" w:hAnsi="仿宋" w:eastAsia="仿宋" w:cs="仿宋"/>
          <w:b/>
          <w:bCs/>
          <w:color w:val="000000" w:themeColor="text1"/>
          <w:sz w:val="21"/>
          <w:szCs w:val="21"/>
          <w:lang w:eastAsia="zh-CN"/>
          <w14:textFill>
            <w14:solidFill>
              <w14:schemeClr w14:val="tx1"/>
            </w14:solidFill>
          </w14:textFill>
        </w:rPr>
      </w:pPr>
    </w:p>
    <w:p w14:paraId="3CE582B7">
      <w:pPr>
        <w:rPr>
          <w:rFonts w:ascii="仿宋" w:hAnsi="仿宋" w:eastAsia="仿宋" w:cs="仿宋"/>
          <w:b/>
          <w:bCs/>
          <w:color w:val="000000" w:themeColor="text1"/>
          <w:sz w:val="21"/>
          <w:szCs w:val="21"/>
          <w:lang w:eastAsia="zh-CN"/>
          <w14:textFill>
            <w14:solidFill>
              <w14:schemeClr w14:val="tx1"/>
            </w14:solidFill>
          </w14:textFill>
        </w:rPr>
      </w:pPr>
    </w:p>
    <w:p w14:paraId="3AD9C328">
      <w:pPr>
        <w:rPr>
          <w:rFonts w:ascii="仿宋" w:hAnsi="仿宋" w:eastAsia="仿宋" w:cs="仿宋"/>
          <w:b/>
          <w:bCs/>
          <w:color w:val="000000" w:themeColor="text1"/>
          <w:sz w:val="21"/>
          <w:szCs w:val="21"/>
          <w:lang w:eastAsia="zh-CN"/>
          <w14:textFill>
            <w14:solidFill>
              <w14:schemeClr w14:val="tx1"/>
            </w14:solidFill>
          </w14:textFill>
        </w:rPr>
      </w:pPr>
    </w:p>
    <w:p w14:paraId="09CCB54E">
      <w:pPr>
        <w:rPr>
          <w:rFonts w:ascii="仿宋" w:hAnsi="仿宋" w:eastAsia="仿宋" w:cs="仿宋"/>
          <w:b/>
          <w:bCs/>
          <w:color w:val="000000" w:themeColor="text1"/>
          <w:sz w:val="21"/>
          <w:szCs w:val="21"/>
          <w:lang w:eastAsia="zh-CN"/>
          <w14:textFill>
            <w14:solidFill>
              <w14:schemeClr w14:val="tx1"/>
            </w14:solidFill>
          </w14:textFill>
        </w:rPr>
      </w:pPr>
    </w:p>
    <w:p w14:paraId="6DE2B6DC">
      <w:pPr>
        <w:rPr>
          <w:rFonts w:ascii="仿宋" w:hAnsi="仿宋" w:eastAsia="仿宋" w:cs="仿宋"/>
          <w:b/>
          <w:bCs/>
          <w:color w:val="000000" w:themeColor="text1"/>
          <w:sz w:val="21"/>
          <w:szCs w:val="21"/>
          <w:lang w:eastAsia="zh-CN"/>
          <w14:textFill>
            <w14:solidFill>
              <w14:schemeClr w14:val="tx1"/>
            </w14:solidFill>
          </w14:textFill>
        </w:rPr>
      </w:pPr>
    </w:p>
    <w:p w14:paraId="54663F67">
      <w:pPr>
        <w:rPr>
          <w:rFonts w:ascii="仿宋" w:hAnsi="仿宋" w:eastAsia="仿宋" w:cs="仿宋"/>
          <w:b/>
          <w:bCs/>
          <w:color w:val="000000" w:themeColor="text1"/>
          <w:sz w:val="21"/>
          <w:szCs w:val="21"/>
          <w:lang w:eastAsia="zh-CN"/>
          <w14:textFill>
            <w14:solidFill>
              <w14:schemeClr w14:val="tx1"/>
            </w14:solidFill>
          </w14:textFill>
        </w:rPr>
      </w:pPr>
    </w:p>
    <w:p w14:paraId="1C7E9981">
      <w:pPr>
        <w:pStyle w:val="5"/>
        <w:rPr>
          <w:rFonts w:ascii="仿宋" w:hAnsi="仿宋" w:eastAsia="仿宋" w:cs="仿宋"/>
          <w:color w:val="000000" w:themeColor="text1"/>
          <w:sz w:val="21"/>
          <w:szCs w:val="21"/>
          <w:lang w:eastAsia="zh-CN"/>
          <w14:textFill>
            <w14:solidFill>
              <w14:schemeClr w14:val="tx1"/>
            </w14:solidFill>
          </w14:textFill>
        </w:rPr>
      </w:pPr>
    </w:p>
    <w:p w14:paraId="3D07B393">
      <w:pPr>
        <w:rPr>
          <w:lang w:eastAsia="zh-CN"/>
        </w:rPr>
      </w:pPr>
    </w:p>
    <w:p w14:paraId="00244B59">
      <w:pPr>
        <w:rPr>
          <w:lang w:eastAsia="zh-CN"/>
        </w:rPr>
      </w:pPr>
    </w:p>
    <w:p w14:paraId="28AFFE3C">
      <w:pPr>
        <w:rPr>
          <w:lang w:eastAsia="zh-CN"/>
        </w:rPr>
      </w:pPr>
    </w:p>
    <w:p w14:paraId="6EC9B5E9">
      <w:pPr>
        <w:rPr>
          <w:rFonts w:ascii="仿宋" w:hAnsi="仿宋" w:eastAsia="仿宋" w:cs="仿宋"/>
          <w:b/>
          <w:bCs/>
          <w:color w:val="000000" w:themeColor="text1"/>
          <w:sz w:val="21"/>
          <w:szCs w:val="21"/>
          <w:lang w:eastAsia="zh-CN"/>
          <w14:textFill>
            <w14:solidFill>
              <w14:schemeClr w14:val="tx1"/>
            </w14:solidFill>
          </w14:textFill>
        </w:rPr>
      </w:pPr>
    </w:p>
    <w:p w14:paraId="405599C2">
      <w:pPr>
        <w:rPr>
          <w:rFonts w:ascii="仿宋" w:hAnsi="仿宋" w:eastAsia="仿宋" w:cs="仿宋"/>
          <w:b/>
          <w:bCs/>
          <w:color w:val="000000" w:themeColor="text1"/>
          <w:sz w:val="21"/>
          <w:szCs w:val="21"/>
          <w:lang w:eastAsia="zh-CN"/>
          <w14:textFill>
            <w14:solidFill>
              <w14:schemeClr w14:val="tx1"/>
            </w14:solidFill>
          </w14:textFill>
        </w:rPr>
      </w:pPr>
    </w:p>
    <w:p w14:paraId="4ECBD5E6">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14:paraId="7E094F81">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14:paraId="2FA7A531">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14:paraId="603AD3E2">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234BB1C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4785EF6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61793D7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6E743442">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41EFA3D">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32B99D8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14:paraId="0BE9F11D">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14:paraId="7373E058">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14:paraId="2D3415C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14:paraId="08C4F09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14:paraId="6A52D60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14:paraId="1817499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14:paraId="715ACEC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14:paraId="12C6280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14:paraId="4B99DB5A">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14:paraId="02406128">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14:paraId="0A91C5C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14:paraId="1DD47B8C">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14:paraId="2FF0658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14:paraId="11A8B1BF">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14:paraId="1FDED0D2">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EF573DD">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14:paraId="6A7ACEC0">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43E64C33">
      <w:pPr>
        <w:jc w:val="both"/>
        <w:outlineLvl w:val="0"/>
        <w:rPr>
          <w:rFonts w:ascii="仿宋" w:hAnsi="仿宋" w:eastAsia="仿宋" w:cs="仿宋"/>
          <w:b/>
          <w:bCs/>
          <w:color w:val="000000" w:themeColor="text1"/>
          <w:sz w:val="32"/>
          <w:szCs w:val="32"/>
          <w:lang w:eastAsia="zh-CN"/>
          <w14:textFill>
            <w14:solidFill>
              <w14:schemeClr w14:val="tx1"/>
            </w14:solidFill>
          </w14:textFill>
        </w:rPr>
      </w:pPr>
      <w:bookmarkStart w:id="28" w:name="_Toc17515"/>
    </w:p>
    <w:p w14:paraId="12CCDA0B">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8"/>
    </w:p>
    <w:p w14:paraId="6A0EC1BF">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14:paraId="61262B30">
      <w:pPr>
        <w:numPr>
          <w:ilvl w:val="0"/>
          <w:numId w:val="5"/>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9"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9"/>
    </w:p>
    <w:p w14:paraId="34BB520F">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7131A452">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002E83E7">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721060C6">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F81B6B5">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3DEBAE9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3226ED95">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0"/>
    </w:p>
    <w:p w14:paraId="3AA284C2">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14:paraId="01FC670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14:paraId="34363961">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14:paraId="66423963">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14:paraId="2BB464AA">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14:paraId="1F8FC051">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14:paraId="5D4E87DE">
      <w:pPr>
        <w:numPr>
          <w:ilvl w:val="0"/>
          <w:numId w:val="6"/>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14:paraId="62045779">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1154DA73">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D23EF3E">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14:paraId="231D8494">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14:paraId="26DBBEC2">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14:paraId="0A4ED179">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14:paraId="53145DE9">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14:paraId="6C101ADC">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14:paraId="646552D5">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14:paraId="3CFF8DA3">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14:paraId="333B6AF7">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48DACBBA">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1"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1"/>
    </w:p>
    <w:p w14:paraId="5E39B30E">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96B35E">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3E285A6F">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14:paraId="16282589">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14:paraId="10FC5D78">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E022E77">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3C06E893">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递交投诉书地址：巴里坤县政府采购办监管办公室</w:t>
      </w:r>
    </w:p>
    <w:p w14:paraId="2C7B8549">
      <w:pPr>
        <w:jc w:val="right"/>
        <w:rPr>
          <w:rFonts w:ascii="仿宋" w:hAnsi="仿宋" w:eastAsia="仿宋" w:cs="仿宋"/>
          <w:color w:val="000000" w:themeColor="text1"/>
          <w:sz w:val="32"/>
          <w:szCs w:val="32"/>
          <w:lang w:eastAsia="zh-CN"/>
          <w14:textFill>
            <w14:solidFill>
              <w14:schemeClr w14:val="tx1"/>
            </w14:solidFill>
          </w14:textFill>
        </w:rPr>
      </w:pPr>
    </w:p>
    <w:p w14:paraId="01C2CF4D">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638BB15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02A104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986488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332F7C9">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5C01338">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9C1CFD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2CA5525">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CB3A429">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AE02B20">
      <w:pPr>
        <w:pStyle w:val="5"/>
        <w:rPr>
          <w:rFonts w:ascii="仿宋" w:hAnsi="仿宋" w:eastAsia="仿宋" w:cs="仿宋"/>
          <w:b/>
          <w:bCs/>
          <w:color w:val="000000" w:themeColor="text1"/>
          <w:sz w:val="44"/>
          <w:szCs w:val="44"/>
          <w:lang w:eastAsia="zh-CN"/>
          <w14:textFill>
            <w14:solidFill>
              <w14:schemeClr w14:val="tx1"/>
            </w14:solidFill>
          </w14:textFill>
        </w:rPr>
      </w:pPr>
    </w:p>
    <w:p w14:paraId="2754A85F">
      <w:pPr>
        <w:rPr>
          <w:rFonts w:ascii="仿宋" w:hAnsi="仿宋" w:eastAsia="仿宋" w:cs="仿宋"/>
          <w:b/>
          <w:bCs/>
          <w:color w:val="000000" w:themeColor="text1"/>
          <w:sz w:val="44"/>
          <w:szCs w:val="44"/>
          <w:lang w:eastAsia="zh-CN"/>
          <w14:textFill>
            <w14:solidFill>
              <w14:schemeClr w14:val="tx1"/>
            </w14:solidFill>
          </w14:textFill>
        </w:rPr>
      </w:pPr>
    </w:p>
    <w:p w14:paraId="43BACFD1">
      <w:pPr>
        <w:spacing w:line="540" w:lineRule="exact"/>
        <w:jc w:val="both"/>
        <w:outlineLvl w:val="0"/>
        <w:rPr>
          <w:rFonts w:ascii="仿宋" w:hAnsi="仿宋" w:eastAsia="仿宋" w:cs="仿宋"/>
          <w:b/>
          <w:bCs/>
          <w:color w:val="000000" w:themeColor="text1"/>
          <w:sz w:val="32"/>
          <w:szCs w:val="32"/>
          <w:lang w:eastAsia="zh-CN"/>
          <w14:textFill>
            <w14:solidFill>
              <w14:schemeClr w14:val="tx1"/>
            </w14:solidFill>
          </w14:textFill>
        </w:rPr>
      </w:pPr>
      <w:bookmarkStart w:id="32" w:name="_Toc1697"/>
    </w:p>
    <w:p w14:paraId="36EA0941">
      <w:pPr>
        <w:spacing w:line="540" w:lineRule="exact"/>
        <w:jc w:val="both"/>
        <w:outlineLvl w:val="0"/>
        <w:rPr>
          <w:rFonts w:hint="eastAsia" w:ascii="仿宋" w:hAnsi="仿宋" w:eastAsia="仿宋" w:cs="仿宋"/>
          <w:b/>
          <w:bCs/>
          <w:color w:val="000000" w:themeColor="text1"/>
          <w:sz w:val="32"/>
          <w:szCs w:val="32"/>
          <w:lang w:eastAsia="zh-CN"/>
          <w14:textFill>
            <w14:solidFill>
              <w14:schemeClr w14:val="tx1"/>
            </w14:solidFill>
          </w14:textFill>
        </w:rPr>
      </w:pPr>
    </w:p>
    <w:p w14:paraId="7DCEA608">
      <w:pPr>
        <w:spacing w:line="540" w:lineRule="exact"/>
        <w:jc w:val="both"/>
        <w:outlineLvl w:val="0"/>
        <w:rPr>
          <w:rFonts w:hint="eastAsia" w:ascii="仿宋" w:hAnsi="仿宋" w:eastAsia="仿宋" w:cs="仿宋"/>
          <w:b/>
          <w:bCs/>
          <w:color w:val="000000" w:themeColor="text1"/>
          <w:sz w:val="32"/>
          <w:szCs w:val="32"/>
          <w:lang w:eastAsia="zh-CN"/>
          <w14:textFill>
            <w14:solidFill>
              <w14:schemeClr w14:val="tx1"/>
            </w14:solidFill>
          </w14:textFill>
        </w:rPr>
      </w:pPr>
    </w:p>
    <w:p w14:paraId="33114539">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2"/>
    </w:p>
    <w:p w14:paraId="4E28BC19">
      <w:pPr>
        <w:adjustRightInd w:val="0"/>
        <w:snapToGrid w:val="0"/>
        <w:spacing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3"/>
    </w:p>
    <w:p w14:paraId="60C79A3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74CA09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1BF654E">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4411137">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4532D4C">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8D178B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D2264D6">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4"/>
    </w:p>
    <w:p w14:paraId="616C0ACD">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426891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6005D0E">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E4BA5E8">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E08E2DD">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5"/>
    </w:p>
    <w:p w14:paraId="64EDF53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B403D1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2620904">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45F16CF">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14:paraId="3B7FFA8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14:paraId="2F888284">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6"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6"/>
    </w:p>
    <w:p w14:paraId="26A7C40C">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ECD0135">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14:paraId="21D5C200">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14:paraId="0F9B143C">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14:paraId="73C7126E">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7"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7"/>
    </w:p>
    <w:p w14:paraId="47290BE9">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8" w:name="_Toc469495733"/>
      <w:bookmarkStart w:id="39" w:name="_Toc362983802"/>
      <w:bookmarkStart w:id="40" w:name="_Toc267320058"/>
      <w:bookmarkStart w:id="41"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14:paraId="2995DCA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14:paraId="1EBA01E7">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14:paraId="4524F5F7">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14:paraId="12C8F61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14:paraId="76BF406D">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1.4评标按照招标文件规定的内容进行，采取符合招标文件要求的综合评分法；</w:t>
      </w:r>
    </w:p>
    <w:p w14:paraId="340DC78A">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728B9443">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14:paraId="30C3A36E">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A62AD1D">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14:paraId="0A8302B0">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2DB187DB">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14:paraId="105E4E2C">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14:paraId="195DE188">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14:paraId="7606A2CA">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14:paraId="6AF0618B">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14:paraId="5DD18448">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14:paraId="0DBE8056">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14:paraId="2C4A4E5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14:paraId="3255CF9E">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14:paraId="7738808F">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14:paraId="7283CDE2">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14:paraId="597F8FD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14:paraId="6DA4238A">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14:paraId="67379770">
      <w:pPr>
        <w:pStyle w:val="15"/>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14:paraId="6E06CB6E">
      <w:pPr>
        <w:tabs>
          <w:tab w:val="left" w:pos="720"/>
        </w:tabs>
        <w:spacing w:line="440" w:lineRule="exact"/>
        <w:ind w:firstLine="612" w:firstLineChars="255"/>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14:paraId="36496A36">
      <w:pPr>
        <w:widowControl/>
        <w:spacing w:line="360" w:lineRule="exact"/>
        <w:ind w:firstLine="482"/>
        <w:rPr>
          <w:rFonts w:ascii="仿宋" w:hAnsi="仿宋" w:eastAsia="仿宋" w:cs="仿宋"/>
          <w:b/>
          <w:bCs/>
          <w:color w:val="000000" w:themeColor="text1"/>
          <w:sz w:val="36"/>
          <w:szCs w:val="36"/>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5.3依据评分标准以及各项权值，各位评委单独就每个投标人的投标文件进行价格、技术、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"http://zhidao.baidu.com/search?word=%E8%B4%A2%E5%8A%A1%E7%8A%B6%E5%86%B5&amp;fr=qb_search_exp&amp;ie=utf8&amp;eid_gfrom=151"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lang w:eastAsia="zh-CN" w:bidi="ar-SA"/>
          <w14:textFill>
            <w14:solidFill>
              <w14:schemeClr w14:val="tx1"/>
            </w14:solidFill>
          </w14:textFill>
        </w:rPr>
        <w:t>财务状况</w:t>
      </w:r>
      <w:r>
        <w:rPr>
          <w:rFonts w:hint="eastAsia" w:ascii="仿宋" w:hAnsi="仿宋" w:eastAsia="仿宋" w:cs="仿宋"/>
          <w:color w:val="000000" w:themeColor="text1"/>
          <w:szCs w:val="21"/>
          <w:highlight w:val="none"/>
          <w:lang w:eastAsia="zh-CN" w:bidi="ar-SA"/>
          <w14:textFill>
            <w14:solidFill>
              <w14:schemeClr w14:val="tx1"/>
            </w14:solidFill>
          </w14:textFill>
        </w:rPr>
        <w:fldChar w:fldCharType="end"/>
      </w:r>
      <w:r>
        <w:rPr>
          <w:rFonts w:hint="eastAsia" w:ascii="仿宋" w:hAnsi="仿宋" w:eastAsia="仿宋" w:cs="仿宋"/>
          <w:color w:val="000000" w:themeColor="text1"/>
          <w:szCs w:val="21"/>
          <w:highlight w:val="none"/>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w:t>
      </w:r>
      <w:r>
        <w:rPr>
          <w:rFonts w:hint="eastAsia" w:ascii="仿宋" w:hAnsi="仿宋" w:eastAsia="仿宋" w:cs="仿宋"/>
          <w:color w:val="000000" w:themeColor="text1"/>
          <w:szCs w:val="21"/>
          <w:highlight w:val="none"/>
          <w:lang w:val="en-US" w:eastAsia="zh-CN" w:bidi="ar-SA"/>
          <w14:textFill>
            <w14:solidFill>
              <w14:schemeClr w14:val="tx1"/>
            </w14:solidFill>
          </w14:textFill>
        </w:rPr>
        <w:t>3名</w:t>
      </w:r>
      <w:r>
        <w:rPr>
          <w:rFonts w:hint="eastAsia" w:ascii="仿宋" w:hAnsi="仿宋" w:eastAsia="仿宋" w:cs="仿宋"/>
          <w:color w:val="000000" w:themeColor="text1"/>
          <w:szCs w:val="21"/>
          <w:highlight w:val="none"/>
          <w:lang w:eastAsia="zh-CN" w:bidi="ar-SA"/>
          <w14:textFill>
            <w14:solidFill>
              <w14:schemeClr w14:val="tx1"/>
            </w14:solidFill>
          </w14:textFill>
        </w:rPr>
        <w:t>中标候选人。</w:t>
      </w:r>
    </w:p>
    <w:p w14:paraId="29CBF1F0">
      <w:pPr>
        <w:jc w:val="center"/>
        <w:outlineLvl w:val="1"/>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  投标文件初审</w:t>
      </w:r>
      <w:bookmarkEnd w:id="38"/>
      <w:bookmarkEnd w:id="39"/>
    </w:p>
    <w:p w14:paraId="3B58D712">
      <w:pPr>
        <w:spacing w:line="400" w:lineRule="exact"/>
        <w:ind w:firstLine="352"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6.资格性审查:</w:t>
      </w:r>
    </w:p>
    <w:p w14:paraId="77FC0079">
      <w:pPr>
        <w:spacing w:line="400" w:lineRule="exact"/>
        <w:ind w:firstLine="352" w:firstLineChars="147"/>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9"/>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14:paraId="6709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4FB52AC0">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w:t>
            </w:r>
          </w:p>
        </w:tc>
        <w:tc>
          <w:tcPr>
            <w:tcW w:w="7647" w:type="dxa"/>
            <w:gridSpan w:val="2"/>
            <w:vMerge w:val="restart"/>
            <w:vAlign w:val="center"/>
          </w:tcPr>
          <w:p w14:paraId="625EC0CA">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评审内容</w:t>
            </w:r>
          </w:p>
        </w:tc>
        <w:tc>
          <w:tcPr>
            <w:tcW w:w="1178" w:type="dxa"/>
            <w:gridSpan w:val="2"/>
            <w:vAlign w:val="center"/>
          </w:tcPr>
          <w:p w14:paraId="14947021">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评审意见</w:t>
            </w:r>
          </w:p>
        </w:tc>
      </w:tr>
      <w:tr w14:paraId="7A07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71CC41E7">
            <w:pPr>
              <w:rPr>
                <w:rFonts w:ascii="仿宋" w:hAnsi="仿宋" w:eastAsia="仿宋" w:cs="仿宋"/>
                <w:color w:val="000000" w:themeColor="text1"/>
                <w:sz w:val="18"/>
                <w:szCs w:val="21"/>
                <w:highlight w:val="none"/>
                <w14:textFill>
                  <w14:solidFill>
                    <w14:schemeClr w14:val="tx1"/>
                  </w14:solidFill>
                </w14:textFill>
              </w:rPr>
            </w:pPr>
          </w:p>
        </w:tc>
        <w:tc>
          <w:tcPr>
            <w:tcW w:w="7647" w:type="dxa"/>
            <w:gridSpan w:val="2"/>
            <w:vMerge w:val="continue"/>
          </w:tcPr>
          <w:p w14:paraId="274DBB73">
            <w:pPr>
              <w:rPr>
                <w:rFonts w:ascii="仿宋" w:hAnsi="仿宋" w:eastAsia="仿宋" w:cs="仿宋"/>
                <w:color w:val="000000" w:themeColor="text1"/>
                <w:sz w:val="18"/>
                <w:szCs w:val="21"/>
                <w:highlight w:val="none"/>
                <w14:textFill>
                  <w14:solidFill>
                    <w14:schemeClr w14:val="tx1"/>
                  </w14:solidFill>
                </w14:textFill>
              </w:rPr>
            </w:pPr>
          </w:p>
        </w:tc>
        <w:tc>
          <w:tcPr>
            <w:tcW w:w="563" w:type="dxa"/>
            <w:vAlign w:val="center"/>
          </w:tcPr>
          <w:p w14:paraId="10AF118F">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w:t>
            </w:r>
          </w:p>
        </w:tc>
        <w:tc>
          <w:tcPr>
            <w:tcW w:w="615" w:type="dxa"/>
            <w:vAlign w:val="center"/>
          </w:tcPr>
          <w:p w14:paraId="36A4262C">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否</w:t>
            </w:r>
          </w:p>
        </w:tc>
      </w:tr>
      <w:tr w14:paraId="648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vAlign w:val="center"/>
          </w:tcPr>
          <w:p w14:paraId="6A216BDB">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审</w:t>
            </w:r>
          </w:p>
          <w:p w14:paraId="7F5947FA">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查</w:t>
            </w:r>
          </w:p>
          <w:p w14:paraId="362312B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标</w:t>
            </w:r>
          </w:p>
          <w:p w14:paraId="53D11D80">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准</w:t>
            </w:r>
          </w:p>
          <w:p w14:paraId="66FBD52E">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(适</w:t>
            </w:r>
          </w:p>
          <w:p w14:paraId="0F0524A3">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用</w:t>
            </w:r>
          </w:p>
          <w:p w14:paraId="230E7321">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于</w:t>
            </w:r>
          </w:p>
          <w:p w14:paraId="5C4E218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资</w:t>
            </w:r>
          </w:p>
          <w:p w14:paraId="7B60174D">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格</w:t>
            </w:r>
          </w:p>
          <w:p w14:paraId="507C9254">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后</w:t>
            </w:r>
          </w:p>
          <w:p w14:paraId="0B7E2DC2">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审)</w:t>
            </w:r>
          </w:p>
        </w:tc>
        <w:tc>
          <w:tcPr>
            <w:tcW w:w="547" w:type="dxa"/>
            <w:vAlign w:val="center"/>
          </w:tcPr>
          <w:p w14:paraId="2F960158">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7100" w:type="dxa"/>
            <w:vAlign w:val="center"/>
          </w:tcPr>
          <w:p w14:paraId="003F918F">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法定代表人投标需提供法定代表人资格证明书，委托代理人投标需提供法定代表人授权委托书；</w:t>
            </w:r>
          </w:p>
        </w:tc>
        <w:tc>
          <w:tcPr>
            <w:tcW w:w="563" w:type="dxa"/>
          </w:tcPr>
          <w:p w14:paraId="16D7450A">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114295B1">
            <w:pPr>
              <w:rPr>
                <w:rFonts w:ascii="仿宋" w:hAnsi="仿宋" w:eastAsia="仿宋" w:cs="仿宋"/>
                <w:color w:val="000000" w:themeColor="text1"/>
                <w:szCs w:val="21"/>
                <w:highlight w:val="none"/>
                <w:lang w:eastAsia="zh-CN"/>
                <w14:textFill>
                  <w14:solidFill>
                    <w14:schemeClr w14:val="tx1"/>
                  </w14:solidFill>
                </w14:textFill>
              </w:rPr>
            </w:pPr>
          </w:p>
        </w:tc>
      </w:tr>
      <w:tr w14:paraId="105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6DCA2DD">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76C3FFA6">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p>
        </w:tc>
        <w:tc>
          <w:tcPr>
            <w:tcW w:w="7100" w:type="dxa"/>
            <w:vAlign w:val="center"/>
          </w:tcPr>
          <w:p w14:paraId="6BB2755F">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满足《中华人民共和国政府采购法》第二十二条规定；</w:t>
            </w:r>
          </w:p>
        </w:tc>
        <w:tc>
          <w:tcPr>
            <w:tcW w:w="563" w:type="dxa"/>
          </w:tcPr>
          <w:p w14:paraId="1CE72BEF">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35D36FF9">
            <w:pPr>
              <w:rPr>
                <w:rFonts w:ascii="仿宋" w:hAnsi="仿宋" w:eastAsia="仿宋" w:cs="仿宋"/>
                <w:color w:val="000000" w:themeColor="text1"/>
                <w:szCs w:val="21"/>
                <w:highlight w:val="none"/>
                <w:lang w:eastAsia="zh-CN"/>
                <w14:textFill>
                  <w14:solidFill>
                    <w14:schemeClr w14:val="tx1"/>
                  </w14:solidFill>
                </w14:textFill>
              </w:rPr>
            </w:pPr>
          </w:p>
        </w:tc>
      </w:tr>
      <w:tr w14:paraId="5D1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6DF982E3">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421F267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p>
        </w:tc>
        <w:tc>
          <w:tcPr>
            <w:tcW w:w="7100" w:type="dxa"/>
            <w:vAlign w:val="center"/>
          </w:tcPr>
          <w:p w14:paraId="7656407F">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highlight w:val="none"/>
                <w:lang w:val="zh-CN" w:eastAsia="zh-CN"/>
                <w14:textFill>
                  <w14:solidFill>
                    <w14:schemeClr w14:val="tx1"/>
                  </w14:solidFill>
                </w14:textFill>
              </w:rPr>
              <w:t>重大税收违法</w:t>
            </w:r>
            <w:r>
              <w:rPr>
                <w:rFonts w:hint="eastAsia" w:ascii="仿宋" w:hAnsi="仿宋" w:eastAsia="仿宋" w:cs="仿宋"/>
                <w:color w:val="000000" w:themeColor="text1"/>
                <w:szCs w:val="21"/>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ascii="仿宋" w:hAnsi="仿宋" w:eastAsia="仿宋" w:cs="仿宋"/>
                <w:color w:val="000000" w:themeColor="text1"/>
                <w:szCs w:val="21"/>
                <w:highlight w:val="none"/>
                <w:lang w:eastAsia="zh-CN"/>
                <w14:textFill>
                  <w14:solidFill>
                    <w14:schemeClr w14:val="tx1"/>
                  </w14:solidFill>
                </w14:textFill>
              </w:rPr>
              <w:t>）</w:t>
            </w:r>
          </w:p>
        </w:tc>
        <w:tc>
          <w:tcPr>
            <w:tcW w:w="563" w:type="dxa"/>
          </w:tcPr>
          <w:p w14:paraId="2EB7E51F">
            <w:pPr>
              <w:rPr>
                <w:rFonts w:ascii="仿宋" w:hAnsi="仿宋" w:eastAsia="仿宋" w:cs="仿宋"/>
                <w:color w:val="000000" w:themeColor="text1"/>
                <w:szCs w:val="21"/>
                <w:highlight w:val="none"/>
                <w14:textFill>
                  <w14:solidFill>
                    <w14:schemeClr w14:val="tx1"/>
                  </w14:solidFill>
                </w14:textFill>
              </w:rPr>
            </w:pPr>
          </w:p>
        </w:tc>
        <w:tc>
          <w:tcPr>
            <w:tcW w:w="615" w:type="dxa"/>
          </w:tcPr>
          <w:p w14:paraId="6C226746">
            <w:pPr>
              <w:rPr>
                <w:rFonts w:ascii="仿宋" w:hAnsi="仿宋" w:eastAsia="仿宋" w:cs="仿宋"/>
                <w:color w:val="000000" w:themeColor="text1"/>
                <w:szCs w:val="21"/>
                <w:highlight w:val="none"/>
                <w14:textFill>
                  <w14:solidFill>
                    <w14:schemeClr w14:val="tx1"/>
                  </w14:solidFill>
                </w14:textFill>
              </w:rPr>
            </w:pPr>
          </w:p>
        </w:tc>
      </w:tr>
      <w:tr w14:paraId="031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1" w:type="dxa"/>
            <w:vMerge w:val="continue"/>
            <w:vAlign w:val="center"/>
          </w:tcPr>
          <w:p w14:paraId="7FDB5F47">
            <w:pPr>
              <w:rPr>
                <w:rFonts w:ascii="仿宋" w:hAnsi="仿宋" w:eastAsia="仿宋" w:cs="仿宋"/>
                <w:color w:val="000000" w:themeColor="text1"/>
                <w:highlight w:val="none"/>
                <w14:textFill>
                  <w14:solidFill>
                    <w14:schemeClr w14:val="tx1"/>
                  </w14:solidFill>
                </w14:textFill>
              </w:rPr>
            </w:pPr>
          </w:p>
        </w:tc>
        <w:tc>
          <w:tcPr>
            <w:tcW w:w="547" w:type="dxa"/>
            <w:vAlign w:val="center"/>
          </w:tcPr>
          <w:p w14:paraId="4CAF23C4">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p>
        </w:tc>
        <w:tc>
          <w:tcPr>
            <w:tcW w:w="7100" w:type="dxa"/>
            <w:vAlign w:val="center"/>
          </w:tcPr>
          <w:p w14:paraId="2852F808">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单位负责人为同一人或者存在直接控股、管理关系的不同供应商，不得参加同一合同下的政府采购活动的书面声明；</w:t>
            </w:r>
          </w:p>
        </w:tc>
        <w:tc>
          <w:tcPr>
            <w:tcW w:w="563" w:type="dxa"/>
          </w:tcPr>
          <w:p w14:paraId="49EC5954">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7C0432FB">
            <w:pPr>
              <w:rPr>
                <w:rFonts w:ascii="仿宋" w:hAnsi="仿宋" w:eastAsia="仿宋" w:cs="仿宋"/>
                <w:color w:val="000000" w:themeColor="text1"/>
                <w:szCs w:val="21"/>
                <w:highlight w:val="none"/>
                <w:lang w:eastAsia="zh-CN"/>
                <w14:textFill>
                  <w14:solidFill>
                    <w14:schemeClr w14:val="tx1"/>
                  </w14:solidFill>
                </w14:textFill>
              </w:rPr>
            </w:pPr>
          </w:p>
        </w:tc>
      </w:tr>
      <w:tr w14:paraId="3E19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1" w:type="dxa"/>
            <w:vMerge w:val="continue"/>
            <w:vAlign w:val="center"/>
          </w:tcPr>
          <w:p w14:paraId="7A83FE9A">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59BB0E2D">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p>
        </w:tc>
        <w:tc>
          <w:tcPr>
            <w:tcW w:w="7100" w:type="dxa"/>
            <w:vAlign w:val="center"/>
          </w:tcPr>
          <w:p w14:paraId="759F5C64">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投标单位（供应商）针对本次采购项目《反商业贿赂承诺书》的书</w:t>
            </w:r>
          </w:p>
          <w:p w14:paraId="22807997">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面声明；</w:t>
            </w:r>
          </w:p>
        </w:tc>
        <w:tc>
          <w:tcPr>
            <w:tcW w:w="563" w:type="dxa"/>
          </w:tcPr>
          <w:p w14:paraId="0E0992BA">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6EE5324C">
            <w:pPr>
              <w:rPr>
                <w:rFonts w:ascii="仿宋" w:hAnsi="仿宋" w:eastAsia="仿宋" w:cs="仿宋"/>
                <w:color w:val="000000" w:themeColor="text1"/>
                <w:szCs w:val="21"/>
                <w:highlight w:val="none"/>
                <w:lang w:eastAsia="zh-CN"/>
                <w14:textFill>
                  <w14:solidFill>
                    <w14:schemeClr w14:val="tx1"/>
                  </w14:solidFill>
                </w14:textFill>
              </w:rPr>
            </w:pPr>
          </w:p>
        </w:tc>
      </w:tr>
      <w:tr w14:paraId="7D22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18B9BC23">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0E853E3D">
            <w:pPr>
              <w:jc w:val="center"/>
              <w:rPr>
                <w:rFonts w:ascii="仿宋" w:hAnsi="仿宋" w:eastAsia="仿宋" w:cs="仿宋"/>
                <w:color w:val="000000" w:themeColor="text1"/>
                <w:szCs w:val="21"/>
                <w:highlight w:val="none"/>
                <w:lang w:eastAsia="zh-CN"/>
                <w14:textFill>
                  <w14:solidFill>
                    <w14:schemeClr w14:val="tx1"/>
                  </w14:solidFill>
                </w14:textFill>
              </w:rPr>
            </w:pPr>
            <w:r>
              <w:rPr>
                <w:rFonts w:ascii="仿宋" w:hAnsi="仿宋" w:eastAsia="仿宋" w:cs="仿宋"/>
                <w:color w:val="000000" w:themeColor="text1"/>
                <w:szCs w:val="21"/>
                <w:highlight w:val="none"/>
                <w:lang w:eastAsia="zh-CN"/>
                <w14:textFill>
                  <w14:solidFill>
                    <w14:schemeClr w14:val="tx1"/>
                  </w14:solidFill>
                </w14:textFill>
              </w:rPr>
              <w:t>6</w:t>
            </w:r>
          </w:p>
        </w:tc>
        <w:tc>
          <w:tcPr>
            <w:tcW w:w="7100" w:type="dxa"/>
            <w:vAlign w:val="center"/>
          </w:tcPr>
          <w:p w14:paraId="50815CD1">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投标保证金的各种缴纳方式均须从公司基本账户支出，其他账户支出的保证金无效。（需提供基本账户信息）</w:t>
            </w:r>
          </w:p>
        </w:tc>
        <w:tc>
          <w:tcPr>
            <w:tcW w:w="563" w:type="dxa"/>
          </w:tcPr>
          <w:p w14:paraId="497A0280">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6B1C023A">
            <w:pPr>
              <w:rPr>
                <w:rFonts w:ascii="仿宋" w:hAnsi="仿宋" w:eastAsia="仿宋" w:cs="仿宋"/>
                <w:color w:val="000000" w:themeColor="text1"/>
                <w:szCs w:val="21"/>
                <w:highlight w:val="none"/>
                <w:lang w:eastAsia="zh-CN"/>
                <w14:textFill>
                  <w14:solidFill>
                    <w14:schemeClr w14:val="tx1"/>
                  </w14:solidFill>
                </w14:textFill>
              </w:rPr>
            </w:pPr>
          </w:p>
        </w:tc>
      </w:tr>
      <w:tr w14:paraId="63A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3F713613">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3525BEC9">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7100" w:type="dxa"/>
            <w:vAlign w:val="center"/>
          </w:tcPr>
          <w:p w14:paraId="45F8D349">
            <w:pPr>
              <w:spacing w:line="44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保密承诺书</w:t>
            </w:r>
          </w:p>
        </w:tc>
        <w:tc>
          <w:tcPr>
            <w:tcW w:w="563" w:type="dxa"/>
          </w:tcPr>
          <w:p w14:paraId="48AB5682">
            <w:pPr>
              <w:rPr>
                <w:rFonts w:ascii="仿宋" w:hAnsi="仿宋" w:eastAsia="仿宋" w:cs="仿宋"/>
                <w:color w:val="000000" w:themeColor="text1"/>
                <w:szCs w:val="21"/>
                <w:lang w:eastAsia="zh-CN"/>
                <w14:textFill>
                  <w14:solidFill>
                    <w14:schemeClr w14:val="tx1"/>
                  </w14:solidFill>
                </w14:textFill>
              </w:rPr>
            </w:pPr>
          </w:p>
        </w:tc>
        <w:tc>
          <w:tcPr>
            <w:tcW w:w="615" w:type="dxa"/>
          </w:tcPr>
          <w:p w14:paraId="49E29FF6">
            <w:pPr>
              <w:rPr>
                <w:rFonts w:ascii="仿宋" w:hAnsi="仿宋" w:eastAsia="仿宋" w:cs="仿宋"/>
                <w:color w:val="000000" w:themeColor="text1"/>
                <w:szCs w:val="21"/>
                <w:lang w:eastAsia="zh-CN"/>
                <w14:textFill>
                  <w14:solidFill>
                    <w14:schemeClr w14:val="tx1"/>
                  </w14:solidFill>
                </w14:textFill>
              </w:rPr>
            </w:pPr>
          </w:p>
        </w:tc>
      </w:tr>
      <w:tr w14:paraId="5C56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vAlign w:val="center"/>
          </w:tcPr>
          <w:p w14:paraId="1BD54689">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754692F1">
            <w:pPr>
              <w:jc w:val="center"/>
              <w:rPr>
                <w:rFonts w:ascii="仿宋" w:hAnsi="仿宋" w:eastAsia="仿宋" w:cs="仿宋"/>
                <w:color w:val="000000" w:themeColor="text1"/>
                <w:szCs w:val="21"/>
                <w:lang w:eastAsia="zh-CN"/>
                <w14:textFill>
                  <w14:solidFill>
                    <w14:schemeClr w14:val="tx1"/>
                  </w14:solidFill>
                </w14:textFill>
              </w:rPr>
            </w:pPr>
          </w:p>
        </w:tc>
        <w:tc>
          <w:tcPr>
            <w:tcW w:w="7100" w:type="dxa"/>
          </w:tcPr>
          <w:p w14:paraId="123D949C">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结论：是否通过评审（须填写通过或不通过）</w:t>
            </w:r>
          </w:p>
          <w:p w14:paraId="7D875BA3">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注：如有一项不合格，作废标处理。</w:t>
            </w:r>
          </w:p>
        </w:tc>
        <w:tc>
          <w:tcPr>
            <w:tcW w:w="563" w:type="dxa"/>
          </w:tcPr>
          <w:p w14:paraId="16AAD164">
            <w:pPr>
              <w:rPr>
                <w:rFonts w:ascii="仿宋" w:hAnsi="仿宋" w:eastAsia="仿宋" w:cs="仿宋"/>
                <w:color w:val="000000" w:themeColor="text1"/>
                <w:szCs w:val="21"/>
                <w:lang w:eastAsia="zh-CN"/>
                <w14:textFill>
                  <w14:solidFill>
                    <w14:schemeClr w14:val="tx1"/>
                  </w14:solidFill>
                </w14:textFill>
              </w:rPr>
            </w:pPr>
          </w:p>
        </w:tc>
        <w:tc>
          <w:tcPr>
            <w:tcW w:w="615" w:type="dxa"/>
          </w:tcPr>
          <w:p w14:paraId="1C567076">
            <w:pPr>
              <w:rPr>
                <w:rFonts w:ascii="仿宋" w:hAnsi="仿宋" w:eastAsia="仿宋" w:cs="仿宋"/>
                <w:color w:val="000000" w:themeColor="text1"/>
                <w:szCs w:val="21"/>
                <w:lang w:eastAsia="zh-CN"/>
                <w14:textFill>
                  <w14:solidFill>
                    <w14:schemeClr w14:val="tx1"/>
                  </w14:solidFill>
                </w14:textFill>
              </w:rPr>
            </w:pPr>
          </w:p>
        </w:tc>
      </w:tr>
      <w:tr w14:paraId="4849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63BD1BAF">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14:paraId="781FEBDD">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100" w:type="dxa"/>
          </w:tcPr>
          <w:p w14:paraId="6B205B9C">
            <w:pPr>
              <w:rPr>
                <w:rFonts w:ascii="仿宋" w:hAnsi="仿宋" w:eastAsia="仿宋" w:cs="仿宋"/>
                <w:color w:val="000000" w:themeColor="text1"/>
                <w:sz w:val="20"/>
                <w:szCs w:val="22"/>
                <w:lang w:eastAsia="zh-CN"/>
                <w14:textFill>
                  <w14:solidFill>
                    <w14:schemeClr w14:val="tx1"/>
                  </w14:solidFill>
                </w14:textFill>
              </w:rPr>
            </w:pPr>
          </w:p>
        </w:tc>
        <w:tc>
          <w:tcPr>
            <w:tcW w:w="1178" w:type="dxa"/>
            <w:gridSpan w:val="2"/>
          </w:tcPr>
          <w:p w14:paraId="4748C8E2">
            <w:pPr>
              <w:rPr>
                <w:rFonts w:ascii="仿宋" w:hAnsi="仿宋" w:eastAsia="仿宋" w:cs="仿宋"/>
                <w:color w:val="000000" w:themeColor="text1"/>
                <w:szCs w:val="21"/>
                <w:lang w:eastAsia="zh-CN"/>
                <w14:textFill>
                  <w14:solidFill>
                    <w14:schemeClr w14:val="tx1"/>
                  </w14:solidFill>
                </w14:textFill>
              </w:rPr>
            </w:pPr>
          </w:p>
        </w:tc>
      </w:tr>
    </w:tbl>
    <w:p w14:paraId="78E2A5DC">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10E969F5">
      <w:pPr>
        <w:spacing w:beforeLines="50" w:line="440" w:lineRule="exact"/>
        <w:ind w:firstLine="240"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14:paraId="21E9BA73">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19"/>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7FC01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14:paraId="7FDE1836">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14:paraId="50977403">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62A93DBD">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14:paraId="1F69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14:paraId="28F0ED8B">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14:paraId="44B06906">
            <w:pPr>
              <w:rPr>
                <w:rFonts w:ascii="仿宋" w:hAnsi="仿宋" w:eastAsia="仿宋" w:cs="仿宋"/>
                <w:color w:val="000000" w:themeColor="text1"/>
                <w14:textFill>
                  <w14:solidFill>
                    <w14:schemeClr w14:val="tx1"/>
                  </w14:solidFill>
                </w14:textFill>
              </w:rPr>
            </w:pPr>
          </w:p>
        </w:tc>
        <w:tc>
          <w:tcPr>
            <w:tcW w:w="482" w:type="dxa"/>
            <w:vAlign w:val="center"/>
          </w:tcPr>
          <w:p w14:paraId="28B8A04C">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14:paraId="5DE3ACB4">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14:paraId="2EA1D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14:paraId="519A13A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14:paraId="048A37CB">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14:paraId="66412EE3">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57317592">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14:paraId="598D32C3">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14:paraId="7BA5F89B">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投标报价高于最高限价的；</w:t>
            </w:r>
          </w:p>
        </w:tc>
        <w:tc>
          <w:tcPr>
            <w:tcW w:w="482" w:type="dxa"/>
            <w:tcBorders>
              <w:left w:val="single" w:color="auto" w:sz="4" w:space="0"/>
              <w:right w:val="single" w:color="auto" w:sz="4" w:space="0"/>
            </w:tcBorders>
          </w:tcPr>
          <w:p w14:paraId="2D89F187">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14:paraId="41F98B76">
            <w:pPr>
              <w:jc w:val="center"/>
              <w:rPr>
                <w:rFonts w:ascii="仿宋" w:hAnsi="仿宋" w:eastAsia="仿宋" w:cs="仿宋"/>
                <w:b/>
                <w:color w:val="000000" w:themeColor="text1"/>
                <w:szCs w:val="21"/>
                <w:lang w:eastAsia="zh-CN"/>
                <w14:textFill>
                  <w14:solidFill>
                    <w14:schemeClr w14:val="tx1"/>
                  </w14:solidFill>
                </w14:textFill>
              </w:rPr>
            </w:pPr>
          </w:p>
        </w:tc>
      </w:tr>
      <w:tr w14:paraId="2540D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14:paraId="079B5BF2">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14:paraId="772AF3EB">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14:paraId="5EA07C72">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法定代表人身份证明及授权委托书有效。</w:t>
            </w:r>
          </w:p>
        </w:tc>
        <w:tc>
          <w:tcPr>
            <w:tcW w:w="482" w:type="dxa"/>
            <w:tcBorders>
              <w:left w:val="single" w:color="auto" w:sz="4" w:space="0"/>
            </w:tcBorders>
          </w:tcPr>
          <w:p w14:paraId="51F8B7EC">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053F05B2">
            <w:pPr>
              <w:rPr>
                <w:rFonts w:ascii="仿宋" w:hAnsi="仿宋" w:eastAsia="仿宋" w:cs="仿宋"/>
                <w:color w:val="000000" w:themeColor="text1"/>
                <w:szCs w:val="21"/>
                <w:lang w:eastAsia="zh-CN"/>
                <w14:textFill>
                  <w14:solidFill>
                    <w14:schemeClr w14:val="tx1"/>
                  </w14:solidFill>
                </w14:textFill>
              </w:rPr>
            </w:pPr>
          </w:p>
        </w:tc>
      </w:tr>
      <w:tr w14:paraId="245F2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14:paraId="3C238B56">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14:paraId="3C95B06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14:paraId="73CB7E53">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只有一个方案投标。</w:t>
            </w:r>
          </w:p>
        </w:tc>
        <w:tc>
          <w:tcPr>
            <w:tcW w:w="482" w:type="dxa"/>
            <w:tcBorders>
              <w:left w:val="single" w:color="auto" w:sz="4" w:space="0"/>
            </w:tcBorders>
          </w:tcPr>
          <w:p w14:paraId="5FB5A263">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14:paraId="6246B1FF">
            <w:pPr>
              <w:rPr>
                <w:rFonts w:ascii="仿宋" w:hAnsi="仿宋" w:eastAsia="仿宋" w:cs="仿宋"/>
                <w:color w:val="000000" w:themeColor="text1"/>
                <w:szCs w:val="21"/>
                <w14:textFill>
                  <w14:solidFill>
                    <w14:schemeClr w14:val="tx1"/>
                  </w14:solidFill>
                </w14:textFill>
              </w:rPr>
            </w:pPr>
          </w:p>
        </w:tc>
      </w:tr>
      <w:tr w14:paraId="29594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14:paraId="59369D23">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14:paraId="7A6D1E6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vAlign w:val="center"/>
          </w:tcPr>
          <w:p w14:paraId="530C87BF">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投标文件内容齐全、无遗漏。</w:t>
            </w:r>
          </w:p>
        </w:tc>
        <w:tc>
          <w:tcPr>
            <w:tcW w:w="482" w:type="dxa"/>
            <w:tcBorders>
              <w:left w:val="single" w:color="auto" w:sz="4" w:space="0"/>
            </w:tcBorders>
          </w:tcPr>
          <w:p w14:paraId="5CD363AD">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593717F5">
            <w:pPr>
              <w:rPr>
                <w:rFonts w:ascii="仿宋" w:hAnsi="仿宋" w:eastAsia="仿宋" w:cs="仿宋"/>
                <w:color w:val="000000" w:themeColor="text1"/>
                <w:szCs w:val="21"/>
                <w:lang w:eastAsia="zh-CN"/>
                <w14:textFill>
                  <w14:solidFill>
                    <w14:schemeClr w14:val="tx1"/>
                  </w14:solidFill>
                </w14:textFill>
              </w:rPr>
            </w:pPr>
          </w:p>
        </w:tc>
      </w:tr>
      <w:tr w14:paraId="1FE45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14:paraId="529674EB">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14:paraId="012E254F">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6378" w:type="dxa"/>
            <w:tcBorders>
              <w:top w:val="single" w:color="auto" w:sz="4" w:space="0"/>
              <w:right w:val="single" w:color="auto" w:sz="4" w:space="0"/>
            </w:tcBorders>
            <w:vAlign w:val="center"/>
          </w:tcPr>
          <w:p w14:paraId="06439C18">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完成期限满足招标文件要求。</w:t>
            </w:r>
          </w:p>
        </w:tc>
        <w:tc>
          <w:tcPr>
            <w:tcW w:w="482" w:type="dxa"/>
            <w:tcBorders>
              <w:top w:val="single" w:color="auto" w:sz="4" w:space="0"/>
              <w:left w:val="single" w:color="auto" w:sz="4" w:space="0"/>
            </w:tcBorders>
          </w:tcPr>
          <w:p w14:paraId="39DC4A23">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14:paraId="3A8456D6">
            <w:pPr>
              <w:rPr>
                <w:rFonts w:ascii="仿宋" w:hAnsi="仿宋" w:eastAsia="仿宋" w:cs="仿宋"/>
                <w:color w:val="000000" w:themeColor="text1"/>
                <w:szCs w:val="21"/>
                <w:lang w:eastAsia="zh-CN"/>
                <w14:textFill>
                  <w14:solidFill>
                    <w14:schemeClr w14:val="tx1"/>
                  </w14:solidFill>
                </w14:textFill>
              </w:rPr>
            </w:pPr>
          </w:p>
        </w:tc>
      </w:tr>
      <w:tr w14:paraId="70C3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5366000D">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622ED4D8">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6378" w:type="dxa"/>
            <w:tcBorders>
              <w:right w:val="single" w:color="auto" w:sz="4" w:space="0"/>
            </w:tcBorders>
            <w:vAlign w:val="center"/>
          </w:tcPr>
          <w:p w14:paraId="2CAB2AB9">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投标有效期满足招标文件要求。</w:t>
            </w:r>
          </w:p>
        </w:tc>
        <w:tc>
          <w:tcPr>
            <w:tcW w:w="482" w:type="dxa"/>
            <w:tcBorders>
              <w:left w:val="single" w:color="auto" w:sz="4" w:space="0"/>
            </w:tcBorders>
          </w:tcPr>
          <w:p w14:paraId="685A3360">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34102D8B">
            <w:pPr>
              <w:rPr>
                <w:rFonts w:ascii="仿宋" w:hAnsi="仿宋" w:eastAsia="仿宋" w:cs="仿宋"/>
                <w:color w:val="000000" w:themeColor="text1"/>
                <w:szCs w:val="21"/>
                <w:lang w:eastAsia="zh-CN"/>
                <w14:textFill>
                  <w14:solidFill>
                    <w14:schemeClr w14:val="tx1"/>
                  </w14:solidFill>
                </w14:textFill>
              </w:rPr>
            </w:pPr>
          </w:p>
        </w:tc>
      </w:tr>
      <w:tr w14:paraId="51D6C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3C94B2C7">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031F0775">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p>
        </w:tc>
        <w:tc>
          <w:tcPr>
            <w:tcW w:w="6378" w:type="dxa"/>
            <w:tcBorders>
              <w:right w:val="single" w:color="auto" w:sz="4" w:space="0"/>
            </w:tcBorders>
            <w:vAlign w:val="center"/>
          </w:tcPr>
          <w:p w14:paraId="49FD326B">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b/>
                <w:bCs/>
                <w:color w:val="000000" w:themeColor="text1"/>
                <w:sz w:val="20"/>
                <w:szCs w:val="20"/>
                <w:lang w:eastAsia="zh-CN"/>
                <w14:textFill>
                  <w14:solidFill>
                    <w14:schemeClr w14:val="tx1"/>
                  </w14:solidFill>
                </w14:textFill>
              </w:rPr>
              <w:t>投标人详细地址、联系人、电话</w:t>
            </w:r>
          </w:p>
        </w:tc>
        <w:tc>
          <w:tcPr>
            <w:tcW w:w="482" w:type="dxa"/>
            <w:tcBorders>
              <w:left w:val="single" w:color="auto" w:sz="4" w:space="0"/>
            </w:tcBorders>
          </w:tcPr>
          <w:p w14:paraId="2DEAE176">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08638C8E">
            <w:pPr>
              <w:rPr>
                <w:rFonts w:ascii="仿宋" w:hAnsi="仿宋" w:eastAsia="仿宋" w:cs="仿宋"/>
                <w:color w:val="000000" w:themeColor="text1"/>
                <w:szCs w:val="21"/>
                <w:lang w:eastAsia="zh-CN"/>
                <w14:textFill>
                  <w14:solidFill>
                    <w14:schemeClr w14:val="tx1"/>
                  </w14:solidFill>
                </w14:textFill>
              </w:rPr>
            </w:pPr>
          </w:p>
        </w:tc>
      </w:tr>
      <w:tr w14:paraId="4F8F2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14:paraId="55990248">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14:paraId="26FB206A">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14:paraId="4C5D8E08">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254E4AFF">
            <w:pPr>
              <w:rPr>
                <w:rFonts w:ascii="仿宋" w:hAnsi="仿宋" w:eastAsia="仿宋" w:cs="仿宋"/>
                <w:color w:val="000000" w:themeColor="text1"/>
                <w:szCs w:val="21"/>
                <w:lang w:eastAsia="zh-CN"/>
                <w14:textFill>
                  <w14:solidFill>
                    <w14:schemeClr w14:val="tx1"/>
                  </w14:solidFill>
                </w14:textFill>
              </w:rPr>
            </w:pPr>
          </w:p>
        </w:tc>
      </w:tr>
    </w:tbl>
    <w:p w14:paraId="04A9EC5B">
      <w:pPr>
        <w:rPr>
          <w:rFonts w:ascii="仿宋" w:hAnsi="仿宋" w:eastAsia="仿宋" w:cs="仿宋"/>
          <w:color w:val="000000" w:themeColor="text1"/>
          <w:lang w:eastAsia="zh-CN"/>
          <w14:textFill>
            <w14:solidFill>
              <w14:schemeClr w14:val="tx1"/>
            </w14:solidFill>
          </w14:textFill>
        </w:rPr>
      </w:pPr>
    </w:p>
    <w:p w14:paraId="3C43A3EA">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14:paraId="55FF080C">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14:paraId="33D61C2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14:paraId="119C2053">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14:paraId="68BA528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B2D4CE9">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2" w:name="_Toc469495734"/>
      <w:bookmarkStart w:id="43" w:name="_Toc362983803"/>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2"/>
      <w:bookmarkEnd w:id="43"/>
    </w:p>
    <w:p w14:paraId="3265BC0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14:paraId="39FC54E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C06DFE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3C1F61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264DE0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14:paraId="55B3D5C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5A57E4E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7E052B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14:paraId="12880D7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14:paraId="5B0620A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14:paraId="1A59373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14:paraId="2B6DD6B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14:paraId="427B7D0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3EF4B05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14:paraId="1CD8962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7441DA6">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14:paraId="01F9E669">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4"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4"/>
    </w:p>
    <w:p w14:paraId="59CFCB36">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5" w:name="_Toc362983805"/>
      <w:bookmarkStart w:id="46" w:name="_Toc469495736"/>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14:paraId="2BDC3AD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61A33F55">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14:paraId="1FB438F4">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14:paraId="0CC2F5BE">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14:paraId="147A34E6">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14:paraId="3DCE84D1">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14:paraId="5F0E184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14:paraId="11A7295A">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14:paraId="3D274457">
      <w:pPr>
        <w:spacing w:line="26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14:paraId="49DBCFF5">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14:paraId="443214F8">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14:paraId="456A3221">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14:paraId="54F9B1EB">
      <w:pPr>
        <w:ind w:firstLine="480" w:firstLineChars="200"/>
        <w:rPr>
          <w:rFonts w:ascii="仿宋" w:hAnsi="仿宋" w:eastAsia="仿宋" w:cs="仿宋"/>
          <w:b/>
          <w:color w:val="000000" w:themeColor="text1"/>
          <w:sz w:val="22"/>
          <w:szCs w:val="22"/>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14:paraId="016D11A5">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p>
    <w:tbl>
      <w:tblPr>
        <w:tblStyle w:val="2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03"/>
        <w:gridCol w:w="977"/>
        <w:gridCol w:w="6625"/>
      </w:tblGrid>
      <w:tr w14:paraId="2511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3" w:type="dxa"/>
          </w:tcPr>
          <w:p w14:paraId="32051748">
            <w:pPr>
              <w:jc w:val="center"/>
              <w:rPr>
                <w:rFonts w:ascii="仿宋" w:hAnsi="仿宋" w:eastAsia="仿宋" w:cs="仿宋"/>
                <w:lang w:eastAsia="zh-CN"/>
              </w:rPr>
            </w:pPr>
            <w:r>
              <w:rPr>
                <w:rFonts w:hint="eastAsia" w:ascii="仿宋" w:hAnsi="仿宋" w:eastAsia="仿宋" w:cs="仿宋"/>
                <w:lang w:eastAsia="zh-CN"/>
              </w:rPr>
              <w:t>序号</w:t>
            </w:r>
          </w:p>
        </w:tc>
        <w:tc>
          <w:tcPr>
            <w:tcW w:w="1103" w:type="dxa"/>
          </w:tcPr>
          <w:p w14:paraId="7C52FE85">
            <w:pPr>
              <w:widowControl/>
              <w:jc w:val="center"/>
              <w:rPr>
                <w:rFonts w:ascii="仿宋" w:hAnsi="仿宋" w:eastAsia="仿宋" w:cs="仿宋"/>
              </w:rPr>
            </w:pPr>
            <w:r>
              <w:rPr>
                <w:rFonts w:hint="eastAsia" w:ascii="仿宋" w:hAnsi="仿宋" w:eastAsia="仿宋" w:cs="仿宋"/>
                <w:lang w:eastAsia="zh-CN"/>
              </w:rPr>
              <w:t>评审项</w:t>
            </w:r>
          </w:p>
          <w:p w14:paraId="2AE7348B">
            <w:pPr>
              <w:widowControl/>
              <w:jc w:val="center"/>
              <w:rPr>
                <w:rFonts w:ascii="仿宋" w:hAnsi="仿宋" w:eastAsia="仿宋" w:cs="仿宋"/>
              </w:rPr>
            </w:pPr>
            <w:r>
              <w:rPr>
                <w:rFonts w:hint="eastAsia" w:ascii="仿宋" w:hAnsi="仿宋" w:eastAsia="仿宋" w:cs="仿宋"/>
                <w:lang w:eastAsia="zh-CN"/>
              </w:rPr>
              <w:t>目</w:t>
            </w:r>
          </w:p>
          <w:p w14:paraId="0CB3C552">
            <w:pPr>
              <w:jc w:val="center"/>
              <w:rPr>
                <w:rFonts w:ascii="仿宋" w:hAnsi="仿宋" w:eastAsia="仿宋" w:cs="仿宋"/>
                <w:lang w:eastAsia="zh-CN"/>
              </w:rPr>
            </w:pPr>
          </w:p>
        </w:tc>
        <w:tc>
          <w:tcPr>
            <w:tcW w:w="977" w:type="dxa"/>
          </w:tcPr>
          <w:p w14:paraId="1109C422">
            <w:pPr>
              <w:jc w:val="center"/>
              <w:rPr>
                <w:rFonts w:ascii="仿宋" w:hAnsi="仿宋" w:eastAsia="仿宋" w:cs="仿宋"/>
                <w:lang w:eastAsia="zh-CN"/>
              </w:rPr>
            </w:pPr>
            <w:r>
              <w:rPr>
                <w:rFonts w:hint="eastAsia" w:ascii="仿宋" w:hAnsi="仿宋" w:eastAsia="仿宋" w:cs="仿宋"/>
                <w:lang w:eastAsia="zh-CN"/>
              </w:rPr>
              <w:t>标准分</w:t>
            </w:r>
          </w:p>
        </w:tc>
        <w:tc>
          <w:tcPr>
            <w:tcW w:w="6625" w:type="dxa"/>
            <w:vAlign w:val="center"/>
          </w:tcPr>
          <w:p w14:paraId="5B6F67E4">
            <w:pPr>
              <w:widowControl/>
              <w:jc w:val="center"/>
              <w:rPr>
                <w:rFonts w:ascii="仿宋" w:hAnsi="仿宋" w:eastAsia="仿宋" w:cs="仿宋"/>
              </w:rPr>
            </w:pPr>
            <w:r>
              <w:rPr>
                <w:rFonts w:hint="eastAsia" w:ascii="仿宋" w:hAnsi="仿宋" w:eastAsia="仿宋" w:cs="仿宋"/>
                <w:lang w:eastAsia="zh-CN"/>
              </w:rPr>
              <w:t>评审内容</w:t>
            </w:r>
          </w:p>
        </w:tc>
      </w:tr>
      <w:tr w14:paraId="07A0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33" w:type="dxa"/>
            <w:vAlign w:val="center"/>
          </w:tcPr>
          <w:p w14:paraId="2DBC34C0">
            <w:pPr>
              <w:jc w:val="center"/>
              <w:rPr>
                <w:rFonts w:ascii="仿宋" w:hAnsi="仿宋" w:eastAsia="仿宋" w:cs="仿宋"/>
                <w:highlight w:val="none"/>
                <w:lang w:eastAsia="zh-CN"/>
              </w:rPr>
            </w:pPr>
            <w:r>
              <w:rPr>
                <w:rFonts w:hint="eastAsia" w:ascii="仿宋" w:hAnsi="仿宋" w:eastAsia="仿宋" w:cs="仿宋"/>
                <w:highlight w:val="none"/>
                <w:lang w:eastAsia="zh-CN"/>
              </w:rPr>
              <w:t>1</w:t>
            </w:r>
          </w:p>
        </w:tc>
        <w:tc>
          <w:tcPr>
            <w:tcW w:w="1103" w:type="dxa"/>
            <w:vAlign w:val="center"/>
          </w:tcPr>
          <w:p w14:paraId="395AA9D8">
            <w:pPr>
              <w:jc w:val="center"/>
              <w:rPr>
                <w:rFonts w:hint="eastAsia" w:ascii="仿宋" w:hAnsi="仿宋" w:eastAsia="仿宋" w:cs="仿宋"/>
                <w:highlight w:val="none"/>
              </w:rPr>
            </w:pPr>
            <w:r>
              <w:rPr>
                <w:rFonts w:hint="eastAsia" w:ascii="仿宋" w:hAnsi="仿宋" w:eastAsia="仿宋" w:cs="仿宋"/>
                <w:highlight w:val="none"/>
              </w:rPr>
              <w:t>类似</w:t>
            </w:r>
          </w:p>
          <w:p w14:paraId="02DC4868">
            <w:pPr>
              <w:jc w:val="center"/>
              <w:rPr>
                <w:rFonts w:ascii="仿宋" w:hAnsi="仿宋" w:eastAsia="仿宋" w:cs="仿宋"/>
                <w:highlight w:val="none"/>
              </w:rPr>
            </w:pPr>
            <w:r>
              <w:rPr>
                <w:rFonts w:hint="eastAsia" w:ascii="仿宋" w:hAnsi="仿宋" w:eastAsia="仿宋" w:cs="仿宋"/>
                <w:highlight w:val="none"/>
              </w:rPr>
              <w:t>业绩</w:t>
            </w:r>
          </w:p>
        </w:tc>
        <w:tc>
          <w:tcPr>
            <w:tcW w:w="977" w:type="dxa"/>
            <w:vAlign w:val="center"/>
          </w:tcPr>
          <w:p w14:paraId="05B00737">
            <w:pPr>
              <w:jc w:val="center"/>
              <w:rPr>
                <w:rFonts w:ascii="仿宋" w:hAnsi="仿宋" w:eastAsia="仿宋" w:cs="仿宋"/>
                <w:highlight w:val="none"/>
                <w:lang w:eastAsia="zh-CN"/>
              </w:rPr>
            </w:pPr>
            <w:r>
              <w:rPr>
                <w:rFonts w:hint="eastAsia" w:ascii="仿宋" w:hAnsi="仿宋" w:eastAsia="仿宋" w:cs="仿宋"/>
                <w:highlight w:val="none"/>
                <w:lang w:eastAsia="zh-CN"/>
              </w:rPr>
              <w:t>5分</w:t>
            </w:r>
          </w:p>
        </w:tc>
        <w:tc>
          <w:tcPr>
            <w:tcW w:w="6625" w:type="dxa"/>
          </w:tcPr>
          <w:p w14:paraId="61C82363">
            <w:pPr>
              <w:spacing w:after="1"/>
              <w:jc w:val="both"/>
              <w:rPr>
                <w:rFonts w:ascii="仿宋" w:hAnsi="仿宋" w:eastAsia="仿宋" w:cs="仿宋"/>
                <w:highlight w:val="none"/>
              </w:rPr>
            </w:pPr>
            <w:r>
              <w:rPr>
                <w:rFonts w:hint="eastAsia" w:ascii="仿宋" w:hAnsi="仿宋" w:eastAsia="仿宋" w:cs="仿宋"/>
                <w:highlight w:val="none"/>
                <w:lang w:eastAsia="zh-CN"/>
              </w:rPr>
              <w:t>供应商提供近三年（2022 年 1 月 1 日至今</w:t>
            </w:r>
            <w:r>
              <w:rPr>
                <w:rFonts w:hint="eastAsia" w:ascii="仿宋" w:hAnsi="仿宋" w:eastAsia="仿宋" w:cs="仿宋"/>
                <w:highlight w:val="none"/>
                <w:lang w:val="en-US" w:eastAsia="zh-CN"/>
              </w:rPr>
              <w:t>合同金额或中标通知书金额2000万以上</w:t>
            </w:r>
            <w:r>
              <w:rPr>
                <w:rFonts w:hint="eastAsia" w:ascii="仿宋" w:hAnsi="仿宋" w:eastAsia="仿宋" w:cs="仿宋"/>
                <w:highlight w:val="none"/>
                <w:lang w:eastAsia="zh-CN"/>
              </w:rPr>
              <w:t>）类似项目业绩情况进行评审，每提供一份业绩加 1 分，满分 5 分。附已完工程中标（成交）通知书或合同扫描件。未提供的，本项不得分。</w:t>
            </w:r>
          </w:p>
        </w:tc>
      </w:tr>
      <w:tr w14:paraId="63A3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633" w:type="dxa"/>
            <w:vAlign w:val="center"/>
          </w:tcPr>
          <w:p w14:paraId="13830505">
            <w:pPr>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6F6C6B75">
            <w:pPr>
              <w:widowControl/>
              <w:jc w:val="center"/>
              <w:rPr>
                <w:rFonts w:ascii="仿宋" w:hAnsi="仿宋" w:eastAsia="仿宋" w:cs="仿宋"/>
              </w:rPr>
            </w:pPr>
            <w:r>
              <w:rPr>
                <w:rFonts w:hint="eastAsia" w:ascii="仿宋" w:hAnsi="仿宋" w:eastAsia="仿宋" w:cs="仿宋"/>
                <w:lang w:eastAsia="zh-CN"/>
              </w:rPr>
              <w:t>项目团</w:t>
            </w:r>
          </w:p>
          <w:p w14:paraId="76B8B4A4">
            <w:pPr>
              <w:widowControl/>
              <w:jc w:val="center"/>
              <w:rPr>
                <w:rFonts w:ascii="仿宋" w:hAnsi="仿宋" w:eastAsia="仿宋" w:cs="仿宋"/>
              </w:rPr>
            </w:pPr>
            <w:r>
              <w:rPr>
                <w:rFonts w:hint="eastAsia" w:ascii="仿宋" w:hAnsi="仿宋" w:eastAsia="仿宋" w:cs="仿宋"/>
                <w:lang w:eastAsia="zh-CN"/>
              </w:rPr>
              <w:t>队</w:t>
            </w:r>
          </w:p>
          <w:p w14:paraId="4EA6C3E9">
            <w:pPr>
              <w:jc w:val="center"/>
              <w:rPr>
                <w:rFonts w:ascii="仿宋" w:hAnsi="仿宋" w:eastAsia="仿宋" w:cs="仿宋"/>
              </w:rPr>
            </w:pPr>
          </w:p>
        </w:tc>
        <w:tc>
          <w:tcPr>
            <w:tcW w:w="977" w:type="dxa"/>
            <w:vAlign w:val="center"/>
          </w:tcPr>
          <w:p w14:paraId="1D7DC083">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0B4C535E">
            <w:pPr>
              <w:widowControl/>
              <w:jc w:val="left"/>
            </w:pPr>
            <w:r>
              <w:rPr>
                <w:rFonts w:ascii="仿宋" w:hAnsi="仿宋" w:eastAsia="仿宋" w:cs="仿宋"/>
                <w:lang w:eastAsia="zh-CN"/>
              </w:rPr>
              <w:t>供应商拟投入的项目经理和项目团队相关技术人员应具有</w:t>
            </w:r>
            <w:r>
              <w:rPr>
                <w:rFonts w:hint="eastAsia" w:ascii="仿宋" w:hAnsi="仿宋" w:eastAsia="仿宋" w:cs="仿宋"/>
                <w:lang w:eastAsia="zh-CN"/>
              </w:rPr>
              <w:t xml:space="preserve">以下相关技能： </w:t>
            </w:r>
          </w:p>
          <w:p w14:paraId="6092C28C">
            <w:pPr>
              <w:widowControl/>
              <w:jc w:val="left"/>
            </w:pPr>
            <w:r>
              <w:rPr>
                <w:rFonts w:hint="eastAsia" w:ascii="仿宋" w:hAnsi="仿宋" w:eastAsia="仿宋" w:cs="仿宋"/>
                <w:lang w:eastAsia="zh-CN"/>
              </w:rPr>
              <w:t xml:space="preserve">（1）信息系统项目管理师（高级）（PMP）（1 分）； </w:t>
            </w:r>
          </w:p>
          <w:p w14:paraId="4B71605D">
            <w:pPr>
              <w:widowControl/>
              <w:jc w:val="left"/>
            </w:pPr>
            <w:r>
              <w:rPr>
                <w:rFonts w:hint="eastAsia" w:ascii="仿宋" w:hAnsi="仿宋" w:eastAsia="仿宋" w:cs="仿宋"/>
                <w:lang w:eastAsia="zh-CN"/>
              </w:rPr>
              <w:t xml:space="preserve">（2）注册建造师（机电工程贰级得 0.5分，机电工程壹级得 1分）； </w:t>
            </w:r>
          </w:p>
          <w:p w14:paraId="49EA2A47">
            <w:pPr>
              <w:widowControl/>
              <w:jc w:val="left"/>
            </w:pPr>
            <w:r>
              <w:rPr>
                <w:rFonts w:hint="eastAsia" w:ascii="仿宋" w:hAnsi="仿宋" w:eastAsia="仿宋" w:cs="仿宋"/>
                <w:lang w:eastAsia="zh-CN"/>
              </w:rPr>
              <w:t xml:space="preserve">（3）注册信息安全专业人员 (CISP)（1 分）； </w:t>
            </w:r>
          </w:p>
          <w:p w14:paraId="74E55422">
            <w:pPr>
              <w:widowControl/>
              <w:jc w:val="left"/>
            </w:pPr>
            <w:r>
              <w:rPr>
                <w:rFonts w:hint="eastAsia" w:ascii="仿宋" w:hAnsi="仿宋" w:eastAsia="仿宋" w:cs="仿宋"/>
                <w:lang w:eastAsia="zh-CN"/>
              </w:rPr>
              <w:t xml:space="preserve">（4）系统架构师(高级）（1 分）； </w:t>
            </w:r>
          </w:p>
          <w:p w14:paraId="5CB7BF71">
            <w:pPr>
              <w:widowControl/>
              <w:jc w:val="left"/>
            </w:pPr>
            <w:r>
              <w:rPr>
                <w:rFonts w:hint="eastAsia" w:ascii="仿宋" w:hAnsi="仿宋" w:eastAsia="仿宋" w:cs="仿宋"/>
                <w:lang w:eastAsia="zh-CN"/>
              </w:rPr>
              <w:t xml:space="preserve">（5）高级系统规划与管理师（高级）（1 分）； </w:t>
            </w:r>
          </w:p>
          <w:p w14:paraId="6A3CEA99">
            <w:pPr>
              <w:widowControl/>
              <w:jc w:val="left"/>
              <w:rPr>
                <w:rFonts w:ascii="仿宋" w:hAnsi="仿宋" w:eastAsia="仿宋" w:cs="仿宋"/>
              </w:rPr>
            </w:pPr>
            <w:r>
              <w:rPr>
                <w:rFonts w:hint="eastAsia" w:ascii="仿宋" w:hAnsi="仿宋" w:eastAsia="仿宋" w:cs="仿宋"/>
                <w:lang w:eastAsia="zh-CN"/>
              </w:rPr>
              <w:t>（以上人员须提供持证人员相关证书复印件及近 6 个月社保机构出具的社保证明或社保机构官网打印证明复印件并加盖供应商公章，未提供不得分）。</w:t>
            </w:r>
          </w:p>
        </w:tc>
      </w:tr>
      <w:tr w14:paraId="6983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3" w:type="dxa"/>
            <w:vAlign w:val="center"/>
          </w:tcPr>
          <w:p w14:paraId="698D0B15">
            <w:pPr>
              <w:jc w:val="center"/>
              <w:rPr>
                <w:rFonts w:ascii="仿宋" w:hAnsi="仿宋" w:eastAsia="仿宋" w:cs="仿宋"/>
                <w:lang w:eastAsia="zh-CN"/>
              </w:rPr>
            </w:pPr>
            <w:r>
              <w:rPr>
                <w:rFonts w:hint="eastAsia" w:ascii="仿宋" w:hAnsi="仿宋" w:eastAsia="仿宋" w:cs="仿宋"/>
                <w:lang w:eastAsia="zh-CN"/>
              </w:rPr>
              <w:t>3</w:t>
            </w:r>
          </w:p>
        </w:tc>
        <w:tc>
          <w:tcPr>
            <w:tcW w:w="1103" w:type="dxa"/>
            <w:vAlign w:val="center"/>
          </w:tcPr>
          <w:p w14:paraId="45384E46">
            <w:pPr>
              <w:widowControl/>
              <w:jc w:val="center"/>
              <w:rPr>
                <w:rFonts w:ascii="仿宋" w:hAnsi="仿宋" w:eastAsia="仿宋" w:cs="仿宋"/>
              </w:rPr>
            </w:pPr>
            <w:r>
              <w:rPr>
                <w:rFonts w:hint="eastAsia" w:ascii="仿宋" w:hAnsi="仿宋" w:eastAsia="仿宋" w:cs="仿宋"/>
                <w:lang w:eastAsia="zh-CN"/>
              </w:rPr>
              <w:t>企业实</w:t>
            </w:r>
          </w:p>
          <w:p w14:paraId="67EF7941">
            <w:pPr>
              <w:widowControl/>
              <w:jc w:val="center"/>
              <w:rPr>
                <w:rFonts w:ascii="仿宋" w:hAnsi="仿宋" w:eastAsia="仿宋" w:cs="仿宋"/>
              </w:rPr>
            </w:pPr>
            <w:r>
              <w:rPr>
                <w:rFonts w:hint="eastAsia" w:ascii="仿宋" w:hAnsi="仿宋" w:eastAsia="仿宋" w:cs="仿宋"/>
                <w:lang w:eastAsia="zh-CN"/>
              </w:rPr>
              <w:t>力</w:t>
            </w:r>
          </w:p>
          <w:p w14:paraId="687A1D94">
            <w:pPr>
              <w:jc w:val="center"/>
              <w:rPr>
                <w:rFonts w:ascii="仿宋" w:hAnsi="仿宋" w:eastAsia="仿宋" w:cs="仿宋"/>
              </w:rPr>
            </w:pPr>
          </w:p>
        </w:tc>
        <w:tc>
          <w:tcPr>
            <w:tcW w:w="977" w:type="dxa"/>
            <w:vAlign w:val="center"/>
          </w:tcPr>
          <w:p w14:paraId="5C707475">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28DE62D2">
            <w:pPr>
              <w:widowControl/>
              <w:jc w:val="left"/>
            </w:pPr>
            <w:r>
              <w:rPr>
                <w:rFonts w:ascii="仿宋" w:hAnsi="仿宋" w:eastAsia="仿宋" w:cs="仿宋"/>
                <w:lang w:eastAsia="zh-CN"/>
              </w:rPr>
              <w:t xml:space="preserve">供应商具有以下体系认证证书，每有一项得 1 分，满分 </w:t>
            </w:r>
            <w:r>
              <w:rPr>
                <w:rFonts w:hint="eastAsia" w:ascii="仿宋" w:hAnsi="仿宋" w:eastAsia="仿宋" w:cs="仿宋"/>
                <w:lang w:eastAsia="zh-CN"/>
              </w:rPr>
              <w:t>5</w:t>
            </w:r>
            <w:r>
              <w:rPr>
                <w:rFonts w:ascii="仿宋" w:hAnsi="仿宋" w:eastAsia="仿宋" w:cs="仿宋"/>
                <w:lang w:eastAsia="zh-CN"/>
              </w:rPr>
              <w:t xml:space="preserve">分 </w:t>
            </w:r>
          </w:p>
          <w:p w14:paraId="7A374D66">
            <w:pPr>
              <w:widowControl/>
              <w:jc w:val="left"/>
            </w:pPr>
            <w:r>
              <w:rPr>
                <w:rFonts w:hint="eastAsia" w:ascii="仿宋" w:hAnsi="仿宋" w:eastAsia="仿宋" w:cs="仿宋"/>
                <w:lang w:eastAsia="zh-CN"/>
              </w:rPr>
              <w:t xml:space="preserve">（1）信息系统建设和服务能力等级证（CS 证书三级及以上）； </w:t>
            </w:r>
          </w:p>
          <w:p w14:paraId="793E7BFA">
            <w:pPr>
              <w:widowControl/>
              <w:jc w:val="left"/>
            </w:pPr>
            <w:r>
              <w:rPr>
                <w:rFonts w:hint="eastAsia" w:ascii="仿宋" w:hAnsi="仿宋" w:eastAsia="仿宋" w:cs="仿宋"/>
                <w:lang w:eastAsia="zh-CN"/>
              </w:rPr>
              <w:t xml:space="preserve">（2）ITSS 信息技术服务标准符合性证书（二级及以上）； </w:t>
            </w:r>
          </w:p>
          <w:p w14:paraId="29B76529">
            <w:pPr>
              <w:widowControl/>
              <w:jc w:val="left"/>
            </w:pPr>
            <w:r>
              <w:rPr>
                <w:rFonts w:hint="eastAsia" w:ascii="仿宋" w:hAnsi="仿宋" w:eastAsia="仿宋" w:cs="仿宋"/>
                <w:lang w:eastAsia="zh-CN"/>
              </w:rPr>
              <w:t>（3）ISO20000 信息技术服务管理体系认证证书；</w:t>
            </w:r>
          </w:p>
          <w:p w14:paraId="169A023D">
            <w:pPr>
              <w:widowControl/>
              <w:jc w:val="left"/>
              <w:rPr>
                <w:rFonts w:ascii="仿宋" w:hAnsi="仿宋" w:eastAsia="仿宋" w:cs="仿宋"/>
                <w:lang w:eastAsia="zh-CN"/>
              </w:rPr>
            </w:pPr>
            <w:r>
              <w:rPr>
                <w:rFonts w:hint="eastAsia" w:ascii="仿宋" w:hAnsi="仿宋" w:eastAsia="仿宋" w:cs="仿宋"/>
                <w:lang w:eastAsia="zh-CN"/>
              </w:rPr>
              <w:t xml:space="preserve">（4）ISO27001 信息安全管理体系认证证书； </w:t>
            </w:r>
          </w:p>
          <w:p w14:paraId="4DF2D74B">
            <w:pPr>
              <w:widowControl/>
              <w:jc w:val="left"/>
            </w:pPr>
            <w:r>
              <w:rPr>
                <w:rFonts w:ascii="仿宋" w:hAnsi="仿宋" w:eastAsia="仿宋" w:cs="仿宋"/>
                <w:lang w:eastAsia="zh-CN"/>
              </w:rPr>
              <w:t>（</w:t>
            </w:r>
            <w:r>
              <w:rPr>
                <w:rFonts w:hint="eastAsia" w:ascii="仿宋" w:hAnsi="仿宋" w:eastAsia="仿宋" w:cs="仿宋"/>
                <w:lang w:eastAsia="zh-CN"/>
              </w:rPr>
              <w:t>5</w:t>
            </w:r>
            <w:r>
              <w:rPr>
                <w:rFonts w:ascii="仿宋" w:hAnsi="仿宋" w:eastAsia="仿宋" w:cs="仿宋"/>
                <w:lang w:eastAsia="zh-CN"/>
              </w:rPr>
              <w:t>）ISO9001 质量管理体系认证证书；</w:t>
            </w:r>
          </w:p>
          <w:p w14:paraId="12DEC722">
            <w:pPr>
              <w:widowControl/>
              <w:jc w:val="left"/>
              <w:rPr>
                <w:rFonts w:ascii="仿宋" w:hAnsi="仿宋" w:eastAsia="仿宋" w:cs="仿宋"/>
              </w:rPr>
            </w:pPr>
            <w:r>
              <w:rPr>
                <w:rFonts w:hint="eastAsia" w:ascii="仿宋" w:hAnsi="仿宋" w:eastAsia="仿宋" w:cs="仿宋"/>
                <w:lang w:eastAsia="zh-CN"/>
              </w:rPr>
              <w:t>（提供有效期内的证书复印件并加盖供应商公章）</w:t>
            </w:r>
          </w:p>
        </w:tc>
      </w:tr>
      <w:tr w14:paraId="1F8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38" w:type="dxa"/>
            <w:gridSpan w:val="4"/>
            <w:vAlign w:val="center"/>
          </w:tcPr>
          <w:p w14:paraId="4A3D500A">
            <w:pPr>
              <w:widowControl/>
              <w:jc w:val="center"/>
              <w:rPr>
                <w:rFonts w:ascii="仿宋" w:hAnsi="仿宋" w:eastAsia="仿宋" w:cs="仿宋"/>
              </w:rPr>
            </w:pPr>
            <w:r>
              <w:rPr>
                <w:rFonts w:hint="eastAsia" w:ascii="仿宋" w:hAnsi="仿宋" w:eastAsia="仿宋" w:cs="仿宋"/>
                <w:lang w:eastAsia="zh-CN"/>
              </w:rPr>
              <w:t>技术标评审标准（55 分）</w:t>
            </w:r>
          </w:p>
        </w:tc>
      </w:tr>
      <w:tr w14:paraId="0D6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33" w:type="dxa"/>
            <w:vAlign w:val="center"/>
          </w:tcPr>
          <w:p w14:paraId="3BCD99E9">
            <w:pPr>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1C50D334">
            <w:pPr>
              <w:jc w:val="center"/>
              <w:rPr>
                <w:rFonts w:ascii="仿宋" w:hAnsi="仿宋" w:eastAsia="仿宋" w:cs="仿宋"/>
                <w:lang w:eastAsia="zh-CN"/>
              </w:rPr>
            </w:pPr>
            <w:r>
              <w:rPr>
                <w:rFonts w:hint="eastAsia" w:ascii="仿宋" w:hAnsi="仿宋" w:eastAsia="仿宋" w:cs="仿宋"/>
                <w:lang w:eastAsia="zh-CN"/>
              </w:rPr>
              <w:t>技术参数响应</w:t>
            </w:r>
          </w:p>
        </w:tc>
        <w:tc>
          <w:tcPr>
            <w:tcW w:w="977" w:type="dxa"/>
            <w:vAlign w:val="center"/>
          </w:tcPr>
          <w:p w14:paraId="6ECA5A22">
            <w:pPr>
              <w:jc w:val="center"/>
              <w:rPr>
                <w:rFonts w:ascii="仿宋" w:hAnsi="仿宋" w:eastAsia="仿宋" w:cs="仿宋"/>
                <w:lang w:eastAsia="zh-CN"/>
              </w:rPr>
            </w:pPr>
            <w:r>
              <w:rPr>
                <w:rFonts w:hint="eastAsia" w:ascii="仿宋" w:hAnsi="仿宋" w:eastAsia="仿宋" w:cs="仿宋"/>
                <w:lang w:eastAsia="zh-CN"/>
              </w:rPr>
              <w:t>10分</w:t>
            </w:r>
          </w:p>
        </w:tc>
        <w:tc>
          <w:tcPr>
            <w:tcW w:w="6625" w:type="dxa"/>
          </w:tcPr>
          <w:p w14:paraId="2EC50E3E">
            <w:pPr>
              <w:widowControl/>
              <w:numPr>
                <w:ilvl w:val="0"/>
                <w:numId w:val="0"/>
              </w:numPr>
              <w:jc w:val="left"/>
              <w:rPr>
                <w:rFonts w:ascii="仿宋" w:hAnsi="仿宋" w:eastAsia="仿宋" w:cs="仿宋"/>
                <w:lang w:eastAsia="zh-CN"/>
              </w:rPr>
            </w:pPr>
            <w:r>
              <w:rPr>
                <w:rFonts w:hint="eastAsia" w:ascii="仿宋" w:hAnsi="仿宋" w:eastAsia="仿宋" w:cs="仿宋"/>
                <w:lang w:eastAsia="zh-CN"/>
              </w:rPr>
              <w:t>投标货物主要结构、主要技术、质量须满足招标文件需求，完全满足得8分，每正偏离一项加0.</w:t>
            </w:r>
            <w:r>
              <w:rPr>
                <w:rFonts w:hint="eastAsia" w:ascii="仿宋" w:hAnsi="仿宋" w:eastAsia="仿宋" w:cs="仿宋"/>
                <w:lang w:val="en-US" w:eastAsia="zh-CN"/>
              </w:rPr>
              <w:t>2</w:t>
            </w:r>
            <w:r>
              <w:rPr>
                <w:rFonts w:hint="eastAsia" w:ascii="仿宋" w:hAnsi="仿宋" w:eastAsia="仿宋" w:cs="仿宋"/>
                <w:lang w:eastAsia="zh-CN"/>
              </w:rPr>
              <w:t>分，满分为10分；其余参数每负偏离一项扣 0.</w:t>
            </w:r>
            <w:r>
              <w:rPr>
                <w:rFonts w:hint="eastAsia" w:ascii="仿宋" w:hAnsi="仿宋" w:eastAsia="仿宋" w:cs="仿宋"/>
                <w:lang w:val="en-US" w:eastAsia="zh-CN"/>
              </w:rPr>
              <w:t>1</w:t>
            </w:r>
            <w:r>
              <w:rPr>
                <w:rFonts w:hint="eastAsia" w:ascii="仿宋" w:hAnsi="仿宋" w:eastAsia="仿宋" w:cs="仿宋"/>
                <w:lang w:eastAsia="zh-CN"/>
              </w:rPr>
              <w:t xml:space="preserve"> 分，扣完为止。 </w:t>
            </w:r>
          </w:p>
          <w:p w14:paraId="16D773F6">
            <w:pPr>
              <w:widowControl/>
              <w:jc w:val="left"/>
              <w:rPr>
                <w:rFonts w:ascii="仿宋" w:hAnsi="仿宋" w:eastAsia="仿宋" w:cs="仿宋"/>
                <w:highlight w:val="yellow"/>
              </w:rPr>
            </w:pPr>
            <w:r>
              <w:rPr>
                <w:rFonts w:hint="eastAsia" w:ascii="仿宋" w:hAnsi="仿宋" w:eastAsia="仿宋" w:cs="仿宋"/>
                <w:lang w:eastAsia="zh-CN"/>
              </w:rPr>
              <w:t>提供与技术参数相应的技术支持文件（软件功能截图、产品设备彩页及检测报告、厂家授权、售后服务承诺），不提供或提供的证明材料中无法满足招标参数要求的不得分。</w:t>
            </w:r>
          </w:p>
        </w:tc>
      </w:tr>
      <w:tr w14:paraId="05F6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633" w:type="dxa"/>
            <w:vAlign w:val="center"/>
          </w:tcPr>
          <w:p w14:paraId="3D0118BF">
            <w:pPr>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6FC0BF1F">
            <w:pPr>
              <w:jc w:val="center"/>
              <w:rPr>
                <w:rFonts w:hint="eastAsia" w:ascii="仿宋" w:hAnsi="仿宋" w:eastAsia="仿宋" w:cs="仿宋"/>
                <w:highlight w:val="none"/>
                <w:lang w:eastAsia="zh-CN"/>
              </w:rPr>
            </w:pPr>
            <w:r>
              <w:rPr>
                <w:rFonts w:hint="eastAsia" w:ascii="仿宋" w:hAnsi="仿宋" w:eastAsia="仿宋" w:cs="仿宋"/>
                <w:highlight w:val="none"/>
                <w:lang w:eastAsia="zh-CN"/>
              </w:rPr>
              <w:t>系统</w:t>
            </w:r>
          </w:p>
          <w:p w14:paraId="7126C639">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演示</w:t>
            </w:r>
          </w:p>
          <w:p w14:paraId="45AF609F">
            <w:pPr>
              <w:jc w:val="center"/>
              <w:rPr>
                <w:rFonts w:hint="eastAsia" w:ascii="仿宋" w:hAnsi="仿宋" w:eastAsia="仿宋" w:cs="仿宋"/>
                <w:highlight w:val="none"/>
                <w:lang w:eastAsia="zh-CN"/>
              </w:rPr>
            </w:pPr>
          </w:p>
        </w:tc>
        <w:tc>
          <w:tcPr>
            <w:tcW w:w="977" w:type="dxa"/>
            <w:vAlign w:val="center"/>
          </w:tcPr>
          <w:p w14:paraId="476E6352">
            <w:pPr>
              <w:jc w:val="center"/>
              <w:rPr>
                <w:rFonts w:ascii="仿宋" w:hAnsi="仿宋" w:eastAsia="仿宋" w:cs="仿宋"/>
                <w:highlight w:val="none"/>
                <w:lang w:eastAsia="zh-CN"/>
              </w:rPr>
            </w:pPr>
            <w:r>
              <w:rPr>
                <w:rFonts w:hint="eastAsia" w:ascii="仿宋" w:hAnsi="仿宋" w:eastAsia="仿宋" w:cs="仿宋"/>
                <w:highlight w:val="none"/>
                <w:lang w:eastAsia="zh-CN"/>
              </w:rPr>
              <w:t>18分</w:t>
            </w:r>
          </w:p>
        </w:tc>
        <w:tc>
          <w:tcPr>
            <w:tcW w:w="6625" w:type="dxa"/>
          </w:tcPr>
          <w:p w14:paraId="38C864A2">
            <w:pPr>
              <w:widowControl/>
              <w:jc w:val="left"/>
              <w:rPr>
                <w:rFonts w:ascii="仿宋" w:hAnsi="仿宋" w:eastAsia="仿宋" w:cs="仿宋"/>
                <w:color w:val="FF0000"/>
                <w:highlight w:val="none"/>
                <w:lang w:eastAsia="zh-CN"/>
              </w:rPr>
            </w:pPr>
            <w:r>
              <w:rPr>
                <w:rFonts w:hint="eastAsia" w:ascii="仿宋" w:hAnsi="仿宋" w:eastAsia="仿宋" w:cs="仿宋"/>
                <w:highlight w:val="none"/>
                <w:lang w:eastAsia="zh-CN"/>
              </w:rPr>
              <w:t>应用系统建设内容包括以下内容</w:t>
            </w:r>
            <w:r>
              <w:rPr>
                <w:rFonts w:hint="eastAsia" w:ascii="仿宋" w:hAnsi="仿宋" w:eastAsia="仿宋" w:cs="仿宋"/>
                <w:color w:val="auto"/>
                <w:highlight w:val="none"/>
                <w:lang w:eastAsia="zh-CN"/>
              </w:rPr>
              <w:t>：大数据底座平台、物联网支撑系统、地理信息支撑系统、视频算法支撑系统、通用组件支撑系统、综合决策指挥子系统 、安全基础管理子系统、重大危险源安全管理子系统 、双重预防机制管理子系统、特殊作业管理子系统 、园区封闭化管理子系统、敏捷应急管理子系统、 企业端智能管控子系统、智慧消防管理子系统、 智慧环保监管子系统、 易燃易爆有毒有害气体泄漏检测管理子系统、园区综合管理子系统、移动端等。</w:t>
            </w:r>
          </w:p>
          <w:p w14:paraId="56FEE431">
            <w:pPr>
              <w:widowControl/>
              <w:jc w:val="left"/>
              <w:rPr>
                <w:rFonts w:hint="default" w:ascii="仿宋" w:hAnsi="仿宋" w:eastAsia="仿宋" w:cs="仿宋"/>
                <w:b w:val="0"/>
                <w:bCs w:val="0"/>
                <w:color w:val="000000"/>
                <w:sz w:val="24"/>
                <w:szCs w:val="24"/>
                <w:highlight w:val="none"/>
                <w:lang w:val="en-US" w:eastAsia="zh-CN" w:bidi="en-US"/>
              </w:rPr>
            </w:pPr>
            <w:r>
              <w:rPr>
                <w:rFonts w:hint="eastAsia" w:ascii="仿宋" w:hAnsi="仿宋" w:eastAsia="仿宋" w:cs="仿宋"/>
                <w:highlight w:val="none"/>
                <w:lang w:val="en-US" w:eastAsia="zh-CN"/>
              </w:rPr>
              <w:t>为了体现系统操作便捷性及功能全面性</w:t>
            </w:r>
            <w:r>
              <w:rPr>
                <w:rFonts w:ascii="仿宋" w:hAnsi="仿宋" w:eastAsia="仿宋" w:cs="仿宋"/>
                <w:highlight w:val="none"/>
                <w:lang w:eastAsia="zh-CN"/>
              </w:rPr>
              <w:t>根据软件采购需求，</w:t>
            </w:r>
            <w:r>
              <w:rPr>
                <w:rFonts w:hint="eastAsia" w:ascii="仿宋" w:hAnsi="仿宋" w:eastAsia="仿宋" w:cs="仿宋"/>
                <w:highlight w:val="none"/>
                <w:lang w:eastAsia="zh-CN"/>
              </w:rPr>
              <w:t>对以上系统全面</w:t>
            </w:r>
            <w:r>
              <w:rPr>
                <w:rFonts w:hint="eastAsia" w:ascii="仿宋" w:hAnsi="仿宋" w:eastAsia="仿宋" w:cs="仿宋"/>
                <w:highlight w:val="none"/>
                <w:lang w:val="en-US" w:eastAsia="zh-CN"/>
              </w:rPr>
              <w:t>演</w:t>
            </w:r>
            <w:r>
              <w:rPr>
                <w:rFonts w:hint="eastAsia" w:ascii="仿宋" w:hAnsi="仿宋" w:eastAsia="仿宋" w:cs="仿宋"/>
                <w:highlight w:val="none"/>
                <w:lang w:eastAsia="zh-CN"/>
              </w:rPr>
              <w:t>示，每个</w:t>
            </w:r>
            <w:r>
              <w:rPr>
                <w:rFonts w:hint="eastAsia" w:ascii="仿宋" w:hAnsi="仿宋" w:eastAsia="仿宋" w:cs="仿宋"/>
                <w:highlight w:val="none"/>
                <w:lang w:val="en-US" w:eastAsia="zh-CN"/>
              </w:rPr>
              <w:t>系统</w:t>
            </w:r>
            <w:r>
              <w:rPr>
                <w:rFonts w:hint="eastAsia" w:ascii="仿宋" w:hAnsi="仿宋" w:eastAsia="仿宋" w:cs="仿宋"/>
                <w:highlight w:val="none"/>
                <w:lang w:eastAsia="zh-CN"/>
              </w:rPr>
              <w:t>得 1分，专家评委</w:t>
            </w:r>
            <w:r>
              <w:rPr>
                <w:rFonts w:ascii="仿宋" w:hAnsi="仿宋" w:eastAsia="仿宋" w:cs="仿宋"/>
                <w:highlight w:val="none"/>
                <w:lang w:eastAsia="zh-CN"/>
              </w:rPr>
              <w:t>根据设计完整性</w:t>
            </w:r>
            <w:r>
              <w:rPr>
                <w:rFonts w:hint="eastAsia" w:ascii="仿宋" w:hAnsi="仿宋" w:eastAsia="仿宋" w:cs="仿宋"/>
                <w:highlight w:val="none"/>
                <w:lang w:eastAsia="zh-CN"/>
              </w:rPr>
              <w:t>、</w:t>
            </w:r>
            <w:r>
              <w:rPr>
                <w:rFonts w:ascii="仿宋" w:hAnsi="仿宋" w:eastAsia="仿宋" w:cs="仿宋"/>
                <w:highlight w:val="none"/>
                <w:lang w:eastAsia="zh-CN"/>
              </w:rPr>
              <w:t>科学性及呈现效果</w:t>
            </w:r>
            <w:r>
              <w:rPr>
                <w:rFonts w:hint="eastAsia" w:ascii="仿宋" w:hAnsi="仿宋" w:eastAsia="仿宋" w:cs="仿宋"/>
                <w:highlight w:val="none"/>
                <w:lang w:eastAsia="zh-CN"/>
              </w:rPr>
              <w:t>进行综合打分，总分18分；</w:t>
            </w:r>
            <w:r>
              <w:rPr>
                <w:rFonts w:hint="eastAsia" w:ascii="仿宋" w:hAnsi="仿宋" w:eastAsia="仿宋" w:cs="仿宋"/>
                <w:b w:val="0"/>
                <w:bCs w:val="0"/>
                <w:color w:val="000000"/>
                <w:sz w:val="24"/>
                <w:szCs w:val="24"/>
                <w:highlight w:val="none"/>
                <w:lang w:val="en-US" w:eastAsia="zh-CN" w:bidi="en-US"/>
              </w:rPr>
              <w:t>不提供或提供的系统演示视频不能完全体现系统参数的该项不得分。</w:t>
            </w:r>
          </w:p>
          <w:p w14:paraId="46ADA2B2">
            <w:pPr>
              <w:keepNext w:val="0"/>
              <w:keepLines w:val="0"/>
              <w:widowControl/>
              <w:suppressLineNumbers w:val="0"/>
              <w:jc w:val="left"/>
              <w:rPr>
                <w:rFonts w:hint="eastAsia" w:ascii="仿宋" w:hAnsi="仿宋" w:eastAsia="仿宋" w:cs="仿宋"/>
                <w:highlight w:val="none"/>
                <w:lang w:eastAsia="zh-CN"/>
              </w:rPr>
            </w:pPr>
            <w:r>
              <w:rPr>
                <w:rFonts w:ascii="仿宋" w:hAnsi="仿宋" w:eastAsia="仿宋" w:cs="仿宋"/>
                <w:b/>
                <w:bCs/>
                <w:color w:val="auto"/>
                <w:kern w:val="0"/>
                <w:sz w:val="24"/>
                <w:szCs w:val="24"/>
                <w:highlight w:val="none"/>
                <w:lang w:val="en-US" w:eastAsia="zh-CN" w:bidi="ar"/>
              </w:rPr>
              <w:t>注：</w:t>
            </w:r>
            <w:r>
              <w:rPr>
                <w:rFonts w:hint="eastAsia" w:ascii="仿宋" w:hAnsi="仿宋" w:eastAsia="仿宋" w:cs="仿宋"/>
                <w:b/>
                <w:bCs/>
                <w:color w:val="auto"/>
                <w:kern w:val="0"/>
                <w:sz w:val="24"/>
                <w:szCs w:val="24"/>
                <w:highlight w:val="none"/>
                <w:lang w:val="en-US" w:eastAsia="zh-CN" w:bidi="ar"/>
              </w:rPr>
              <w:t>须以光盘、U盘、移动硬盘等存储介质提供清晰完整的系统演示视频，加密后邮寄至开标地址（新疆哈密市向阳东路东延源泉小区2-20一楼开标厅），开标时现场解密。</w:t>
            </w:r>
          </w:p>
        </w:tc>
      </w:tr>
      <w:tr w14:paraId="738A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33" w:type="dxa"/>
            <w:vAlign w:val="center"/>
          </w:tcPr>
          <w:p w14:paraId="1036F13F">
            <w:pPr>
              <w:jc w:val="center"/>
              <w:rPr>
                <w:rFonts w:ascii="仿宋" w:hAnsi="仿宋" w:eastAsia="仿宋" w:cs="仿宋"/>
                <w:lang w:eastAsia="zh-CN"/>
              </w:rPr>
            </w:pPr>
            <w:r>
              <w:rPr>
                <w:rFonts w:hint="eastAsia" w:ascii="仿宋" w:hAnsi="仿宋" w:eastAsia="仿宋" w:cs="仿宋"/>
                <w:lang w:eastAsia="zh-CN"/>
              </w:rPr>
              <w:t>3</w:t>
            </w:r>
          </w:p>
        </w:tc>
        <w:tc>
          <w:tcPr>
            <w:tcW w:w="1103" w:type="dxa"/>
            <w:vAlign w:val="center"/>
          </w:tcPr>
          <w:p w14:paraId="56080B09">
            <w:pPr>
              <w:jc w:val="center"/>
              <w:rPr>
                <w:rFonts w:ascii="仿宋" w:hAnsi="仿宋" w:eastAsia="仿宋" w:cs="仿宋"/>
                <w:lang w:eastAsia="zh-CN"/>
              </w:rPr>
            </w:pPr>
            <w:r>
              <w:rPr>
                <w:rFonts w:hint="eastAsia" w:ascii="仿宋" w:hAnsi="仿宋" w:eastAsia="仿宋" w:cs="仿宋"/>
                <w:lang w:eastAsia="zh-CN"/>
              </w:rPr>
              <w:t>信息化基础设施和能力建设实施方案</w:t>
            </w:r>
          </w:p>
        </w:tc>
        <w:tc>
          <w:tcPr>
            <w:tcW w:w="977" w:type="dxa"/>
            <w:vAlign w:val="center"/>
          </w:tcPr>
          <w:p w14:paraId="6E701E9B">
            <w:pPr>
              <w:jc w:val="center"/>
              <w:rPr>
                <w:rFonts w:ascii="仿宋" w:hAnsi="仿宋" w:eastAsia="仿宋" w:cs="仿宋"/>
                <w:lang w:eastAsia="zh-CN"/>
              </w:rPr>
            </w:pPr>
            <w:r>
              <w:rPr>
                <w:rFonts w:hint="eastAsia" w:ascii="仿宋" w:hAnsi="仿宋" w:eastAsia="仿宋" w:cs="仿宋"/>
                <w:lang w:eastAsia="zh-CN"/>
              </w:rPr>
              <w:t>12分</w:t>
            </w:r>
          </w:p>
        </w:tc>
        <w:tc>
          <w:tcPr>
            <w:tcW w:w="6625" w:type="dxa"/>
          </w:tcPr>
          <w:p w14:paraId="3F0B71FD">
            <w:pPr>
              <w:widowControl/>
              <w:jc w:val="left"/>
              <w:rPr>
                <w:rFonts w:ascii="仿宋" w:hAnsi="仿宋" w:eastAsia="仿宋" w:cs="仿宋"/>
              </w:rPr>
            </w:pPr>
            <w:r>
              <w:rPr>
                <w:rFonts w:hint="eastAsia" w:ascii="仿宋" w:hAnsi="仿宋" w:eastAsia="仿宋" w:cs="仿宋"/>
                <w:lang w:eastAsia="zh-CN"/>
              </w:rPr>
              <w:t>信息化基础设施和能力建设内容包括以下内容：</w:t>
            </w:r>
            <w:r>
              <w:rPr>
                <w:rFonts w:hint="eastAsia" w:ascii="仿宋" w:hAnsi="仿宋" w:eastAsia="仿宋" w:cs="仿宋"/>
                <w:color w:val="auto"/>
                <w:lang w:eastAsia="zh-CN"/>
              </w:rPr>
              <w:t>机房及配套设施、服务器系统、容灾备份、系统及工具软件、网络建设、园区封闭化管理子系统配套设施、敏捷应急管理子系统配套设施、特殊作业管理子系统配套设施、智慧环保监管子系统配套设施、易燃易爆有毒有害气体泄漏检测子系统配套设施、园区综合管理子系统配套设施、指挥中心配套设施等</w:t>
            </w:r>
            <w:r>
              <w:rPr>
                <w:rFonts w:hint="eastAsia" w:ascii="仿宋" w:hAnsi="仿宋" w:eastAsia="仿宋" w:cs="仿宋"/>
                <w:lang w:eastAsia="zh-CN"/>
              </w:rPr>
              <w:t>实施</w:t>
            </w:r>
            <w:r>
              <w:rPr>
                <w:rFonts w:ascii="仿宋" w:hAnsi="仿宋" w:eastAsia="仿宋" w:cs="仿宋"/>
                <w:lang w:eastAsia="zh-CN"/>
              </w:rPr>
              <w:t>方案内容包含：（</w:t>
            </w:r>
            <w:r>
              <w:rPr>
                <w:rFonts w:hint="eastAsia" w:ascii="仿宋" w:hAnsi="仿宋" w:eastAsia="仿宋" w:cs="仿宋"/>
                <w:lang w:eastAsia="zh-CN"/>
              </w:rPr>
              <w:t>1</w:t>
            </w:r>
            <w:r>
              <w:rPr>
                <w:rFonts w:ascii="仿宋" w:hAnsi="仿宋" w:eastAsia="仿宋" w:cs="仿宋"/>
                <w:lang w:eastAsia="zh-CN"/>
              </w:rPr>
              <w:t>）</w:t>
            </w:r>
            <w:r>
              <w:rPr>
                <w:rFonts w:hint="eastAsia" w:ascii="仿宋" w:hAnsi="仿宋" w:eastAsia="仿宋" w:cs="仿宋"/>
                <w:lang w:eastAsia="zh-CN"/>
              </w:rPr>
              <w:t xml:space="preserve">本部分内容实施的具体方法与流程（2）实施环节的注意事项（3）针对本部分内容实施过程的重难点分析及应对措施。 方案完整包含以上内容且满足本项目要求得12分，每缺一项扣 4分，每项内容中每有一处内容缺陷扣 2 分(缺陷是指：存在不适用项目实际情况的情形、凭空编造、内容前后不一 致、前后逻辑错误、涉及的规范及标准错误、地点区域错误、内容遗漏、不符合采购需求等)扣完为止。 </w:t>
            </w:r>
          </w:p>
        </w:tc>
      </w:tr>
      <w:tr w14:paraId="1598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3" w:type="dxa"/>
            <w:shd w:val="clear" w:color="auto" w:fill="auto"/>
            <w:vAlign w:val="center"/>
          </w:tcPr>
          <w:p w14:paraId="10D7963D">
            <w:pPr>
              <w:jc w:val="center"/>
              <w:rPr>
                <w:rFonts w:ascii="仿宋" w:hAnsi="仿宋" w:eastAsia="仿宋" w:cs="仿宋"/>
                <w:lang w:eastAsia="zh-CN"/>
              </w:rPr>
            </w:pPr>
            <w:r>
              <w:rPr>
                <w:rFonts w:hint="eastAsia" w:ascii="仿宋" w:hAnsi="仿宋" w:eastAsia="仿宋" w:cs="仿宋"/>
                <w:lang w:eastAsia="zh-CN"/>
              </w:rPr>
              <w:t>4</w:t>
            </w:r>
          </w:p>
        </w:tc>
        <w:tc>
          <w:tcPr>
            <w:tcW w:w="1103" w:type="dxa"/>
            <w:shd w:val="clear" w:color="auto" w:fill="auto"/>
            <w:vAlign w:val="center"/>
          </w:tcPr>
          <w:p w14:paraId="015A436A">
            <w:pPr>
              <w:jc w:val="center"/>
              <w:rPr>
                <w:rFonts w:ascii="仿宋" w:hAnsi="仿宋" w:eastAsia="仿宋" w:cs="仿宋"/>
                <w:lang w:eastAsia="zh-CN"/>
              </w:rPr>
            </w:pPr>
            <w:r>
              <w:rPr>
                <w:rFonts w:hint="eastAsia" w:ascii="仿宋" w:hAnsi="仿宋" w:eastAsia="仿宋" w:cs="仿宋"/>
                <w:lang w:eastAsia="zh-CN"/>
              </w:rPr>
              <w:t>网络安全建设实施方案</w:t>
            </w:r>
          </w:p>
        </w:tc>
        <w:tc>
          <w:tcPr>
            <w:tcW w:w="977" w:type="dxa"/>
            <w:shd w:val="clear" w:color="auto" w:fill="auto"/>
            <w:vAlign w:val="center"/>
          </w:tcPr>
          <w:p w14:paraId="35F072A4">
            <w:pPr>
              <w:jc w:val="center"/>
              <w:rPr>
                <w:rFonts w:ascii="仿宋" w:hAnsi="仿宋" w:eastAsia="仿宋" w:cs="仿宋"/>
                <w:lang w:eastAsia="zh-CN"/>
              </w:rPr>
            </w:pPr>
            <w:r>
              <w:rPr>
                <w:rFonts w:hint="eastAsia" w:ascii="仿宋" w:hAnsi="仿宋" w:eastAsia="仿宋" w:cs="仿宋"/>
                <w:lang w:eastAsia="zh-CN"/>
              </w:rPr>
              <w:t>6分</w:t>
            </w:r>
          </w:p>
        </w:tc>
        <w:tc>
          <w:tcPr>
            <w:tcW w:w="6625" w:type="dxa"/>
            <w:shd w:val="clear" w:color="auto" w:fill="auto"/>
          </w:tcPr>
          <w:p w14:paraId="46924666">
            <w:pPr>
              <w:widowControl/>
              <w:jc w:val="left"/>
              <w:rPr>
                <w:rFonts w:ascii="仿宋" w:hAnsi="仿宋" w:eastAsia="仿宋" w:cs="仿宋"/>
                <w:lang w:eastAsia="zh-CN"/>
              </w:rPr>
            </w:pPr>
            <w:r>
              <w:rPr>
                <w:rFonts w:hint="eastAsia" w:ascii="仿宋" w:hAnsi="仿宋" w:eastAsia="仿宋" w:cs="仿宋"/>
                <w:lang w:eastAsia="zh-CN"/>
              </w:rPr>
              <w:t>网络安全建设内容包括以下内容：网络安全基础设施建设、密码应用、网络安全等级保护测评等。</w:t>
            </w:r>
          </w:p>
          <w:p w14:paraId="3D6F6EBC">
            <w:pPr>
              <w:widowControl/>
              <w:jc w:val="left"/>
              <w:rPr>
                <w:rFonts w:ascii="仿宋" w:hAnsi="仿宋" w:eastAsia="仿宋" w:cs="仿宋"/>
              </w:rPr>
            </w:pPr>
            <w:r>
              <w:rPr>
                <w:rFonts w:hint="eastAsia" w:ascii="仿宋" w:hAnsi="仿宋" w:eastAsia="仿宋" w:cs="仿宋"/>
                <w:lang w:eastAsia="zh-CN"/>
              </w:rPr>
              <w:t>实施</w:t>
            </w:r>
            <w:r>
              <w:rPr>
                <w:rFonts w:ascii="仿宋" w:hAnsi="仿宋" w:eastAsia="仿宋" w:cs="仿宋"/>
                <w:lang w:eastAsia="zh-CN"/>
              </w:rPr>
              <w:t>方案内容包含：（</w:t>
            </w:r>
            <w:r>
              <w:rPr>
                <w:rFonts w:hint="eastAsia" w:ascii="仿宋" w:hAnsi="仿宋" w:eastAsia="仿宋" w:cs="仿宋"/>
                <w:lang w:eastAsia="zh-CN"/>
              </w:rPr>
              <w:t>1</w:t>
            </w:r>
            <w:r>
              <w:rPr>
                <w:rFonts w:ascii="仿宋" w:hAnsi="仿宋" w:eastAsia="仿宋" w:cs="仿宋"/>
                <w:lang w:eastAsia="zh-CN"/>
              </w:rPr>
              <w:t>）</w:t>
            </w:r>
            <w:r>
              <w:rPr>
                <w:rFonts w:hint="eastAsia" w:ascii="仿宋" w:hAnsi="仿宋" w:eastAsia="仿宋" w:cs="仿宋"/>
                <w:lang w:eastAsia="zh-CN"/>
              </w:rPr>
              <w:t>本部分内容实施的具体方法与流程（2）实施环节的注意事项（3）针对本部分内容实施过程的重难点分析及应对措施。 方案完整包含以上内容且满足本项目要求得6 分，每缺一项扣 2分，每项内容中每有一处内容缺陷扣 1 分(缺陷是指： 存在不适用项目实际情况的情形、凭空编造、内容前后不一 致、前后逻辑错误、涉及的规范及标准错误、地点区域错误、内容遗漏、不符合采购需求等)扣完止。</w:t>
            </w:r>
          </w:p>
        </w:tc>
      </w:tr>
      <w:tr w14:paraId="244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633" w:type="dxa"/>
            <w:vAlign w:val="center"/>
          </w:tcPr>
          <w:p w14:paraId="433CBDD5">
            <w:pPr>
              <w:jc w:val="center"/>
              <w:rPr>
                <w:rFonts w:ascii="仿宋" w:hAnsi="仿宋" w:eastAsia="仿宋" w:cs="仿宋"/>
                <w:lang w:eastAsia="zh-CN"/>
              </w:rPr>
            </w:pPr>
            <w:r>
              <w:rPr>
                <w:rFonts w:hint="eastAsia" w:ascii="仿宋" w:hAnsi="仿宋" w:eastAsia="仿宋" w:cs="仿宋"/>
                <w:lang w:eastAsia="zh-CN"/>
              </w:rPr>
              <w:t>5</w:t>
            </w:r>
          </w:p>
        </w:tc>
        <w:tc>
          <w:tcPr>
            <w:tcW w:w="1103" w:type="dxa"/>
            <w:vAlign w:val="center"/>
          </w:tcPr>
          <w:p w14:paraId="31EB8CA8">
            <w:pPr>
              <w:widowControl/>
              <w:jc w:val="center"/>
              <w:rPr>
                <w:rFonts w:ascii="仿宋" w:hAnsi="仿宋" w:eastAsia="仿宋" w:cs="仿宋"/>
              </w:rPr>
            </w:pPr>
            <w:r>
              <w:rPr>
                <w:rFonts w:hint="eastAsia" w:ascii="仿宋" w:hAnsi="仿宋" w:eastAsia="仿宋" w:cs="仿宋"/>
                <w:lang w:eastAsia="zh-CN"/>
              </w:rPr>
              <w:t>项目进</w:t>
            </w:r>
          </w:p>
          <w:p w14:paraId="673ADC2E">
            <w:pPr>
              <w:widowControl/>
              <w:jc w:val="center"/>
              <w:rPr>
                <w:rFonts w:ascii="仿宋" w:hAnsi="仿宋" w:eastAsia="仿宋" w:cs="仿宋"/>
              </w:rPr>
            </w:pPr>
            <w:r>
              <w:rPr>
                <w:rFonts w:hint="eastAsia" w:ascii="仿宋" w:hAnsi="仿宋" w:eastAsia="仿宋" w:cs="仿宋"/>
                <w:lang w:eastAsia="zh-CN"/>
              </w:rPr>
              <w:t>度保</w:t>
            </w:r>
          </w:p>
          <w:p w14:paraId="71D8EB12">
            <w:pPr>
              <w:widowControl/>
              <w:jc w:val="center"/>
              <w:rPr>
                <w:rFonts w:ascii="仿宋" w:hAnsi="仿宋" w:eastAsia="仿宋" w:cs="仿宋"/>
              </w:rPr>
            </w:pPr>
            <w:r>
              <w:rPr>
                <w:rFonts w:hint="eastAsia" w:ascii="仿宋" w:hAnsi="仿宋" w:eastAsia="仿宋" w:cs="仿宋"/>
                <w:lang w:eastAsia="zh-CN"/>
              </w:rPr>
              <w:t>证、质</w:t>
            </w:r>
          </w:p>
          <w:p w14:paraId="2E48BCDC">
            <w:pPr>
              <w:widowControl/>
              <w:jc w:val="center"/>
              <w:rPr>
                <w:rFonts w:ascii="仿宋" w:hAnsi="仿宋" w:eastAsia="仿宋" w:cs="仿宋"/>
              </w:rPr>
            </w:pPr>
            <w:r>
              <w:rPr>
                <w:rFonts w:hint="eastAsia" w:ascii="仿宋" w:hAnsi="仿宋" w:eastAsia="仿宋" w:cs="仿宋"/>
                <w:lang w:eastAsia="zh-CN"/>
              </w:rPr>
              <w:t>量保证</w:t>
            </w:r>
          </w:p>
          <w:p w14:paraId="5DDFCE1F">
            <w:pPr>
              <w:widowControl/>
              <w:jc w:val="center"/>
              <w:rPr>
                <w:rFonts w:ascii="仿宋" w:hAnsi="仿宋" w:eastAsia="仿宋" w:cs="仿宋"/>
              </w:rPr>
            </w:pPr>
            <w:r>
              <w:rPr>
                <w:rFonts w:hint="eastAsia" w:ascii="仿宋" w:hAnsi="仿宋" w:eastAsia="仿宋" w:cs="仿宋"/>
                <w:lang w:eastAsia="zh-CN"/>
              </w:rPr>
              <w:t>措施</w:t>
            </w:r>
          </w:p>
          <w:p w14:paraId="20E20131">
            <w:pPr>
              <w:jc w:val="center"/>
              <w:rPr>
                <w:rFonts w:ascii="仿宋" w:hAnsi="仿宋" w:eastAsia="仿宋" w:cs="仿宋"/>
                <w:lang w:eastAsia="zh-CN"/>
              </w:rPr>
            </w:pPr>
          </w:p>
        </w:tc>
        <w:tc>
          <w:tcPr>
            <w:tcW w:w="977" w:type="dxa"/>
            <w:vAlign w:val="center"/>
          </w:tcPr>
          <w:p w14:paraId="75190C24">
            <w:pPr>
              <w:jc w:val="center"/>
              <w:rPr>
                <w:rFonts w:ascii="仿宋" w:hAnsi="仿宋" w:eastAsia="仿宋" w:cs="仿宋"/>
                <w:highlight w:val="yellow"/>
                <w:lang w:eastAsia="zh-CN"/>
              </w:rPr>
            </w:pPr>
            <w:r>
              <w:rPr>
                <w:rFonts w:hint="eastAsia" w:ascii="仿宋" w:hAnsi="仿宋" w:eastAsia="仿宋" w:cs="仿宋"/>
                <w:lang w:eastAsia="zh-CN"/>
              </w:rPr>
              <w:t>4分</w:t>
            </w:r>
          </w:p>
        </w:tc>
        <w:tc>
          <w:tcPr>
            <w:tcW w:w="6625" w:type="dxa"/>
          </w:tcPr>
          <w:p w14:paraId="16145C51">
            <w:pPr>
              <w:widowControl/>
              <w:jc w:val="left"/>
            </w:pPr>
            <w:r>
              <w:rPr>
                <w:rFonts w:ascii="仿宋" w:hAnsi="仿宋" w:eastAsia="仿宋" w:cs="仿宋"/>
                <w:lang w:eastAsia="zh-CN"/>
              </w:rPr>
              <w:t>1.供应商应保证货物按时交付，提供货物的供货、安装、调</w:t>
            </w:r>
            <w:r>
              <w:rPr>
                <w:rFonts w:hint="eastAsia" w:ascii="仿宋" w:hAnsi="仿宋" w:eastAsia="仿宋" w:cs="仿宋"/>
                <w:lang w:eastAsia="zh-CN"/>
              </w:rPr>
              <w:t xml:space="preserve">试计划表（包括主要设备的供货、运输、安装、调试、辅材的安装等内容）。 </w:t>
            </w:r>
          </w:p>
          <w:p w14:paraId="46AAB804">
            <w:pPr>
              <w:widowControl/>
              <w:jc w:val="left"/>
              <w:rPr>
                <w:rFonts w:ascii="仿宋" w:hAnsi="仿宋" w:eastAsia="仿宋" w:cs="仿宋"/>
                <w:lang w:eastAsia="zh-CN"/>
              </w:rPr>
            </w:pPr>
            <w:r>
              <w:rPr>
                <w:rFonts w:hint="eastAsia" w:ascii="仿宋" w:hAnsi="仿宋" w:eastAsia="仿宋" w:cs="仿宋"/>
                <w:lang w:eastAsia="zh-CN"/>
              </w:rPr>
              <w:t>2.供应商提供质量保障措施，包括但不限于：数据质量的可靠性保障、数据安全保障等。</w:t>
            </w:r>
          </w:p>
          <w:p w14:paraId="1406D8C4">
            <w:pPr>
              <w:widowControl/>
              <w:jc w:val="left"/>
              <w:rPr>
                <w:rFonts w:ascii="仿宋" w:hAnsi="仿宋" w:eastAsia="仿宋" w:cs="仿宋"/>
                <w:highlight w:val="yellow"/>
              </w:rPr>
            </w:pPr>
            <w:r>
              <w:rPr>
                <w:rFonts w:hint="eastAsia" w:ascii="仿宋" w:hAnsi="仿宋" w:eastAsia="仿宋" w:cs="仿宋"/>
                <w:lang w:eastAsia="zh-CN"/>
              </w:rPr>
              <w:t xml:space="preserve">方案完整包含以上内容且满足本项目要求得 4 分，每缺一项扣 2 分，每项内容中每有一处内容缺陷扣 1 分(缺陷是指：存在不适用项目实际情况的情形、凭空编造、内容前后不一致、前后逻辑错误、涉及的规范及标准错误、地点区域错误、内容遗漏、不符合采购需求等)，扣完为止。 </w:t>
            </w:r>
          </w:p>
        </w:tc>
      </w:tr>
      <w:tr w14:paraId="1C4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633" w:type="dxa"/>
            <w:vAlign w:val="center"/>
          </w:tcPr>
          <w:p w14:paraId="5814BD83">
            <w:pPr>
              <w:jc w:val="center"/>
              <w:rPr>
                <w:rFonts w:ascii="仿宋" w:hAnsi="仿宋" w:eastAsia="仿宋" w:cs="仿宋"/>
                <w:lang w:eastAsia="zh-CN"/>
              </w:rPr>
            </w:pPr>
            <w:r>
              <w:rPr>
                <w:rFonts w:hint="eastAsia" w:ascii="仿宋" w:hAnsi="仿宋" w:eastAsia="仿宋" w:cs="仿宋"/>
                <w:lang w:eastAsia="zh-CN"/>
              </w:rPr>
              <w:t>6</w:t>
            </w:r>
          </w:p>
        </w:tc>
        <w:tc>
          <w:tcPr>
            <w:tcW w:w="1103" w:type="dxa"/>
            <w:vAlign w:val="center"/>
          </w:tcPr>
          <w:p w14:paraId="0CAAD1A6">
            <w:pPr>
              <w:jc w:val="center"/>
              <w:rPr>
                <w:rFonts w:ascii="仿宋" w:hAnsi="仿宋" w:eastAsia="仿宋" w:cs="仿宋"/>
                <w:lang w:eastAsia="zh-CN"/>
              </w:rPr>
            </w:pPr>
            <w:r>
              <w:rPr>
                <w:rFonts w:ascii="仿宋" w:hAnsi="仿宋" w:eastAsia="仿宋" w:cs="仿宋"/>
                <w:lang w:eastAsia="zh-CN"/>
              </w:rPr>
              <w:t>售后服</w:t>
            </w:r>
            <w:r>
              <w:rPr>
                <w:rFonts w:hint="eastAsia" w:ascii="仿宋" w:hAnsi="仿宋" w:eastAsia="仿宋" w:cs="仿宋"/>
                <w:lang w:eastAsia="zh-CN"/>
              </w:rPr>
              <w:t>务</w:t>
            </w:r>
          </w:p>
        </w:tc>
        <w:tc>
          <w:tcPr>
            <w:tcW w:w="977" w:type="dxa"/>
            <w:vAlign w:val="center"/>
          </w:tcPr>
          <w:p w14:paraId="2AB63063">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545F5AD1">
            <w:pPr>
              <w:widowControl/>
              <w:jc w:val="left"/>
            </w:pPr>
            <w:r>
              <w:rPr>
                <w:rFonts w:ascii="仿宋" w:hAnsi="仿宋" w:eastAsia="仿宋" w:cs="仿宋"/>
                <w:lang w:eastAsia="zh-CN"/>
              </w:rPr>
              <w:t>评审小组根据供应商针对本项目提供的售后服务方案进行</w:t>
            </w:r>
            <w:r>
              <w:rPr>
                <w:rFonts w:hint="eastAsia" w:ascii="仿宋" w:hAnsi="仿宋" w:eastAsia="仿宋" w:cs="仿宋"/>
                <w:lang w:eastAsia="zh-CN"/>
              </w:rPr>
              <w:t xml:space="preserve">评审，方案内容至少包含： </w:t>
            </w:r>
          </w:p>
          <w:p w14:paraId="56C4A3E8">
            <w:pPr>
              <w:widowControl/>
              <w:jc w:val="left"/>
            </w:pPr>
            <w:r>
              <w:rPr>
                <w:rFonts w:hint="eastAsia" w:ascii="仿宋" w:hAnsi="仿宋" w:eastAsia="仿宋" w:cs="仿宋"/>
                <w:lang w:eastAsia="zh-CN"/>
              </w:rPr>
              <w:t>（1）质保期内外服务措施；</w:t>
            </w:r>
          </w:p>
          <w:p w14:paraId="5E92F20C">
            <w:pPr>
              <w:widowControl/>
              <w:jc w:val="left"/>
              <w:rPr>
                <w:rFonts w:ascii="仿宋" w:hAnsi="仿宋" w:eastAsia="仿宋" w:cs="仿宋"/>
                <w:lang w:eastAsia="zh-CN"/>
              </w:rPr>
            </w:pPr>
            <w:r>
              <w:rPr>
                <w:rFonts w:hint="eastAsia" w:ascii="仿宋" w:hAnsi="仿宋" w:eastAsia="仿宋" w:cs="仿宋"/>
                <w:lang w:eastAsia="zh-CN"/>
              </w:rPr>
              <w:t xml:space="preserve">（2）响应时间及问题处理措施； </w:t>
            </w:r>
          </w:p>
          <w:p w14:paraId="4925A03F">
            <w:pPr>
              <w:widowControl/>
              <w:jc w:val="left"/>
            </w:pPr>
            <w:r>
              <w:rPr>
                <w:rFonts w:hint="eastAsia" w:ascii="仿宋" w:hAnsi="仿宋" w:eastAsia="仿宋" w:cs="仿宋"/>
                <w:lang w:eastAsia="zh-CN"/>
              </w:rPr>
              <w:t xml:space="preserve">（3）后续服务质量保障措施； </w:t>
            </w:r>
          </w:p>
          <w:p w14:paraId="78A15B68">
            <w:pPr>
              <w:widowControl/>
              <w:jc w:val="left"/>
            </w:pPr>
            <w:r>
              <w:rPr>
                <w:rFonts w:hint="eastAsia" w:ascii="仿宋" w:hAnsi="仿宋" w:eastAsia="仿宋" w:cs="仿宋"/>
                <w:lang w:eastAsia="zh-CN"/>
              </w:rPr>
              <w:t xml:space="preserve">（4）针对本项目提供的后续服务人员配备方案及服务承诺； </w:t>
            </w:r>
          </w:p>
          <w:p w14:paraId="134C998F">
            <w:pPr>
              <w:widowControl/>
              <w:jc w:val="left"/>
            </w:pPr>
            <w:r>
              <w:rPr>
                <w:rFonts w:hint="eastAsia" w:ascii="仿宋" w:hAnsi="仿宋" w:eastAsia="仿宋" w:cs="仿宋"/>
                <w:lang w:eastAsia="zh-CN"/>
              </w:rPr>
              <w:t xml:space="preserve">（5）服务机构设置及保障措施； </w:t>
            </w:r>
          </w:p>
          <w:p w14:paraId="44785FC2">
            <w:pPr>
              <w:widowControl/>
              <w:jc w:val="left"/>
              <w:rPr>
                <w:rFonts w:ascii="仿宋" w:hAnsi="仿宋" w:eastAsia="仿宋" w:cs="仿宋"/>
              </w:rPr>
            </w:pPr>
            <w:r>
              <w:rPr>
                <w:rFonts w:hint="eastAsia" w:ascii="仿宋" w:hAnsi="仿宋" w:eastAsia="仿宋" w:cs="仿宋"/>
                <w:lang w:eastAsia="zh-CN"/>
              </w:rPr>
              <w:t>方案完整包含以上内容且满足本项目要求得 5 分，每缺一项扣 1 分，每项内容中每有一处内容缺陷扣 0.5 分(缺陷是指：存在不适用项目实际情况的情形、凭空编造、内容前后不一致、前后逻辑错误、涉及的规范及标准错误、地点区</w:t>
            </w:r>
            <w:r>
              <w:rPr>
                <w:rFonts w:hint="eastAsia" w:ascii="仿宋" w:hAnsi="仿宋" w:eastAsia="仿宋" w:cs="仿宋"/>
                <w:sz w:val="22"/>
                <w:szCs w:val="22"/>
                <w:lang w:eastAsia="zh-CN"/>
              </w:rPr>
              <w:t xml:space="preserve"> </w:t>
            </w:r>
            <w:r>
              <w:rPr>
                <w:rFonts w:hint="eastAsia" w:ascii="仿宋" w:hAnsi="仿宋" w:eastAsia="仿宋" w:cs="仿宋"/>
                <w:lang w:eastAsia="zh-CN"/>
              </w:rPr>
              <w:t xml:space="preserve">域错误、内容遗漏、不符合采购需求等)扣完为止。 </w:t>
            </w:r>
          </w:p>
        </w:tc>
      </w:tr>
      <w:tr w14:paraId="67A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338" w:type="dxa"/>
            <w:gridSpan w:val="4"/>
            <w:vAlign w:val="center"/>
          </w:tcPr>
          <w:p w14:paraId="6F7AC1CE">
            <w:pPr>
              <w:widowControl/>
              <w:jc w:val="center"/>
              <w:rPr>
                <w:rFonts w:ascii="仿宋" w:hAnsi="仿宋" w:eastAsia="仿宋" w:cs="仿宋"/>
              </w:rPr>
            </w:pPr>
            <w:r>
              <w:rPr>
                <w:rFonts w:hint="eastAsia" w:ascii="仿宋" w:hAnsi="仿宋" w:eastAsia="仿宋" w:cs="仿宋"/>
                <w:b/>
                <w:bCs/>
                <w:lang w:eastAsia="zh-CN"/>
              </w:rPr>
              <w:t>价格评审标准（30 分）</w:t>
            </w:r>
          </w:p>
        </w:tc>
      </w:tr>
      <w:tr w14:paraId="5AF0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33" w:type="dxa"/>
            <w:vAlign w:val="center"/>
          </w:tcPr>
          <w:p w14:paraId="0E8CF6A8">
            <w:pPr>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2ADE5F4B">
            <w:pPr>
              <w:widowControl/>
              <w:jc w:val="center"/>
              <w:rPr>
                <w:rFonts w:ascii="仿宋" w:hAnsi="仿宋" w:eastAsia="仿宋" w:cs="仿宋"/>
              </w:rPr>
            </w:pPr>
            <w:r>
              <w:rPr>
                <w:rFonts w:hint="eastAsia" w:ascii="仿宋" w:hAnsi="仿宋" w:eastAsia="仿宋" w:cs="仿宋"/>
                <w:lang w:eastAsia="zh-CN"/>
              </w:rPr>
              <w:t>供应商</w:t>
            </w:r>
          </w:p>
          <w:p w14:paraId="0CFEE047">
            <w:pPr>
              <w:widowControl/>
              <w:jc w:val="center"/>
              <w:rPr>
                <w:rFonts w:ascii="仿宋" w:hAnsi="仿宋" w:eastAsia="仿宋" w:cs="仿宋"/>
              </w:rPr>
            </w:pPr>
            <w:r>
              <w:rPr>
                <w:rFonts w:hint="eastAsia" w:ascii="仿宋" w:hAnsi="仿宋" w:eastAsia="仿宋" w:cs="仿宋"/>
                <w:lang w:eastAsia="zh-CN"/>
              </w:rPr>
              <w:t>报价</w:t>
            </w:r>
          </w:p>
          <w:p w14:paraId="111E50F9">
            <w:pPr>
              <w:jc w:val="center"/>
              <w:rPr>
                <w:rFonts w:ascii="仿宋" w:hAnsi="仿宋" w:eastAsia="仿宋" w:cs="仿宋"/>
                <w:lang w:eastAsia="zh-CN"/>
              </w:rPr>
            </w:pPr>
          </w:p>
        </w:tc>
        <w:tc>
          <w:tcPr>
            <w:tcW w:w="977" w:type="dxa"/>
            <w:vAlign w:val="center"/>
          </w:tcPr>
          <w:p w14:paraId="1E4A55C0">
            <w:pPr>
              <w:jc w:val="center"/>
              <w:rPr>
                <w:rFonts w:ascii="仿宋" w:hAnsi="仿宋" w:eastAsia="仿宋" w:cs="仿宋"/>
                <w:lang w:eastAsia="zh-CN"/>
              </w:rPr>
            </w:pPr>
            <w:r>
              <w:rPr>
                <w:rFonts w:hint="eastAsia" w:ascii="仿宋" w:hAnsi="仿宋" w:eastAsia="仿宋" w:cs="仿宋"/>
                <w:lang w:eastAsia="zh-CN"/>
              </w:rPr>
              <w:t>30分</w:t>
            </w:r>
          </w:p>
        </w:tc>
        <w:tc>
          <w:tcPr>
            <w:tcW w:w="6625" w:type="dxa"/>
          </w:tcPr>
          <w:p w14:paraId="191E940D">
            <w:pPr>
              <w:widowControl/>
              <w:jc w:val="left"/>
              <w:rPr>
                <w:rFonts w:ascii="仿宋" w:hAnsi="仿宋" w:eastAsia="仿宋" w:cs="仿宋"/>
              </w:rPr>
            </w:pPr>
            <w:r>
              <w:rPr>
                <w:rFonts w:hint="eastAsia" w:ascii="仿宋" w:hAnsi="仿宋" w:eastAsia="仿宋" w:cs="仿宋"/>
                <w:lang w:eastAsia="zh-CN"/>
              </w:rPr>
              <w:t xml:space="preserve">在满足磋商文件要求的前提下，取各供应商有效报价的最低价 </w:t>
            </w:r>
          </w:p>
          <w:p w14:paraId="4FDA03E4">
            <w:pPr>
              <w:widowControl/>
              <w:jc w:val="left"/>
              <w:rPr>
                <w:rFonts w:ascii="仿宋" w:hAnsi="仿宋" w:eastAsia="仿宋" w:cs="仿宋"/>
              </w:rPr>
            </w:pPr>
            <w:r>
              <w:rPr>
                <w:rFonts w:hint="eastAsia" w:ascii="仿宋" w:hAnsi="仿宋" w:eastAsia="仿宋" w:cs="仿宋"/>
                <w:lang w:eastAsia="zh-CN"/>
              </w:rPr>
              <w:t xml:space="preserve">作为评标基准价,满分为 30 分；价格分的计算响应报价得分 </w:t>
            </w:r>
          </w:p>
          <w:p w14:paraId="549A773E">
            <w:pPr>
              <w:widowControl/>
              <w:jc w:val="left"/>
              <w:rPr>
                <w:rFonts w:ascii="仿宋" w:hAnsi="仿宋" w:eastAsia="仿宋" w:cs="仿宋"/>
              </w:rPr>
            </w:pPr>
            <w:r>
              <w:rPr>
                <w:rFonts w:hint="eastAsia" w:ascii="仿宋" w:hAnsi="仿宋" w:eastAsia="仿宋" w:cs="仿宋"/>
                <w:lang w:eastAsia="zh-CN"/>
              </w:rPr>
              <w:t xml:space="preserve">=(评标基准价／投标报价)×0.30×100 。（计算分值时，百分 </w:t>
            </w:r>
          </w:p>
          <w:p w14:paraId="2C1CEC4E">
            <w:pPr>
              <w:widowControl/>
              <w:jc w:val="left"/>
              <w:rPr>
                <w:rFonts w:ascii="仿宋" w:hAnsi="仿宋" w:eastAsia="仿宋" w:cs="仿宋"/>
              </w:rPr>
            </w:pPr>
            <w:r>
              <w:rPr>
                <w:rFonts w:hint="eastAsia" w:ascii="仿宋" w:hAnsi="仿宋" w:eastAsia="仿宋" w:cs="仿宋"/>
                <w:lang w:eastAsia="zh-CN"/>
              </w:rPr>
              <w:t>比按四舍五入原则，保留小数点后二位数）</w:t>
            </w:r>
          </w:p>
        </w:tc>
      </w:tr>
    </w:tbl>
    <w:p w14:paraId="12EC1FE2">
      <w:pPr>
        <w:pStyle w:val="53"/>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p w14:paraId="1C32E5E9">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14:paraId="5676C23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14:paraId="771C8D6D">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p>
    <w:p w14:paraId="27D6C2FC">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5"/>
      <w:bookmarkEnd w:id="46"/>
    </w:p>
    <w:p w14:paraId="56CF3E40">
      <w:pPr>
        <w:snapToGrid w:val="0"/>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11.1评标委</w:t>
      </w:r>
      <w:r>
        <w:rPr>
          <w:rFonts w:hint="eastAsia" w:ascii="仿宋" w:hAnsi="仿宋" w:eastAsia="仿宋" w:cs="仿宋"/>
          <w:color w:val="auto"/>
          <w:szCs w:val="21"/>
          <w:lang w:eastAsia="zh-CN"/>
        </w:rPr>
        <w:t>员会</w:t>
      </w:r>
      <w:r>
        <w:rPr>
          <w:rFonts w:hint="eastAsia" w:ascii="仿宋" w:hAnsi="仿宋" w:eastAsia="仿宋" w:cs="仿宋"/>
          <w:color w:val="auto"/>
          <w:szCs w:val="21"/>
          <w:lang w:val="en-US" w:eastAsia="zh-CN"/>
        </w:rPr>
        <w:t>根据综合得分由高到低</w:t>
      </w:r>
      <w:r>
        <w:rPr>
          <w:rFonts w:hint="eastAsia" w:ascii="仿宋" w:hAnsi="仿宋" w:eastAsia="仿宋" w:cs="仿宋"/>
          <w:color w:val="auto"/>
          <w:szCs w:val="21"/>
          <w:lang w:eastAsia="zh-CN"/>
        </w:rPr>
        <w:t>推荐</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名中标候选人。。</w:t>
      </w:r>
    </w:p>
    <w:p w14:paraId="1863A78E">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w:t>
      </w:r>
      <w:r>
        <w:rPr>
          <w:rFonts w:hint="eastAsia" w:ascii="仿宋" w:hAnsi="仿宋" w:eastAsia="仿宋" w:cs="仿宋"/>
          <w:color w:val="auto"/>
          <w:szCs w:val="21"/>
          <w:lang w:val="en-US" w:eastAsia="zh-CN"/>
        </w:rPr>
        <w:t>综合得分和</w:t>
      </w:r>
      <w:r>
        <w:rPr>
          <w:rFonts w:hint="eastAsia" w:ascii="仿宋" w:hAnsi="仿宋" w:eastAsia="仿宋" w:cs="仿宋"/>
          <w:color w:val="auto"/>
          <w:szCs w:val="21"/>
          <w:lang w:eastAsia="zh-CN"/>
        </w:rPr>
        <w:t>报价相同情况，则由评标委员会</w:t>
      </w:r>
      <w:r>
        <w:rPr>
          <w:rFonts w:hint="eastAsia" w:ascii="仿宋" w:hAnsi="仿宋" w:eastAsia="仿宋" w:cs="仿宋"/>
          <w:color w:val="auto"/>
          <w:szCs w:val="21"/>
          <w:lang w:val="en-US" w:eastAsia="zh-CN"/>
        </w:rPr>
        <w:t>根据技术标得分高低</w:t>
      </w:r>
      <w:r>
        <w:rPr>
          <w:rFonts w:hint="eastAsia" w:ascii="仿宋" w:hAnsi="仿宋" w:eastAsia="仿宋" w:cs="仿宋"/>
          <w:color w:val="auto"/>
          <w:szCs w:val="21"/>
          <w:lang w:eastAsia="zh-CN"/>
        </w:rPr>
        <w:t>确定中标候选人排名顺序。</w:t>
      </w:r>
    </w:p>
    <w:bookmarkEnd w:id="40"/>
    <w:p w14:paraId="2F09A6BC">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14:paraId="52AB063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14:paraId="0FEE5ECC">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14:paraId="7860A0CA">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14:paraId="7D30D46B">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14:paraId="492F3BB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4ABCD91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14:paraId="1E9EB1A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14:paraId="5C7477B2">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14:paraId="2E70B57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14:paraId="1EDBAEF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14:paraId="745497D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14:paraId="72FF46A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14:paraId="170CDEF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14:paraId="2A170E3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14:paraId="34B44B1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14:paraId="6DF5E2D0">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14:paraId="7739C62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14:paraId="23B34D6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（14）其它情形，经评标委员会委提出按无效投标处理，并经监督部门核准的；</w:t>
      </w:r>
    </w:p>
    <w:p w14:paraId="6345087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14:paraId="0B56807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14:paraId="3C0C71B6">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14:paraId="0DEBEC2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14:paraId="20D3B49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14:paraId="51820F8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14:paraId="35175D5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14:paraId="2153AD76">
      <w:pPr>
        <w:snapToGrid w:val="0"/>
        <w:spacing w:line="400" w:lineRule="exact"/>
        <w:ind w:firstLine="480" w:firstLineChars="200"/>
        <w:rPr>
          <w:rFonts w:ascii="仿宋" w:hAnsi="仿宋" w:eastAsia="仿宋" w:cs="仿宋"/>
          <w:b/>
          <w:bCs/>
          <w:color w:val="FF0000"/>
          <w:szCs w:val="21"/>
          <w:highlight w:val="yellow"/>
          <w:lang w:eastAsia="zh-CN"/>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w:t>
      </w:r>
      <w:r>
        <w:rPr>
          <w:rFonts w:hint="eastAsia" w:ascii="仿宋" w:hAnsi="仿宋" w:eastAsia="仿宋" w:cs="仿宋"/>
          <w:b/>
          <w:bCs/>
          <w:color w:val="auto"/>
          <w:szCs w:val="21"/>
          <w:highlight w:val="none"/>
          <w:lang w:eastAsia="zh-CN"/>
        </w:rPr>
        <w:t>；注：投标人的</w:t>
      </w:r>
      <w:bookmarkStart w:id="47" w:name="_Hlk144580944"/>
      <w:r>
        <w:rPr>
          <w:rFonts w:hint="eastAsia" w:ascii="仿宋" w:hAnsi="仿宋" w:eastAsia="仿宋" w:cs="仿宋"/>
          <w:b/>
          <w:bCs/>
          <w:color w:val="auto"/>
          <w:szCs w:val="21"/>
          <w:highlight w:val="none"/>
          <w:lang w:eastAsia="zh-CN"/>
        </w:rPr>
        <w:t>投标总报价不得高于招标文件给定的最高限价</w:t>
      </w:r>
      <w:bookmarkEnd w:id="47"/>
      <w:r>
        <w:rPr>
          <w:rFonts w:hint="eastAsia" w:ascii="仿宋" w:hAnsi="仿宋" w:eastAsia="仿宋" w:cs="仿宋"/>
          <w:b/>
          <w:bCs/>
          <w:color w:val="auto"/>
          <w:szCs w:val="21"/>
          <w:highlight w:val="none"/>
          <w:lang w:eastAsia="zh-CN"/>
        </w:rPr>
        <w:t>，否则，其投标文件将按无效投标处理。</w:t>
      </w:r>
    </w:p>
    <w:p w14:paraId="7DFB4B3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14:paraId="555A5DAD">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（6）其它情形，经评标委员会委提出按无效投标处理，并经监督部门核准的；</w:t>
      </w:r>
    </w:p>
    <w:p w14:paraId="7FDDA746">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14:textFill>
            <w14:solidFill>
              <w14:schemeClr w14:val="tx1"/>
            </w14:solidFill>
          </w14:textFill>
        </w:rPr>
        <w:t>未按照招标文件的规定提交投标保证金的；</w:t>
      </w:r>
    </w:p>
    <w:p w14:paraId="3EA9401C">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14:textFill>
            <w14:solidFill>
              <w14:schemeClr w14:val="tx1"/>
            </w14:solidFill>
          </w14:textFill>
        </w:rPr>
        <w:t>投标文件含有采购人不能接受的附加条件的;</w:t>
      </w:r>
    </w:p>
    <w:p w14:paraId="01CD4477">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14:paraId="620A43C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14:paraId="13AECBC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14:paraId="07D0111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14:paraId="656153A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14:paraId="7EBF10BD">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14:paraId="02124D75">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14:paraId="08BD63CC">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14:paraId="7F0A812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（7）其它情形，经评标委员会委提出按无效投标处理，并经监督部门核准的；</w:t>
      </w:r>
    </w:p>
    <w:p w14:paraId="644A758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14:paraId="2565B9CA">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8" w:name="_Toc469495737"/>
      <w:bookmarkStart w:id="49" w:name="OLE_LINK4"/>
    </w:p>
    <w:p w14:paraId="5A7DD761">
      <w:pPr>
        <w:pageBreakBefore/>
        <w:spacing w:line="360" w:lineRule="auto"/>
        <w:jc w:val="center"/>
        <w:outlineLvl w:val="0"/>
        <w:rPr>
          <w:rFonts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 xml:space="preserve">第四章  </w:t>
      </w:r>
      <w:bookmarkEnd w:id="41"/>
      <w:bookmarkEnd w:id="48"/>
      <w:r>
        <w:rPr>
          <w:rFonts w:hint="eastAsia" w:ascii="仿宋" w:hAnsi="仿宋" w:eastAsia="仿宋" w:cs="仿宋"/>
          <w:b/>
          <w:color w:val="000000" w:themeColor="text1"/>
          <w:sz w:val="32"/>
          <w:szCs w:val="32"/>
          <w:highlight w:val="none"/>
          <w:lang w:eastAsia="zh-CN"/>
          <w14:textFill>
            <w14:solidFill>
              <w14:schemeClr w14:val="tx1"/>
            </w14:solidFill>
          </w14:textFill>
        </w:rPr>
        <w:t>技术规格、数量及</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采购需</w:t>
      </w:r>
      <w:r>
        <w:rPr>
          <w:rFonts w:hint="eastAsia" w:ascii="仿宋" w:hAnsi="仿宋" w:eastAsia="仿宋" w:cs="仿宋"/>
          <w:b/>
          <w:color w:val="000000" w:themeColor="text1"/>
          <w:sz w:val="32"/>
          <w:szCs w:val="32"/>
          <w:highlight w:val="none"/>
          <w:lang w:eastAsia="zh-CN"/>
          <w14:textFill>
            <w14:solidFill>
              <w14:schemeClr w14:val="tx1"/>
            </w14:solidFill>
          </w14:textFill>
        </w:rPr>
        <w:t>求</w:t>
      </w:r>
    </w:p>
    <w:p w14:paraId="1622D7CE">
      <w:pPr>
        <w:pStyle w:val="6"/>
        <w:ind w:firstLine="0"/>
        <w:rPr>
          <w:highlight w:val="yellow"/>
          <w:lang w:eastAsia="zh-CN"/>
        </w:rPr>
      </w:pPr>
    </w:p>
    <w:p w14:paraId="74F75B25">
      <w:pPr>
        <w:widowControl/>
        <w:jc w:val="center"/>
        <w:rPr>
          <w:b/>
          <w:bCs/>
          <w:lang w:eastAsia="zh-CN"/>
        </w:rPr>
      </w:pPr>
      <w:r>
        <w:rPr>
          <w:rFonts w:hint="eastAsia" w:ascii="仿宋" w:hAnsi="仿宋" w:eastAsia="仿宋" w:cs="仿宋"/>
          <w:b/>
          <w:bCs/>
          <w:sz w:val="32"/>
          <w:szCs w:val="32"/>
          <w:lang w:eastAsia="zh-CN"/>
        </w:rPr>
        <w:t>采购需求</w:t>
      </w:r>
    </w:p>
    <w:p w14:paraId="03A08806">
      <w:pPr>
        <w:widowControl/>
        <w:rPr>
          <w:rFonts w:ascii="仿宋" w:hAnsi="仿宋" w:eastAsia="仿宋" w:cs="仿宋"/>
          <w:b/>
          <w:bCs/>
        </w:rPr>
      </w:pPr>
      <w:r>
        <w:rPr>
          <w:rFonts w:hint="eastAsia" w:ascii="仿宋" w:hAnsi="仿宋" w:eastAsia="仿宋" w:cs="仿宋"/>
          <w:b/>
          <w:bCs/>
          <w:lang w:eastAsia="zh-CN"/>
        </w:rPr>
        <w:t>一</w:t>
      </w:r>
      <w:r>
        <w:rPr>
          <w:rFonts w:hint="eastAsia" w:ascii="仿宋" w:hAnsi="仿宋" w:eastAsia="仿宋" w:cs="仿宋"/>
          <w:lang w:eastAsia="zh-CN"/>
        </w:rPr>
        <w:t>、</w:t>
      </w:r>
      <w:r>
        <w:rPr>
          <w:rFonts w:hint="eastAsia" w:ascii="仿宋" w:hAnsi="仿宋" w:eastAsia="仿宋" w:cs="仿宋"/>
          <w:b/>
          <w:bCs/>
          <w:lang w:eastAsia="zh-CN"/>
        </w:rPr>
        <w:t xml:space="preserve">建设目标 </w:t>
      </w:r>
    </w:p>
    <w:p w14:paraId="37917FB5">
      <w:pPr>
        <w:widowControl/>
        <w:ind w:firstLine="480" w:firstLineChars="200"/>
        <w:rPr>
          <w:rFonts w:ascii="仿宋" w:hAnsi="仿宋" w:eastAsia="仿宋" w:cs="仿宋"/>
          <w:lang w:eastAsia="zh-CN"/>
        </w:rPr>
      </w:pPr>
      <w:r>
        <w:rPr>
          <w:rFonts w:hint="eastAsia" w:ascii="仿宋" w:hAnsi="仿宋" w:eastAsia="仿宋" w:cs="仿宋"/>
          <w:lang w:eastAsia="zh-CN"/>
        </w:rPr>
        <w:t>以习近平新时代中国特色社会主义思想为指导，深入贯彻落实党的二十大和十九届二中、三中、四中、五中、六中全会精神，坚持新发展理念，结合新形势新任务新要求，在内外双循环新格局背景下，抓住国家培育战略性新兴产业等发展机遇，依据《中共中央办公厅 国务院办公厅关于全面加强危险化学品安全生产工作的意见》（2020 年），贯彻落实《化工园区安全风险智能化管控平台建设指南（试行）》《“工业互联网+ 安全生产”行动计划（2021—2023 年）》《化工园区安全风险排查治理导则（试行）》等政策法规的具体要求，结合自身产业布局、环境治理、能源消耗、风险防控、应急管理现状和优化提升的需求，顺应国家环境污染减排、环境质量改善、安全风险防控、节能降耗的号召，坚持“本质安全、绿色发展”，构建现代化工产业体系，坚持“六个一体化”发展，遵照 本质安全原则、先进创新原则、问题导向原则、循环经济原则、产业链发展原则、两化融合原则、总量发展原则、组织发展原则、创新发展原则和环保与资源利用原则，充分利用云计算、物联网、大数据及移动互联网等技术，整合巴里坤园区现有资源，推进信息基础设施建设、结合现有的系统加快智慧管理一体化信息系统研制，实现感知全覆盖、数据实时监控、提前预警、快速反应要求，最终达到数字化、信息化、智慧化的总体目标。</w:t>
      </w:r>
    </w:p>
    <w:p w14:paraId="2FE003C1">
      <w:pPr>
        <w:widowControl/>
        <w:rPr>
          <w:rFonts w:ascii="仿宋" w:hAnsi="仿宋" w:eastAsia="仿宋" w:cs="仿宋"/>
        </w:rPr>
      </w:pPr>
      <w:r>
        <w:rPr>
          <w:rFonts w:hint="eastAsia" w:ascii="仿宋" w:hAnsi="仿宋" w:eastAsia="仿宋" w:cs="仿宋"/>
          <w:b/>
          <w:bCs/>
          <w:lang w:eastAsia="zh-CN"/>
        </w:rPr>
        <w:t>二</w:t>
      </w:r>
      <w:r>
        <w:rPr>
          <w:rFonts w:hint="eastAsia" w:ascii="仿宋" w:hAnsi="仿宋" w:eastAsia="仿宋" w:cs="仿宋"/>
          <w:lang w:eastAsia="zh-CN"/>
        </w:rPr>
        <w:t>、</w:t>
      </w:r>
      <w:r>
        <w:rPr>
          <w:rFonts w:hint="eastAsia" w:ascii="仿宋" w:hAnsi="仿宋" w:eastAsia="仿宋" w:cs="仿宋"/>
          <w:b/>
          <w:bCs/>
          <w:lang w:eastAsia="zh-CN"/>
        </w:rPr>
        <w:t>建设内容</w:t>
      </w:r>
      <w:r>
        <w:rPr>
          <w:rFonts w:hint="eastAsia" w:ascii="仿宋" w:hAnsi="仿宋" w:eastAsia="仿宋" w:cs="仿宋"/>
          <w:lang w:eastAsia="zh-CN"/>
        </w:rPr>
        <w:t xml:space="preserve"> </w:t>
      </w:r>
    </w:p>
    <w:p w14:paraId="761F09CB">
      <w:pPr>
        <w:widowControl/>
        <w:ind w:firstLine="480" w:firstLineChars="200"/>
        <w:rPr>
          <w:rFonts w:ascii="仿宋" w:hAnsi="仿宋" w:eastAsia="仿宋" w:cs="仿宋"/>
        </w:rPr>
      </w:pPr>
      <w:r>
        <w:rPr>
          <w:rFonts w:hint="eastAsia" w:ascii="仿宋" w:hAnsi="仿宋" w:eastAsia="仿宋" w:cs="仿宋"/>
          <w:lang w:eastAsia="zh-CN"/>
        </w:rPr>
        <w:t xml:space="preserve">基于总体目标，提出通过一个平台底座、“四大系统支撑、“N 个业务应用”、“两大配套工程”建设，逐步实现化工园区数字化、信息化、智慧化的目标。 </w:t>
      </w:r>
    </w:p>
    <w:p w14:paraId="56318A78">
      <w:pPr>
        <w:widowControl/>
        <w:ind w:firstLine="480" w:firstLineChars="200"/>
        <w:rPr>
          <w:rFonts w:ascii="仿宋" w:hAnsi="仿宋" w:eastAsia="仿宋" w:cs="仿宋"/>
        </w:rPr>
      </w:pPr>
      <w:r>
        <w:rPr>
          <w:rFonts w:hint="eastAsia" w:ascii="仿宋" w:hAnsi="仿宋" w:eastAsia="仿宋" w:cs="仿宋"/>
          <w:lang w:eastAsia="zh-CN"/>
        </w:rPr>
        <w:t xml:space="preserve">其中：“一个平台”指大数据平台底座；“四大系统支撑”指物联网支撑系统、视频算法支撑系统、地理信息支撑系统和基础组件支撑系统；“N 应用”指综合决策智慧应用、安全基础管理应用、重大危险源安全管理应用、双重预防机制管 理、特殊作业管理、园区封闭化管理、敏捷应急管理、企业端智能管控、智慧消 防管理应用、智慧环保监管应用、易燃易爆有毒有害气体泄漏检测管理应用、移 动管控应用（APP/小程序）等在内的多个业务应用。“两大配套工程”指智慧指 挥中心配套建设、园区基础配套工程建设。通过以上建设内容，稳步提升园区信 息化整体运行水平。 </w:t>
      </w:r>
    </w:p>
    <w:p w14:paraId="5219B41F">
      <w:pPr>
        <w:widowControl/>
        <w:ind w:firstLine="480" w:firstLineChars="200"/>
        <w:rPr>
          <w:rFonts w:ascii="仿宋" w:hAnsi="仿宋" w:eastAsia="仿宋" w:cs="仿宋"/>
        </w:rPr>
      </w:pPr>
      <w:r>
        <w:rPr>
          <w:rFonts w:hint="eastAsia" w:ascii="仿宋" w:hAnsi="仿宋" w:eastAsia="仿宋" w:cs="仿宋"/>
          <w:lang w:eastAsia="zh-CN"/>
        </w:rPr>
        <w:t xml:space="preserve">大数据平台底座，大数据平台作为信息高速公路的基础设施，为所有应用系统提供统一的数据查询、存储、更新、维护的数据总线。关系型数据库选用国产化大型通用关系型数据库，全面支持 SQL 标准和主流编程语言接口/开发框架。 </w:t>
      </w:r>
    </w:p>
    <w:p w14:paraId="4A2FEF86">
      <w:pPr>
        <w:widowControl/>
        <w:rPr>
          <w:rFonts w:ascii="仿宋" w:hAnsi="仿宋" w:eastAsia="仿宋" w:cs="仿宋"/>
        </w:rPr>
      </w:pPr>
      <w:r>
        <w:rPr>
          <w:rFonts w:hint="eastAsia" w:ascii="仿宋" w:hAnsi="仿宋" w:eastAsia="仿宋" w:cs="仿宋"/>
          <w:lang w:eastAsia="zh-CN"/>
        </w:rPr>
        <w:t xml:space="preserve">分析型数据库选用分布式存储、多节点并行计算的结构化数据库，能够支持 TB到 PB 级的数据存储与分析。 </w:t>
      </w:r>
    </w:p>
    <w:p w14:paraId="44DEED55">
      <w:pPr>
        <w:widowControl/>
        <w:ind w:firstLine="480" w:firstLineChars="200"/>
        <w:rPr>
          <w:rFonts w:ascii="仿宋" w:hAnsi="仿宋" w:eastAsia="仿宋" w:cs="仿宋"/>
        </w:rPr>
      </w:pPr>
      <w:r>
        <w:rPr>
          <w:rFonts w:hint="eastAsia" w:ascii="仿宋" w:hAnsi="仿宋" w:eastAsia="仿宋" w:cs="仿宋"/>
          <w:lang w:eastAsia="zh-CN"/>
        </w:rPr>
        <w:t xml:space="preserve">物联网支撑系统：提供设备物联相关服务的功能。涵盖了设备管理、设备接入、设备运维监控、元数据管理、规则引擎、实时数据存储等能力的一体化平台，实现了物联网以及相关业务开发的众多基础支撑功能。 </w:t>
      </w:r>
    </w:p>
    <w:p w14:paraId="46038BCA">
      <w:pPr>
        <w:widowControl/>
        <w:ind w:firstLine="480" w:firstLineChars="200"/>
        <w:rPr>
          <w:rFonts w:ascii="仿宋" w:hAnsi="仿宋" w:eastAsia="仿宋" w:cs="仿宋"/>
        </w:rPr>
      </w:pPr>
      <w:r>
        <w:rPr>
          <w:rFonts w:hint="eastAsia" w:ascii="仿宋" w:hAnsi="仿宋" w:eastAsia="仿宋" w:cs="仿宋"/>
          <w:lang w:eastAsia="zh-CN"/>
        </w:rPr>
        <w:t xml:space="preserve">视频算法支撑系统：统一算法支撑系统，构建标准化的 PAAS 层服务，为应用层提供应用管理，为应用提供多个算法仓库调用、不同的算力服务编排、基于两种不同紧急程度的事件预警的算法智能预警等面向应用的服务功能。 </w:t>
      </w:r>
    </w:p>
    <w:p w14:paraId="5CC1AEBB">
      <w:pPr>
        <w:widowControl/>
        <w:ind w:firstLine="480" w:firstLineChars="200"/>
        <w:rPr>
          <w:rFonts w:ascii="仿宋" w:hAnsi="仿宋" w:eastAsia="仿宋" w:cs="仿宋"/>
        </w:rPr>
      </w:pPr>
      <w:r>
        <w:rPr>
          <w:rFonts w:hint="eastAsia" w:ascii="仿宋" w:hAnsi="仿宋" w:eastAsia="仿宋" w:cs="仿宋"/>
          <w:lang w:eastAsia="zh-CN"/>
        </w:rPr>
        <w:t xml:space="preserve">地理信息支撑系统：地理信息系统需要能够支撑的园区信息化的应用，主要包括危险源、防护目标、现场队伍、应急资源、现场指挥部、园区道路交通、车辆业务系统建设的基础数据调用、基本查询、基础空间分析、专题数据查询等功能。基础功能包括视图管理、地图标绘、综合查询等。 </w:t>
      </w:r>
    </w:p>
    <w:p w14:paraId="497025BF">
      <w:pPr>
        <w:widowControl/>
        <w:ind w:firstLine="480" w:firstLineChars="200"/>
        <w:rPr>
          <w:rFonts w:ascii="仿宋" w:hAnsi="仿宋" w:eastAsia="仿宋" w:cs="仿宋"/>
        </w:rPr>
      </w:pPr>
      <w:r>
        <w:rPr>
          <w:rFonts w:hint="eastAsia" w:ascii="仿宋" w:hAnsi="仿宋" w:eastAsia="仿宋" w:cs="仿宋"/>
          <w:lang w:eastAsia="zh-CN"/>
        </w:rPr>
        <w:t xml:space="preserve">基础组件支撑系统：通过抽取统一的身份认证、资源权限、日志、消息等公共组件，搭建基础组件支撑系统，支撑所有应用的基础应用减少重复开发和信息孤岛。 </w:t>
      </w:r>
    </w:p>
    <w:p w14:paraId="19224A14">
      <w:pPr>
        <w:widowControl/>
        <w:ind w:firstLine="480" w:firstLineChars="200"/>
        <w:rPr>
          <w:rFonts w:ascii="仿宋" w:hAnsi="仿宋" w:eastAsia="仿宋" w:cs="仿宋"/>
        </w:rPr>
      </w:pPr>
      <w:r>
        <w:rPr>
          <w:rFonts w:hint="eastAsia" w:ascii="仿宋" w:hAnsi="仿宋" w:eastAsia="仿宋" w:cs="仿宋"/>
          <w:lang w:eastAsia="zh-CN"/>
        </w:rPr>
        <w:t xml:space="preserve">“N 应用”在本项目中分为 13 个管理应用，包括综合决策智慧应用、安全基础管理应用、重大危险源安全管理应用、双重预防机制管理、特殊作业管理、 园区封闭化管理、敏捷应急管理、企业端智能管控、智慧消防管理应用、智慧环 保监管应用、易燃易爆有毒有害气体泄漏检测管理应用、移动管控应用（APP/ 小程序）。 </w:t>
      </w:r>
    </w:p>
    <w:p w14:paraId="7B8F96D5">
      <w:pPr>
        <w:widowControl/>
        <w:ind w:firstLine="480" w:firstLineChars="200"/>
        <w:rPr>
          <w:rFonts w:ascii="仿宋" w:hAnsi="仿宋" w:eastAsia="仿宋" w:cs="仿宋"/>
        </w:rPr>
      </w:pPr>
      <w:r>
        <w:rPr>
          <w:rFonts w:hint="eastAsia" w:ascii="仿宋" w:hAnsi="仿宋" w:eastAsia="仿宋" w:cs="仿宋"/>
          <w:lang w:eastAsia="zh-CN"/>
        </w:rPr>
        <w:t xml:space="preserve">智慧指挥中心配套建设，主要是指挥中心大楼的配套智能化弱电及装饰工程， 包括五楼指挥中心大厅和配套机房、三楼培训会议室、党建会议室、地下室 IDC 机房等内容； </w:t>
      </w:r>
    </w:p>
    <w:p w14:paraId="3E639F30">
      <w:pPr>
        <w:widowControl/>
        <w:ind w:firstLine="480" w:firstLineChars="200"/>
        <w:rPr>
          <w:rFonts w:ascii="仿宋" w:hAnsi="仿宋" w:eastAsia="仿宋" w:cs="仿宋"/>
        </w:rPr>
      </w:pPr>
      <w:r>
        <w:rPr>
          <w:rFonts w:hint="eastAsia" w:ascii="仿宋" w:hAnsi="仿宋" w:eastAsia="仿宋" w:cs="仿宋"/>
          <w:lang w:eastAsia="zh-CN"/>
        </w:rPr>
        <w:t xml:space="preserve">园区基础设施配套建设，主要是园区封闭化设施配套建设、特殊作业管理设施配套建设、敏捷应急设施配套建设、智慧环保设施配套建设、园区运营管理设施配套建设、易燃易爆有毒有害气体泄漏检测设施配套建设等。 </w:t>
      </w:r>
    </w:p>
    <w:p w14:paraId="3C7FD9AB">
      <w:pPr>
        <w:widowControl/>
        <w:rPr>
          <w:rFonts w:ascii="仿宋" w:hAnsi="仿宋" w:eastAsia="仿宋" w:cs="仿宋"/>
          <w:b/>
          <w:bCs/>
        </w:rPr>
      </w:pPr>
      <w:r>
        <w:rPr>
          <w:rFonts w:hint="eastAsia" w:ascii="仿宋" w:hAnsi="仿宋" w:eastAsia="仿宋" w:cs="仿宋"/>
          <w:b/>
          <w:bCs/>
          <w:lang w:eastAsia="zh-CN"/>
        </w:rPr>
        <w:t xml:space="preserve">三 </w:t>
      </w:r>
      <w:r>
        <w:rPr>
          <w:rFonts w:hint="eastAsia" w:ascii="仿宋" w:hAnsi="仿宋" w:eastAsia="仿宋" w:cs="仿宋"/>
          <w:b/>
          <w:bCs/>
          <w:lang w:val="en-US" w:eastAsia="zh-CN"/>
        </w:rPr>
        <w:t>交货期</w:t>
      </w:r>
      <w:r>
        <w:rPr>
          <w:rFonts w:hint="eastAsia" w:ascii="仿宋" w:hAnsi="仿宋" w:eastAsia="仿宋" w:cs="仿宋"/>
          <w:b/>
          <w:bCs/>
          <w:lang w:eastAsia="zh-CN"/>
        </w:rPr>
        <w:t xml:space="preserve">与地点 </w:t>
      </w:r>
    </w:p>
    <w:p w14:paraId="1A708247">
      <w:pPr>
        <w:spacing w:line="360" w:lineRule="auto"/>
        <w:ind w:firstLine="480" w:firstLineChars="200"/>
        <w:rPr>
          <w:rFonts w:ascii="仿宋" w:hAnsi="仿宋" w:eastAsia="仿宋" w:cs="仿宋"/>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交货期</w:t>
      </w:r>
      <w:r>
        <w:rPr>
          <w:rFonts w:hint="eastAsia" w:ascii="仿宋" w:hAnsi="仿宋" w:eastAsia="仿宋" w:cs="仿宋"/>
          <w:highlight w:val="none"/>
          <w:lang w:eastAsia="zh-CN"/>
        </w:rPr>
        <w:t>：</w:t>
      </w:r>
      <w:r>
        <w:rPr>
          <w:rFonts w:hint="eastAsia" w:ascii="仿宋" w:hAnsi="仿宋" w:eastAsia="仿宋" w:cs="仿宋"/>
          <w:highlight w:val="none"/>
          <w:lang w:val="en-US" w:eastAsia="zh-CN"/>
        </w:rPr>
        <w:t>5个月，</w:t>
      </w:r>
      <w:r>
        <w:rPr>
          <w:rFonts w:hint="eastAsia" w:ascii="仿宋" w:hAnsi="仿宋" w:eastAsia="仿宋" w:cs="仿宋"/>
          <w:color w:val="auto"/>
          <w:highlight w:val="none"/>
          <w:lang w:eastAsia="zh-CN"/>
        </w:rPr>
        <w:t>截至</w:t>
      </w:r>
      <w:r>
        <w:rPr>
          <w:rFonts w:hint="eastAsia" w:ascii="仿宋" w:hAnsi="仿宋" w:eastAsia="仿宋" w:cs="仿宋"/>
          <w:color w:val="auto"/>
          <w:highlight w:val="none"/>
          <w:lang w:val="en-US" w:eastAsia="zh-CN"/>
        </w:rPr>
        <w:t>到</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lang w:eastAsia="zh-CN"/>
        </w:rPr>
        <w:t>供货安装</w:t>
      </w:r>
      <w:r>
        <w:rPr>
          <w:rFonts w:hint="eastAsia" w:ascii="仿宋" w:hAnsi="仿宋" w:eastAsia="仿宋" w:cs="仿宋"/>
          <w:color w:val="auto"/>
          <w:highlight w:val="none"/>
          <w:lang w:val="en-US" w:eastAsia="zh-CN"/>
        </w:rPr>
        <w:t>及调试完毕进入试运行阶段，若未能按时完成扣除履约保证金</w:t>
      </w:r>
      <w:r>
        <w:rPr>
          <w:rFonts w:hint="eastAsia" w:ascii="仿宋" w:hAnsi="仿宋" w:eastAsia="仿宋" w:cs="仿宋"/>
          <w:color w:val="auto"/>
          <w:highlight w:val="none"/>
          <w:lang w:eastAsia="zh-CN"/>
        </w:rPr>
        <w:t>。</w:t>
      </w:r>
    </w:p>
    <w:p w14:paraId="254232AB">
      <w:pPr>
        <w:widowControl/>
        <w:ind w:firstLine="480" w:firstLineChars="200"/>
        <w:rPr>
          <w:rFonts w:ascii="仿宋" w:hAnsi="仿宋" w:eastAsia="仿宋" w:cs="仿宋"/>
        </w:rPr>
      </w:pPr>
      <w:r>
        <w:rPr>
          <w:rFonts w:hint="eastAsia" w:ascii="仿宋" w:hAnsi="仿宋" w:eastAsia="仿宋" w:cs="仿宋"/>
          <w:lang w:eastAsia="zh-CN"/>
        </w:rPr>
        <w:t>2.</w:t>
      </w:r>
      <w:r>
        <w:rPr>
          <w:rFonts w:hint="eastAsia" w:ascii="仿宋" w:hAnsi="仿宋" w:eastAsia="仿宋" w:cs="仿宋"/>
          <w:lang w:val="en-US" w:eastAsia="zh-CN"/>
        </w:rPr>
        <w:t>交货</w:t>
      </w:r>
      <w:r>
        <w:rPr>
          <w:rFonts w:hint="eastAsia" w:ascii="仿宋" w:hAnsi="仿宋" w:eastAsia="仿宋" w:cs="仿宋"/>
          <w:lang w:eastAsia="zh-CN"/>
        </w:rPr>
        <w:t xml:space="preserve">地点：巴里坤哈萨克自治县三塘湖工业园区 </w:t>
      </w:r>
    </w:p>
    <w:p w14:paraId="6B5335D7">
      <w:pPr>
        <w:widowControl/>
        <w:rPr>
          <w:rFonts w:ascii="仿宋" w:hAnsi="仿宋" w:eastAsia="仿宋" w:cs="仿宋"/>
          <w:b/>
          <w:bCs/>
        </w:rPr>
      </w:pPr>
      <w:r>
        <w:rPr>
          <w:rFonts w:hint="eastAsia" w:ascii="仿宋" w:hAnsi="仿宋" w:eastAsia="仿宋" w:cs="仿宋"/>
          <w:b/>
          <w:bCs/>
          <w:lang w:eastAsia="zh-CN"/>
        </w:rPr>
        <w:t xml:space="preserve">四 项目总投资及资金来源 </w:t>
      </w:r>
    </w:p>
    <w:p w14:paraId="0E47F38D">
      <w:pPr>
        <w:widowControl/>
        <w:ind w:firstLine="480" w:firstLineChars="200"/>
        <w:rPr>
          <w:rFonts w:ascii="仿宋" w:hAnsi="仿宋" w:eastAsia="仿宋" w:cs="仿宋"/>
        </w:rPr>
      </w:pPr>
      <w:r>
        <w:rPr>
          <w:rFonts w:hint="eastAsia" w:ascii="仿宋" w:hAnsi="仿宋" w:eastAsia="仿宋" w:cs="仿宋"/>
          <w:lang w:eastAsia="zh-CN"/>
        </w:rPr>
        <w:t xml:space="preserve">1.项目总投资概算为：5000 万元（人民币）； </w:t>
      </w:r>
    </w:p>
    <w:p w14:paraId="33B57879">
      <w:pPr>
        <w:widowControl/>
        <w:ind w:firstLine="480" w:firstLineChars="200"/>
        <w:rPr>
          <w:rFonts w:ascii="仿宋" w:hAnsi="仿宋" w:eastAsia="仿宋" w:cs="仿宋"/>
          <w:lang w:eastAsia="zh-CN"/>
        </w:rPr>
      </w:pPr>
      <w:r>
        <w:rPr>
          <w:rFonts w:hint="eastAsia" w:ascii="仿宋" w:hAnsi="仿宋" w:eastAsia="仿宋" w:cs="仿宋"/>
          <w:lang w:eastAsia="zh-CN"/>
        </w:rPr>
        <w:t>2.资金来源：</w:t>
      </w:r>
      <w:r>
        <w:rPr>
          <w:rFonts w:hint="eastAsia" w:ascii="仿宋" w:hAnsi="仿宋" w:eastAsia="仿宋" w:cs="仿宋"/>
          <w:lang w:val="en-US" w:eastAsia="zh-CN"/>
        </w:rPr>
        <w:t>其中一般债券资金 4000 万元，县财政配套 1000 万元。</w:t>
      </w:r>
      <w:r>
        <w:rPr>
          <w:rFonts w:hint="eastAsia" w:ascii="仿宋" w:hAnsi="仿宋" w:eastAsia="仿宋" w:cs="仿宋"/>
          <w:lang w:eastAsia="zh-CN"/>
        </w:rPr>
        <w:t xml:space="preserve"> </w:t>
      </w:r>
    </w:p>
    <w:p w14:paraId="682E027C">
      <w:pPr>
        <w:widowControl/>
        <w:rPr>
          <w:rFonts w:ascii="仿宋" w:hAnsi="仿宋" w:eastAsia="仿宋" w:cs="仿宋"/>
        </w:rPr>
      </w:pPr>
      <w:r>
        <w:rPr>
          <w:rFonts w:hint="eastAsia" w:ascii="仿宋" w:hAnsi="仿宋" w:eastAsia="仿宋" w:cs="仿宋"/>
          <w:b/>
          <w:bCs/>
          <w:lang w:eastAsia="zh-CN"/>
        </w:rPr>
        <w:t xml:space="preserve">五 需求 </w:t>
      </w:r>
    </w:p>
    <w:p w14:paraId="387B32C6">
      <w:pPr>
        <w:widowControl/>
        <w:rPr>
          <w:rFonts w:ascii="仿宋" w:hAnsi="仿宋" w:eastAsia="仿宋" w:cs="仿宋"/>
          <w:b/>
          <w:bCs/>
        </w:rPr>
      </w:pPr>
      <w:r>
        <w:rPr>
          <w:rFonts w:hint="eastAsia" w:ascii="仿宋" w:hAnsi="仿宋" w:eastAsia="仿宋" w:cs="仿宋"/>
          <w:b/>
          <w:bCs/>
          <w:lang w:eastAsia="zh-CN"/>
        </w:rPr>
        <w:t xml:space="preserve">5.1 业务需求 </w:t>
      </w:r>
    </w:p>
    <w:p w14:paraId="714F28AF">
      <w:pPr>
        <w:widowControl/>
        <w:rPr>
          <w:rFonts w:ascii="仿宋" w:hAnsi="仿宋" w:eastAsia="仿宋" w:cs="仿宋"/>
          <w:b/>
          <w:bCs/>
        </w:rPr>
      </w:pPr>
      <w:r>
        <w:rPr>
          <w:rFonts w:hint="eastAsia" w:ascii="仿宋" w:hAnsi="仿宋" w:eastAsia="仿宋" w:cs="仿宋"/>
          <w:b/>
          <w:bCs/>
          <w:lang w:eastAsia="zh-CN"/>
        </w:rPr>
        <w:t xml:space="preserve">5.1.1综合分析决策指挥需求 </w:t>
      </w:r>
    </w:p>
    <w:p w14:paraId="2561FADE">
      <w:pPr>
        <w:widowControl/>
        <w:rPr>
          <w:rFonts w:ascii="仿宋" w:hAnsi="仿宋" w:eastAsia="仿宋" w:cs="仿宋"/>
        </w:rPr>
      </w:pPr>
      <w:r>
        <w:rPr>
          <w:rFonts w:hint="eastAsia" w:ascii="仿宋" w:hAnsi="仿宋" w:eastAsia="仿宋" w:cs="仿宋"/>
          <w:b/>
          <w:bCs/>
          <w:lang w:eastAsia="zh-CN"/>
        </w:rPr>
        <w:t xml:space="preserve">5.1.1.1 园区综合数据分析决策需求 </w:t>
      </w:r>
    </w:p>
    <w:p w14:paraId="3910BDA1">
      <w:pPr>
        <w:widowControl/>
        <w:ind w:firstLine="480" w:firstLineChars="200"/>
        <w:rPr>
          <w:rFonts w:ascii="仿宋" w:hAnsi="仿宋" w:eastAsia="仿宋" w:cs="仿宋"/>
        </w:rPr>
      </w:pPr>
      <w:r>
        <w:rPr>
          <w:rFonts w:hint="eastAsia" w:ascii="仿宋" w:hAnsi="仿宋" w:eastAsia="仿宋" w:cs="仿宋"/>
          <w:lang w:eastAsia="zh-CN"/>
        </w:rPr>
        <w:t xml:space="preserve">依据园区整体管理业务和管理需求，通过数据分析模型实现园区基本信息、经济产业信息、园区企业分布、安全、环保、应急、封闭化各业务态势的统计分析。基于 GIS 地图查看园区安全控制线、卡口信息，以及园区内各企业分布， </w:t>
      </w:r>
    </w:p>
    <w:p w14:paraId="27D220C7">
      <w:pPr>
        <w:widowControl/>
        <w:rPr>
          <w:rFonts w:ascii="仿宋" w:hAnsi="仿宋" w:eastAsia="仿宋" w:cs="仿宋"/>
        </w:rPr>
      </w:pPr>
      <w:r>
        <w:rPr>
          <w:rFonts w:hint="eastAsia" w:ascii="仿宋" w:hAnsi="仿宋" w:eastAsia="仿宋" w:cs="仿宋"/>
          <w:lang w:eastAsia="zh-CN"/>
        </w:rPr>
        <w:t xml:space="preserve">实现相关业务数据与地理信息融合，方便快捷地查看相应的企业画像。使园区管理者能够在第一时间迅速获取所需的重要信息，能够快速了解园区概况，提升信息获取和园区管理的效率，提升数据价值。 </w:t>
      </w:r>
    </w:p>
    <w:p w14:paraId="5FF84E64">
      <w:pPr>
        <w:widowControl/>
        <w:rPr>
          <w:rFonts w:ascii="仿宋" w:hAnsi="仿宋" w:eastAsia="仿宋" w:cs="仿宋"/>
        </w:rPr>
      </w:pPr>
      <w:r>
        <w:rPr>
          <w:rFonts w:hint="eastAsia" w:ascii="仿宋" w:hAnsi="仿宋" w:eastAsia="仿宋" w:cs="仿宋"/>
          <w:b/>
          <w:bCs/>
          <w:lang w:eastAsia="zh-CN"/>
        </w:rPr>
        <w:t xml:space="preserve">5.1.1.2 安全监管指挥分析决策需求 </w:t>
      </w:r>
    </w:p>
    <w:p w14:paraId="35D89658">
      <w:pPr>
        <w:widowControl/>
        <w:ind w:firstLine="480" w:firstLineChars="200"/>
        <w:rPr>
          <w:rFonts w:ascii="仿宋" w:hAnsi="仿宋" w:eastAsia="仿宋" w:cs="仿宋"/>
        </w:rPr>
      </w:pPr>
      <w:r>
        <w:rPr>
          <w:rFonts w:hint="eastAsia" w:ascii="仿宋" w:hAnsi="仿宋" w:eastAsia="仿宋" w:cs="仿宋"/>
          <w:lang w:eastAsia="zh-CN"/>
        </w:rPr>
        <w:t xml:space="preserve">实现园区的十有两禁、企业分布、第三方单位、执法、安全生产许可证等安全基础信息进行统计分析与展示。实现园区内企业风险承诺公告、两重点一重大、物联监测、双重预防、特殊作业及报警预警的展示和统计分析。基于 GIS 地图采用分图层的方式对园区边界、园区安全控制线、企业风险区域、重大危险源、特殊作业、隐患、视频等直接映射在地图上，实现相关安全业务数据与地理信息融合，方便快捷地查看安全的业务数据。支持通过 GIS 地图上的企业点位查看企业安全基本信息或进入企业安全一张图，对企业安全业务数据进行更多查看。 </w:t>
      </w:r>
    </w:p>
    <w:p w14:paraId="4A4BF078">
      <w:pPr>
        <w:widowControl/>
        <w:rPr>
          <w:rFonts w:ascii="仿宋" w:hAnsi="仿宋" w:eastAsia="仿宋" w:cs="仿宋"/>
        </w:rPr>
      </w:pPr>
      <w:r>
        <w:rPr>
          <w:rFonts w:hint="eastAsia" w:ascii="仿宋" w:hAnsi="仿宋" w:eastAsia="仿宋" w:cs="仿宋"/>
          <w:b/>
          <w:bCs/>
          <w:lang w:eastAsia="zh-CN"/>
        </w:rPr>
        <w:t xml:space="preserve">5.1.1.3 封闭管理状态分析决策需求 </w:t>
      </w:r>
    </w:p>
    <w:p w14:paraId="0FC119EE">
      <w:pPr>
        <w:widowControl/>
        <w:ind w:firstLine="480" w:firstLineChars="200"/>
        <w:rPr>
          <w:rFonts w:ascii="仿宋" w:hAnsi="仿宋" w:eastAsia="仿宋" w:cs="仿宋"/>
        </w:rPr>
      </w:pPr>
      <w:r>
        <w:rPr>
          <w:rFonts w:hint="eastAsia" w:ascii="仿宋" w:hAnsi="仿宋" w:eastAsia="仿宋" w:cs="仿宋"/>
          <w:lang w:eastAsia="zh-CN"/>
        </w:rPr>
        <w:t>基于三维 GIS 地图，结合定位及监控系统，帮助园区管理者实时掌握园区的总体情况，包括：危化品车辆等人流、物流、车流的精准化监测。结合定位系统，在 GIS 地图上实时掌握园区人数、车数、危化品运输车辆的实时状态、园内主要路段的车流量情况。</w:t>
      </w:r>
      <w:r>
        <w:rPr>
          <w:rFonts w:hint="eastAsia" w:ascii="仿宋" w:hAnsi="仿宋" w:eastAsia="仿宋" w:cs="仿宋"/>
          <w:color w:val="808080"/>
          <w:lang w:eastAsia="zh-CN"/>
        </w:rPr>
        <w:t xml:space="preserve"> </w:t>
      </w:r>
    </w:p>
    <w:p w14:paraId="1249EC9D">
      <w:pPr>
        <w:widowControl/>
        <w:rPr>
          <w:rFonts w:ascii="仿宋" w:hAnsi="仿宋" w:eastAsia="仿宋" w:cs="仿宋"/>
        </w:rPr>
      </w:pPr>
      <w:r>
        <w:rPr>
          <w:rFonts w:hint="eastAsia" w:ascii="仿宋" w:hAnsi="仿宋" w:eastAsia="仿宋" w:cs="仿宋"/>
          <w:b/>
          <w:bCs/>
          <w:lang w:eastAsia="zh-CN"/>
        </w:rPr>
        <w:t xml:space="preserve">5.1.1.4 应急指挥分析决策需求 </w:t>
      </w:r>
    </w:p>
    <w:p w14:paraId="01D186D5">
      <w:pPr>
        <w:widowControl/>
        <w:ind w:firstLine="480" w:firstLineChars="200"/>
        <w:rPr>
          <w:rFonts w:ascii="仿宋" w:hAnsi="仿宋" w:eastAsia="仿宋" w:cs="仿宋"/>
        </w:rPr>
      </w:pPr>
      <w:r>
        <w:rPr>
          <w:rFonts w:hint="eastAsia" w:ascii="仿宋" w:hAnsi="仿宋" w:eastAsia="仿宋" w:cs="仿宋"/>
          <w:lang w:eastAsia="zh-CN"/>
        </w:rPr>
        <w:t xml:space="preserve">平时模式：依据园区应急指挥调度日常工作和应急响应工作业务需求，建设包含日常模式和应急模式的应急一张图。日常模式主要是用于分析、汇聚、展示值班值守、应急资源、事件警情、感知网络等应急值守需要重点关注的数据，并规划日常值守、应急力量、重点关注三个场景专题方便切换不同的值守运营模式。 </w:t>
      </w:r>
    </w:p>
    <w:p w14:paraId="63E4278D">
      <w:pPr>
        <w:widowControl/>
        <w:rPr>
          <w:rFonts w:ascii="仿宋" w:hAnsi="仿宋" w:eastAsia="仿宋" w:cs="仿宋"/>
        </w:rPr>
      </w:pPr>
      <w:r>
        <w:rPr>
          <w:rFonts w:hint="eastAsia" w:ascii="仿宋" w:hAnsi="仿宋" w:eastAsia="仿宋" w:cs="仿宋"/>
          <w:lang w:eastAsia="zh-CN"/>
        </w:rPr>
        <w:t xml:space="preserve">战时模式：主要在发生突发事件后能够快速分析研判、关联预案启动应急响应、提供多种模型进行智能辅助决策、指挥调度。 </w:t>
      </w:r>
    </w:p>
    <w:p w14:paraId="52F88DBB">
      <w:pPr>
        <w:widowControl/>
        <w:rPr>
          <w:rFonts w:ascii="仿宋" w:hAnsi="仿宋" w:eastAsia="仿宋" w:cs="仿宋"/>
        </w:rPr>
      </w:pPr>
      <w:r>
        <w:rPr>
          <w:rFonts w:hint="eastAsia" w:ascii="仿宋" w:hAnsi="仿宋" w:eastAsia="仿宋" w:cs="仿宋"/>
          <w:b/>
          <w:bCs/>
          <w:lang w:eastAsia="zh-CN"/>
        </w:rPr>
        <w:t xml:space="preserve">5.1.1.5 生态环保分析决策需求 </w:t>
      </w:r>
    </w:p>
    <w:p w14:paraId="2951B825">
      <w:pPr>
        <w:widowControl/>
        <w:ind w:firstLine="480" w:firstLineChars="200"/>
        <w:rPr>
          <w:rFonts w:ascii="仿宋" w:hAnsi="仿宋" w:eastAsia="仿宋" w:cs="仿宋"/>
        </w:rPr>
      </w:pPr>
      <w:r>
        <w:rPr>
          <w:rFonts w:hint="eastAsia" w:ascii="仿宋" w:hAnsi="仿宋" w:eastAsia="仿宋" w:cs="仿宋"/>
          <w:lang w:eastAsia="zh-CN"/>
        </w:rPr>
        <w:t xml:space="preserve">依据园区环保业务需求，通过数据分析模型实现园区环保机构、企业环境评价、环保报警、空气质量、水环境质量、污染源监测等信息的展示和统计分析。基于 GIS 地图和依托园区平台的实时数据接入能力，将大气环境、废气监测、废水监测等传感器直观地展示在地图上，对园区的生产环境进行全方位管控。 </w:t>
      </w:r>
    </w:p>
    <w:p w14:paraId="79818450">
      <w:pPr>
        <w:widowControl/>
        <w:rPr>
          <w:rFonts w:ascii="仿宋" w:hAnsi="仿宋" w:eastAsia="仿宋" w:cs="仿宋"/>
        </w:rPr>
      </w:pPr>
      <w:r>
        <w:rPr>
          <w:rFonts w:hint="eastAsia" w:ascii="仿宋" w:hAnsi="仿宋" w:eastAsia="仿宋" w:cs="仿宋"/>
          <w:b/>
          <w:bCs/>
          <w:lang w:eastAsia="zh-CN"/>
        </w:rPr>
        <w:t xml:space="preserve">5.1.1.6 智慧消防监测分析决策需求 </w:t>
      </w:r>
    </w:p>
    <w:p w14:paraId="3E8DEC5C">
      <w:pPr>
        <w:widowControl/>
        <w:ind w:firstLine="480" w:firstLineChars="200"/>
        <w:rPr>
          <w:rFonts w:ascii="仿宋" w:hAnsi="仿宋" w:eastAsia="仿宋" w:cs="仿宋"/>
        </w:rPr>
      </w:pPr>
      <w:r>
        <w:rPr>
          <w:rFonts w:hint="eastAsia" w:ascii="仿宋" w:hAnsi="仿宋" w:eastAsia="仿宋" w:cs="仿宋"/>
          <w:lang w:eastAsia="zh-CN"/>
        </w:rPr>
        <w:t xml:space="preserve">基于二、三维 GIS 地图，通过一张图展现园区的消防主机、消防设备（消防栓、泡沫站、灭火器材等）烟感温感传感器等前端监测设备的状态、数据、运行情况。地图放大后，显示各类设备的点位信息，通过点击设备的图标，能显示详细的信息，包括运行详细情况、数据、维护人的通讯方式。支持设置各级预警推送触发机制，以短信、录音通知、APP 任务等方式推送至相关人员。通过绑定的通信终端，可以实现一键呼叫的功能；同时可以通过选取周边的摄像头，查看某个区域的实时的影像信息，直观地查看当时的情况。通过联动展示，在地图左右两边，展示图层主题的分析图表。如类型总数量统计、火灾告警统计、预警信息统计、消防告警对比、消防告警处置统计等，并关联视频监控信息、传感器监测数据信息等。 </w:t>
      </w:r>
    </w:p>
    <w:p w14:paraId="6DB298DE">
      <w:pPr>
        <w:widowControl/>
        <w:rPr>
          <w:rFonts w:ascii="仿宋" w:hAnsi="仿宋" w:eastAsia="仿宋" w:cs="仿宋"/>
          <w:b/>
          <w:bCs/>
        </w:rPr>
      </w:pPr>
      <w:r>
        <w:rPr>
          <w:rFonts w:hint="eastAsia" w:ascii="仿宋" w:hAnsi="仿宋" w:eastAsia="仿宋" w:cs="仿宋"/>
          <w:b/>
          <w:bCs/>
          <w:lang w:eastAsia="zh-CN"/>
        </w:rPr>
        <w:t xml:space="preserve">5.1.2安全基础信息管理需求 </w:t>
      </w:r>
    </w:p>
    <w:p w14:paraId="22E75F08">
      <w:pPr>
        <w:widowControl/>
        <w:rPr>
          <w:rFonts w:ascii="仿宋" w:hAnsi="仿宋" w:eastAsia="仿宋" w:cs="仿宋"/>
        </w:rPr>
      </w:pPr>
      <w:r>
        <w:rPr>
          <w:rFonts w:hint="eastAsia" w:ascii="仿宋" w:hAnsi="仿宋" w:eastAsia="仿宋" w:cs="仿宋"/>
          <w:b/>
          <w:bCs/>
          <w:lang w:eastAsia="zh-CN"/>
        </w:rPr>
        <w:t xml:space="preserve">5.1.2.1 园区管理需求 </w:t>
      </w:r>
    </w:p>
    <w:p w14:paraId="666D0444">
      <w:pPr>
        <w:widowControl/>
        <w:ind w:firstLine="480" w:firstLineChars="200"/>
        <w:rPr>
          <w:rFonts w:ascii="仿宋" w:hAnsi="仿宋" w:eastAsia="仿宋" w:cs="仿宋"/>
          <w:lang w:eastAsia="zh-CN"/>
        </w:rPr>
      </w:pPr>
      <w:r>
        <w:rPr>
          <w:rFonts w:hint="eastAsia" w:ascii="仿宋" w:hAnsi="仿宋" w:eastAsia="仿宋" w:cs="仿宋"/>
          <w:lang w:eastAsia="zh-CN"/>
        </w:rPr>
        <w:t>对园区的规划信息进行统一管理，可对规划信息进行增删改查操作。包括规划区域名称、规划内容、规划区域位置等，实现园区规划的档案式管理。</w:t>
      </w:r>
    </w:p>
    <w:p w14:paraId="4744D48D">
      <w:pPr>
        <w:widowControl/>
        <w:rPr>
          <w:rFonts w:ascii="仿宋" w:hAnsi="仿宋" w:eastAsia="仿宋" w:cs="仿宋"/>
        </w:rPr>
      </w:pPr>
      <w:r>
        <w:rPr>
          <w:rFonts w:hint="eastAsia" w:ascii="仿宋" w:hAnsi="仿宋" w:eastAsia="仿宋" w:cs="仿宋"/>
          <w:b/>
          <w:bCs/>
          <w:lang w:eastAsia="zh-CN"/>
        </w:rPr>
        <w:t xml:space="preserve">5.1.2.2 园区安全管理需求 </w:t>
      </w:r>
    </w:p>
    <w:p w14:paraId="40E1C4F2">
      <w:pPr>
        <w:widowControl/>
        <w:ind w:firstLine="480" w:firstLineChars="200"/>
        <w:rPr>
          <w:rFonts w:ascii="仿宋" w:hAnsi="仿宋" w:eastAsia="仿宋" w:cs="仿宋"/>
        </w:rPr>
      </w:pPr>
      <w:r>
        <w:rPr>
          <w:rFonts w:hint="eastAsia" w:ascii="仿宋" w:hAnsi="仿宋" w:eastAsia="仿宋" w:cs="仿宋"/>
          <w:lang w:eastAsia="zh-CN"/>
        </w:rPr>
        <w:t xml:space="preserve">对园区的安全管理体系进行统一管理，可对安全管理体系信息进行增删改查操作。包括体系制度文件名称、兼职部门、发布时间等，实现园区安全管理体系的档案式管理。 </w:t>
      </w:r>
    </w:p>
    <w:p w14:paraId="4644AE49">
      <w:pPr>
        <w:widowControl/>
        <w:rPr>
          <w:rFonts w:ascii="仿宋" w:hAnsi="仿宋" w:eastAsia="仿宋" w:cs="仿宋"/>
        </w:rPr>
      </w:pPr>
      <w:r>
        <w:rPr>
          <w:rFonts w:hint="eastAsia" w:ascii="仿宋" w:hAnsi="仿宋" w:eastAsia="仿宋" w:cs="仿宋"/>
          <w:b/>
          <w:bCs/>
          <w:lang w:eastAsia="zh-CN"/>
        </w:rPr>
        <w:t xml:space="preserve">5.1.2.3 禁限控目录管理需求 </w:t>
      </w:r>
    </w:p>
    <w:p w14:paraId="358AC432">
      <w:pPr>
        <w:widowControl/>
        <w:ind w:firstLine="480" w:firstLineChars="200"/>
        <w:rPr>
          <w:rFonts w:ascii="仿宋" w:hAnsi="仿宋" w:eastAsia="仿宋" w:cs="仿宋"/>
        </w:rPr>
      </w:pPr>
      <w:r>
        <w:rPr>
          <w:rFonts w:hint="eastAsia" w:ascii="仿宋" w:hAnsi="仿宋" w:eastAsia="仿宋" w:cs="仿宋"/>
          <w:lang w:eastAsia="zh-CN"/>
        </w:rPr>
        <w:t xml:space="preserve">对园区的禁限控目录进行统一管理，可对安全管理体系信息进行增删改查操作。包括目录名称、目录类型、禁限控内容描述等，实现园区禁限控目录的档案式管理，在日常管理过程中，依据禁限控目录清单，对园区的相关生产工艺、装置、项目申请进行统一审批管理。 </w:t>
      </w:r>
    </w:p>
    <w:p w14:paraId="24D054C0">
      <w:pPr>
        <w:widowControl/>
        <w:rPr>
          <w:rFonts w:ascii="仿宋" w:hAnsi="仿宋" w:eastAsia="仿宋" w:cs="仿宋"/>
        </w:rPr>
      </w:pPr>
      <w:r>
        <w:rPr>
          <w:rFonts w:hint="eastAsia" w:ascii="仿宋" w:hAnsi="仿宋" w:eastAsia="仿宋" w:cs="仿宋"/>
          <w:b/>
          <w:bCs/>
          <w:lang w:eastAsia="zh-CN"/>
        </w:rPr>
        <w:t xml:space="preserve">5.1.2.4 企业基本信息管理需求 </w:t>
      </w:r>
    </w:p>
    <w:p w14:paraId="6D9C1E82">
      <w:pPr>
        <w:widowControl/>
        <w:ind w:firstLine="480" w:firstLineChars="200"/>
        <w:rPr>
          <w:rFonts w:ascii="仿宋" w:hAnsi="仿宋" w:eastAsia="仿宋" w:cs="仿宋"/>
        </w:rPr>
      </w:pPr>
      <w:r>
        <w:rPr>
          <w:rFonts w:hint="eastAsia" w:ascii="仿宋" w:hAnsi="仿宋" w:eastAsia="仿宋" w:cs="仿宋"/>
          <w:lang w:eastAsia="zh-CN"/>
        </w:rPr>
        <w:t xml:space="preserve">企业基本信息管理维护企业简介、经营范围、工商信息，主要包括企业名称、统一社会信用代码、法定代表人、企业简介、经营范围等信息，并以列表形式进行展示，企业列表包括所有在平台注册的企业信息，可根据企业名称、统一社会信用代码检索企业查看其信息，包括企业名称、所属行业、法定代表人、联系方式、行政区划、登记机关等信息。 </w:t>
      </w:r>
    </w:p>
    <w:p w14:paraId="45C543C7">
      <w:pPr>
        <w:widowControl/>
        <w:rPr>
          <w:rFonts w:ascii="仿宋" w:hAnsi="仿宋" w:eastAsia="仿宋" w:cs="仿宋"/>
        </w:rPr>
      </w:pPr>
      <w:r>
        <w:rPr>
          <w:rFonts w:hint="eastAsia" w:ascii="仿宋" w:hAnsi="仿宋" w:eastAsia="仿宋" w:cs="仿宋"/>
          <w:b/>
          <w:bCs/>
          <w:lang w:eastAsia="zh-CN"/>
        </w:rPr>
        <w:t xml:space="preserve">5.1.2.5 两重点一重大管理需求 </w:t>
      </w:r>
    </w:p>
    <w:p w14:paraId="6496719E">
      <w:pPr>
        <w:widowControl/>
        <w:ind w:firstLine="480" w:firstLineChars="200"/>
        <w:rPr>
          <w:rFonts w:ascii="仿宋" w:hAnsi="仿宋" w:eastAsia="仿宋" w:cs="仿宋"/>
        </w:rPr>
      </w:pPr>
      <w:r>
        <w:rPr>
          <w:rFonts w:hint="eastAsia" w:ascii="仿宋" w:hAnsi="仿宋" w:eastAsia="仿宋" w:cs="仿宋"/>
          <w:lang w:eastAsia="zh-CN"/>
        </w:rPr>
        <w:t xml:space="preserve">1.对企业内制毒、易制毒、易制爆和重点监管化学品进行统一的管理，从而可以关注到企业内涉及的主要危化品，方便后续根据该危化品信息采取针对性的防范措施。对企业内重点危险工艺详细信息进行管理，包含光气及光气化工艺、氯化工艺、合成氨工艺、硝化工艺、电解工艺（氯碱）等共计 18 种重点监管工艺。 </w:t>
      </w:r>
    </w:p>
    <w:p w14:paraId="67FB5186">
      <w:pPr>
        <w:widowControl/>
        <w:ind w:firstLine="480" w:firstLineChars="200"/>
        <w:rPr>
          <w:rFonts w:ascii="仿宋" w:hAnsi="仿宋" w:eastAsia="仿宋" w:cs="仿宋"/>
        </w:rPr>
      </w:pPr>
      <w:r>
        <w:rPr>
          <w:rFonts w:hint="eastAsia" w:ascii="仿宋" w:hAnsi="仿宋" w:eastAsia="仿宋" w:cs="仿宋"/>
          <w:lang w:eastAsia="zh-CN"/>
        </w:rPr>
        <w:t xml:space="preserve">2.可对企业危险源信息进行管理，其中重大危险源是对企业内通GB18218-2018《危险化学品重大危险源辨识》确定为一、二、三、四级的重大危险源详细信息进行管理，包括危险源名称、危险源编号、危险源级别、危险源 R 值、危险源包保责任人、分布区域等信息。 </w:t>
      </w:r>
    </w:p>
    <w:p w14:paraId="0B49F333">
      <w:pPr>
        <w:widowControl/>
        <w:rPr>
          <w:rFonts w:ascii="仿宋" w:hAnsi="仿宋" w:eastAsia="仿宋" w:cs="仿宋"/>
        </w:rPr>
      </w:pPr>
      <w:r>
        <w:rPr>
          <w:rFonts w:hint="eastAsia" w:ascii="仿宋" w:hAnsi="仿宋" w:eastAsia="仿宋" w:cs="仿宋"/>
          <w:b/>
          <w:bCs/>
          <w:lang w:eastAsia="zh-CN"/>
        </w:rPr>
        <w:t xml:space="preserve">5.1.2.6 从业人员管理需求 </w:t>
      </w:r>
    </w:p>
    <w:p w14:paraId="52874243">
      <w:pPr>
        <w:widowControl/>
        <w:ind w:firstLine="480" w:firstLineChars="200"/>
        <w:rPr>
          <w:rFonts w:ascii="仿宋" w:hAnsi="仿宋" w:eastAsia="仿宋" w:cs="仿宋"/>
        </w:rPr>
      </w:pPr>
      <w:r>
        <w:rPr>
          <w:rFonts w:hint="eastAsia" w:ascii="仿宋" w:hAnsi="仿宋" w:eastAsia="仿宋" w:cs="仿宋"/>
          <w:lang w:eastAsia="zh-CN"/>
        </w:rPr>
        <w:t>对企业的安全联系人、安全管理人员、安全生产负责人、从业人员、特殊作业人员的人员情况进行管理，支持模板导入与下载。</w:t>
      </w:r>
    </w:p>
    <w:p w14:paraId="067E93D3">
      <w:pPr>
        <w:widowControl/>
        <w:rPr>
          <w:rFonts w:ascii="仿宋" w:hAnsi="仿宋" w:eastAsia="仿宋" w:cs="仿宋"/>
        </w:rPr>
      </w:pPr>
      <w:r>
        <w:rPr>
          <w:rFonts w:hint="eastAsia" w:ascii="仿宋" w:hAnsi="仿宋" w:eastAsia="仿宋" w:cs="仿宋"/>
          <w:b/>
          <w:bCs/>
          <w:lang w:eastAsia="zh-CN"/>
        </w:rPr>
        <w:t xml:space="preserve">5.1.2.7 值班值守管理需求 </w:t>
      </w:r>
    </w:p>
    <w:p w14:paraId="5980A893">
      <w:pPr>
        <w:widowControl/>
        <w:ind w:firstLine="480" w:firstLineChars="200"/>
        <w:rPr>
          <w:rFonts w:ascii="仿宋" w:hAnsi="仿宋" w:eastAsia="仿宋" w:cs="仿宋"/>
        </w:rPr>
      </w:pPr>
      <w:r>
        <w:rPr>
          <w:rFonts w:hint="eastAsia" w:ascii="仿宋" w:hAnsi="仿宋" w:eastAsia="仿宋" w:cs="仿宋"/>
          <w:lang w:eastAsia="zh-CN"/>
        </w:rPr>
        <w:t xml:space="preserve">根据应急管理局对值班人员的安排情况，实现对参与值班人员基本信息、值班人员类型（值班领导、值班人员）值班班次等进行管理，为值班表的生成提供数据支持。值班表信息维护好后，将生成值班值守日历，可以通过日历的形式查看每天的值班情况，在日历图上可看到值班领导，值班人员信息等相关详细信息。 </w:t>
      </w:r>
    </w:p>
    <w:p w14:paraId="09494A8E">
      <w:pPr>
        <w:widowControl/>
        <w:rPr>
          <w:rFonts w:ascii="仿宋" w:hAnsi="仿宋" w:eastAsia="仿宋" w:cs="仿宋"/>
        </w:rPr>
      </w:pPr>
      <w:r>
        <w:rPr>
          <w:rFonts w:hint="eastAsia" w:ascii="仿宋" w:hAnsi="仿宋" w:eastAsia="仿宋" w:cs="仿宋"/>
          <w:b/>
          <w:bCs/>
          <w:lang w:eastAsia="zh-CN"/>
        </w:rPr>
        <w:t xml:space="preserve">5.1.2.8 企业事故信息管理需求 </w:t>
      </w:r>
    </w:p>
    <w:p w14:paraId="2CCE4992">
      <w:pPr>
        <w:widowControl/>
        <w:ind w:firstLine="480" w:firstLineChars="200"/>
        <w:rPr>
          <w:rFonts w:ascii="仿宋" w:hAnsi="仿宋" w:eastAsia="仿宋" w:cs="仿宋"/>
        </w:rPr>
      </w:pPr>
      <w:r>
        <w:rPr>
          <w:rFonts w:hint="eastAsia" w:ascii="仿宋" w:hAnsi="仿宋" w:eastAsia="仿宋" w:cs="仿宋"/>
          <w:lang w:eastAsia="zh-CN"/>
        </w:rPr>
        <w:t xml:space="preserve">对企业的事故信息进行统一管理，可对事故信息进行增删改查操作。包括事故名称、事故位置、事故发生时间、事故类型、事故影响情况、事故发生原因、事故处置情况等，实现企业事故信息的档案式管理。 </w:t>
      </w:r>
    </w:p>
    <w:p w14:paraId="26716D58">
      <w:pPr>
        <w:widowControl/>
        <w:rPr>
          <w:rFonts w:ascii="仿宋" w:hAnsi="仿宋" w:eastAsia="仿宋" w:cs="仿宋"/>
        </w:rPr>
      </w:pPr>
      <w:r>
        <w:rPr>
          <w:rFonts w:hint="eastAsia" w:ascii="仿宋" w:hAnsi="仿宋" w:eastAsia="仿宋" w:cs="仿宋"/>
          <w:b/>
          <w:bCs/>
          <w:lang w:eastAsia="zh-CN"/>
        </w:rPr>
        <w:t xml:space="preserve">5.1.2.9 安全生产行政许可管理需求 </w:t>
      </w:r>
    </w:p>
    <w:p w14:paraId="2333BA89">
      <w:pPr>
        <w:widowControl/>
        <w:ind w:firstLine="480" w:firstLineChars="200"/>
        <w:rPr>
          <w:rFonts w:ascii="仿宋" w:hAnsi="仿宋" w:eastAsia="仿宋" w:cs="仿宋"/>
        </w:rPr>
      </w:pPr>
      <w:r>
        <w:rPr>
          <w:rFonts w:hint="eastAsia" w:ascii="仿宋" w:hAnsi="仿宋" w:eastAsia="仿宋" w:cs="仿宋"/>
          <w:lang w:eastAsia="zh-CN"/>
        </w:rPr>
        <w:t xml:space="preserve">1.安全生产行政许可管理：园区企业备案“三同时”和安全生产行政许可相关信息，信息内容包括：许可证名称、发证机关、发证日期、有效期、是否有效等信息。园区端可统一管理、查看辖区内企业的安全生产行政许可信息。 </w:t>
      </w:r>
    </w:p>
    <w:p w14:paraId="40CA635F">
      <w:pPr>
        <w:widowControl/>
        <w:ind w:firstLine="480" w:firstLineChars="200"/>
        <w:rPr>
          <w:rFonts w:ascii="仿宋" w:hAnsi="仿宋" w:eastAsia="仿宋" w:cs="仿宋"/>
        </w:rPr>
      </w:pPr>
      <w:r>
        <w:rPr>
          <w:rFonts w:hint="eastAsia" w:ascii="仿宋" w:hAnsi="仿宋" w:eastAsia="仿宋" w:cs="仿宋"/>
          <w:lang w:eastAsia="zh-CN"/>
        </w:rPr>
        <w:t xml:space="preserve">2.安全生产行政许可到期提醒：园区企业的安全生产行政许可到期前 3 个月，短信提醒园区管理人员及企业相关人员办理安全生产行政许可延期事宜。 </w:t>
      </w:r>
    </w:p>
    <w:p w14:paraId="28159913">
      <w:pPr>
        <w:widowControl/>
        <w:ind w:firstLine="480" w:firstLineChars="200"/>
        <w:rPr>
          <w:rFonts w:ascii="仿宋" w:hAnsi="仿宋" w:eastAsia="仿宋" w:cs="仿宋"/>
        </w:rPr>
      </w:pPr>
      <w:r>
        <w:rPr>
          <w:rFonts w:hint="eastAsia" w:ascii="仿宋" w:hAnsi="仿宋" w:eastAsia="仿宋" w:cs="仿宋"/>
          <w:lang w:eastAsia="zh-CN"/>
        </w:rPr>
        <w:t xml:space="preserve">3.安全生产行政许可统计分析：支持园区内企业的安全生产行政许可的查询，以及安全生产行政许可数据的多维度统计分析和可视化展示等。 </w:t>
      </w:r>
    </w:p>
    <w:p w14:paraId="073AC5C4">
      <w:pPr>
        <w:widowControl/>
        <w:rPr>
          <w:rFonts w:ascii="仿宋" w:hAnsi="仿宋" w:eastAsia="仿宋" w:cs="仿宋"/>
        </w:rPr>
      </w:pPr>
      <w:r>
        <w:rPr>
          <w:rFonts w:hint="eastAsia" w:ascii="仿宋" w:hAnsi="仿宋" w:eastAsia="仿宋" w:cs="仿宋"/>
          <w:b/>
          <w:bCs/>
          <w:lang w:eastAsia="zh-CN"/>
        </w:rPr>
        <w:t xml:space="preserve">5.1.2.10 装置开停车和大检修管理需求 </w:t>
      </w:r>
    </w:p>
    <w:p w14:paraId="6655EFE4">
      <w:pPr>
        <w:widowControl/>
        <w:ind w:firstLine="480" w:firstLineChars="200"/>
        <w:rPr>
          <w:rFonts w:ascii="仿宋" w:hAnsi="仿宋" w:eastAsia="仿宋" w:cs="仿宋"/>
        </w:rPr>
      </w:pPr>
      <w:r>
        <w:rPr>
          <w:rFonts w:hint="eastAsia" w:ascii="仿宋" w:hAnsi="仿宋" w:eastAsia="仿宋" w:cs="仿宋"/>
          <w:lang w:eastAsia="zh-CN"/>
        </w:rPr>
        <w:t xml:space="preserve">可对园区内企业装置设施（含重大危险源）开停车和大检修情况进行线上备案，备案内容包含装置开停车方案和时间、大检修方案和时间等。备案后，可查询、筛选园区备案情况。 </w:t>
      </w:r>
    </w:p>
    <w:p w14:paraId="1D6B2C62">
      <w:pPr>
        <w:widowControl/>
        <w:rPr>
          <w:rFonts w:ascii="仿宋" w:hAnsi="仿宋" w:eastAsia="仿宋" w:cs="仿宋"/>
        </w:rPr>
      </w:pPr>
      <w:r>
        <w:rPr>
          <w:rFonts w:hint="eastAsia" w:ascii="仿宋" w:hAnsi="仿宋" w:eastAsia="仿宋" w:cs="仿宋"/>
          <w:b/>
          <w:bCs/>
          <w:lang w:eastAsia="zh-CN"/>
        </w:rPr>
        <w:t xml:space="preserve">5.1.2.11 第三方单位管理需求 </w:t>
      </w:r>
    </w:p>
    <w:p w14:paraId="3E97C86B">
      <w:pPr>
        <w:widowControl/>
        <w:ind w:firstLine="480" w:firstLineChars="200"/>
        <w:rPr>
          <w:rFonts w:ascii="仿宋" w:hAnsi="仿宋" w:eastAsia="仿宋" w:cs="仿宋"/>
        </w:rPr>
      </w:pPr>
      <w:r>
        <w:rPr>
          <w:rFonts w:hint="eastAsia" w:ascii="仿宋" w:hAnsi="仿宋" w:eastAsia="仿宋" w:cs="仿宋"/>
          <w:lang w:eastAsia="zh-CN"/>
        </w:rPr>
        <w:t>建立入园/驻园第三方单位信息库，包括但不限于第三方单位基本信息、资质、安全教育培训记录、服务记录、违规记录等，实现第三方单位诚信管理。支持信息维护、核验，诚信评价规则的在线配置，以及园区企业对有关信息的自主填报。</w:t>
      </w:r>
      <w:r>
        <w:rPr>
          <w:rFonts w:hint="eastAsia" w:ascii="仿宋" w:hAnsi="仿宋" w:eastAsia="仿宋" w:cs="仿宋"/>
          <w:color w:val="808080"/>
          <w:lang w:eastAsia="zh-CN"/>
        </w:rPr>
        <w:t xml:space="preserve"> </w:t>
      </w:r>
    </w:p>
    <w:p w14:paraId="7A4D96CD">
      <w:pPr>
        <w:widowControl/>
        <w:rPr>
          <w:rFonts w:ascii="仿宋" w:hAnsi="仿宋" w:eastAsia="仿宋" w:cs="仿宋"/>
        </w:rPr>
      </w:pPr>
      <w:r>
        <w:rPr>
          <w:rFonts w:hint="eastAsia" w:ascii="仿宋" w:hAnsi="仿宋" w:eastAsia="仿宋" w:cs="仿宋"/>
          <w:b/>
          <w:bCs/>
          <w:lang w:eastAsia="zh-CN"/>
        </w:rPr>
        <w:t xml:space="preserve">5.1.2.12 执法管理需求 </w:t>
      </w:r>
    </w:p>
    <w:p w14:paraId="529B3FD6">
      <w:pPr>
        <w:widowControl/>
        <w:ind w:firstLine="480" w:firstLineChars="200"/>
        <w:rPr>
          <w:rFonts w:ascii="仿宋" w:hAnsi="仿宋" w:eastAsia="仿宋" w:cs="仿宋"/>
        </w:rPr>
      </w:pPr>
      <w:r>
        <w:rPr>
          <w:rFonts w:hint="eastAsia" w:ascii="仿宋" w:hAnsi="仿宋" w:eastAsia="仿宋" w:cs="仿宋"/>
          <w:lang w:eastAsia="zh-CN"/>
        </w:rPr>
        <w:t xml:space="preserve">1.执法计划管理：可以根据实际需求生成执法计划，记录执法内容，支持文字、视频、图片记录执法内容。 </w:t>
      </w:r>
    </w:p>
    <w:p w14:paraId="7C1CF0E0">
      <w:pPr>
        <w:widowControl/>
        <w:ind w:firstLine="480" w:firstLineChars="200"/>
        <w:rPr>
          <w:rFonts w:ascii="仿宋" w:hAnsi="仿宋" w:eastAsia="仿宋" w:cs="仿宋"/>
        </w:rPr>
      </w:pPr>
      <w:r>
        <w:rPr>
          <w:rFonts w:hint="eastAsia" w:ascii="仿宋" w:hAnsi="仿宋" w:eastAsia="仿宋" w:cs="仿宋"/>
          <w:lang w:eastAsia="zh-CN"/>
        </w:rPr>
        <w:t xml:space="preserve">2.执法文书管理：根据执法情况生成并下发执法文书，跟踪企业整改，能够执法留痕，归档，实现闭环管理。 </w:t>
      </w:r>
    </w:p>
    <w:p w14:paraId="1358EE45">
      <w:pPr>
        <w:widowControl/>
        <w:ind w:firstLine="480" w:firstLineChars="200"/>
      </w:pPr>
      <w:r>
        <w:rPr>
          <w:rFonts w:hint="eastAsia" w:ascii="仿宋" w:hAnsi="仿宋" w:eastAsia="仿宋" w:cs="仿宋"/>
          <w:lang w:eastAsia="zh-CN"/>
        </w:rPr>
        <w:t xml:space="preserve">3.整改记录跟踪：系统将跟踪下发的执法文书，持续跟进企业的违规整改记录，督促企业对违规行为进行闭环。 </w:t>
      </w:r>
    </w:p>
    <w:p w14:paraId="5804CB9C">
      <w:pPr>
        <w:widowControl/>
        <w:rPr>
          <w:rFonts w:ascii="仿宋" w:hAnsi="仿宋" w:eastAsia="仿宋" w:cs="仿宋"/>
          <w:b/>
          <w:bCs/>
        </w:rPr>
      </w:pPr>
      <w:r>
        <w:rPr>
          <w:rFonts w:hint="eastAsia" w:ascii="仿宋" w:hAnsi="仿宋" w:eastAsia="仿宋" w:cs="仿宋"/>
          <w:b/>
          <w:bCs/>
          <w:lang w:eastAsia="zh-CN"/>
        </w:rPr>
        <w:t xml:space="preserve">5.1.3 重大危险源安全管理需求 </w:t>
      </w:r>
    </w:p>
    <w:p w14:paraId="7093E49B">
      <w:pPr>
        <w:widowControl/>
        <w:rPr>
          <w:rFonts w:ascii="仿宋" w:hAnsi="仿宋" w:eastAsia="仿宋" w:cs="仿宋"/>
        </w:rPr>
      </w:pPr>
      <w:r>
        <w:rPr>
          <w:rFonts w:hint="eastAsia" w:ascii="仿宋" w:hAnsi="仿宋" w:eastAsia="仿宋" w:cs="仿宋"/>
          <w:b/>
          <w:bCs/>
          <w:lang w:eastAsia="zh-CN"/>
        </w:rPr>
        <w:t xml:space="preserve">5.1.3.1 重大危险源的安全包保责任落实监督需求 </w:t>
      </w:r>
    </w:p>
    <w:p w14:paraId="6A742A61">
      <w:pPr>
        <w:widowControl/>
        <w:ind w:firstLine="480" w:firstLineChars="200"/>
        <w:rPr>
          <w:rFonts w:ascii="仿宋" w:hAnsi="仿宋" w:eastAsia="仿宋" w:cs="仿宋"/>
        </w:rPr>
      </w:pPr>
      <w:r>
        <w:rPr>
          <w:rFonts w:hint="eastAsia" w:ascii="仿宋" w:hAnsi="仿宋" w:eastAsia="仿宋" w:cs="仿宋"/>
          <w:lang w:eastAsia="zh-CN"/>
        </w:rPr>
        <w:t xml:space="preserve">重大危险源包保责任制信息管理：实现重大危险源安全包保责任人、履职记录电子化、条目化信息管理，管理企业每一处重大危险源包保责任落实情况，支持维护重大危险源主要负责人、技术负责人和操作负责人信息。 </w:t>
      </w:r>
    </w:p>
    <w:p w14:paraId="3160CB7E">
      <w:pPr>
        <w:widowControl/>
        <w:ind w:firstLine="480" w:firstLineChars="200"/>
        <w:rPr>
          <w:rFonts w:ascii="仿宋" w:hAnsi="仿宋" w:eastAsia="仿宋" w:cs="仿宋"/>
        </w:rPr>
      </w:pPr>
      <w:r>
        <w:rPr>
          <w:rFonts w:hint="eastAsia" w:ascii="仿宋" w:hAnsi="仿宋" w:eastAsia="仿宋" w:cs="仿宋"/>
          <w:lang w:eastAsia="zh-CN"/>
        </w:rPr>
        <w:t>包保责任人履职情况管理：根据国家政策要求，明确三级包保责任人的职责情况，根据包保责任人填报的履职记录，结合企业工作开展情况、实际的巡查情况，线上线下相结合，对三级包保责任人安全包保履职情况进行评价，并根据评价情况，要求相关企业人员进行整改落实，更新履职情况后再次核实确认。</w:t>
      </w:r>
      <w:r>
        <w:rPr>
          <w:rFonts w:hint="eastAsia" w:ascii="仿宋" w:hAnsi="仿宋" w:eastAsia="仿宋" w:cs="仿宋"/>
          <w:color w:val="808080"/>
          <w:lang w:eastAsia="zh-CN"/>
        </w:rPr>
        <w:t xml:space="preserve"> </w:t>
      </w:r>
    </w:p>
    <w:p w14:paraId="06DD636D">
      <w:pPr>
        <w:widowControl/>
        <w:rPr>
          <w:rFonts w:ascii="仿宋" w:hAnsi="仿宋" w:eastAsia="仿宋" w:cs="仿宋"/>
        </w:rPr>
      </w:pPr>
      <w:r>
        <w:rPr>
          <w:rFonts w:hint="eastAsia" w:ascii="仿宋" w:hAnsi="仿宋" w:eastAsia="仿宋" w:cs="仿宋"/>
          <w:b/>
          <w:bCs/>
          <w:lang w:eastAsia="zh-CN"/>
        </w:rPr>
        <w:t xml:space="preserve">5.1.3.2 在线监测预警需求 </w:t>
      </w:r>
    </w:p>
    <w:p w14:paraId="0E1E9D4A">
      <w:pPr>
        <w:widowControl/>
        <w:ind w:firstLine="480" w:firstLineChars="200"/>
        <w:rPr>
          <w:rFonts w:ascii="仿宋" w:hAnsi="仿宋" w:eastAsia="仿宋" w:cs="仿宋"/>
        </w:rPr>
      </w:pPr>
      <w:r>
        <w:rPr>
          <w:rFonts w:hint="eastAsia" w:ascii="仿宋" w:hAnsi="仿宋" w:eastAsia="仿宋" w:cs="仿宋"/>
          <w:lang w:eastAsia="zh-CN"/>
        </w:rPr>
        <w:t xml:space="preserve">实时监测与抽查：汇聚现有重大危险源监测监控数据，实现对重大危险源安全在线抽查，支持基于 GIS 地图的重大危险源浏览，查看储罐、装置、危险化学品库等处的液位、温度、压力和可燃有毒气体浓度的实时监测数据、报警数据，查询历史数据和对比分析。 </w:t>
      </w:r>
    </w:p>
    <w:p w14:paraId="338618F0">
      <w:pPr>
        <w:widowControl/>
        <w:ind w:firstLine="480" w:firstLineChars="200"/>
        <w:rPr>
          <w:rFonts w:ascii="仿宋" w:hAnsi="仿宋" w:eastAsia="仿宋" w:cs="仿宋"/>
        </w:rPr>
      </w:pPr>
      <w:r>
        <w:rPr>
          <w:rFonts w:hint="eastAsia" w:ascii="仿宋" w:hAnsi="仿宋" w:eastAsia="仿宋" w:cs="仿宋"/>
          <w:lang w:eastAsia="zh-CN"/>
        </w:rPr>
        <w:t>视频监控数据智能分析：汇聚视频监控画面信息，实现硝酸铵仓库、中控室、重大危险源现场等重点部位的监控视频智能分析，支持实现火灾、烟雾、人员违章（中控室脱岗）等进行全方位的识别和预警。</w:t>
      </w:r>
    </w:p>
    <w:p w14:paraId="5D4D54FD">
      <w:pPr>
        <w:widowControl/>
        <w:rPr>
          <w:rFonts w:ascii="仿宋" w:hAnsi="仿宋" w:eastAsia="仿宋" w:cs="仿宋"/>
        </w:rPr>
      </w:pPr>
      <w:r>
        <w:rPr>
          <w:rFonts w:hint="eastAsia" w:ascii="仿宋" w:hAnsi="仿宋" w:eastAsia="仿宋" w:cs="仿宋"/>
          <w:b/>
          <w:bCs/>
          <w:lang w:eastAsia="zh-CN"/>
        </w:rPr>
        <w:t xml:space="preserve">5.1.3.3 重大风险管控需求 </w:t>
      </w:r>
    </w:p>
    <w:p w14:paraId="6A66D238">
      <w:pPr>
        <w:widowControl/>
        <w:ind w:firstLine="480" w:firstLineChars="200"/>
        <w:rPr>
          <w:rFonts w:ascii="仿宋" w:hAnsi="仿宋" w:eastAsia="仿宋" w:cs="仿宋"/>
        </w:rPr>
      </w:pPr>
      <w:r>
        <w:rPr>
          <w:rFonts w:hint="eastAsia" w:ascii="仿宋" w:hAnsi="仿宋" w:eastAsia="仿宋" w:cs="仿宋"/>
          <w:lang w:eastAsia="zh-CN"/>
        </w:rPr>
        <w:t>基于风险预警模型，分为重大风险（红）较大风险（橙）一般风险（黄）低风险（蓝）四个级别，实现重大危险源安全风险的实时评估分析和展示，支持根据预警级别，按照《危险化学品安全生产风险监测预警系统预警信息处置管理办法（试行）》，即时自动完成预警信息的发送、核查、反馈和督办。</w:t>
      </w:r>
    </w:p>
    <w:p w14:paraId="27AF2A34">
      <w:pPr>
        <w:widowControl/>
        <w:rPr>
          <w:rFonts w:ascii="仿宋" w:hAnsi="仿宋" w:eastAsia="仿宋" w:cs="仿宋"/>
        </w:rPr>
      </w:pPr>
      <w:r>
        <w:rPr>
          <w:rFonts w:hint="eastAsia" w:ascii="仿宋" w:hAnsi="仿宋" w:eastAsia="仿宋" w:cs="仿宋"/>
          <w:b/>
          <w:bCs/>
          <w:lang w:eastAsia="zh-CN"/>
        </w:rPr>
        <w:t xml:space="preserve">5.1.3.4 评价/评估报告管理及隐患管理需求 </w:t>
      </w:r>
    </w:p>
    <w:p w14:paraId="0349B514">
      <w:pPr>
        <w:widowControl/>
        <w:ind w:firstLine="480" w:firstLineChars="200"/>
        <w:rPr>
          <w:rFonts w:ascii="仿宋" w:hAnsi="仿宋" w:eastAsia="仿宋" w:cs="仿宋"/>
        </w:rPr>
      </w:pPr>
      <w:r>
        <w:rPr>
          <w:rFonts w:hint="eastAsia" w:ascii="仿宋" w:hAnsi="仿宋" w:eastAsia="仿宋" w:cs="仿宋"/>
          <w:lang w:eastAsia="zh-CN"/>
        </w:rPr>
        <w:t xml:space="preserve">汇聚重大危险源的安全评价报告、SIL 等级评估报告和重大危险源专项督导检查问题隐患相关数据，实现重大危险源的安全评价报告电子化备案、查阅和问题隐患“三录入”、整改反馈，支持精确和模糊查询、多维度统计分析及可视化展示。 </w:t>
      </w:r>
    </w:p>
    <w:p w14:paraId="1DFB9B26">
      <w:pPr>
        <w:widowControl/>
        <w:rPr>
          <w:rFonts w:ascii="仿宋" w:hAnsi="仿宋" w:eastAsia="仿宋" w:cs="仿宋"/>
        </w:rPr>
      </w:pPr>
      <w:r>
        <w:rPr>
          <w:rFonts w:hint="eastAsia" w:ascii="仿宋" w:hAnsi="仿宋" w:eastAsia="仿宋" w:cs="仿宋"/>
          <w:b/>
          <w:bCs/>
          <w:lang w:eastAsia="zh-CN"/>
        </w:rPr>
        <w:t xml:space="preserve">5.1.3.5 重大危险源企业分类监督需求 </w:t>
      </w:r>
    </w:p>
    <w:p w14:paraId="20432EB6">
      <w:pPr>
        <w:widowControl/>
        <w:ind w:firstLine="480" w:firstLineChars="200"/>
      </w:pPr>
      <w:r>
        <w:rPr>
          <w:rFonts w:hint="eastAsia" w:ascii="仿宋" w:hAnsi="仿宋" w:eastAsia="仿宋" w:cs="仿宋"/>
          <w:lang w:eastAsia="zh-CN"/>
        </w:rPr>
        <w:t xml:space="preserve">贯通安全承诺公告、实时监测数据、安全包保责任人履职、“三录入”、评价/评估报告，基于危险化学品重大危险源企业安全管理现状综合评价体系，分为特别管控、重点关注和一般监管三类，实现对危险化学品重大危险源企业分类精准监管，支持基于 GIS 地图分类标注、多维度统计分析及可视化展示。 </w:t>
      </w:r>
    </w:p>
    <w:p w14:paraId="26B7EDB6">
      <w:pPr>
        <w:widowControl/>
        <w:rPr>
          <w:rFonts w:ascii="仿宋" w:hAnsi="仿宋" w:eastAsia="仿宋" w:cs="仿宋"/>
          <w:b/>
          <w:bCs/>
        </w:rPr>
      </w:pPr>
      <w:r>
        <w:rPr>
          <w:rFonts w:hint="eastAsia" w:ascii="仿宋" w:hAnsi="仿宋" w:eastAsia="仿宋" w:cs="仿宋"/>
          <w:b/>
          <w:bCs/>
          <w:lang w:eastAsia="zh-CN"/>
        </w:rPr>
        <w:t xml:space="preserve">5.1.4双重预防机制管理需求 </w:t>
      </w:r>
    </w:p>
    <w:p w14:paraId="4500D534">
      <w:pPr>
        <w:widowControl/>
        <w:rPr>
          <w:rFonts w:ascii="仿宋" w:hAnsi="仿宋" w:eastAsia="仿宋" w:cs="仿宋"/>
        </w:rPr>
      </w:pPr>
      <w:r>
        <w:rPr>
          <w:rFonts w:hint="eastAsia" w:ascii="仿宋" w:hAnsi="仿宋" w:eastAsia="仿宋" w:cs="仿宋"/>
          <w:b/>
          <w:bCs/>
          <w:lang w:eastAsia="zh-CN"/>
        </w:rPr>
        <w:t xml:space="preserve">5.1.5.1 企业双重预防机制信息系统对接需求 </w:t>
      </w:r>
    </w:p>
    <w:p w14:paraId="3855B198">
      <w:pPr>
        <w:widowControl/>
        <w:ind w:firstLine="480" w:firstLineChars="200"/>
        <w:rPr>
          <w:rFonts w:ascii="仿宋" w:hAnsi="仿宋" w:eastAsia="仿宋" w:cs="仿宋"/>
        </w:rPr>
      </w:pPr>
      <w:r>
        <w:rPr>
          <w:rFonts w:hint="eastAsia" w:ascii="仿宋" w:hAnsi="仿宋" w:eastAsia="仿宋" w:cs="仿宋"/>
          <w:lang w:eastAsia="zh-CN"/>
        </w:rPr>
        <w:t xml:space="preserve">对接企业端双重预防机制信息系统，查看企业生产装置/罐区、风险事件数量、隐患数量等基本信息，并可查询企业风险分级管控清单和隐患排查清单。通过掌握企业端风险、隐患数据，可实时掌握企业每日安全风险情况，对企业提出整改整治要求。 </w:t>
      </w:r>
    </w:p>
    <w:p w14:paraId="601873F1">
      <w:pPr>
        <w:widowControl/>
        <w:rPr>
          <w:rFonts w:ascii="仿宋" w:hAnsi="仿宋" w:eastAsia="仿宋" w:cs="仿宋"/>
        </w:rPr>
      </w:pPr>
      <w:r>
        <w:rPr>
          <w:rFonts w:hint="eastAsia" w:ascii="仿宋" w:hAnsi="仿宋" w:eastAsia="仿宋" w:cs="仿宋"/>
          <w:b/>
          <w:bCs/>
          <w:lang w:eastAsia="zh-CN"/>
        </w:rPr>
        <w:t xml:space="preserve">5.1.5.2 隐患整改情况督办提醒需求 </w:t>
      </w:r>
    </w:p>
    <w:p w14:paraId="6D4FED08">
      <w:pPr>
        <w:widowControl/>
        <w:ind w:firstLine="480" w:firstLineChars="200"/>
        <w:rPr>
          <w:rFonts w:ascii="仿宋" w:hAnsi="仿宋" w:eastAsia="仿宋" w:cs="仿宋"/>
        </w:rPr>
      </w:pPr>
      <w:r>
        <w:rPr>
          <w:rFonts w:hint="eastAsia" w:ascii="仿宋" w:hAnsi="仿宋" w:eastAsia="仿宋" w:cs="仿宋"/>
          <w:lang w:eastAsia="zh-CN"/>
        </w:rPr>
        <w:t xml:space="preserve">实现对重大隐患线上督办、整改临期提醒及一般隐患超期警示功能，支持线上下发督办通知书、通过短信向有关人员发送提醒警示信息等功能，确保实现隐患闭环处置。 </w:t>
      </w:r>
    </w:p>
    <w:p w14:paraId="5823957E">
      <w:pPr>
        <w:widowControl/>
        <w:rPr>
          <w:rFonts w:ascii="仿宋" w:hAnsi="仿宋" w:eastAsia="仿宋" w:cs="仿宋"/>
        </w:rPr>
      </w:pPr>
      <w:r>
        <w:rPr>
          <w:rFonts w:hint="eastAsia" w:ascii="仿宋" w:hAnsi="仿宋" w:eastAsia="仿宋" w:cs="仿宋"/>
          <w:b/>
          <w:bCs/>
          <w:lang w:eastAsia="zh-CN"/>
        </w:rPr>
        <w:t xml:space="preserve">5.1.5.3 企业双重预防机制建设及运行效果抽查检查需求 </w:t>
      </w:r>
    </w:p>
    <w:p w14:paraId="61BE9F87">
      <w:pPr>
        <w:widowControl/>
        <w:ind w:firstLine="480" w:firstLineChars="200"/>
        <w:rPr>
          <w:rFonts w:ascii="仿宋" w:hAnsi="仿宋" w:eastAsia="仿宋" w:cs="仿宋"/>
        </w:rPr>
      </w:pPr>
      <w:r>
        <w:rPr>
          <w:rFonts w:hint="eastAsia" w:ascii="仿宋" w:hAnsi="仿宋" w:eastAsia="仿宋" w:cs="仿宋"/>
          <w:lang w:eastAsia="zh-CN"/>
        </w:rPr>
        <w:t>实现对园区内企业双重预防机制运行效果线上线下相融合的监督检查，支持对单个企业风险分析完成率、排查任务完成率及隐患整改完成率的信息查询，对企业双重预防机制运行效果、隐患预警情况自动统计分析、原因分析，通过短信等方式定期推送给有关人员，为线下精准执法检查提供支撑。</w:t>
      </w:r>
    </w:p>
    <w:p w14:paraId="27E47DE3">
      <w:pPr>
        <w:widowControl/>
        <w:rPr>
          <w:rFonts w:ascii="仿宋" w:hAnsi="仿宋" w:eastAsia="仿宋" w:cs="仿宋"/>
          <w:b/>
          <w:bCs/>
        </w:rPr>
      </w:pPr>
      <w:r>
        <w:rPr>
          <w:rFonts w:hint="eastAsia" w:ascii="仿宋" w:hAnsi="仿宋" w:eastAsia="仿宋" w:cs="仿宋"/>
          <w:b/>
          <w:bCs/>
          <w:lang w:eastAsia="zh-CN"/>
        </w:rPr>
        <w:t xml:space="preserve">5.1.5特殊作业管理需求 </w:t>
      </w:r>
    </w:p>
    <w:p w14:paraId="69E13837">
      <w:pPr>
        <w:widowControl/>
        <w:rPr>
          <w:rFonts w:ascii="仿宋" w:hAnsi="仿宋" w:eastAsia="仿宋" w:cs="仿宋"/>
        </w:rPr>
      </w:pPr>
      <w:r>
        <w:rPr>
          <w:rFonts w:hint="eastAsia" w:ascii="仿宋" w:hAnsi="仿宋" w:eastAsia="仿宋" w:cs="仿宋"/>
          <w:b/>
          <w:bCs/>
          <w:lang w:eastAsia="zh-CN"/>
        </w:rPr>
        <w:t xml:space="preserve">5.1.5.1 企业特殊作业报备需求 </w:t>
      </w:r>
    </w:p>
    <w:p w14:paraId="7B804D6A">
      <w:pPr>
        <w:widowControl/>
        <w:ind w:firstLine="480" w:firstLineChars="200"/>
        <w:rPr>
          <w:rFonts w:ascii="仿宋" w:hAnsi="仿宋" w:eastAsia="仿宋" w:cs="仿宋"/>
        </w:rPr>
      </w:pPr>
      <w:r>
        <w:rPr>
          <w:rFonts w:hint="eastAsia" w:ascii="仿宋" w:hAnsi="仿宋" w:eastAsia="仿宋" w:cs="仿宋"/>
          <w:lang w:eastAsia="zh-CN"/>
        </w:rPr>
        <w:t xml:space="preserve">实现企业特殊作业报备，报备数据包括但不限于作业属地单位、作业类型、作业内容、作业时间等，支持报备信息的维护、查询和统计。 </w:t>
      </w:r>
    </w:p>
    <w:p w14:paraId="3631C271">
      <w:pPr>
        <w:widowControl/>
        <w:rPr>
          <w:rFonts w:ascii="仿宋" w:hAnsi="仿宋" w:eastAsia="仿宋" w:cs="仿宋"/>
        </w:rPr>
      </w:pPr>
      <w:r>
        <w:rPr>
          <w:rFonts w:hint="eastAsia" w:ascii="仿宋" w:hAnsi="仿宋" w:eastAsia="仿宋" w:cs="仿宋"/>
          <w:b/>
          <w:bCs/>
          <w:lang w:eastAsia="zh-CN"/>
        </w:rPr>
        <w:t xml:space="preserve">5.1.5.2 特殊作业统计分析需求 </w:t>
      </w:r>
    </w:p>
    <w:p w14:paraId="718968B0">
      <w:pPr>
        <w:widowControl/>
        <w:ind w:firstLine="480" w:firstLineChars="200"/>
        <w:rPr>
          <w:rFonts w:ascii="仿宋" w:hAnsi="仿宋" w:eastAsia="仿宋" w:cs="仿宋"/>
        </w:rPr>
      </w:pPr>
      <w:r>
        <w:rPr>
          <w:rFonts w:hint="eastAsia" w:ascii="仿宋" w:hAnsi="仿宋" w:eastAsia="仿宋" w:cs="仿宋"/>
          <w:lang w:eastAsia="zh-CN"/>
        </w:rPr>
        <w:t>实现与园区内企业特殊作业许可系统的结构化数据对接，支持园区内特殊作业按不同企业、不同时间、不同作业类型等多维度进行统计分析，以及特殊作业信息在园区电子地图上实时显示和快速查询。</w:t>
      </w:r>
      <w:r>
        <w:rPr>
          <w:rFonts w:hint="eastAsia" w:ascii="仿宋" w:hAnsi="仿宋" w:eastAsia="仿宋" w:cs="仿宋"/>
          <w:color w:val="808080"/>
          <w:lang w:eastAsia="zh-CN"/>
        </w:rPr>
        <w:t xml:space="preserve"> </w:t>
      </w:r>
    </w:p>
    <w:p w14:paraId="4C51B3D0">
      <w:pPr>
        <w:widowControl/>
        <w:rPr>
          <w:rFonts w:ascii="仿宋" w:hAnsi="仿宋" w:eastAsia="仿宋" w:cs="仿宋"/>
        </w:rPr>
      </w:pPr>
      <w:r>
        <w:rPr>
          <w:rFonts w:hint="eastAsia" w:ascii="仿宋" w:hAnsi="仿宋" w:eastAsia="仿宋" w:cs="仿宋"/>
          <w:b/>
          <w:bCs/>
          <w:lang w:eastAsia="zh-CN"/>
        </w:rPr>
        <w:t xml:space="preserve">5.1.5.3 特殊作业在线抽查检查需求 </w:t>
      </w:r>
    </w:p>
    <w:p w14:paraId="28C19F10">
      <w:pPr>
        <w:widowControl/>
        <w:ind w:firstLine="480" w:firstLineChars="200"/>
        <w:rPr>
          <w:rFonts w:ascii="仿宋" w:hAnsi="仿宋" w:eastAsia="仿宋" w:cs="仿宋"/>
        </w:rPr>
      </w:pPr>
      <w:r>
        <w:rPr>
          <w:rFonts w:hint="eastAsia" w:ascii="仿宋" w:hAnsi="仿宋" w:eastAsia="仿宋" w:cs="仿宋"/>
          <w:lang w:eastAsia="zh-CN"/>
        </w:rPr>
        <w:t xml:space="preserve">实现在线抽查检查企业的特殊作业情况，支持与应急管理部特种作业操作证及安全生产知识和管理能力考核合格信息查询平台互通，以及企业现场摄像头、现场气体传感器等设备的联动调阅。 </w:t>
      </w:r>
    </w:p>
    <w:p w14:paraId="5FC2B1F5">
      <w:pPr>
        <w:widowControl/>
        <w:rPr>
          <w:rFonts w:ascii="仿宋" w:hAnsi="仿宋" w:eastAsia="仿宋" w:cs="仿宋"/>
        </w:rPr>
      </w:pPr>
      <w:r>
        <w:rPr>
          <w:rFonts w:hint="eastAsia" w:ascii="仿宋" w:hAnsi="仿宋" w:eastAsia="仿宋" w:cs="仿宋"/>
          <w:b/>
          <w:bCs/>
          <w:lang w:eastAsia="zh-CN"/>
        </w:rPr>
        <w:t>5.1.6园区封闭化管理</w:t>
      </w:r>
      <w:r>
        <w:rPr>
          <w:rFonts w:hint="eastAsia" w:ascii="仿宋" w:hAnsi="仿宋" w:eastAsia="仿宋" w:cs="仿宋"/>
          <w:lang w:eastAsia="zh-CN"/>
        </w:rPr>
        <w:t xml:space="preserve"> </w:t>
      </w:r>
    </w:p>
    <w:p w14:paraId="489606BF">
      <w:pPr>
        <w:widowControl/>
        <w:rPr>
          <w:rFonts w:ascii="仿宋" w:hAnsi="仿宋" w:eastAsia="仿宋" w:cs="仿宋"/>
        </w:rPr>
      </w:pPr>
      <w:r>
        <w:rPr>
          <w:rFonts w:hint="eastAsia" w:ascii="仿宋" w:hAnsi="仿宋" w:eastAsia="仿宋" w:cs="仿宋"/>
          <w:b/>
          <w:bCs/>
          <w:lang w:eastAsia="zh-CN"/>
        </w:rPr>
        <w:t xml:space="preserve">5.1.6.1 门禁卡口管理需求 </w:t>
      </w:r>
    </w:p>
    <w:p w14:paraId="4B8446CF">
      <w:pPr>
        <w:widowControl/>
        <w:ind w:firstLine="480" w:firstLineChars="200"/>
        <w:rPr>
          <w:rFonts w:ascii="仿宋" w:hAnsi="仿宋" w:eastAsia="仿宋" w:cs="仿宋"/>
        </w:rPr>
      </w:pPr>
      <w:r>
        <w:rPr>
          <w:rFonts w:hint="eastAsia" w:ascii="仿宋" w:hAnsi="仿宋" w:eastAsia="仿宋" w:cs="仿宋"/>
          <w:lang w:eastAsia="zh-CN"/>
        </w:rPr>
        <w:t xml:space="preserve">按照客货分离、优化管理、规避风险、综合考虑停车场容量与园区安全容量的原则，根据园区实际情况分类设置综合、专用、普通、应急门禁/卡口，部署门禁/卡口管理系统，实现对人、车、物进出园管控，支持门禁/卡口视频监控、人脸和车牌智能识别、定位设备登记/发放/返还、自动放行、车道控制等。 </w:t>
      </w:r>
    </w:p>
    <w:p w14:paraId="5A02780D">
      <w:pPr>
        <w:widowControl/>
        <w:rPr>
          <w:rFonts w:ascii="仿宋" w:hAnsi="仿宋" w:eastAsia="仿宋" w:cs="仿宋"/>
        </w:rPr>
      </w:pPr>
      <w:r>
        <w:rPr>
          <w:rFonts w:hint="eastAsia" w:ascii="仿宋" w:hAnsi="仿宋" w:eastAsia="仿宋" w:cs="仿宋"/>
          <w:b/>
          <w:bCs/>
          <w:lang w:eastAsia="zh-CN"/>
        </w:rPr>
        <w:t xml:space="preserve">5.1.6.2 出入园管理需求 </w:t>
      </w:r>
    </w:p>
    <w:p w14:paraId="63466DC6">
      <w:pPr>
        <w:widowControl/>
        <w:ind w:firstLine="480" w:firstLineChars="200"/>
        <w:rPr>
          <w:rFonts w:ascii="仿宋" w:hAnsi="仿宋" w:eastAsia="仿宋" w:cs="仿宋"/>
        </w:rPr>
      </w:pPr>
      <w:r>
        <w:rPr>
          <w:rFonts w:hint="eastAsia" w:ascii="仿宋" w:hAnsi="仿宋" w:eastAsia="仿宋" w:cs="仿宋"/>
          <w:lang w:eastAsia="zh-CN"/>
        </w:rPr>
        <w:t xml:space="preserve">支持人员和车辆出入园申请、审核、长期/临时授权，支持危险化学品运输车辆预约、审核、授权，支持分区授权、异常行为报警和黑名单管理，支持人流、车流统计等。 </w:t>
      </w:r>
    </w:p>
    <w:p w14:paraId="28E40935">
      <w:pPr>
        <w:widowControl/>
        <w:rPr>
          <w:rFonts w:ascii="仿宋" w:hAnsi="仿宋" w:eastAsia="仿宋" w:cs="仿宋"/>
        </w:rPr>
      </w:pPr>
      <w:r>
        <w:rPr>
          <w:rFonts w:hint="eastAsia" w:ascii="仿宋" w:hAnsi="仿宋" w:eastAsia="仿宋" w:cs="仿宋"/>
          <w:b/>
          <w:bCs/>
          <w:lang w:eastAsia="zh-CN"/>
        </w:rPr>
        <w:t xml:space="preserve">5.1.6.3 危险化学品运输路径规划、定位和追踪需求 </w:t>
      </w:r>
    </w:p>
    <w:p w14:paraId="135834D8">
      <w:pPr>
        <w:widowControl/>
        <w:ind w:firstLine="480" w:firstLineChars="200"/>
        <w:rPr>
          <w:rFonts w:ascii="仿宋" w:hAnsi="仿宋" w:eastAsia="仿宋" w:cs="仿宋"/>
        </w:rPr>
      </w:pPr>
      <w:r>
        <w:rPr>
          <w:rFonts w:hint="eastAsia" w:ascii="仿宋" w:hAnsi="仿宋" w:eastAsia="仿宋" w:cs="仿宋"/>
          <w:lang w:eastAsia="zh-CN"/>
        </w:rPr>
        <w:t xml:space="preserve">1.基于园区企业布局、道路及卡口分布、人流轨迹、运输物料、专用停车场等信息，在线规划危险化学品车辆园区内行驶路径、专用车道、通行时段等，并结合危险化学品车辆行驶分布信息，不断优化相关行驶路径规划。 </w:t>
      </w:r>
    </w:p>
    <w:p w14:paraId="370996E6">
      <w:pPr>
        <w:widowControl/>
        <w:ind w:firstLine="480" w:firstLineChars="200"/>
        <w:rPr>
          <w:rFonts w:ascii="仿宋" w:hAnsi="仿宋" w:eastAsia="仿宋" w:cs="仿宋"/>
        </w:rPr>
      </w:pPr>
      <w:r>
        <w:rPr>
          <w:rFonts w:hint="eastAsia" w:ascii="仿宋" w:hAnsi="仿宋" w:eastAsia="仿宋" w:cs="仿宋"/>
          <w:lang w:eastAsia="zh-CN"/>
        </w:rPr>
        <w:t xml:space="preserve">2.基于危险化学品运输车辆实时定位数据和园区重点区域电子围栏，掌握园区内危险化学品运输车辆的位置、行驶路线等实时动态，借助视频智能分析、测速和车辆定位数据，智能识别危险化学品运输车辆超速、违停、不按车道不按时段通行等不安全行为。支持轨迹回放、车辆运行数据统计等功能。对接电子运单等相关系统，掌握出入园危险化学品的品种、数量以及 MSDS 等有关情况。 </w:t>
      </w:r>
    </w:p>
    <w:p w14:paraId="6AAA9E9E">
      <w:pPr>
        <w:widowControl/>
        <w:rPr>
          <w:rFonts w:ascii="仿宋" w:hAnsi="仿宋" w:eastAsia="仿宋" w:cs="仿宋"/>
        </w:rPr>
      </w:pPr>
      <w:r>
        <w:rPr>
          <w:rFonts w:hint="eastAsia" w:ascii="仿宋" w:hAnsi="仿宋" w:eastAsia="仿宋" w:cs="仿宋"/>
          <w:b/>
          <w:bCs/>
          <w:lang w:eastAsia="zh-CN"/>
        </w:rPr>
        <w:t xml:space="preserve">5.1.6.4 人员分布管理需求 </w:t>
      </w:r>
    </w:p>
    <w:p w14:paraId="679FDE90">
      <w:pPr>
        <w:widowControl/>
        <w:ind w:firstLine="480" w:firstLineChars="200"/>
        <w:rPr>
          <w:rFonts w:ascii="仿宋" w:hAnsi="仿宋" w:eastAsia="仿宋" w:cs="仿宋"/>
        </w:rPr>
      </w:pPr>
      <w:r>
        <w:rPr>
          <w:rFonts w:hint="eastAsia" w:ascii="仿宋" w:hAnsi="仿宋" w:eastAsia="仿宋" w:cs="仿宋"/>
          <w:lang w:eastAsia="zh-CN"/>
        </w:rPr>
        <w:t xml:space="preserve">对接企业生产区域人员定位分布信息，结合卡口/门禁系统数据，准确显示园区人员分布动态，支持查询展示特定人员实时位置和历史轨迹；支持园区内人员分布异常情况的报警提示、统计分析、视频联动及可视化展示。 </w:t>
      </w:r>
      <w:r>
        <w:rPr>
          <w:rFonts w:hint="eastAsia" w:ascii="仿宋" w:hAnsi="仿宋" w:eastAsia="仿宋" w:cs="仿宋"/>
          <w:b/>
          <w:bCs/>
          <w:lang w:eastAsia="zh-CN"/>
        </w:rPr>
        <w:t xml:space="preserve"> </w:t>
      </w:r>
    </w:p>
    <w:p w14:paraId="5E60DD92">
      <w:pPr>
        <w:widowControl/>
        <w:rPr>
          <w:rFonts w:ascii="仿宋" w:hAnsi="仿宋" w:eastAsia="仿宋" w:cs="仿宋"/>
        </w:rPr>
      </w:pPr>
      <w:r>
        <w:rPr>
          <w:rFonts w:hint="eastAsia" w:ascii="仿宋" w:hAnsi="仿宋" w:eastAsia="仿宋" w:cs="仿宋"/>
          <w:b/>
          <w:bCs/>
          <w:lang w:eastAsia="zh-CN"/>
        </w:rPr>
        <w:t>5.1.7敏捷应急管理需求</w:t>
      </w:r>
      <w:r>
        <w:rPr>
          <w:rFonts w:hint="eastAsia" w:ascii="仿宋" w:hAnsi="仿宋" w:eastAsia="仿宋" w:cs="仿宋"/>
          <w:lang w:eastAsia="zh-CN"/>
        </w:rPr>
        <w:t xml:space="preserve"> </w:t>
      </w:r>
    </w:p>
    <w:p w14:paraId="3F42CCF0">
      <w:pPr>
        <w:widowControl/>
        <w:rPr>
          <w:rFonts w:ascii="仿宋" w:hAnsi="仿宋" w:eastAsia="仿宋" w:cs="仿宋"/>
        </w:rPr>
      </w:pPr>
      <w:r>
        <w:rPr>
          <w:rFonts w:hint="eastAsia" w:ascii="仿宋" w:hAnsi="仿宋" w:eastAsia="仿宋" w:cs="仿宋"/>
          <w:b/>
          <w:bCs/>
          <w:lang w:eastAsia="zh-CN"/>
        </w:rPr>
        <w:t xml:space="preserve">5.1.7.1 应急预案管理需求 </w:t>
      </w:r>
    </w:p>
    <w:p w14:paraId="05476ACB">
      <w:pPr>
        <w:widowControl/>
        <w:ind w:firstLine="480" w:firstLineChars="200"/>
        <w:rPr>
          <w:rFonts w:ascii="仿宋" w:hAnsi="仿宋" w:eastAsia="仿宋" w:cs="仿宋"/>
        </w:rPr>
      </w:pPr>
      <w:r>
        <w:rPr>
          <w:rFonts w:hint="eastAsia" w:ascii="仿宋" w:hAnsi="仿宋" w:eastAsia="仿宋" w:cs="仿宋"/>
          <w:lang w:eastAsia="zh-CN"/>
        </w:rPr>
        <w:t>实现企业应急预案的备案、维护等功能，支持应急预案查询、检索，多维度统计分析。实现园区应急预案的录入、评审、公布等流程管理，支持上级部门应急预案的录入查询。</w:t>
      </w:r>
    </w:p>
    <w:p w14:paraId="3793FE5C">
      <w:pPr>
        <w:widowControl/>
        <w:rPr>
          <w:rFonts w:ascii="仿宋" w:hAnsi="仿宋" w:eastAsia="仿宋" w:cs="仿宋"/>
        </w:rPr>
      </w:pPr>
      <w:r>
        <w:rPr>
          <w:rFonts w:hint="eastAsia" w:ascii="仿宋" w:hAnsi="仿宋" w:eastAsia="仿宋" w:cs="仿宋"/>
          <w:b/>
          <w:bCs/>
          <w:lang w:eastAsia="zh-CN"/>
        </w:rPr>
        <w:t xml:space="preserve">5.1.7.2 应急资源管理需求 </w:t>
      </w:r>
    </w:p>
    <w:p w14:paraId="2CDBD7E4">
      <w:pPr>
        <w:widowControl/>
        <w:ind w:firstLine="480" w:firstLineChars="200"/>
        <w:rPr>
          <w:rFonts w:ascii="仿宋" w:hAnsi="仿宋" w:eastAsia="仿宋" w:cs="仿宋"/>
        </w:rPr>
      </w:pPr>
      <w:r>
        <w:rPr>
          <w:rFonts w:hint="eastAsia" w:ascii="仿宋" w:hAnsi="仿宋" w:eastAsia="仿宋" w:cs="仿宋"/>
          <w:lang w:eastAsia="zh-CN"/>
        </w:rPr>
        <w:t xml:space="preserve">汇聚应急救援专家、队伍和物资数据，实现园区内应急资源的统一管理，支持应急资源信息的维护和快速查询，包括专家动态评估管理，队伍状态评估管理，物资有效性、完备性和可用性评估管理，以及应急物资按企业、按类别的统计分析和可视化展示。 </w:t>
      </w:r>
    </w:p>
    <w:p w14:paraId="50480525">
      <w:pPr>
        <w:widowControl/>
        <w:rPr>
          <w:rFonts w:ascii="仿宋" w:hAnsi="仿宋" w:eastAsia="仿宋" w:cs="仿宋"/>
        </w:rPr>
      </w:pPr>
      <w:r>
        <w:rPr>
          <w:rFonts w:hint="eastAsia" w:ascii="仿宋" w:hAnsi="仿宋" w:eastAsia="仿宋" w:cs="仿宋"/>
          <w:b/>
          <w:bCs/>
          <w:lang w:eastAsia="zh-CN"/>
        </w:rPr>
        <w:t xml:space="preserve">5.1.7.3 应急演练管理需求 </w:t>
      </w:r>
    </w:p>
    <w:p w14:paraId="4A2DD8EA">
      <w:pPr>
        <w:widowControl/>
        <w:ind w:firstLine="480" w:firstLineChars="200"/>
        <w:rPr>
          <w:rFonts w:ascii="仿宋" w:hAnsi="仿宋" w:eastAsia="仿宋" w:cs="仿宋"/>
        </w:rPr>
      </w:pPr>
      <w:r>
        <w:rPr>
          <w:rFonts w:hint="eastAsia" w:ascii="仿宋" w:hAnsi="仿宋" w:eastAsia="仿宋" w:cs="仿宋"/>
          <w:lang w:eastAsia="zh-CN"/>
        </w:rPr>
        <w:t xml:space="preserve">汇聚企业应急演练数据，实现可视化应急演练管理，具备预案演示、协同演练、推演复盘三个主要功能，完成预案编辑、协同演练以及事故推演复盘，以及现场视频和演练记录的生成、存储、调阅，辅助生成演练评估报告，为事故的全息化应急救援演练、辅助决策、事故模拟推演分析、应急资源调配等提供技术支撑。 </w:t>
      </w:r>
    </w:p>
    <w:p w14:paraId="7D3D98D3">
      <w:pPr>
        <w:widowControl/>
        <w:rPr>
          <w:rFonts w:ascii="仿宋" w:hAnsi="仿宋" w:eastAsia="仿宋" w:cs="仿宋"/>
        </w:rPr>
      </w:pPr>
      <w:r>
        <w:rPr>
          <w:rFonts w:hint="eastAsia" w:ascii="仿宋" w:hAnsi="仿宋" w:eastAsia="仿宋" w:cs="仿宋"/>
          <w:b/>
          <w:bCs/>
          <w:lang w:eastAsia="zh-CN"/>
        </w:rPr>
        <w:t xml:space="preserve">5.1.7.4 应急指挥调度需求 </w:t>
      </w:r>
    </w:p>
    <w:p w14:paraId="43C0D1AC">
      <w:pPr>
        <w:widowControl/>
        <w:ind w:firstLine="480" w:firstLineChars="200"/>
        <w:rPr>
          <w:rFonts w:ascii="仿宋" w:hAnsi="仿宋" w:eastAsia="仿宋" w:cs="仿宋"/>
        </w:rPr>
      </w:pPr>
      <w:r>
        <w:rPr>
          <w:rFonts w:hint="eastAsia" w:ascii="仿宋" w:hAnsi="仿宋" w:eastAsia="仿宋" w:cs="仿宋"/>
          <w:lang w:eastAsia="zh-CN"/>
        </w:rPr>
        <w:t xml:space="preserve">实现日常状态下的值班管理、应急车辆出动信息管理，应急状态下的接处警、上报续报、应急启动、资源调度、处置部署、应急终止等。支持调用人员定位信息数据和实时视频数据等辅助快速精准救援，以及通过应急广播、短信等方式通知园区内外相关人员进行应急处置或响应避险。 </w:t>
      </w:r>
    </w:p>
    <w:p w14:paraId="0A220AAB">
      <w:pPr>
        <w:widowControl/>
        <w:rPr>
          <w:rFonts w:ascii="仿宋" w:hAnsi="仿宋" w:eastAsia="仿宋" w:cs="仿宋"/>
        </w:rPr>
      </w:pPr>
      <w:r>
        <w:rPr>
          <w:rFonts w:hint="eastAsia" w:ascii="仿宋" w:hAnsi="仿宋" w:eastAsia="仿宋" w:cs="仿宋"/>
          <w:b/>
          <w:bCs/>
          <w:lang w:eastAsia="zh-CN"/>
        </w:rPr>
        <w:t xml:space="preserve">5.1.7.5 应急辅助决策需求 </w:t>
      </w:r>
    </w:p>
    <w:p w14:paraId="7C6830F5">
      <w:pPr>
        <w:widowControl/>
        <w:ind w:firstLine="480" w:firstLineChars="200"/>
        <w:rPr>
          <w:rFonts w:ascii="仿宋" w:hAnsi="仿宋" w:eastAsia="仿宋" w:cs="仿宋"/>
        </w:rPr>
      </w:pPr>
      <w:r>
        <w:rPr>
          <w:rFonts w:hint="eastAsia" w:ascii="仿宋" w:hAnsi="仿宋" w:eastAsia="仿宋" w:cs="仿宋"/>
          <w:lang w:eastAsia="zh-CN"/>
        </w:rPr>
        <w:t xml:space="preserve">实现事故模拟分析、资源优化调配、线上会商研判等。支持调用现场视频、实时气象信息、气体浓度、人员定位系统数据和灾害后果模拟分析结果（火灾、爆炸和泄漏模型，多米诺骨牌效应及次生衍生灾害），生成应急处置方案，为指挥人员提供决策支持。 </w:t>
      </w:r>
    </w:p>
    <w:p w14:paraId="76CE95E7">
      <w:pPr>
        <w:widowControl/>
        <w:rPr>
          <w:rFonts w:ascii="仿宋" w:hAnsi="仿宋" w:eastAsia="仿宋" w:cs="仿宋"/>
          <w:b/>
          <w:bCs/>
        </w:rPr>
      </w:pPr>
      <w:r>
        <w:rPr>
          <w:rFonts w:hint="eastAsia" w:ascii="仿宋" w:hAnsi="仿宋" w:eastAsia="仿宋" w:cs="仿宋"/>
          <w:b/>
          <w:bCs/>
          <w:lang w:eastAsia="zh-CN"/>
        </w:rPr>
        <w:t xml:space="preserve">5.1.8智慧消防管理 </w:t>
      </w:r>
    </w:p>
    <w:p w14:paraId="2304AA24">
      <w:pPr>
        <w:widowControl/>
        <w:rPr>
          <w:rFonts w:ascii="仿宋" w:hAnsi="仿宋" w:eastAsia="仿宋" w:cs="仿宋"/>
        </w:rPr>
      </w:pPr>
      <w:r>
        <w:rPr>
          <w:rFonts w:hint="eastAsia" w:ascii="仿宋" w:hAnsi="仿宋" w:eastAsia="仿宋" w:cs="仿宋"/>
          <w:b/>
          <w:bCs/>
          <w:lang w:eastAsia="zh-CN"/>
        </w:rPr>
        <w:t xml:space="preserve">5.1.8.1 智慧消防综合指挥系统需求 </w:t>
      </w:r>
    </w:p>
    <w:p w14:paraId="6C8ADAF2">
      <w:pPr>
        <w:widowControl/>
        <w:ind w:firstLine="480" w:firstLineChars="200"/>
        <w:rPr>
          <w:rFonts w:ascii="仿宋" w:hAnsi="仿宋" w:eastAsia="仿宋" w:cs="仿宋"/>
        </w:rPr>
      </w:pPr>
      <w:r>
        <w:rPr>
          <w:rFonts w:hint="eastAsia" w:ascii="仿宋" w:hAnsi="仿宋" w:eastAsia="仿宋" w:cs="仿宋"/>
          <w:lang w:eastAsia="zh-CN"/>
        </w:rPr>
        <w:t xml:space="preserve">基于园区三维 GIS 地图，建立消防管理图层，实现消防重点区域、消防设施、应急救援等各项消防管理数据的可视化管理。 </w:t>
      </w:r>
    </w:p>
    <w:p w14:paraId="1D156CBD">
      <w:pPr>
        <w:widowControl/>
        <w:rPr>
          <w:rFonts w:ascii="仿宋" w:hAnsi="仿宋" w:eastAsia="仿宋" w:cs="仿宋"/>
        </w:rPr>
      </w:pPr>
      <w:r>
        <w:rPr>
          <w:rFonts w:hint="eastAsia" w:ascii="仿宋" w:hAnsi="仿宋" w:eastAsia="仿宋" w:cs="仿宋"/>
          <w:b/>
          <w:bCs/>
          <w:lang w:eastAsia="zh-CN"/>
        </w:rPr>
        <w:t xml:space="preserve">5.1.8.2 重点企业消防备案管理需求 </w:t>
      </w:r>
    </w:p>
    <w:p w14:paraId="660C0108">
      <w:pPr>
        <w:widowControl/>
        <w:ind w:firstLine="480" w:firstLineChars="200"/>
        <w:rPr>
          <w:rFonts w:ascii="仿宋" w:hAnsi="仿宋" w:eastAsia="仿宋" w:cs="仿宋"/>
        </w:rPr>
      </w:pPr>
      <w:r>
        <w:rPr>
          <w:rFonts w:hint="eastAsia" w:ascii="仿宋" w:hAnsi="仿宋" w:eastAsia="仿宋" w:cs="仿宋"/>
          <w:lang w:eastAsia="zh-CN"/>
        </w:rPr>
        <w:t xml:space="preserve">基于企业端，园区端应实现对重点企业消防备案的详情查看、分类查询、统计分析功能。 </w:t>
      </w:r>
    </w:p>
    <w:p w14:paraId="5944BE1D">
      <w:pPr>
        <w:widowControl/>
        <w:rPr>
          <w:rFonts w:ascii="仿宋" w:hAnsi="仿宋" w:eastAsia="仿宋" w:cs="仿宋"/>
        </w:rPr>
      </w:pPr>
      <w:r>
        <w:rPr>
          <w:rFonts w:hint="eastAsia" w:ascii="仿宋" w:hAnsi="仿宋" w:eastAsia="仿宋" w:cs="仿宋"/>
          <w:b/>
          <w:bCs/>
          <w:lang w:eastAsia="zh-CN"/>
        </w:rPr>
        <w:t xml:space="preserve">5.1.8.3 园区消防备案管理需求 </w:t>
      </w:r>
    </w:p>
    <w:p w14:paraId="6166782B">
      <w:pPr>
        <w:widowControl/>
        <w:ind w:firstLine="480" w:firstLineChars="200"/>
        <w:rPr>
          <w:rFonts w:ascii="仿宋" w:hAnsi="仿宋" w:eastAsia="仿宋" w:cs="仿宋"/>
        </w:rPr>
      </w:pPr>
      <w:r>
        <w:rPr>
          <w:rFonts w:hint="eastAsia" w:ascii="仿宋" w:hAnsi="仿宋" w:eastAsia="仿宋" w:cs="仿宋"/>
          <w:lang w:eastAsia="zh-CN"/>
        </w:rPr>
        <w:t xml:space="preserve">实现园区公共消防设施、重点消防部位、公共消防应急物资、消防图件等园区公共消防信息的上传、更新与查阅。 </w:t>
      </w:r>
    </w:p>
    <w:p w14:paraId="3CA5CCBB">
      <w:pPr>
        <w:widowControl/>
        <w:rPr>
          <w:rFonts w:ascii="仿宋" w:hAnsi="仿宋" w:eastAsia="仿宋" w:cs="仿宋"/>
        </w:rPr>
      </w:pPr>
      <w:r>
        <w:rPr>
          <w:rFonts w:hint="eastAsia" w:ascii="仿宋" w:hAnsi="仿宋" w:eastAsia="仿宋" w:cs="仿宋"/>
          <w:b/>
          <w:bCs/>
          <w:lang w:eastAsia="zh-CN"/>
        </w:rPr>
        <w:t xml:space="preserve">5.1.8.4 消防在线监控管理需求 </w:t>
      </w:r>
    </w:p>
    <w:p w14:paraId="72869EE0">
      <w:pPr>
        <w:widowControl/>
        <w:ind w:firstLine="480" w:firstLineChars="200"/>
        <w:rPr>
          <w:rFonts w:ascii="仿宋" w:hAnsi="仿宋" w:eastAsia="仿宋" w:cs="仿宋"/>
        </w:rPr>
      </w:pPr>
      <w:r>
        <w:rPr>
          <w:rFonts w:hint="eastAsia" w:ascii="仿宋" w:hAnsi="仿宋" w:eastAsia="仿宋" w:cs="仿宋"/>
          <w:lang w:eastAsia="zh-CN"/>
        </w:rPr>
        <w:t xml:space="preserve">系统接入园区公共消防栓压力和企业消防压力、水位、烟感报警等监控数据，主要实现监控地图、实时数据查看、数据分析、报警统计功能。 </w:t>
      </w:r>
    </w:p>
    <w:p w14:paraId="7D58F17D">
      <w:pPr>
        <w:widowControl/>
        <w:rPr>
          <w:rFonts w:ascii="仿宋" w:hAnsi="仿宋" w:eastAsia="仿宋" w:cs="仿宋"/>
        </w:rPr>
      </w:pPr>
      <w:r>
        <w:rPr>
          <w:rFonts w:hint="eastAsia" w:ascii="仿宋" w:hAnsi="仿宋" w:eastAsia="仿宋" w:cs="仿宋"/>
          <w:b/>
          <w:bCs/>
          <w:lang w:eastAsia="zh-CN"/>
        </w:rPr>
        <w:t xml:space="preserve">5.1.8.5 消防与应急联动管理需求 </w:t>
      </w:r>
    </w:p>
    <w:p w14:paraId="39DF1F2C">
      <w:pPr>
        <w:widowControl/>
        <w:ind w:firstLine="480" w:firstLineChars="200"/>
        <w:rPr>
          <w:rFonts w:ascii="仿宋" w:hAnsi="仿宋" w:eastAsia="仿宋" w:cs="仿宋"/>
        </w:rPr>
      </w:pPr>
      <w:r>
        <w:rPr>
          <w:rFonts w:hint="eastAsia" w:ascii="仿宋" w:hAnsi="仿宋" w:eastAsia="仿宋" w:cs="仿宋"/>
          <w:lang w:eastAsia="zh-CN"/>
        </w:rPr>
        <w:t xml:space="preserve">条件允许下，系统可以向消防队推送事故应急相关信息，实现对消防火警事件的接警管理、总结报告编制功能。 </w:t>
      </w:r>
    </w:p>
    <w:p w14:paraId="59C82761">
      <w:pPr>
        <w:widowControl/>
        <w:rPr>
          <w:rFonts w:ascii="仿宋" w:hAnsi="仿宋" w:eastAsia="仿宋" w:cs="仿宋"/>
        </w:rPr>
      </w:pPr>
      <w:r>
        <w:rPr>
          <w:rFonts w:hint="eastAsia" w:ascii="仿宋" w:hAnsi="仿宋" w:eastAsia="仿宋" w:cs="仿宋"/>
          <w:b/>
          <w:bCs/>
          <w:lang w:eastAsia="zh-CN"/>
        </w:rPr>
        <w:t xml:space="preserve">5.1.8.6 消防数据分析与报表需求 </w:t>
      </w:r>
    </w:p>
    <w:p w14:paraId="57D31F7F">
      <w:pPr>
        <w:widowControl/>
        <w:ind w:firstLine="480" w:firstLineChars="200"/>
        <w:rPr>
          <w:rFonts w:ascii="仿宋" w:hAnsi="仿宋" w:eastAsia="仿宋" w:cs="仿宋"/>
        </w:rPr>
      </w:pPr>
      <w:r>
        <w:rPr>
          <w:rFonts w:hint="eastAsia" w:ascii="仿宋" w:hAnsi="仿宋" w:eastAsia="仿宋" w:cs="仿宋"/>
          <w:lang w:eastAsia="zh-CN"/>
        </w:rPr>
        <w:t xml:space="preserve">对消防数据进行分析并生成报表，包括单位报表、区域报表、消防预警报表，支持报表导出功能。 </w:t>
      </w:r>
    </w:p>
    <w:p w14:paraId="1559FE54">
      <w:pPr>
        <w:widowControl/>
        <w:rPr>
          <w:rFonts w:ascii="仿宋" w:hAnsi="仿宋" w:eastAsia="仿宋" w:cs="仿宋"/>
        </w:rPr>
      </w:pPr>
      <w:r>
        <w:rPr>
          <w:rFonts w:hint="eastAsia" w:ascii="仿宋" w:hAnsi="仿宋" w:eastAsia="仿宋" w:cs="仿宋"/>
          <w:b/>
          <w:bCs/>
          <w:lang w:eastAsia="zh-CN"/>
        </w:rPr>
        <w:t>5.1.9智慧环保监管需求</w:t>
      </w:r>
      <w:r>
        <w:rPr>
          <w:rFonts w:hint="eastAsia" w:ascii="仿宋" w:hAnsi="仿宋" w:eastAsia="仿宋" w:cs="仿宋"/>
          <w:lang w:eastAsia="zh-CN"/>
        </w:rPr>
        <w:t xml:space="preserve"> </w:t>
      </w:r>
    </w:p>
    <w:p w14:paraId="7E02AB0F">
      <w:pPr>
        <w:widowControl/>
        <w:rPr>
          <w:rFonts w:ascii="仿宋" w:hAnsi="仿宋" w:eastAsia="仿宋" w:cs="仿宋"/>
        </w:rPr>
      </w:pPr>
      <w:r>
        <w:rPr>
          <w:rFonts w:hint="eastAsia" w:ascii="仿宋" w:hAnsi="仿宋" w:eastAsia="仿宋" w:cs="仿宋"/>
          <w:b/>
          <w:bCs/>
          <w:lang w:eastAsia="zh-CN"/>
        </w:rPr>
        <w:t xml:space="preserve">5.1.9.1 基础信息管理需求 </w:t>
      </w:r>
    </w:p>
    <w:p w14:paraId="3FD22372">
      <w:pPr>
        <w:widowControl/>
        <w:ind w:firstLine="480" w:firstLineChars="200"/>
        <w:rPr>
          <w:rFonts w:ascii="仿宋" w:hAnsi="仿宋" w:eastAsia="仿宋" w:cs="仿宋"/>
        </w:rPr>
      </w:pPr>
      <w:r>
        <w:rPr>
          <w:rFonts w:hint="eastAsia" w:ascii="仿宋" w:hAnsi="仿宋" w:eastAsia="仿宋" w:cs="仿宋"/>
          <w:lang w:eastAsia="zh-CN"/>
        </w:rPr>
        <w:t xml:space="preserve">包含“监测站点信息管理、手工监测数据维护、企业环境信息管理”等基础信息数据接入与管理，提供可视化监管与数据分析 </w:t>
      </w:r>
    </w:p>
    <w:p w14:paraId="56650FD0">
      <w:pPr>
        <w:widowControl/>
        <w:rPr>
          <w:rFonts w:ascii="仿宋" w:hAnsi="仿宋" w:eastAsia="仿宋" w:cs="仿宋"/>
        </w:rPr>
      </w:pPr>
      <w:r>
        <w:rPr>
          <w:rFonts w:hint="eastAsia" w:ascii="仿宋" w:hAnsi="仿宋" w:eastAsia="仿宋" w:cs="仿宋"/>
          <w:b/>
          <w:bCs/>
          <w:lang w:eastAsia="zh-CN"/>
        </w:rPr>
        <w:t xml:space="preserve">5.1.9.2 大气环境监测管理需求 </w:t>
      </w:r>
    </w:p>
    <w:p w14:paraId="6530E0AD">
      <w:pPr>
        <w:widowControl/>
        <w:ind w:firstLine="480" w:firstLineChars="200"/>
        <w:rPr>
          <w:rFonts w:ascii="仿宋" w:hAnsi="仿宋" w:eastAsia="仿宋" w:cs="仿宋"/>
        </w:rPr>
      </w:pPr>
      <w:r>
        <w:rPr>
          <w:rFonts w:hint="eastAsia" w:ascii="仿宋" w:hAnsi="仿宋" w:eastAsia="仿宋" w:cs="仿宋"/>
          <w:lang w:eastAsia="zh-CN"/>
        </w:rPr>
        <w:t xml:space="preserve">汇聚空气质量监测数据、有毒有害气体监测数据、污染源废气监测数据、气象监测数据等各类大气环境数据，实现对大气环境监测、异常告警、多维数据查询和多场景统计分析等功能； </w:t>
      </w:r>
    </w:p>
    <w:p w14:paraId="5A6BE48B">
      <w:pPr>
        <w:widowControl/>
        <w:rPr>
          <w:rFonts w:ascii="仿宋" w:hAnsi="仿宋" w:eastAsia="仿宋" w:cs="仿宋"/>
        </w:rPr>
      </w:pPr>
      <w:r>
        <w:rPr>
          <w:rFonts w:hint="eastAsia" w:ascii="仿宋" w:hAnsi="仿宋" w:eastAsia="仿宋" w:cs="仿宋"/>
          <w:b/>
          <w:bCs/>
          <w:lang w:eastAsia="zh-CN"/>
        </w:rPr>
        <w:t xml:space="preserve">5.1.9.3 水环境监测管理需求 </w:t>
      </w:r>
    </w:p>
    <w:p w14:paraId="7BFCFBF1">
      <w:pPr>
        <w:widowControl/>
        <w:ind w:firstLine="480" w:firstLineChars="200"/>
        <w:rPr>
          <w:rFonts w:ascii="仿宋" w:hAnsi="仿宋" w:eastAsia="仿宋" w:cs="仿宋"/>
        </w:rPr>
      </w:pPr>
      <w:r>
        <w:rPr>
          <w:rFonts w:hint="eastAsia" w:ascii="仿宋" w:hAnsi="仿宋" w:eastAsia="仿宋" w:cs="仿宋"/>
          <w:lang w:eastAsia="zh-CN"/>
        </w:rPr>
        <w:t xml:space="preserve">汇聚化工园区的企业污水排口、污水处理厂进出水口等各类水质实时监测，实现实时监测、超标报警、溯源分析、多维数据查询和综合统计分析； </w:t>
      </w:r>
    </w:p>
    <w:p w14:paraId="50BC77F3">
      <w:pPr>
        <w:widowControl/>
        <w:rPr>
          <w:rFonts w:ascii="仿宋" w:hAnsi="仿宋" w:eastAsia="仿宋" w:cs="仿宋"/>
          <w:b/>
          <w:bCs/>
        </w:rPr>
      </w:pPr>
      <w:r>
        <w:rPr>
          <w:rFonts w:hint="eastAsia" w:ascii="仿宋" w:hAnsi="仿宋" w:eastAsia="仿宋" w:cs="仿宋"/>
          <w:b/>
          <w:bCs/>
          <w:lang w:eastAsia="zh-CN"/>
        </w:rPr>
        <w:t xml:space="preserve">5.1.10 易燃易爆有毒有害气体泄漏检测管理需求 </w:t>
      </w:r>
    </w:p>
    <w:p w14:paraId="0995171E">
      <w:pPr>
        <w:widowControl/>
        <w:rPr>
          <w:rFonts w:ascii="仿宋" w:hAnsi="仿宋" w:eastAsia="仿宋" w:cs="仿宋"/>
        </w:rPr>
      </w:pPr>
      <w:r>
        <w:rPr>
          <w:rFonts w:hint="eastAsia" w:ascii="仿宋" w:hAnsi="仿宋" w:eastAsia="仿宋" w:cs="仿宋"/>
          <w:b/>
          <w:bCs/>
          <w:lang w:eastAsia="zh-CN"/>
        </w:rPr>
        <w:t xml:space="preserve">5.1.10.1 可燃有毒气体检测数据监测需求 </w:t>
      </w:r>
    </w:p>
    <w:p w14:paraId="0A9D92D0">
      <w:pPr>
        <w:widowControl/>
        <w:ind w:firstLine="480" w:firstLineChars="200"/>
        <w:rPr>
          <w:rFonts w:ascii="仿宋" w:hAnsi="仿宋" w:eastAsia="仿宋" w:cs="仿宋"/>
        </w:rPr>
      </w:pPr>
      <w:r>
        <w:rPr>
          <w:rFonts w:hint="eastAsia" w:ascii="仿宋" w:hAnsi="仿宋" w:eastAsia="仿宋" w:cs="仿宋"/>
          <w:lang w:eastAsia="zh-CN"/>
        </w:rPr>
        <w:t xml:space="preserve">接入、展示企业普通区域可燃有毒气体监测数据，监管人员可在线上调阅查看各点位实时监测数据。 </w:t>
      </w:r>
    </w:p>
    <w:p w14:paraId="0DDB8479">
      <w:pPr>
        <w:widowControl/>
        <w:rPr>
          <w:rFonts w:ascii="仿宋" w:hAnsi="仿宋" w:eastAsia="仿宋" w:cs="仿宋"/>
        </w:rPr>
      </w:pPr>
      <w:r>
        <w:rPr>
          <w:rFonts w:hint="eastAsia" w:ascii="仿宋" w:hAnsi="仿宋" w:eastAsia="仿宋" w:cs="仿宋"/>
          <w:b/>
          <w:bCs/>
          <w:lang w:eastAsia="zh-CN"/>
        </w:rPr>
        <w:t xml:space="preserve">5.1.10.2 环保站数据监测需求 </w:t>
      </w:r>
    </w:p>
    <w:p w14:paraId="743443C3">
      <w:pPr>
        <w:widowControl/>
        <w:ind w:firstLine="480" w:firstLineChars="200"/>
        <w:rPr>
          <w:rFonts w:ascii="仿宋" w:hAnsi="仿宋" w:eastAsia="仿宋" w:cs="仿宋"/>
        </w:rPr>
      </w:pPr>
      <w:r>
        <w:rPr>
          <w:rFonts w:hint="eastAsia" w:ascii="仿宋" w:hAnsi="仿宋" w:eastAsia="仿宋" w:cs="仿宋"/>
          <w:lang w:eastAsia="zh-CN"/>
        </w:rPr>
        <w:t xml:space="preserve">接入环保传感器数据，实现传感器数据有效溯源及证书管理，实现数据实时监测。 </w:t>
      </w:r>
    </w:p>
    <w:p w14:paraId="67375720">
      <w:pPr>
        <w:widowControl/>
        <w:rPr>
          <w:rFonts w:ascii="仿宋" w:hAnsi="仿宋" w:eastAsia="仿宋" w:cs="仿宋"/>
        </w:rPr>
      </w:pPr>
      <w:r>
        <w:rPr>
          <w:rFonts w:hint="eastAsia" w:ascii="仿宋" w:hAnsi="仿宋" w:eastAsia="仿宋" w:cs="仿宋"/>
          <w:b/>
          <w:bCs/>
          <w:lang w:eastAsia="zh-CN"/>
        </w:rPr>
        <w:t xml:space="preserve">5.1.10.3 运维记录信息查看需求 </w:t>
      </w:r>
    </w:p>
    <w:p w14:paraId="0E088984">
      <w:pPr>
        <w:widowControl/>
        <w:ind w:firstLine="480" w:firstLineChars="200"/>
        <w:rPr>
          <w:rFonts w:ascii="仿宋" w:hAnsi="仿宋" w:eastAsia="仿宋" w:cs="仿宋"/>
        </w:rPr>
      </w:pPr>
      <w:r>
        <w:rPr>
          <w:rFonts w:hint="eastAsia" w:ascii="仿宋" w:hAnsi="仿宋" w:eastAsia="仿宋" w:cs="仿宋"/>
          <w:lang w:eastAsia="zh-CN"/>
        </w:rPr>
        <w:t xml:space="preserve">接入企业可燃有毒气体监测点位的运维记录，监管人员可在线调阅各点位的历史维修、标定、停用等运维记录，便于及时发现、闭环监测点位的隐患问题。 </w:t>
      </w:r>
    </w:p>
    <w:p w14:paraId="2094C250">
      <w:pPr>
        <w:widowControl/>
        <w:rPr>
          <w:rFonts w:ascii="仿宋" w:hAnsi="仿宋" w:eastAsia="仿宋" w:cs="仿宋"/>
        </w:rPr>
      </w:pPr>
      <w:r>
        <w:rPr>
          <w:rFonts w:hint="eastAsia" w:ascii="仿宋" w:hAnsi="仿宋" w:eastAsia="仿宋" w:cs="仿宋"/>
          <w:b/>
          <w:bCs/>
          <w:lang w:eastAsia="zh-CN"/>
        </w:rPr>
        <w:t xml:space="preserve">5.1.10.4 大范围速扫需求 </w:t>
      </w:r>
    </w:p>
    <w:p w14:paraId="4533090C">
      <w:pPr>
        <w:widowControl/>
        <w:ind w:firstLine="480" w:firstLineChars="200"/>
        <w:rPr>
          <w:rFonts w:ascii="仿宋" w:hAnsi="仿宋" w:eastAsia="仿宋" w:cs="仿宋"/>
        </w:rPr>
      </w:pPr>
      <w:r>
        <w:rPr>
          <w:rFonts w:hint="eastAsia" w:ascii="仿宋" w:hAnsi="仿宋" w:eastAsia="仿宋" w:cs="仿宋"/>
          <w:lang w:eastAsia="zh-CN"/>
        </w:rPr>
        <w:t xml:space="preserve">配置气体泄漏检测相机的大范围速扫策略，实现对园区内大范围的气体泄漏检测设置及实时监测。 </w:t>
      </w:r>
    </w:p>
    <w:p w14:paraId="4597288F">
      <w:pPr>
        <w:widowControl/>
        <w:rPr>
          <w:rFonts w:ascii="仿宋" w:hAnsi="仿宋" w:eastAsia="仿宋" w:cs="仿宋"/>
        </w:rPr>
      </w:pPr>
      <w:r>
        <w:rPr>
          <w:rFonts w:hint="eastAsia" w:ascii="仿宋" w:hAnsi="仿宋" w:eastAsia="仿宋" w:cs="仿宋"/>
          <w:b/>
          <w:bCs/>
          <w:lang w:eastAsia="zh-CN"/>
        </w:rPr>
        <w:t xml:space="preserve">5.1.10.5 预警分级管控需求 </w:t>
      </w:r>
    </w:p>
    <w:p w14:paraId="34EC02E6">
      <w:pPr>
        <w:widowControl/>
        <w:ind w:firstLine="480" w:firstLineChars="200"/>
        <w:rPr>
          <w:rFonts w:ascii="仿宋" w:hAnsi="仿宋" w:eastAsia="仿宋" w:cs="仿宋"/>
        </w:rPr>
      </w:pPr>
      <w:r>
        <w:rPr>
          <w:rFonts w:hint="eastAsia" w:ascii="仿宋" w:hAnsi="仿宋" w:eastAsia="仿宋" w:cs="仿宋"/>
          <w:lang w:eastAsia="zh-CN"/>
        </w:rPr>
        <w:t>对辖区内可燃有毒气体监测预警记录实行分级管控，实现企业和园区间的预警处置联动，普通情况下推送至企业进行处理并将处理结果报送至园区，特殊情况直接推送至园区进行应急响应处理。</w:t>
      </w:r>
    </w:p>
    <w:p w14:paraId="5FE7CF9B">
      <w:pPr>
        <w:widowControl/>
        <w:rPr>
          <w:rFonts w:ascii="仿宋" w:hAnsi="仿宋" w:eastAsia="仿宋" w:cs="仿宋"/>
        </w:rPr>
      </w:pPr>
      <w:r>
        <w:rPr>
          <w:rFonts w:hint="eastAsia" w:ascii="仿宋" w:hAnsi="仿宋" w:eastAsia="仿宋" w:cs="仿宋"/>
          <w:b/>
          <w:bCs/>
          <w:lang w:eastAsia="zh-CN"/>
        </w:rPr>
        <w:t xml:space="preserve">5.1.10.6 统计分析需求 </w:t>
      </w:r>
    </w:p>
    <w:p w14:paraId="10929B5B">
      <w:pPr>
        <w:widowControl/>
        <w:ind w:firstLine="480" w:firstLineChars="200"/>
        <w:rPr>
          <w:rFonts w:ascii="仿宋" w:hAnsi="仿宋" w:eastAsia="仿宋" w:cs="仿宋"/>
        </w:rPr>
      </w:pPr>
      <w:r>
        <w:rPr>
          <w:rFonts w:hint="eastAsia" w:ascii="仿宋" w:hAnsi="仿宋" w:eastAsia="仿宋" w:cs="仿宋"/>
          <w:lang w:eastAsia="zh-CN"/>
        </w:rPr>
        <w:t xml:space="preserve">对监测数据进行综合管理与分析，以可视化的方式展示气体种类统计、气体种类分布、气体位置分布、实时数据、历史数据、事件触发、事态发展回溯、报警热点、故障热点等信息。 </w:t>
      </w:r>
    </w:p>
    <w:p w14:paraId="3798261A">
      <w:pPr>
        <w:widowControl/>
        <w:rPr>
          <w:rFonts w:ascii="仿宋" w:hAnsi="仿宋" w:eastAsia="仿宋" w:cs="仿宋"/>
          <w:b/>
          <w:bCs/>
        </w:rPr>
      </w:pPr>
      <w:r>
        <w:rPr>
          <w:rFonts w:hint="eastAsia" w:ascii="仿宋" w:hAnsi="仿宋" w:eastAsia="仿宋" w:cs="仿宋"/>
          <w:b/>
          <w:bCs/>
          <w:lang w:eastAsia="zh-CN"/>
        </w:rPr>
        <w:t xml:space="preserve">5.1.11 园区运营管理需求 </w:t>
      </w:r>
    </w:p>
    <w:p w14:paraId="003822C8">
      <w:pPr>
        <w:widowControl/>
        <w:rPr>
          <w:rFonts w:ascii="仿宋" w:hAnsi="仿宋" w:eastAsia="仿宋" w:cs="仿宋"/>
        </w:rPr>
      </w:pPr>
      <w:r>
        <w:rPr>
          <w:rFonts w:hint="eastAsia" w:ascii="仿宋" w:hAnsi="仿宋" w:eastAsia="仿宋" w:cs="仿宋"/>
          <w:b/>
          <w:bCs/>
          <w:lang w:eastAsia="zh-CN"/>
        </w:rPr>
        <w:t xml:space="preserve">5.1.11.1 企业数据对接需求 </w:t>
      </w:r>
    </w:p>
    <w:p w14:paraId="0A57F037">
      <w:pPr>
        <w:widowControl/>
        <w:ind w:firstLine="480" w:firstLineChars="200"/>
        <w:rPr>
          <w:rFonts w:ascii="仿宋" w:hAnsi="仿宋" w:eastAsia="仿宋" w:cs="仿宋"/>
        </w:rPr>
      </w:pPr>
      <w:r>
        <w:rPr>
          <w:rFonts w:hint="eastAsia" w:ascii="仿宋" w:hAnsi="仿宋" w:eastAsia="仿宋" w:cs="仿宋"/>
          <w:lang w:eastAsia="zh-CN"/>
        </w:rPr>
        <w:t xml:space="preserve">企业侧危险源数据、视频数据、传感器等数据的对接需求。 </w:t>
      </w:r>
    </w:p>
    <w:p w14:paraId="49A8AA13">
      <w:pPr>
        <w:widowControl/>
        <w:rPr>
          <w:rFonts w:ascii="仿宋" w:hAnsi="仿宋" w:eastAsia="仿宋" w:cs="仿宋"/>
        </w:rPr>
      </w:pPr>
      <w:r>
        <w:rPr>
          <w:rFonts w:hint="eastAsia" w:ascii="仿宋" w:hAnsi="仿宋" w:eastAsia="仿宋" w:cs="仿宋"/>
          <w:b/>
          <w:bCs/>
          <w:lang w:eastAsia="zh-CN"/>
        </w:rPr>
        <w:t xml:space="preserve">5.1.11.2 人员管理需求 </w:t>
      </w:r>
    </w:p>
    <w:p w14:paraId="78601663">
      <w:pPr>
        <w:widowControl/>
        <w:ind w:firstLine="480" w:firstLineChars="200"/>
        <w:rPr>
          <w:rFonts w:ascii="仿宋" w:hAnsi="仿宋" w:eastAsia="仿宋" w:cs="仿宋"/>
          <w:lang w:eastAsia="zh-CN"/>
        </w:rPr>
      </w:pPr>
      <w:r>
        <w:rPr>
          <w:rFonts w:hint="eastAsia" w:ascii="仿宋" w:hAnsi="仿宋" w:eastAsia="仿宋" w:cs="仿宋"/>
          <w:lang w:eastAsia="zh-CN"/>
        </w:rPr>
        <w:t>系统具有人员管理功能，其中包括新增人员、修改人员、冻结人员、解冻人员等子功能。</w:t>
      </w:r>
    </w:p>
    <w:p w14:paraId="5083BFB4">
      <w:pPr>
        <w:widowControl/>
        <w:rPr>
          <w:rFonts w:ascii="仿宋" w:hAnsi="仿宋" w:eastAsia="仿宋" w:cs="仿宋"/>
        </w:rPr>
      </w:pPr>
      <w:r>
        <w:rPr>
          <w:rFonts w:hint="eastAsia" w:ascii="仿宋" w:hAnsi="仿宋" w:eastAsia="仿宋" w:cs="仿宋"/>
          <w:b/>
          <w:bCs/>
          <w:lang w:eastAsia="zh-CN"/>
        </w:rPr>
        <w:t xml:space="preserve">5.1.11.3 园区管理需求 </w:t>
      </w:r>
    </w:p>
    <w:p w14:paraId="4B501E6B">
      <w:pPr>
        <w:widowControl/>
        <w:ind w:firstLine="480" w:firstLineChars="200"/>
        <w:rPr>
          <w:rFonts w:ascii="仿宋" w:hAnsi="仿宋" w:eastAsia="仿宋" w:cs="仿宋"/>
        </w:rPr>
      </w:pPr>
      <w:r>
        <w:rPr>
          <w:rFonts w:hint="eastAsia" w:ascii="仿宋" w:hAnsi="仿宋" w:eastAsia="仿宋" w:cs="仿宋"/>
          <w:lang w:eastAsia="zh-CN"/>
        </w:rPr>
        <w:t xml:space="preserve">园区信息、招商管理、租赁合同管理、租金收缴管理、查询等功能 </w:t>
      </w:r>
    </w:p>
    <w:p w14:paraId="1F4CA310">
      <w:pPr>
        <w:widowControl/>
        <w:rPr>
          <w:rFonts w:ascii="仿宋" w:hAnsi="仿宋" w:eastAsia="仿宋" w:cs="仿宋"/>
        </w:rPr>
      </w:pPr>
      <w:r>
        <w:rPr>
          <w:rFonts w:hint="eastAsia" w:ascii="仿宋" w:hAnsi="仿宋" w:eastAsia="仿宋" w:cs="仿宋"/>
          <w:b/>
          <w:bCs/>
          <w:lang w:eastAsia="zh-CN"/>
        </w:rPr>
        <w:t xml:space="preserve">5.1.11.4 运营管理需求 </w:t>
      </w:r>
    </w:p>
    <w:p w14:paraId="408CCE37">
      <w:pPr>
        <w:widowControl/>
        <w:ind w:firstLine="480" w:firstLineChars="200"/>
        <w:rPr>
          <w:rFonts w:ascii="仿宋" w:hAnsi="仿宋" w:eastAsia="仿宋" w:cs="仿宋"/>
        </w:rPr>
      </w:pPr>
      <w:r>
        <w:rPr>
          <w:rFonts w:hint="eastAsia" w:ascii="仿宋" w:hAnsi="仿宋" w:eastAsia="仿宋" w:cs="仿宋"/>
          <w:lang w:eastAsia="zh-CN"/>
        </w:rPr>
        <w:t xml:space="preserve">建立园区档案，构建园区企业信息、企业档案、企业筛选、企业入驻管理、园区通知公告等日常运维功能 </w:t>
      </w:r>
    </w:p>
    <w:p w14:paraId="334B07E8">
      <w:pPr>
        <w:widowControl/>
        <w:rPr>
          <w:rFonts w:ascii="仿宋" w:hAnsi="仿宋" w:eastAsia="仿宋" w:cs="仿宋"/>
        </w:rPr>
      </w:pPr>
      <w:r>
        <w:rPr>
          <w:rFonts w:hint="eastAsia" w:ascii="仿宋" w:hAnsi="仿宋" w:eastAsia="仿宋" w:cs="仿宋"/>
          <w:b/>
          <w:bCs/>
          <w:lang w:eastAsia="zh-CN"/>
        </w:rPr>
        <w:t xml:space="preserve">5.1.11.5 新媒体中心需求 </w:t>
      </w:r>
    </w:p>
    <w:p w14:paraId="366EA759">
      <w:pPr>
        <w:widowControl/>
        <w:ind w:firstLine="240" w:firstLineChars="100"/>
        <w:rPr>
          <w:rFonts w:ascii="仿宋" w:hAnsi="仿宋" w:eastAsia="仿宋" w:cs="仿宋"/>
        </w:rPr>
      </w:pPr>
      <w:r>
        <w:rPr>
          <w:rFonts w:hint="eastAsia" w:ascii="仿宋" w:hAnsi="仿宋" w:eastAsia="仿宋" w:cs="仿宋"/>
          <w:lang w:eastAsia="zh-CN"/>
        </w:rPr>
        <w:t xml:space="preserve">（1）以列表的形式展示系统内发布的所有信息，根据信息的类型分为两个 tab 页进行展示，分别为通知公告和政策宣贯。 </w:t>
      </w:r>
    </w:p>
    <w:p w14:paraId="0910E559">
      <w:pPr>
        <w:widowControl/>
        <w:ind w:firstLine="240" w:firstLineChars="100"/>
        <w:rPr>
          <w:rFonts w:ascii="仿宋" w:hAnsi="仿宋" w:eastAsia="仿宋" w:cs="仿宋"/>
        </w:rPr>
      </w:pPr>
      <w:r>
        <w:rPr>
          <w:rFonts w:hint="eastAsia" w:ascii="仿宋" w:hAnsi="仿宋" w:eastAsia="仿宋" w:cs="仿宋"/>
          <w:lang w:eastAsia="zh-CN"/>
        </w:rPr>
        <w:t xml:space="preserve">（2）管委会的工作人员通过新媒体中心及时发布最新的政策或通知，可在线编写文稿或者上传相关附件。 </w:t>
      </w:r>
    </w:p>
    <w:p w14:paraId="2415B564">
      <w:pPr>
        <w:widowControl/>
        <w:rPr>
          <w:rFonts w:ascii="仿宋" w:hAnsi="仿宋" w:eastAsia="仿宋" w:cs="仿宋"/>
        </w:rPr>
      </w:pPr>
      <w:r>
        <w:rPr>
          <w:rFonts w:hint="eastAsia" w:ascii="仿宋" w:hAnsi="仿宋" w:eastAsia="仿宋" w:cs="仿宋"/>
          <w:b/>
          <w:bCs/>
          <w:lang w:eastAsia="zh-CN"/>
        </w:rPr>
        <w:t xml:space="preserve">5.1.11.6 运维管理需求 </w:t>
      </w:r>
    </w:p>
    <w:p w14:paraId="7F1A7F41">
      <w:pPr>
        <w:widowControl/>
        <w:ind w:firstLine="240" w:firstLineChars="100"/>
        <w:rPr>
          <w:rFonts w:ascii="仿宋" w:hAnsi="仿宋" w:eastAsia="仿宋" w:cs="仿宋"/>
        </w:rPr>
      </w:pPr>
      <w:r>
        <w:rPr>
          <w:rFonts w:hint="eastAsia" w:ascii="仿宋" w:hAnsi="仿宋" w:eastAsia="仿宋" w:cs="仿宋"/>
          <w:lang w:eastAsia="zh-CN"/>
        </w:rPr>
        <w:t xml:space="preserve">（1）告警中心：系统内所有的告警信息汇集于此，包括设备离线告警、设备低电量告警、消防水压阈值告警、入侵告警、火光告警、温度告警、环境告警、物资效期告警，便于运维人员根据告警内容及时派发工单，处理问题。 </w:t>
      </w:r>
    </w:p>
    <w:p w14:paraId="5580B299">
      <w:pPr>
        <w:widowControl/>
        <w:ind w:firstLine="240" w:firstLineChars="100"/>
        <w:rPr>
          <w:rFonts w:ascii="仿宋" w:hAnsi="仿宋" w:eastAsia="仿宋" w:cs="仿宋"/>
        </w:rPr>
      </w:pPr>
      <w:r>
        <w:rPr>
          <w:rFonts w:hint="eastAsia" w:ascii="仿宋" w:hAnsi="仿宋" w:eastAsia="仿宋" w:cs="仿宋"/>
          <w:lang w:eastAsia="zh-CN"/>
        </w:rPr>
        <w:t xml:space="preserve">（2）工单管理：工单管理模块汇聚了系统中所有派发的工单的信息，包括设备 告警工单、应急处置工单、设备运维工单、设备巡检工单等。 </w:t>
      </w:r>
    </w:p>
    <w:p w14:paraId="10BFEA98">
      <w:pPr>
        <w:widowControl/>
        <w:ind w:firstLine="240" w:firstLineChars="100"/>
        <w:rPr>
          <w:rFonts w:ascii="仿宋" w:hAnsi="仿宋" w:eastAsia="仿宋" w:cs="仿宋"/>
        </w:rPr>
      </w:pPr>
      <w:r>
        <w:rPr>
          <w:rFonts w:hint="eastAsia" w:ascii="仿宋" w:hAnsi="仿宋" w:eastAsia="仿宋" w:cs="仿宋"/>
          <w:lang w:eastAsia="zh-CN"/>
        </w:rPr>
        <w:t xml:space="preserve">（3）设备管理：为了对园区所有接入的设备进行统一管理，设备管理模块将各类型设备的相关信息整合在了一起，展示内容包括设备基本信息、设备实时监测数据、历史档案信息、操作记录、巡检记录等。 </w:t>
      </w:r>
    </w:p>
    <w:p w14:paraId="22546FEE">
      <w:pPr>
        <w:widowControl/>
        <w:ind w:firstLine="240" w:firstLineChars="100"/>
        <w:rPr>
          <w:rFonts w:ascii="仿宋" w:hAnsi="仿宋" w:eastAsia="仿宋" w:cs="仿宋"/>
        </w:rPr>
      </w:pPr>
      <w:r>
        <w:rPr>
          <w:rFonts w:hint="eastAsia" w:ascii="仿宋" w:hAnsi="仿宋" w:eastAsia="仿宋" w:cs="仿宋"/>
          <w:lang w:eastAsia="zh-CN"/>
        </w:rPr>
        <w:t xml:space="preserve">（4）巡检计划管理：为了对园区所有接入的设备进行统一管理，设备管理模块将各类型设备的相关信息整合在了一起，展示内容包括设备基本信息、设备实时监测数据、历史档案信息、操作记录、巡检记录等。 </w:t>
      </w:r>
    </w:p>
    <w:p w14:paraId="3D26C780">
      <w:pPr>
        <w:widowControl/>
        <w:ind w:firstLine="240" w:firstLineChars="100"/>
        <w:rPr>
          <w:rFonts w:ascii="仿宋" w:hAnsi="仿宋" w:eastAsia="仿宋" w:cs="仿宋"/>
        </w:rPr>
      </w:pPr>
      <w:r>
        <w:rPr>
          <w:rFonts w:hint="eastAsia" w:ascii="仿宋" w:hAnsi="仿宋" w:eastAsia="仿宋" w:cs="仿宋"/>
          <w:lang w:eastAsia="zh-CN"/>
        </w:rPr>
        <w:t xml:space="preserve">（5）巡检资源管理：通过列表的形式展示了运维人员历次发布的巡检计划，并提供搜索框支持关键字搜索。 </w:t>
      </w:r>
    </w:p>
    <w:p w14:paraId="75A413F9">
      <w:pPr>
        <w:widowControl/>
        <w:ind w:firstLine="240" w:firstLineChars="100"/>
        <w:rPr>
          <w:rFonts w:ascii="仿宋" w:hAnsi="仿宋" w:eastAsia="仿宋" w:cs="仿宋"/>
        </w:rPr>
      </w:pPr>
      <w:r>
        <w:rPr>
          <w:rFonts w:hint="eastAsia" w:ascii="仿宋" w:hAnsi="仿宋" w:eastAsia="仿宋" w:cs="仿宋"/>
          <w:lang w:eastAsia="zh-CN"/>
        </w:rPr>
        <w:t xml:space="preserve">（6）巡检资源包括巡检车辆、巡检人员。本模块用于新增、更新、删除和查询巡检车辆和人员的基本信息以及状态。 </w:t>
      </w:r>
    </w:p>
    <w:p w14:paraId="28A51E26">
      <w:pPr>
        <w:widowControl/>
        <w:rPr>
          <w:rFonts w:ascii="仿宋" w:hAnsi="仿宋" w:eastAsia="仿宋" w:cs="仿宋"/>
        </w:rPr>
      </w:pPr>
      <w:r>
        <w:rPr>
          <w:rFonts w:hint="eastAsia" w:ascii="仿宋" w:hAnsi="仿宋" w:eastAsia="仿宋" w:cs="仿宋"/>
          <w:b/>
          <w:bCs/>
          <w:lang w:eastAsia="zh-CN"/>
        </w:rPr>
        <w:t xml:space="preserve">5.1.11.7 系统管理需求 </w:t>
      </w:r>
    </w:p>
    <w:p w14:paraId="566BF8C4">
      <w:pPr>
        <w:widowControl/>
        <w:ind w:firstLine="240" w:firstLineChars="100"/>
        <w:rPr>
          <w:rFonts w:ascii="仿宋" w:hAnsi="仿宋" w:eastAsia="仿宋" w:cs="仿宋"/>
        </w:rPr>
      </w:pPr>
      <w:r>
        <w:rPr>
          <w:rFonts w:hint="eastAsia" w:ascii="仿宋" w:hAnsi="仿宋" w:eastAsia="仿宋" w:cs="仿宋"/>
          <w:lang w:eastAsia="zh-CN"/>
        </w:rPr>
        <w:t xml:space="preserve">（1）组织架构管理：管理园区管委会的组织架构信息 </w:t>
      </w:r>
    </w:p>
    <w:p w14:paraId="06AD303B">
      <w:pPr>
        <w:widowControl/>
        <w:ind w:firstLine="240" w:firstLineChars="100"/>
        <w:rPr>
          <w:rFonts w:ascii="仿宋" w:hAnsi="仿宋" w:eastAsia="仿宋" w:cs="仿宋"/>
        </w:rPr>
      </w:pPr>
      <w:r>
        <w:rPr>
          <w:rFonts w:hint="eastAsia" w:ascii="仿宋" w:hAnsi="仿宋" w:eastAsia="仿宋" w:cs="仿宋"/>
          <w:lang w:eastAsia="zh-CN"/>
        </w:rPr>
        <w:t xml:space="preserve">（2）权限管理：此模块用于管理系统中所有的角色基本信息、角色中的人员，以及角色对应的操作权限和数据权限。 </w:t>
      </w:r>
    </w:p>
    <w:p w14:paraId="4635517E">
      <w:pPr>
        <w:widowControl/>
        <w:ind w:firstLine="240" w:firstLineChars="100"/>
        <w:rPr>
          <w:rFonts w:ascii="仿宋" w:hAnsi="仿宋" w:eastAsia="仿宋" w:cs="仿宋"/>
        </w:rPr>
      </w:pPr>
      <w:r>
        <w:rPr>
          <w:rFonts w:hint="eastAsia" w:ascii="仿宋" w:hAnsi="仿宋" w:eastAsia="仿宋" w:cs="仿宋"/>
          <w:lang w:eastAsia="zh-CN"/>
        </w:rPr>
        <w:t xml:space="preserve">（3）数据字典：以列表的形式展示了系统中所有的数据字典配置项，包括设备类型、告警类型、企业类型、行业类型等 </w:t>
      </w:r>
    </w:p>
    <w:p w14:paraId="3FCDDC91">
      <w:pPr>
        <w:widowControl/>
        <w:ind w:firstLine="240" w:firstLineChars="100"/>
        <w:rPr>
          <w:rFonts w:ascii="仿宋" w:hAnsi="仿宋" w:eastAsia="仿宋" w:cs="仿宋"/>
        </w:rPr>
      </w:pPr>
      <w:r>
        <w:rPr>
          <w:rFonts w:hint="eastAsia" w:ascii="仿宋" w:hAnsi="仿宋" w:eastAsia="仿宋" w:cs="仿宋"/>
          <w:lang w:eastAsia="zh-CN"/>
        </w:rPr>
        <w:t xml:space="preserve">（4）短信配置：以列表的形式展示系统中所有已配置好的短信模板。业务模块发送短信时通过对接短信配置模块，将业务数据传入此处配置的模板并选择相应的人员，便可成功发送短信。 </w:t>
      </w:r>
    </w:p>
    <w:p w14:paraId="74F090D9">
      <w:pPr>
        <w:widowControl/>
        <w:rPr>
          <w:rFonts w:ascii="仿宋" w:hAnsi="仿宋" w:eastAsia="仿宋" w:cs="仿宋"/>
          <w:b/>
          <w:bCs/>
        </w:rPr>
      </w:pPr>
      <w:r>
        <w:rPr>
          <w:rFonts w:hint="eastAsia" w:ascii="仿宋" w:hAnsi="仿宋" w:eastAsia="仿宋" w:cs="仿宋"/>
          <w:b/>
          <w:bCs/>
          <w:lang w:eastAsia="zh-CN"/>
        </w:rPr>
        <w:t xml:space="preserve">5.1.12 企业智能管控需求 </w:t>
      </w:r>
    </w:p>
    <w:p w14:paraId="4FD6E405">
      <w:pPr>
        <w:widowControl/>
        <w:rPr>
          <w:rFonts w:ascii="仿宋" w:hAnsi="仿宋" w:eastAsia="仿宋" w:cs="仿宋"/>
        </w:rPr>
      </w:pPr>
      <w:r>
        <w:rPr>
          <w:rFonts w:hint="eastAsia" w:ascii="仿宋" w:hAnsi="仿宋" w:eastAsia="仿宋" w:cs="仿宋"/>
          <w:b/>
          <w:bCs/>
          <w:lang w:eastAsia="zh-CN"/>
        </w:rPr>
        <w:t xml:space="preserve">5.1.12.1 企业数据可视化需求 </w:t>
      </w:r>
    </w:p>
    <w:p w14:paraId="02D24E55">
      <w:pPr>
        <w:widowControl/>
        <w:ind w:firstLine="480" w:firstLineChars="200"/>
        <w:rPr>
          <w:rFonts w:ascii="仿宋" w:hAnsi="仿宋" w:eastAsia="仿宋" w:cs="仿宋"/>
        </w:rPr>
      </w:pPr>
      <w:r>
        <w:rPr>
          <w:rFonts w:hint="eastAsia" w:ascii="仿宋" w:hAnsi="仿宋" w:eastAsia="仿宋" w:cs="仿宋"/>
          <w:lang w:eastAsia="zh-CN"/>
        </w:rPr>
        <w:t xml:space="preserve">针对系统内企业的各个模块数据，统计展示各模块的数据分布情况，方便监管部门掌握园区企业相关数据指标的总体信息。 </w:t>
      </w:r>
    </w:p>
    <w:p w14:paraId="1FAFC8ED">
      <w:pPr>
        <w:widowControl/>
        <w:rPr>
          <w:rFonts w:ascii="仿宋" w:hAnsi="仿宋" w:eastAsia="仿宋" w:cs="仿宋"/>
        </w:rPr>
      </w:pPr>
      <w:r>
        <w:rPr>
          <w:rFonts w:hint="eastAsia" w:ascii="仿宋" w:hAnsi="仿宋" w:eastAsia="仿宋" w:cs="仿宋"/>
          <w:b/>
          <w:bCs/>
          <w:lang w:eastAsia="zh-CN"/>
        </w:rPr>
        <w:t xml:space="preserve">5.1.12.2 企业综合查询需求 </w:t>
      </w:r>
    </w:p>
    <w:p w14:paraId="16AF7DB4">
      <w:pPr>
        <w:widowControl/>
        <w:ind w:firstLine="480" w:firstLineChars="200"/>
        <w:rPr>
          <w:rFonts w:ascii="仿宋" w:hAnsi="仿宋" w:eastAsia="仿宋" w:cs="仿宋"/>
        </w:rPr>
      </w:pPr>
      <w:r>
        <w:rPr>
          <w:rFonts w:hint="eastAsia" w:ascii="仿宋" w:hAnsi="仿宋" w:eastAsia="仿宋" w:cs="仿宋"/>
          <w:lang w:eastAsia="zh-CN"/>
        </w:rPr>
        <w:t xml:space="preserve">应用大数据分析检索技术，对企业信息提供多维度多条件的综合查询功能，从企业大数据库中快速检索符合条件的企业信息。检索条件包括企业名称、所属行业、监管类别、监管标签、规模、标准化等级、所属辖区、风险等级等等。按条件检索出来的企业结果集按照列表形式进行展现，展示企业名称、所属辖区、行业、监管类别、规模、联系人电话等基础信息项。点击每一个企业记录可查询 </w:t>
      </w:r>
    </w:p>
    <w:p w14:paraId="4D305B2A">
      <w:pPr>
        <w:widowControl/>
        <w:rPr>
          <w:rFonts w:ascii="仿宋" w:hAnsi="仿宋" w:eastAsia="仿宋" w:cs="仿宋"/>
        </w:rPr>
      </w:pPr>
      <w:r>
        <w:rPr>
          <w:rFonts w:hint="eastAsia" w:ascii="仿宋" w:hAnsi="仿宋" w:eastAsia="仿宋" w:cs="仿宋"/>
          <w:lang w:eastAsia="zh-CN"/>
        </w:rPr>
        <w:t xml:space="preserve">该企业的详情档案信息。 </w:t>
      </w:r>
    </w:p>
    <w:p w14:paraId="216D9037">
      <w:pPr>
        <w:widowControl/>
        <w:rPr>
          <w:rFonts w:ascii="仿宋" w:hAnsi="仿宋" w:eastAsia="仿宋" w:cs="仿宋"/>
        </w:rPr>
      </w:pPr>
      <w:r>
        <w:rPr>
          <w:rFonts w:hint="eastAsia" w:ascii="仿宋" w:hAnsi="仿宋" w:eastAsia="仿宋" w:cs="仿宋"/>
          <w:b/>
          <w:bCs/>
          <w:lang w:eastAsia="zh-CN"/>
        </w:rPr>
        <w:t xml:space="preserve">5.1.12.3 一企一码需求 </w:t>
      </w:r>
    </w:p>
    <w:p w14:paraId="5FCED6F9">
      <w:pPr>
        <w:widowControl/>
        <w:ind w:firstLine="480" w:firstLineChars="200"/>
        <w:rPr>
          <w:rFonts w:ascii="仿宋" w:hAnsi="仿宋" w:eastAsia="仿宋" w:cs="仿宋"/>
        </w:rPr>
      </w:pPr>
      <w:r>
        <w:rPr>
          <w:rFonts w:hint="eastAsia" w:ascii="仿宋" w:hAnsi="仿宋" w:eastAsia="仿宋" w:cs="仿宋"/>
          <w:lang w:eastAsia="zh-CN"/>
        </w:rPr>
        <w:t xml:space="preserve">为每个企业生成唯一的二维码，用户可通过手机扫描二维码，可根据角色查 看企业信息、双重预防机制效果、隐患信息、告警信息、检查项等，扫码即可了解被检查的企业的安全风险现状，以便对企业进行针对性检查。 </w:t>
      </w:r>
    </w:p>
    <w:p w14:paraId="528B4C6B">
      <w:pPr>
        <w:widowControl/>
        <w:rPr>
          <w:rFonts w:ascii="仿宋" w:hAnsi="仿宋" w:eastAsia="仿宋" w:cs="仿宋"/>
        </w:rPr>
      </w:pPr>
      <w:r>
        <w:rPr>
          <w:rFonts w:hint="eastAsia" w:ascii="仿宋" w:hAnsi="仿宋" w:eastAsia="仿宋" w:cs="仿宋"/>
          <w:b/>
          <w:bCs/>
          <w:lang w:eastAsia="zh-CN"/>
        </w:rPr>
        <w:t xml:space="preserve">5.1.12.4 企业履职情况管理需求 </w:t>
      </w:r>
    </w:p>
    <w:p w14:paraId="18F75CD2">
      <w:pPr>
        <w:widowControl/>
        <w:ind w:firstLine="480" w:firstLineChars="200"/>
        <w:rPr>
          <w:rFonts w:ascii="仿宋" w:hAnsi="仿宋" w:eastAsia="仿宋" w:cs="仿宋"/>
        </w:rPr>
      </w:pPr>
      <w:r>
        <w:rPr>
          <w:rFonts w:hint="eastAsia" w:ascii="仿宋" w:hAnsi="仿宋" w:eastAsia="仿宋" w:cs="仿宋"/>
          <w:lang w:eastAsia="zh-CN"/>
        </w:rPr>
        <w:t xml:space="preserve">支持查看企业的履职情况列表，包括履职名称、履职类型、履职对象、履职条目等信息。可查看每条履职记录对应履职对象的详情信息，并对企业履职记录 </w:t>
      </w:r>
    </w:p>
    <w:p w14:paraId="77890F73">
      <w:pPr>
        <w:widowControl/>
        <w:rPr>
          <w:rFonts w:ascii="仿宋" w:hAnsi="仿宋" w:eastAsia="仿宋" w:cs="仿宋"/>
        </w:rPr>
      </w:pPr>
      <w:r>
        <w:rPr>
          <w:rFonts w:hint="eastAsia" w:ascii="仿宋" w:hAnsi="仿宋" w:eastAsia="仿宋" w:cs="仿宋"/>
          <w:lang w:eastAsia="zh-CN"/>
        </w:rPr>
        <w:t xml:space="preserve">进行评估。 </w:t>
      </w:r>
    </w:p>
    <w:p w14:paraId="164EE2A2">
      <w:pPr>
        <w:widowControl/>
        <w:rPr>
          <w:rFonts w:ascii="仿宋" w:hAnsi="仿宋" w:eastAsia="仿宋" w:cs="仿宋"/>
        </w:rPr>
      </w:pPr>
      <w:r>
        <w:rPr>
          <w:rFonts w:hint="eastAsia" w:ascii="仿宋" w:hAnsi="仿宋" w:eastAsia="仿宋" w:cs="仿宋"/>
          <w:b/>
          <w:bCs/>
          <w:lang w:eastAsia="zh-CN"/>
        </w:rPr>
        <w:t xml:space="preserve">5.1.12.5 企业违章记录管理需求 </w:t>
      </w:r>
    </w:p>
    <w:p w14:paraId="35306108">
      <w:pPr>
        <w:widowControl/>
        <w:rPr>
          <w:rFonts w:ascii="仿宋" w:hAnsi="仿宋" w:eastAsia="仿宋" w:cs="仿宋"/>
        </w:rPr>
      </w:pPr>
      <w:r>
        <w:rPr>
          <w:rFonts w:hint="eastAsia" w:ascii="仿宋" w:hAnsi="仿宋" w:eastAsia="仿宋" w:cs="仿宋"/>
          <w:lang w:eastAsia="zh-CN"/>
        </w:rPr>
        <w:t xml:space="preserve">对企业所有的违章处罚记录信息进行集中管理维护。政府端可查看当前企业的违章记录信息，包括违章名称、类型、地点、违章人员、违章时间、违章概述、处置状态、处置说明等，并可查看上传的图像视频等附件资料。 </w:t>
      </w:r>
    </w:p>
    <w:p w14:paraId="638ABA4C">
      <w:pPr>
        <w:widowControl/>
        <w:ind w:firstLine="480" w:firstLineChars="200"/>
        <w:rPr>
          <w:rFonts w:ascii="仿宋" w:hAnsi="仿宋" w:eastAsia="仿宋" w:cs="仿宋"/>
        </w:rPr>
      </w:pPr>
      <w:r>
        <w:rPr>
          <w:rFonts w:hint="eastAsia" w:ascii="仿宋" w:hAnsi="仿宋" w:eastAsia="仿宋" w:cs="仿宋"/>
          <w:lang w:eastAsia="zh-CN"/>
        </w:rPr>
        <w:t xml:space="preserve">同时提供所有违章记录的综合查询检索功能，可根据违章时间、地点、类型、处置状态等条件对违章记录进行过滤检索，查看每一条违章记录的详细信息和处置情况，包括在线预览行政处罚的附件电子文档等。 </w:t>
      </w:r>
    </w:p>
    <w:p w14:paraId="7205C9FF">
      <w:pPr>
        <w:widowControl/>
        <w:rPr>
          <w:rFonts w:ascii="仿宋" w:hAnsi="仿宋" w:eastAsia="仿宋" w:cs="仿宋"/>
        </w:rPr>
      </w:pPr>
      <w:r>
        <w:rPr>
          <w:rFonts w:hint="eastAsia" w:ascii="仿宋" w:hAnsi="仿宋" w:eastAsia="仿宋" w:cs="仿宋"/>
          <w:b/>
          <w:bCs/>
          <w:lang w:eastAsia="zh-CN"/>
        </w:rPr>
        <w:t xml:space="preserve">5.1.12.6 企业安全生产许可相关证照和有关报告信息管理需求 </w:t>
      </w:r>
    </w:p>
    <w:p w14:paraId="19A8A0CF">
      <w:pPr>
        <w:widowControl/>
        <w:ind w:firstLine="480" w:firstLineChars="200"/>
        <w:rPr>
          <w:rFonts w:ascii="仿宋" w:hAnsi="仿宋" w:eastAsia="仿宋" w:cs="仿宋"/>
        </w:rPr>
      </w:pPr>
      <w:r>
        <w:rPr>
          <w:rFonts w:hint="eastAsia" w:ascii="仿宋" w:hAnsi="仿宋" w:eastAsia="仿宋" w:cs="仿宋"/>
          <w:lang w:eastAsia="zh-CN"/>
        </w:rPr>
        <w:t xml:space="preserve">实现危险化学品安全生产许可证、危险化学品登记证、安全生产标准化证书、安全评价报告、安全“三同时”等相关材料按统一格式录入信息和定期更新。支持相关证照到期自动提醒、安全材料关键信息缺失自动核验，以及与园区平台互通。生产过程信息建立生产过程基础信息电子档案及线上管理流程，包括但不限于危险工艺名称、反应类型、涉及的危险化学品 MSDS、重大危险源、重点监控单元、工艺简介、工艺危险特点、重点监控工艺参数指标、现有安全控制手段、开停车信息等。支持与危险化学品登记信息管理系统、化学品安全信息检索系统数据对接，以及与园区平台互通。 </w:t>
      </w:r>
    </w:p>
    <w:p w14:paraId="7C9DF6C8">
      <w:pPr>
        <w:widowControl/>
        <w:rPr>
          <w:rFonts w:ascii="仿宋" w:hAnsi="仿宋" w:eastAsia="仿宋" w:cs="仿宋"/>
        </w:rPr>
      </w:pPr>
      <w:r>
        <w:rPr>
          <w:rFonts w:hint="eastAsia" w:ascii="仿宋" w:hAnsi="仿宋" w:eastAsia="仿宋" w:cs="仿宋"/>
          <w:b/>
          <w:bCs/>
          <w:lang w:eastAsia="zh-CN"/>
        </w:rPr>
        <w:t xml:space="preserve">5.1.12.7 企业设备设施基础信息管理需求 </w:t>
      </w:r>
    </w:p>
    <w:p w14:paraId="0FF1164C">
      <w:pPr>
        <w:widowControl/>
        <w:ind w:firstLine="480" w:firstLineChars="200"/>
        <w:rPr>
          <w:rFonts w:ascii="仿宋" w:hAnsi="仿宋" w:eastAsia="仿宋" w:cs="仿宋"/>
        </w:rPr>
      </w:pPr>
      <w:r>
        <w:rPr>
          <w:rFonts w:hint="eastAsia" w:ascii="仿宋" w:hAnsi="仿宋" w:eastAsia="仿宋" w:cs="仿宋"/>
          <w:lang w:eastAsia="zh-CN"/>
        </w:rPr>
        <w:t xml:space="preserve">建立特种设备和安全设施电子档案及线上管理流程，包括但不限于特种设备清单及定期检测记录、登记注册表、安全阀清单及定期校验记录、爆破片清单及更换记录、安全仪表联锁清单等。支持安全阀临期校验、爆破片临期更换等提醒。 </w:t>
      </w:r>
    </w:p>
    <w:p w14:paraId="6997BB37">
      <w:pPr>
        <w:widowControl/>
        <w:rPr>
          <w:rFonts w:ascii="仿宋" w:hAnsi="仿宋" w:eastAsia="仿宋" w:cs="仿宋"/>
        </w:rPr>
      </w:pPr>
      <w:r>
        <w:rPr>
          <w:rFonts w:hint="eastAsia" w:ascii="仿宋" w:hAnsi="仿宋" w:eastAsia="仿宋" w:cs="仿宋"/>
          <w:b/>
          <w:bCs/>
          <w:lang w:eastAsia="zh-CN"/>
        </w:rPr>
        <w:t xml:space="preserve">5.1.12.8 企业人员基础信息管理需求 </w:t>
      </w:r>
    </w:p>
    <w:p w14:paraId="3007D38C">
      <w:pPr>
        <w:widowControl/>
        <w:ind w:firstLine="480" w:firstLineChars="200"/>
        <w:rPr>
          <w:rFonts w:ascii="仿宋" w:hAnsi="仿宋" w:eastAsia="仿宋" w:cs="仿宋"/>
        </w:rPr>
      </w:pPr>
      <w:r>
        <w:rPr>
          <w:rFonts w:hint="eastAsia" w:ascii="仿宋" w:hAnsi="仿宋" w:eastAsia="仿宋" w:cs="仿宋"/>
          <w:lang w:eastAsia="zh-CN"/>
        </w:rPr>
        <w:t xml:space="preserve">建立企业人员基础信息电子档案及线上管理流程，包括但不限于主要负责人、分管安全负责人、企业在册从业人数、专职安全人员人数、注册安全工程师人数、姓名及证号、特种作业人数、值班值守等，支持相关人员从业证书、安全培训临期提示。支持从业人员学历、专职安全人员人数、注册安全工程师人数的合规性自诊断，与园区平台数据对接。 </w:t>
      </w:r>
    </w:p>
    <w:p w14:paraId="22F6FAA1">
      <w:pPr>
        <w:widowControl/>
        <w:rPr>
          <w:rFonts w:ascii="仿宋" w:hAnsi="仿宋" w:eastAsia="仿宋" w:cs="仿宋"/>
        </w:rPr>
      </w:pPr>
      <w:r>
        <w:rPr>
          <w:rFonts w:hint="eastAsia" w:ascii="仿宋" w:hAnsi="仿宋" w:eastAsia="仿宋" w:cs="仿宋"/>
          <w:b/>
          <w:bCs/>
          <w:lang w:eastAsia="zh-CN"/>
        </w:rPr>
        <w:t xml:space="preserve">5.1.12.9 第三方人员基础信息管理需求 </w:t>
      </w:r>
    </w:p>
    <w:p w14:paraId="7C3E6C23">
      <w:pPr>
        <w:widowControl/>
        <w:ind w:firstLine="480" w:firstLineChars="200"/>
        <w:rPr>
          <w:rFonts w:ascii="仿宋" w:hAnsi="仿宋" w:eastAsia="仿宋" w:cs="仿宋"/>
        </w:rPr>
      </w:pPr>
      <w:r>
        <w:rPr>
          <w:rFonts w:hint="eastAsia" w:ascii="仿宋" w:hAnsi="仿宋" w:eastAsia="仿宋" w:cs="仿宋"/>
          <w:lang w:eastAsia="zh-CN"/>
        </w:rPr>
        <w:t xml:space="preserve">建立企业第三方人员基础信息电子档案及线上管理流程，包括但不限于承包商、供应商、临时访客等第三方外来人员；具备作业人员证书、外来人员证书管理等功能。支持与特殊作业模块、人员定位模块功能联动。 </w:t>
      </w:r>
    </w:p>
    <w:p w14:paraId="7201A90F">
      <w:pPr>
        <w:widowControl/>
        <w:rPr>
          <w:rFonts w:ascii="仿宋" w:hAnsi="仿宋" w:eastAsia="仿宋" w:cs="仿宋"/>
        </w:rPr>
      </w:pPr>
      <w:r>
        <w:rPr>
          <w:rFonts w:hint="eastAsia" w:ascii="仿宋" w:hAnsi="仿宋" w:eastAsia="仿宋" w:cs="仿宋"/>
          <w:b/>
          <w:bCs/>
          <w:lang w:eastAsia="zh-CN"/>
        </w:rPr>
        <w:t xml:space="preserve">5.1.12.10 企业重大危险源安全包保责任落实管理需求 </w:t>
      </w:r>
    </w:p>
    <w:p w14:paraId="3459011A">
      <w:pPr>
        <w:widowControl/>
        <w:ind w:firstLine="480" w:firstLineChars="200"/>
        <w:rPr>
          <w:rFonts w:ascii="仿宋" w:hAnsi="仿宋" w:eastAsia="仿宋" w:cs="仿宋"/>
        </w:rPr>
      </w:pPr>
      <w:r>
        <w:rPr>
          <w:rFonts w:hint="eastAsia" w:ascii="仿宋" w:hAnsi="仿宋" w:eastAsia="仿宋" w:cs="仿宋"/>
          <w:lang w:eastAsia="zh-CN"/>
        </w:rPr>
        <w:t xml:space="preserve">实现重大危险源主要负责人、技术负责人、操作负责人的安全包保履职结构化电子记录，做到可查询、可追溯。支持企业的安全管理机构对包保责任人履职情况进行在线考核，定期自动生成考核报告。 </w:t>
      </w:r>
    </w:p>
    <w:p w14:paraId="31E2D4A3">
      <w:pPr>
        <w:widowControl/>
        <w:rPr>
          <w:rFonts w:ascii="仿宋" w:hAnsi="仿宋" w:eastAsia="仿宋" w:cs="仿宋"/>
        </w:rPr>
      </w:pPr>
      <w:r>
        <w:rPr>
          <w:rFonts w:hint="eastAsia" w:ascii="仿宋" w:hAnsi="仿宋" w:eastAsia="仿宋" w:cs="仿宋"/>
          <w:b/>
          <w:bCs/>
          <w:lang w:eastAsia="zh-CN"/>
        </w:rPr>
        <w:t xml:space="preserve">5.1.12.11 企业设施状态在线监测 </w:t>
      </w:r>
    </w:p>
    <w:p w14:paraId="46B5B31C">
      <w:pPr>
        <w:widowControl/>
        <w:ind w:firstLine="480" w:firstLineChars="200"/>
        <w:rPr>
          <w:rFonts w:ascii="仿宋" w:hAnsi="仿宋" w:eastAsia="仿宋" w:cs="仿宋"/>
        </w:rPr>
      </w:pPr>
      <w:r>
        <w:rPr>
          <w:rFonts w:hint="eastAsia" w:ascii="仿宋" w:hAnsi="仿宋" w:eastAsia="仿宋" w:cs="仿宋"/>
          <w:lang w:eastAsia="zh-CN"/>
        </w:rPr>
        <w:t xml:space="preserve">汇聚企业储罐、装置、危险化学品库等的液位、温度、压力和可燃有毒气体浓度的实时监测数据、报警数据、视频监控，支持信息查询、历史数据查询、多维度对比、统计分析、视频智能分析，实现事件识别、报警监控、报警管理、运行监控、报警处置、报警分析、实时（短信）通知、设备管理、预警管理等功能。 </w:t>
      </w:r>
    </w:p>
    <w:p w14:paraId="74E96D53">
      <w:pPr>
        <w:widowControl/>
        <w:rPr>
          <w:rFonts w:ascii="仿宋" w:hAnsi="仿宋" w:eastAsia="仿宋" w:cs="仿宋"/>
        </w:rPr>
      </w:pPr>
      <w:r>
        <w:rPr>
          <w:rFonts w:hint="eastAsia" w:ascii="仿宋" w:hAnsi="仿宋" w:eastAsia="仿宋" w:cs="仿宋"/>
          <w:b/>
          <w:bCs/>
          <w:lang w:eastAsia="zh-CN"/>
        </w:rPr>
        <w:t xml:space="preserve">5.1.12.12 企业风险管控需求 </w:t>
      </w:r>
    </w:p>
    <w:p w14:paraId="7EE51310">
      <w:pPr>
        <w:widowControl/>
        <w:ind w:firstLine="480" w:firstLineChars="200"/>
        <w:rPr>
          <w:rFonts w:ascii="仿宋" w:hAnsi="仿宋" w:eastAsia="仿宋" w:cs="仿宋"/>
        </w:rPr>
      </w:pPr>
      <w:r>
        <w:rPr>
          <w:rFonts w:hint="eastAsia" w:ascii="仿宋" w:hAnsi="仿宋" w:eastAsia="仿宋" w:cs="仿宋"/>
          <w:lang w:eastAsia="zh-CN"/>
        </w:rPr>
        <w:t xml:space="preserve">基于风险预警模型，实现重大危险源安全风险的实时评估分析和展示、预警信息及时有效处置和闭环管理，支持消警后上报处置结果、原因分析及整改措施。 </w:t>
      </w:r>
    </w:p>
    <w:p w14:paraId="3A82B069">
      <w:pPr>
        <w:widowControl/>
        <w:rPr>
          <w:rFonts w:ascii="仿宋" w:hAnsi="仿宋" w:eastAsia="仿宋" w:cs="仿宋"/>
        </w:rPr>
      </w:pPr>
      <w:r>
        <w:rPr>
          <w:rFonts w:hint="eastAsia" w:ascii="仿宋" w:hAnsi="仿宋" w:eastAsia="仿宋" w:cs="仿宋"/>
          <w:b/>
          <w:bCs/>
          <w:lang w:eastAsia="zh-CN"/>
        </w:rPr>
        <w:t xml:space="preserve">5.1.12.13 企业报告管理及隐患管理需求 </w:t>
      </w:r>
    </w:p>
    <w:p w14:paraId="08F46958">
      <w:pPr>
        <w:widowControl/>
        <w:ind w:firstLine="480" w:firstLineChars="200"/>
        <w:rPr>
          <w:rFonts w:ascii="仿宋" w:hAnsi="仿宋" w:eastAsia="仿宋" w:cs="仿宋"/>
        </w:rPr>
      </w:pPr>
      <w:r>
        <w:rPr>
          <w:rFonts w:hint="eastAsia" w:ascii="仿宋" w:hAnsi="仿宋" w:eastAsia="仿宋" w:cs="仿宋"/>
          <w:lang w:eastAsia="zh-CN"/>
        </w:rPr>
        <w:t xml:space="preserve">支持上传重大危险源的安全评价报告、SIL 等级评估报告和重大危险源专项督导检查问题隐患相关数据，实现重大危险源的安全评价报告电子化存档、查阅和问题隐患“三录入”及整改反馈功能 </w:t>
      </w:r>
    </w:p>
    <w:p w14:paraId="5F2385BE">
      <w:pPr>
        <w:widowControl/>
        <w:rPr>
          <w:rFonts w:ascii="仿宋" w:hAnsi="仿宋" w:eastAsia="仿宋" w:cs="仿宋"/>
        </w:rPr>
      </w:pPr>
      <w:r>
        <w:rPr>
          <w:rFonts w:hint="eastAsia" w:ascii="仿宋" w:hAnsi="仿宋" w:eastAsia="仿宋" w:cs="仿宋"/>
          <w:b/>
          <w:bCs/>
          <w:lang w:eastAsia="zh-CN"/>
        </w:rPr>
        <w:t xml:space="preserve">5.1.12.14 双重预防机制运行管理需求 </w:t>
      </w:r>
    </w:p>
    <w:p w14:paraId="37FCF6D9">
      <w:pPr>
        <w:widowControl/>
        <w:ind w:firstLine="480" w:firstLineChars="200"/>
        <w:rPr>
          <w:rFonts w:ascii="仿宋" w:hAnsi="仿宋" w:eastAsia="仿宋" w:cs="仿宋"/>
        </w:rPr>
      </w:pPr>
      <w:r>
        <w:rPr>
          <w:rFonts w:hint="eastAsia" w:ascii="仿宋" w:hAnsi="仿宋" w:eastAsia="仿宋" w:cs="仿宋"/>
          <w:lang w:eastAsia="zh-CN"/>
        </w:rPr>
        <w:t xml:space="preserve">主要用于推动企业有效运行双重预防机制，对企业风险分析清单、排查任务及隐患治理情况进行管理，实现风险分级动态管控、隐患排查治理闭环管理、机制运行成效监督预警等功能，全面提升安全风险防控水平。 </w:t>
      </w:r>
    </w:p>
    <w:p w14:paraId="1E35689C">
      <w:pPr>
        <w:widowControl/>
        <w:rPr>
          <w:rFonts w:ascii="仿宋" w:hAnsi="仿宋" w:eastAsia="仿宋" w:cs="仿宋"/>
        </w:rPr>
      </w:pPr>
      <w:r>
        <w:rPr>
          <w:rFonts w:hint="eastAsia" w:ascii="仿宋" w:hAnsi="仿宋" w:eastAsia="仿宋" w:cs="仿宋"/>
          <w:b/>
          <w:bCs/>
          <w:lang w:eastAsia="zh-CN"/>
        </w:rPr>
        <w:t xml:space="preserve">5.1.12.15 企业特殊作业管理需求 </w:t>
      </w:r>
    </w:p>
    <w:p w14:paraId="11859462">
      <w:pPr>
        <w:widowControl/>
        <w:ind w:firstLine="480" w:firstLineChars="200"/>
        <w:rPr>
          <w:rFonts w:ascii="仿宋" w:hAnsi="仿宋" w:eastAsia="仿宋" w:cs="仿宋"/>
        </w:rPr>
      </w:pPr>
      <w:r>
        <w:rPr>
          <w:rFonts w:hint="eastAsia" w:ascii="仿宋" w:hAnsi="仿宋" w:eastAsia="仿宋" w:cs="仿宋"/>
          <w:lang w:eastAsia="zh-CN"/>
        </w:rPr>
        <w:t xml:space="preserve">企业特殊作业审批许可条件条目化、电子化、流程化，并通过信息化手段对作业全流程进行过程痕迹管理，从而实现特殊作业申请、预约、审查、安全条件确认、许可、监护、验收全流程信息化、规范化、程序化管理，支持同园区及上级监管部门的数据互通。 </w:t>
      </w:r>
    </w:p>
    <w:p w14:paraId="63B9373E">
      <w:pPr>
        <w:widowControl/>
        <w:rPr>
          <w:rFonts w:ascii="仿宋" w:hAnsi="仿宋" w:eastAsia="仿宋" w:cs="仿宋"/>
        </w:rPr>
      </w:pPr>
      <w:r>
        <w:rPr>
          <w:rFonts w:hint="eastAsia" w:ascii="仿宋" w:hAnsi="仿宋" w:eastAsia="仿宋" w:cs="仿宋"/>
          <w:b/>
          <w:bCs/>
          <w:lang w:eastAsia="zh-CN"/>
        </w:rPr>
        <w:t xml:space="preserve">5.1.12.16 企业智能巡检管理需求 </w:t>
      </w:r>
    </w:p>
    <w:p w14:paraId="15A94B57">
      <w:pPr>
        <w:widowControl/>
        <w:ind w:firstLine="480" w:firstLineChars="200"/>
        <w:rPr>
          <w:rFonts w:ascii="仿宋" w:hAnsi="仿宋" w:eastAsia="仿宋" w:cs="仿宋"/>
        </w:rPr>
      </w:pPr>
      <w:r>
        <w:rPr>
          <w:rFonts w:hint="eastAsia" w:ascii="仿宋" w:hAnsi="仿宋" w:eastAsia="仿宋" w:cs="仿宋"/>
          <w:lang w:eastAsia="zh-CN"/>
        </w:rPr>
        <w:t xml:space="preserve">建设智能巡检系统，实现巡检、巡查全过程数字化管理，分角色制定巡检任务、规划巡检路线，匹配巡检清单及制度规范。巡检人员通过移动终端自动获取巡检任务要求。 </w:t>
      </w:r>
    </w:p>
    <w:p w14:paraId="1911037D">
      <w:pPr>
        <w:widowControl/>
        <w:rPr>
          <w:rFonts w:ascii="仿宋" w:hAnsi="仿宋" w:eastAsia="仿宋" w:cs="仿宋"/>
        </w:rPr>
      </w:pPr>
      <w:r>
        <w:rPr>
          <w:rFonts w:hint="eastAsia" w:ascii="仿宋" w:hAnsi="仿宋" w:eastAsia="仿宋" w:cs="仿宋"/>
          <w:b/>
          <w:bCs/>
          <w:lang w:eastAsia="zh-CN"/>
        </w:rPr>
        <w:t xml:space="preserve">5.1.12.17 企业人员定位管理需求 </w:t>
      </w:r>
    </w:p>
    <w:p w14:paraId="481CE9AA">
      <w:pPr>
        <w:widowControl/>
        <w:ind w:firstLine="480" w:firstLineChars="200"/>
        <w:rPr>
          <w:rFonts w:ascii="仿宋" w:hAnsi="仿宋" w:eastAsia="仿宋" w:cs="仿宋"/>
        </w:rPr>
      </w:pPr>
      <w:r>
        <w:rPr>
          <w:rFonts w:hint="eastAsia" w:ascii="仿宋" w:hAnsi="仿宋" w:eastAsia="仿宋" w:cs="仿宋"/>
          <w:lang w:eastAsia="zh-CN"/>
        </w:rPr>
        <w:t xml:space="preserve">通过布设多个定位基站与人员携带的信号标签进行通信的方式，结合人员定位算法，计算出信号标签位置进行人员定位。根据企业实际应用场景建设基站布局合理、定位精度准确的人员定位系统，实现接收与发送报警信息、可视化展示、人员数量统计分析、人员活动轨迹分析、存储和查询等功能。支持与报警信息、智能巡检、特殊作业管理、应急疏散撤离、应急演练联动，与化工园区安全风险智能化管控平台对接。 </w:t>
      </w:r>
    </w:p>
    <w:p w14:paraId="549247CB">
      <w:pPr>
        <w:widowControl/>
        <w:rPr>
          <w:rFonts w:ascii="仿宋" w:hAnsi="仿宋" w:eastAsia="仿宋" w:cs="仿宋"/>
          <w:b/>
          <w:bCs/>
        </w:rPr>
      </w:pPr>
      <w:r>
        <w:rPr>
          <w:rFonts w:hint="eastAsia" w:ascii="仿宋" w:hAnsi="仿宋" w:eastAsia="仿宋" w:cs="仿宋"/>
          <w:b/>
          <w:bCs/>
          <w:lang w:eastAsia="zh-CN"/>
        </w:rPr>
        <w:t xml:space="preserve">5.1.13 移动端需求 </w:t>
      </w:r>
    </w:p>
    <w:p w14:paraId="79B0373F">
      <w:pPr>
        <w:widowControl/>
        <w:rPr>
          <w:rFonts w:ascii="仿宋" w:hAnsi="仿宋" w:eastAsia="仿宋" w:cs="仿宋"/>
        </w:rPr>
      </w:pPr>
      <w:r>
        <w:rPr>
          <w:rFonts w:hint="eastAsia" w:ascii="仿宋" w:hAnsi="仿宋" w:eastAsia="仿宋" w:cs="仿宋"/>
          <w:b/>
          <w:bCs/>
          <w:lang w:eastAsia="zh-CN"/>
        </w:rPr>
        <w:t xml:space="preserve">5.1.13.1 园区移动端需求 </w:t>
      </w:r>
    </w:p>
    <w:p w14:paraId="15D56AC0">
      <w:pPr>
        <w:widowControl/>
        <w:ind w:firstLine="480" w:firstLineChars="200"/>
        <w:rPr>
          <w:rFonts w:ascii="仿宋" w:hAnsi="仿宋" w:eastAsia="仿宋" w:cs="仿宋"/>
        </w:rPr>
      </w:pPr>
      <w:r>
        <w:rPr>
          <w:rFonts w:hint="eastAsia" w:ascii="仿宋" w:hAnsi="仿宋" w:eastAsia="仿宋" w:cs="仿宋"/>
          <w:lang w:eastAsia="zh-CN"/>
        </w:rPr>
        <w:t xml:space="preserve">园区端包括企业基础档案、安全等在线监控信息、报警消息的接收与在线反馈、通知消息的接收与查看等，实现在一个移动端完成监控查看和业务管理工作。 </w:t>
      </w:r>
    </w:p>
    <w:p w14:paraId="54E9F693">
      <w:pPr>
        <w:widowControl/>
        <w:rPr>
          <w:rFonts w:ascii="仿宋" w:hAnsi="仿宋" w:eastAsia="仿宋" w:cs="仿宋"/>
        </w:rPr>
      </w:pPr>
      <w:r>
        <w:rPr>
          <w:rFonts w:hint="eastAsia" w:ascii="仿宋" w:hAnsi="仿宋" w:eastAsia="仿宋" w:cs="仿宋"/>
          <w:b/>
          <w:bCs/>
          <w:lang w:eastAsia="zh-CN"/>
        </w:rPr>
        <w:t xml:space="preserve">5.1.13.2 企业移动端需求 </w:t>
      </w:r>
    </w:p>
    <w:p w14:paraId="75C85C94">
      <w:pPr>
        <w:widowControl/>
        <w:ind w:firstLine="480" w:firstLineChars="200"/>
        <w:rPr>
          <w:rFonts w:ascii="仿宋" w:hAnsi="仿宋" w:eastAsia="仿宋" w:cs="仿宋"/>
        </w:rPr>
      </w:pPr>
      <w:r>
        <w:rPr>
          <w:rFonts w:hint="eastAsia" w:ascii="仿宋" w:hAnsi="仿宋" w:eastAsia="仿宋" w:cs="仿宋"/>
          <w:lang w:eastAsia="zh-CN"/>
        </w:rPr>
        <w:t>企业端包括企业安全在线监测数据的查看、报警消息的接收与在线反馈、通知消息的接收与查看、双预防申报等功能。</w:t>
      </w:r>
    </w:p>
    <w:p w14:paraId="53F9857D">
      <w:pPr>
        <w:widowControl/>
        <w:rPr>
          <w:rFonts w:ascii="仿宋" w:hAnsi="仿宋" w:eastAsia="仿宋" w:cs="仿宋"/>
        </w:rPr>
      </w:pPr>
      <w:r>
        <w:rPr>
          <w:rFonts w:hint="eastAsia" w:ascii="仿宋" w:hAnsi="仿宋" w:eastAsia="仿宋" w:cs="仿宋"/>
          <w:b/>
          <w:bCs/>
          <w:lang w:eastAsia="zh-CN"/>
        </w:rPr>
        <w:t xml:space="preserve">5.1.13.3 封闭化移动端需求 </w:t>
      </w:r>
    </w:p>
    <w:p w14:paraId="01EDB788">
      <w:pPr>
        <w:widowControl/>
        <w:ind w:firstLine="480" w:firstLineChars="200"/>
        <w:rPr>
          <w:rFonts w:ascii="仿宋" w:hAnsi="仿宋" w:eastAsia="仿宋" w:cs="仿宋"/>
          <w:b/>
          <w:bCs/>
          <w:lang w:eastAsia="zh-CN"/>
        </w:rPr>
      </w:pPr>
      <w:r>
        <w:rPr>
          <w:rFonts w:hint="eastAsia" w:ascii="仿宋" w:hAnsi="仿宋" w:eastAsia="仿宋" w:cs="仿宋"/>
          <w:lang w:eastAsia="zh-CN"/>
        </w:rPr>
        <w:t xml:space="preserve">可以通过微信公众号或微信小程序实现封闭化公告推送、访客车辆申报、审核进度查询等功能。 </w:t>
      </w:r>
    </w:p>
    <w:p w14:paraId="09AB85A3">
      <w:pPr>
        <w:widowControl/>
        <w:rPr>
          <w:rFonts w:ascii="仿宋" w:hAnsi="仿宋" w:eastAsia="仿宋" w:cs="仿宋"/>
          <w:b/>
          <w:bCs/>
        </w:rPr>
      </w:pPr>
      <w:r>
        <w:rPr>
          <w:rFonts w:hint="eastAsia" w:ascii="仿宋" w:hAnsi="仿宋" w:eastAsia="仿宋" w:cs="仿宋"/>
          <w:b/>
          <w:bCs/>
          <w:lang w:eastAsia="zh-CN"/>
        </w:rPr>
        <w:t xml:space="preserve">5.2 业务协同需求 </w:t>
      </w:r>
    </w:p>
    <w:p w14:paraId="04A4F9B9">
      <w:pPr>
        <w:widowControl/>
        <w:rPr>
          <w:rFonts w:ascii="仿宋" w:hAnsi="仿宋" w:eastAsia="仿宋" w:cs="仿宋"/>
          <w:b/>
          <w:bCs/>
        </w:rPr>
      </w:pPr>
      <w:r>
        <w:rPr>
          <w:rFonts w:hint="eastAsia" w:ascii="仿宋" w:hAnsi="仿宋" w:eastAsia="仿宋" w:cs="仿宋"/>
          <w:b/>
          <w:bCs/>
          <w:lang w:eastAsia="zh-CN"/>
        </w:rPr>
        <w:t xml:space="preserve">5.2.1本项目与上级单位平台之间业务协同分析 </w:t>
      </w:r>
    </w:p>
    <w:p w14:paraId="32818DF0">
      <w:pPr>
        <w:widowControl/>
        <w:ind w:firstLine="480" w:firstLineChars="200"/>
        <w:rPr>
          <w:rFonts w:ascii="仿宋" w:hAnsi="仿宋" w:eastAsia="仿宋" w:cs="仿宋"/>
        </w:rPr>
      </w:pPr>
      <w:r>
        <w:rPr>
          <w:rFonts w:hint="eastAsia" w:ascii="仿宋" w:hAnsi="仿宋" w:eastAsia="仿宋" w:cs="仿宋"/>
          <w:lang w:eastAsia="zh-CN"/>
        </w:rPr>
        <w:t xml:space="preserve">根据《化工园区安全风险智能化管控平台数据交换规范（试行）》要求，对于未开展化工园区安全风险智能化管控平台建设的园区，应按照交换规范要求，开展系统数据部分建设。 </w:t>
      </w:r>
    </w:p>
    <w:p w14:paraId="2195F70E">
      <w:pPr>
        <w:widowControl/>
        <w:ind w:firstLine="480" w:firstLineChars="200"/>
        <w:rPr>
          <w:rFonts w:ascii="仿宋" w:hAnsi="仿宋" w:eastAsia="仿宋" w:cs="仿宋"/>
        </w:rPr>
      </w:pPr>
      <w:r>
        <w:rPr>
          <w:rFonts w:hint="eastAsia" w:ascii="仿宋" w:hAnsi="仿宋" w:eastAsia="仿宋" w:cs="仿宋"/>
          <w:lang w:eastAsia="zh-CN"/>
        </w:rPr>
        <w:t xml:space="preserve">化工园区安全风险智能化管控平台汇聚园区内企业各项业务数据，通过政务外网将各项数据上报到省级系统中；若园区上级地市应急管理部门自建系统，园区可先上报到市县系统，由市县系统交换至省级系统，省级系统上报省级节点。 </w:t>
      </w:r>
    </w:p>
    <w:p w14:paraId="080B15EE">
      <w:pPr>
        <w:widowControl/>
        <w:rPr>
          <w:rFonts w:ascii="仿宋" w:hAnsi="仿宋" w:eastAsia="仿宋" w:cs="仿宋"/>
        </w:rPr>
      </w:pPr>
      <w:r>
        <w:rPr>
          <w:rFonts w:hint="eastAsia" w:ascii="仿宋" w:hAnsi="仿宋" w:eastAsia="仿宋" w:cs="仿宋"/>
          <w:b/>
          <w:bCs/>
          <w:lang w:eastAsia="zh-CN"/>
        </w:rPr>
        <w:t>5.2.2本项目与危化品企业自建系统业务协同需求</w:t>
      </w:r>
      <w:r>
        <w:rPr>
          <w:rFonts w:hint="eastAsia" w:ascii="仿宋" w:hAnsi="仿宋" w:eastAsia="仿宋" w:cs="仿宋"/>
          <w:lang w:eastAsia="zh-CN"/>
        </w:rPr>
        <w:t xml:space="preserve"> </w:t>
      </w:r>
    </w:p>
    <w:p w14:paraId="3045EAA2">
      <w:pPr>
        <w:widowControl/>
        <w:ind w:firstLine="480" w:firstLineChars="200"/>
        <w:rPr>
          <w:rFonts w:ascii="仿宋" w:hAnsi="仿宋" w:eastAsia="仿宋" w:cs="仿宋"/>
          <w:b/>
          <w:bCs/>
          <w:lang w:eastAsia="zh-CN"/>
        </w:rPr>
      </w:pPr>
      <w:r>
        <w:rPr>
          <w:rFonts w:hint="eastAsia" w:ascii="仿宋" w:hAnsi="仿宋" w:eastAsia="仿宋" w:cs="仿宋"/>
          <w:lang w:eastAsia="zh-CN"/>
        </w:rPr>
        <w:t>根据应急管理部下发《危险化学品企业安全风险智能化管控平台建设指南（试行）》要求，危险化学品企业安全风险智能化管控平台采集设备数据、传感器数据、视频数据等，结合 ERP、MES 等业务系统的生产、运输、储存各环节实际业务数据和业务流程，实现企业安全生产全过程管理，并开放接口，与化工园区平台对接集成，提升跨层级的安全生产联动联控能力。</w:t>
      </w:r>
    </w:p>
    <w:p w14:paraId="35A18259">
      <w:pPr>
        <w:widowControl/>
        <w:rPr>
          <w:rFonts w:ascii="仿宋" w:hAnsi="仿宋" w:eastAsia="仿宋" w:cs="仿宋"/>
          <w:b/>
          <w:bCs/>
        </w:rPr>
      </w:pPr>
      <w:r>
        <w:rPr>
          <w:rFonts w:hint="eastAsia" w:ascii="仿宋" w:hAnsi="仿宋" w:eastAsia="仿宋" w:cs="仿宋"/>
          <w:b/>
          <w:bCs/>
          <w:lang w:eastAsia="zh-CN"/>
        </w:rPr>
        <w:t xml:space="preserve">5.3 信息化基础设施和能力需求分析 </w:t>
      </w:r>
    </w:p>
    <w:p w14:paraId="0989464F">
      <w:pPr>
        <w:widowControl/>
        <w:rPr>
          <w:rFonts w:ascii="仿宋" w:hAnsi="仿宋" w:eastAsia="仿宋" w:cs="仿宋"/>
        </w:rPr>
      </w:pPr>
      <w:r>
        <w:rPr>
          <w:rFonts w:hint="eastAsia" w:ascii="仿宋" w:hAnsi="仿宋" w:eastAsia="仿宋" w:cs="仿宋"/>
          <w:b/>
          <w:bCs/>
          <w:lang w:eastAsia="zh-CN"/>
        </w:rPr>
        <w:t>5.3.1 机房及配套设施需求</w:t>
      </w:r>
      <w:r>
        <w:rPr>
          <w:rFonts w:hint="eastAsia" w:ascii="仿宋" w:hAnsi="仿宋" w:eastAsia="仿宋" w:cs="仿宋"/>
          <w:lang w:eastAsia="zh-CN"/>
        </w:rPr>
        <w:t xml:space="preserve"> </w:t>
      </w:r>
    </w:p>
    <w:p w14:paraId="1D368062">
      <w:pPr>
        <w:widowControl/>
        <w:ind w:firstLine="480" w:firstLineChars="200"/>
        <w:rPr>
          <w:rFonts w:ascii="仿宋" w:hAnsi="仿宋" w:eastAsia="仿宋" w:cs="仿宋"/>
        </w:rPr>
      </w:pPr>
      <w:r>
        <w:rPr>
          <w:rFonts w:hint="eastAsia" w:ascii="仿宋" w:hAnsi="仿宋" w:eastAsia="仿宋" w:cs="仿宋"/>
          <w:lang w:eastAsia="zh-CN"/>
        </w:rPr>
        <w:t xml:space="preserve">本方案针对位于指挥中心大楼负一楼、面积约 55 平方米的地下室机房，按照《电子信息系统机房设计规范》（GB50174-2017）三级机房标准进行设计，确保机房设备安全稳定运行。机房采用模块化单排布局，配置 8 个机柜，其中 1 个为基础柜（配电和空调），7 个为 IT 机柜，能够全面支持用户未来 3～6 年智 能化建设的系统部署需求。数据中心机房包含智能微模块机房、机房精密空调、 机房场地环境监控、机房视频监控和机房门禁控制等系统。智能微模块机房由一体化基础柜、IT 机柜、布线系统、供配电系统、制冷系统和管理系统组成，采用 前后风道设计，8 个机柜组装形成全封闭冷热通道系统，前置封闭冷通道宽度为250mm。 </w:t>
      </w:r>
    </w:p>
    <w:p w14:paraId="484D858D">
      <w:pPr>
        <w:widowControl/>
        <w:ind w:firstLine="480" w:firstLineChars="200"/>
        <w:rPr>
          <w:rFonts w:ascii="仿宋" w:hAnsi="仿宋" w:eastAsia="仿宋" w:cs="仿宋"/>
        </w:rPr>
      </w:pPr>
      <w:r>
        <w:rPr>
          <w:rFonts w:hint="eastAsia" w:ascii="仿宋" w:hAnsi="仿宋" w:eastAsia="仿宋" w:cs="仿宋"/>
          <w:lang w:eastAsia="zh-CN"/>
        </w:rPr>
        <w:t xml:space="preserve">为确保 IDC 机房（三级机房标准）的安全、稳定运行，需配置完善的配套设施：采用双路市电和 UPS 不间断电源保障电力供应；部署环境监控系统实时监测温湿度、漏水和烟雾；安装门禁系统、视频监控和入侵报警系统强化安防；配备火灾自动报警系统、气体灭火系统和应急照明系统确保消防安全；同时配置防静电地板、新风系统、KVM 系统和标准机柜，优化设备运行环境。这些措施共同为机房提供可靠的支持，满足三级机房的高标准要求。本工程机房内系统包含装饰装修、机柜及配件、供配电、空调、环境监控、消防、综合布线、视频监控、门禁系统、UPS、防雷接地等，全面保障机房的高效运行和长期稳定性。 </w:t>
      </w:r>
    </w:p>
    <w:p w14:paraId="6602A4F8">
      <w:pPr>
        <w:widowControl/>
        <w:rPr>
          <w:rFonts w:ascii="仿宋" w:hAnsi="仿宋" w:eastAsia="仿宋" w:cs="仿宋"/>
          <w:b/>
          <w:bCs/>
        </w:rPr>
      </w:pPr>
      <w:r>
        <w:rPr>
          <w:rFonts w:hint="eastAsia" w:ascii="仿宋" w:hAnsi="仿宋" w:eastAsia="仿宋" w:cs="仿宋"/>
          <w:b/>
          <w:bCs/>
          <w:lang w:eastAsia="zh-CN"/>
        </w:rPr>
        <w:t xml:space="preserve">5.3.2 服务器需求 </w:t>
      </w:r>
    </w:p>
    <w:p w14:paraId="2440A764">
      <w:pPr>
        <w:widowControl/>
        <w:rPr>
          <w:rFonts w:ascii="仿宋" w:hAnsi="仿宋" w:eastAsia="仿宋" w:cs="仿宋"/>
        </w:rPr>
      </w:pPr>
      <w:r>
        <w:rPr>
          <w:rFonts w:hint="eastAsia" w:ascii="仿宋" w:hAnsi="仿宋" w:eastAsia="仿宋" w:cs="仿宋"/>
          <w:b/>
          <w:bCs/>
          <w:lang w:eastAsia="zh-CN"/>
        </w:rPr>
        <w:t xml:space="preserve">5.3.2.1 计算资源需求 </w:t>
      </w:r>
    </w:p>
    <w:p w14:paraId="72ABBF39">
      <w:pPr>
        <w:widowControl/>
        <w:ind w:firstLine="480" w:firstLineChars="200"/>
        <w:rPr>
          <w:rFonts w:ascii="仿宋" w:hAnsi="仿宋" w:eastAsia="仿宋" w:cs="仿宋"/>
        </w:rPr>
      </w:pPr>
      <w:r>
        <w:rPr>
          <w:rFonts w:hint="eastAsia" w:ascii="仿宋" w:hAnsi="仿宋" w:eastAsia="仿宋" w:cs="仿宋"/>
          <w:lang w:eastAsia="zh-CN"/>
        </w:rPr>
        <w:t xml:space="preserve">本次建设内容涵盖 1 个大数据底座平台，4 个基础支撑系统，13 个业务应用，整体测算所需私有云主机约为 38 台，独立 GPU 服务器 1 台，共计 260 核（其中云主机需求 196 核），具体如下。 </w:t>
      </w:r>
    </w:p>
    <w:p w14:paraId="76F7503A">
      <w:pPr>
        <w:widowControl/>
        <w:ind w:firstLine="480" w:firstLineChars="200"/>
        <w:rPr>
          <w:rFonts w:ascii="仿宋" w:hAnsi="仿宋" w:eastAsia="仿宋" w:cs="仿宋"/>
        </w:rPr>
      </w:pPr>
      <w:r>
        <w:rPr>
          <w:rFonts w:hint="eastAsia" w:ascii="仿宋" w:hAnsi="仿宋" w:eastAsia="仿宋" w:cs="仿宋"/>
          <w:lang w:eastAsia="zh-CN"/>
        </w:rPr>
        <w:t xml:space="preserve">1 个大数据底座平台：结合业务可靠性及性能需求，采用部分集群、部分主从部署方式，至少需要 3 台管理节点服务器、6 台数据存储节点服务器、3 台流计算服务器、2 台接口网关服务器、2 台 OLTP 关系型数据库服务器，如按数据库服务器所需 CPU 核数计算，约需要 64vCPU。 </w:t>
      </w:r>
    </w:p>
    <w:p w14:paraId="71CEE117">
      <w:pPr>
        <w:widowControl/>
        <w:ind w:firstLine="480" w:firstLineChars="200"/>
        <w:rPr>
          <w:rFonts w:ascii="仿宋" w:hAnsi="仿宋" w:eastAsia="仿宋" w:cs="仿宋"/>
        </w:rPr>
      </w:pPr>
      <w:r>
        <w:rPr>
          <w:rFonts w:hint="eastAsia" w:ascii="仿宋" w:hAnsi="仿宋" w:eastAsia="仿宋" w:cs="仿宋"/>
          <w:lang w:eastAsia="zh-CN"/>
        </w:rPr>
        <w:t xml:space="preserve">4 个基础支撑系统分别是：地理信息支撑系统、物联网支撑系统、视频算法支撑系统，基础组件支撑系统共需 112vCPU，构成如下： </w:t>
      </w:r>
    </w:p>
    <w:p w14:paraId="5AE1BCD6">
      <w:pPr>
        <w:widowControl/>
        <w:ind w:firstLine="480" w:firstLineChars="200"/>
        <w:rPr>
          <w:rFonts w:ascii="仿宋" w:hAnsi="仿宋" w:eastAsia="仿宋" w:cs="仿宋"/>
        </w:rPr>
      </w:pPr>
      <w:r>
        <w:rPr>
          <w:rFonts w:hint="eastAsia" w:ascii="仿宋" w:hAnsi="仿宋" w:eastAsia="仿宋" w:cs="仿宋"/>
          <w:lang w:eastAsia="zh-CN"/>
        </w:rPr>
        <w:t xml:space="preserve">地理信息支撑系统：1 台地图引擎服务器(6vCPU)+1 台数据处理服务器(6vCPU)+大数据底座； </w:t>
      </w:r>
    </w:p>
    <w:p w14:paraId="15AC43A9">
      <w:pPr>
        <w:widowControl/>
        <w:ind w:firstLine="480" w:firstLineChars="200"/>
        <w:rPr>
          <w:rFonts w:ascii="仿宋" w:hAnsi="仿宋" w:eastAsia="仿宋" w:cs="仿宋"/>
        </w:rPr>
      </w:pPr>
      <w:r>
        <w:rPr>
          <w:rFonts w:hint="eastAsia" w:ascii="仿宋" w:hAnsi="仿宋" w:eastAsia="仿宋" w:cs="仿宋"/>
          <w:lang w:eastAsia="zh-CN"/>
        </w:rPr>
        <w:t xml:space="preserve">物联网支撑系统：3 台物联应用服务器(18vCPU)+1 台流媒体应用服务器(6vCPU)+大数据底座； </w:t>
      </w:r>
    </w:p>
    <w:p w14:paraId="38F9BEF5">
      <w:pPr>
        <w:widowControl/>
        <w:ind w:firstLine="480" w:firstLineChars="200"/>
        <w:rPr>
          <w:rFonts w:ascii="仿宋" w:hAnsi="仿宋" w:eastAsia="仿宋" w:cs="仿宋"/>
        </w:rPr>
      </w:pPr>
      <w:r>
        <w:rPr>
          <w:rFonts w:hint="eastAsia" w:ascii="仿宋" w:hAnsi="仿宋" w:eastAsia="仿宋" w:cs="仿宋"/>
          <w:lang w:eastAsia="zh-CN"/>
        </w:rPr>
        <w:t xml:space="preserve">视频算法支撑系统：1 台算法应用服务器(6vCPU)+1 台 GPU 专用服务器(64vCPU)+大数据底座； </w:t>
      </w:r>
    </w:p>
    <w:p w14:paraId="272B52FA">
      <w:pPr>
        <w:widowControl/>
        <w:ind w:firstLine="480" w:firstLineChars="200"/>
        <w:rPr>
          <w:rFonts w:ascii="仿宋" w:hAnsi="仿宋" w:eastAsia="仿宋" w:cs="仿宋"/>
          <w:lang w:eastAsia="zh-CN"/>
        </w:rPr>
      </w:pPr>
      <w:r>
        <w:rPr>
          <w:rFonts w:hint="eastAsia" w:ascii="仿宋" w:hAnsi="仿宋" w:eastAsia="仿宋" w:cs="仿宋"/>
          <w:lang w:eastAsia="zh-CN"/>
        </w:rPr>
        <w:t>基础组件支撑系统：1 台应用服务器(6vCPU)+大数据底座；</w:t>
      </w:r>
    </w:p>
    <w:p w14:paraId="6B9B033C">
      <w:pPr>
        <w:widowControl/>
        <w:ind w:firstLine="480" w:firstLineChars="200"/>
        <w:rPr>
          <w:rFonts w:ascii="仿宋" w:hAnsi="仿宋" w:eastAsia="仿宋" w:cs="仿宋"/>
        </w:rPr>
      </w:pPr>
      <w:r>
        <w:rPr>
          <w:rFonts w:hint="eastAsia" w:ascii="仿宋" w:hAnsi="仿宋" w:eastAsia="仿宋" w:cs="仿宋"/>
          <w:lang w:eastAsia="zh-CN"/>
        </w:rPr>
        <w:t xml:space="preserve">13 个业务应用根据其实际需求，共需 84vCPU，详细测算如下： </w:t>
      </w:r>
    </w:p>
    <w:p w14:paraId="73B24C7B">
      <w:pPr>
        <w:widowControl/>
        <w:ind w:firstLine="480" w:firstLineChars="200"/>
        <w:rPr>
          <w:rFonts w:ascii="仿宋" w:hAnsi="仿宋" w:eastAsia="仿宋" w:cs="仿宋"/>
        </w:rPr>
      </w:pPr>
      <w:r>
        <w:rPr>
          <w:rFonts w:hint="eastAsia" w:ascii="仿宋" w:hAnsi="仿宋" w:eastAsia="仿宋" w:cs="仿宋"/>
          <w:lang w:eastAsia="zh-CN"/>
        </w:rPr>
        <w:t xml:space="preserve">综合决策指挥应用：1 台应用服务器(6vCPU)+支撑系统+大数据底座； </w:t>
      </w:r>
    </w:p>
    <w:p w14:paraId="2508E8F5">
      <w:pPr>
        <w:widowControl/>
        <w:ind w:firstLine="480" w:firstLineChars="200"/>
        <w:rPr>
          <w:rFonts w:ascii="仿宋" w:hAnsi="仿宋" w:eastAsia="仿宋" w:cs="仿宋"/>
        </w:rPr>
      </w:pPr>
      <w:r>
        <w:rPr>
          <w:rFonts w:hint="eastAsia" w:ascii="仿宋" w:hAnsi="仿宋" w:eastAsia="仿宋" w:cs="仿宋"/>
          <w:lang w:eastAsia="zh-CN"/>
        </w:rPr>
        <w:t xml:space="preserve">安全基础管理应用：1 台应用服务器(6vCPU)+支撑系统+大数据底座； </w:t>
      </w:r>
    </w:p>
    <w:p w14:paraId="77913040">
      <w:pPr>
        <w:widowControl/>
        <w:ind w:firstLine="480" w:firstLineChars="200"/>
        <w:rPr>
          <w:rFonts w:ascii="仿宋" w:hAnsi="仿宋" w:eastAsia="仿宋" w:cs="仿宋"/>
        </w:rPr>
      </w:pPr>
      <w:r>
        <w:rPr>
          <w:rFonts w:hint="eastAsia" w:ascii="仿宋" w:hAnsi="仿宋" w:eastAsia="仿宋" w:cs="仿宋"/>
          <w:lang w:eastAsia="zh-CN"/>
        </w:rPr>
        <w:t xml:space="preserve">重大危险源安全管理应用：1 台应用服务器(6vCPU)+支撑系统+大数据底座； </w:t>
      </w:r>
    </w:p>
    <w:p w14:paraId="7E219473">
      <w:pPr>
        <w:widowControl/>
        <w:ind w:firstLine="480" w:firstLineChars="200"/>
        <w:rPr>
          <w:rFonts w:ascii="仿宋" w:hAnsi="仿宋" w:eastAsia="仿宋" w:cs="仿宋"/>
        </w:rPr>
      </w:pPr>
      <w:r>
        <w:rPr>
          <w:rFonts w:hint="eastAsia" w:ascii="仿宋" w:hAnsi="仿宋" w:eastAsia="仿宋" w:cs="仿宋"/>
          <w:lang w:eastAsia="zh-CN"/>
        </w:rPr>
        <w:t xml:space="preserve">双重预防机制管理应用：1 台应用服务器(6vCPU)+支撑系统+大数据底座； </w:t>
      </w:r>
    </w:p>
    <w:p w14:paraId="4DED1285">
      <w:pPr>
        <w:widowControl/>
        <w:ind w:firstLine="480" w:firstLineChars="200"/>
        <w:rPr>
          <w:rFonts w:ascii="仿宋" w:hAnsi="仿宋" w:eastAsia="仿宋" w:cs="仿宋"/>
        </w:rPr>
      </w:pPr>
      <w:r>
        <w:rPr>
          <w:rFonts w:hint="eastAsia" w:ascii="仿宋" w:hAnsi="仿宋" w:eastAsia="仿宋" w:cs="仿宋"/>
          <w:lang w:eastAsia="zh-CN"/>
        </w:rPr>
        <w:t xml:space="preserve">特殊作业管理应用：1 台应用服务器(6vCPU)+支撑系统+大数据底座； </w:t>
      </w:r>
    </w:p>
    <w:p w14:paraId="74CD8474">
      <w:pPr>
        <w:widowControl/>
        <w:ind w:firstLine="480" w:firstLineChars="200"/>
        <w:rPr>
          <w:rFonts w:ascii="仿宋" w:hAnsi="仿宋" w:eastAsia="仿宋" w:cs="仿宋"/>
        </w:rPr>
      </w:pPr>
      <w:r>
        <w:rPr>
          <w:rFonts w:hint="eastAsia" w:ascii="仿宋" w:hAnsi="仿宋" w:eastAsia="仿宋" w:cs="仿宋"/>
          <w:lang w:eastAsia="zh-CN"/>
        </w:rPr>
        <w:t xml:space="preserve">园区封闭化管理应用：1 台应用服务器(6vCPU)+支撑系统+大数据底座； </w:t>
      </w:r>
    </w:p>
    <w:p w14:paraId="687C628A">
      <w:pPr>
        <w:widowControl/>
        <w:ind w:firstLine="480" w:firstLineChars="200"/>
        <w:rPr>
          <w:rFonts w:ascii="仿宋" w:hAnsi="仿宋" w:eastAsia="仿宋" w:cs="仿宋"/>
        </w:rPr>
      </w:pPr>
      <w:r>
        <w:rPr>
          <w:rFonts w:hint="eastAsia" w:ascii="仿宋" w:hAnsi="仿宋" w:eastAsia="仿宋" w:cs="仿宋"/>
          <w:lang w:eastAsia="zh-CN"/>
        </w:rPr>
        <w:t xml:space="preserve">敏捷应急管理应用：1 台应用服务器(6vCPU)+支撑系统+大数据底座； </w:t>
      </w:r>
    </w:p>
    <w:p w14:paraId="42F7C64A">
      <w:pPr>
        <w:widowControl/>
        <w:ind w:firstLine="480" w:firstLineChars="200"/>
        <w:rPr>
          <w:rFonts w:ascii="仿宋" w:hAnsi="仿宋" w:eastAsia="仿宋" w:cs="仿宋"/>
        </w:rPr>
      </w:pPr>
      <w:r>
        <w:rPr>
          <w:rFonts w:hint="eastAsia" w:ascii="仿宋" w:hAnsi="仿宋" w:eastAsia="仿宋" w:cs="仿宋"/>
          <w:lang w:eastAsia="zh-CN"/>
        </w:rPr>
        <w:t xml:space="preserve">企业端智能管控应用：1 台应用服务器(6vCPU)+支撑系统+大数据底座； </w:t>
      </w:r>
    </w:p>
    <w:p w14:paraId="23740536">
      <w:pPr>
        <w:widowControl/>
        <w:ind w:firstLine="480" w:firstLineChars="200"/>
        <w:rPr>
          <w:rFonts w:ascii="仿宋" w:hAnsi="仿宋" w:eastAsia="仿宋" w:cs="仿宋"/>
        </w:rPr>
      </w:pPr>
      <w:r>
        <w:rPr>
          <w:rFonts w:hint="eastAsia" w:ascii="仿宋" w:hAnsi="仿宋" w:eastAsia="仿宋" w:cs="仿宋"/>
          <w:lang w:eastAsia="zh-CN"/>
        </w:rPr>
        <w:t xml:space="preserve">智慧消防管理应用：1 台应用服务器(6vCPU)+支撑系统+大数据底座； </w:t>
      </w:r>
    </w:p>
    <w:p w14:paraId="5A2AC4D4">
      <w:pPr>
        <w:widowControl/>
        <w:ind w:firstLine="480" w:firstLineChars="200"/>
        <w:rPr>
          <w:rFonts w:ascii="仿宋" w:hAnsi="仿宋" w:eastAsia="仿宋" w:cs="仿宋"/>
        </w:rPr>
      </w:pPr>
      <w:r>
        <w:rPr>
          <w:rFonts w:hint="eastAsia" w:ascii="仿宋" w:hAnsi="仿宋" w:eastAsia="仿宋" w:cs="仿宋"/>
          <w:lang w:eastAsia="zh-CN"/>
        </w:rPr>
        <w:t xml:space="preserve">智慧环保监管应用：1 台应用服务器(6vCPU)+支撑系统+大数据底座； </w:t>
      </w:r>
    </w:p>
    <w:p w14:paraId="75B7ABF5">
      <w:pPr>
        <w:widowControl/>
        <w:ind w:firstLine="480" w:firstLineChars="200"/>
        <w:rPr>
          <w:rFonts w:ascii="仿宋" w:hAnsi="仿宋" w:eastAsia="仿宋" w:cs="仿宋"/>
        </w:rPr>
      </w:pPr>
      <w:r>
        <w:rPr>
          <w:rFonts w:hint="eastAsia" w:ascii="仿宋" w:hAnsi="仿宋" w:eastAsia="仿宋" w:cs="仿宋"/>
          <w:lang w:eastAsia="zh-CN"/>
        </w:rPr>
        <w:t xml:space="preserve">易燃易爆有毒有害气体泄漏检测管理应用：1 台应用服务器(6vCPU)+支撑系统+大数据底座； </w:t>
      </w:r>
    </w:p>
    <w:p w14:paraId="3DA63BF5">
      <w:pPr>
        <w:widowControl/>
        <w:ind w:firstLine="480" w:firstLineChars="200"/>
        <w:rPr>
          <w:rFonts w:ascii="仿宋" w:hAnsi="仿宋" w:eastAsia="仿宋" w:cs="仿宋"/>
        </w:rPr>
      </w:pPr>
      <w:r>
        <w:rPr>
          <w:rFonts w:hint="eastAsia" w:ascii="仿宋" w:hAnsi="仿宋" w:eastAsia="仿宋" w:cs="仿宋"/>
          <w:lang w:eastAsia="zh-CN"/>
        </w:rPr>
        <w:t xml:space="preserve">园区综合管理应用：1 台应用服务器(6vCPU)++支撑系统+大数据底座； </w:t>
      </w:r>
    </w:p>
    <w:p w14:paraId="68694A90">
      <w:pPr>
        <w:widowControl/>
        <w:ind w:firstLine="480" w:firstLineChars="200"/>
        <w:rPr>
          <w:rFonts w:ascii="仿宋" w:hAnsi="仿宋" w:eastAsia="仿宋" w:cs="仿宋"/>
        </w:rPr>
      </w:pPr>
      <w:r>
        <w:rPr>
          <w:rFonts w:hint="eastAsia" w:ascii="仿宋" w:hAnsi="仿宋" w:eastAsia="仿宋" w:cs="仿宋"/>
          <w:lang w:eastAsia="zh-CN"/>
        </w:rPr>
        <w:t xml:space="preserve">移动端：移动端接口网关应用服务器(6vCPU)+认证应用服务器(6vCPU)+支撑系统+大数据底座； </w:t>
      </w:r>
    </w:p>
    <w:p w14:paraId="5D36270C">
      <w:pPr>
        <w:widowControl/>
        <w:rPr>
          <w:rFonts w:ascii="仿宋" w:hAnsi="仿宋" w:eastAsia="仿宋" w:cs="仿宋"/>
        </w:rPr>
      </w:pPr>
      <w:r>
        <w:rPr>
          <w:rFonts w:hint="eastAsia" w:ascii="仿宋" w:hAnsi="仿宋" w:eastAsia="仿宋" w:cs="仿宋"/>
          <w:b/>
          <w:bCs/>
          <w:lang w:eastAsia="zh-CN"/>
        </w:rPr>
        <w:t>5.3.3 存储备份需求</w:t>
      </w:r>
      <w:r>
        <w:rPr>
          <w:rFonts w:hint="eastAsia" w:ascii="仿宋" w:hAnsi="仿宋" w:eastAsia="仿宋" w:cs="仿宋"/>
          <w:lang w:eastAsia="zh-CN"/>
        </w:rPr>
        <w:t xml:space="preserve"> </w:t>
      </w:r>
    </w:p>
    <w:p w14:paraId="795777C5">
      <w:pPr>
        <w:widowControl/>
        <w:rPr>
          <w:rFonts w:ascii="仿宋" w:hAnsi="仿宋" w:eastAsia="仿宋" w:cs="仿宋"/>
        </w:rPr>
      </w:pPr>
      <w:r>
        <w:rPr>
          <w:rFonts w:hint="eastAsia" w:ascii="仿宋" w:hAnsi="仿宋" w:eastAsia="仿宋" w:cs="仿宋"/>
          <w:b/>
          <w:bCs/>
          <w:lang w:eastAsia="zh-CN"/>
        </w:rPr>
        <w:t xml:space="preserve">5.3.3.1存储资源需求 </w:t>
      </w:r>
    </w:p>
    <w:p w14:paraId="4FFC15A5">
      <w:pPr>
        <w:widowControl/>
        <w:ind w:firstLine="480" w:firstLineChars="200"/>
        <w:rPr>
          <w:rFonts w:ascii="仿宋" w:hAnsi="仿宋" w:eastAsia="仿宋" w:cs="仿宋"/>
        </w:rPr>
      </w:pPr>
      <w:r>
        <w:rPr>
          <w:rFonts w:hint="eastAsia" w:ascii="仿宋" w:hAnsi="仿宋" w:eastAsia="仿宋" w:cs="仿宋"/>
          <w:lang w:eastAsia="zh-CN"/>
        </w:rPr>
        <w:t xml:space="preserve">考虑应用系统数据存储资源需求为 132.77TB。 </w:t>
      </w:r>
    </w:p>
    <w:p w14:paraId="789E92E7">
      <w:pPr>
        <w:widowControl/>
        <w:ind w:firstLine="480" w:firstLineChars="200"/>
        <w:rPr>
          <w:rFonts w:ascii="仿宋" w:hAnsi="仿宋" w:eastAsia="仿宋" w:cs="仿宋"/>
        </w:rPr>
      </w:pPr>
      <w:r>
        <w:rPr>
          <w:rFonts w:hint="eastAsia" w:ascii="仿宋" w:hAnsi="仿宋" w:eastAsia="仿宋" w:cs="仿宋"/>
          <w:lang w:eastAsia="zh-CN"/>
        </w:rPr>
        <w:t xml:space="preserve">考虑分布式存储，按照 4+2:1（即允许任意 2 个硬盘或 1 个节点故障）RAID 冗余策略，磁盘利用率为 67%。需提供的 HDD 裸容量空间为：132.77TB（实际需求容量）/0.9（硬盘裸容量与实际容量的换算损耗）/0.67（RAID 后磁盘利用率）≈221TB。选用 8TBSATA 硬盘作为数据主存盘，大约需要 28 块硬盘。 </w:t>
      </w:r>
    </w:p>
    <w:p w14:paraId="08092E72">
      <w:pPr>
        <w:widowControl/>
        <w:rPr>
          <w:rFonts w:ascii="仿宋" w:hAnsi="仿宋" w:eastAsia="仿宋" w:cs="仿宋"/>
        </w:rPr>
      </w:pPr>
      <w:r>
        <w:rPr>
          <w:rFonts w:hint="eastAsia" w:ascii="仿宋" w:hAnsi="仿宋" w:eastAsia="仿宋" w:cs="仿宋"/>
          <w:b/>
          <w:bCs/>
          <w:lang w:eastAsia="zh-CN"/>
        </w:rPr>
        <w:t xml:space="preserve">5.3.3.2 视频存储需求 </w:t>
      </w:r>
    </w:p>
    <w:p w14:paraId="20FDEC24">
      <w:pPr>
        <w:widowControl/>
        <w:ind w:firstLine="480" w:firstLineChars="200"/>
        <w:rPr>
          <w:rFonts w:ascii="仿宋" w:hAnsi="仿宋" w:eastAsia="仿宋" w:cs="仿宋"/>
        </w:rPr>
      </w:pPr>
      <w:r>
        <w:rPr>
          <w:rFonts w:hint="eastAsia" w:ascii="仿宋" w:hAnsi="仿宋" w:eastAsia="仿宋" w:cs="仿宋"/>
          <w:lang w:eastAsia="zh-CN"/>
        </w:rPr>
        <w:t xml:space="preserve">前端视频在机房集中存储，通过磁盘阵列进行存储，由管理服务器统一管理。本项目在机房环境允许的情况下，尽量选择单台存储容量大的存储设备。单路视频流采用 H.265 视频编码标准，2M 码流全天候不间断录像，存储 90 天，单路视频存储量为：2Mbps×3600 秒×24 小时×90 天÷8÷1024÷1024≈1.86TB。总体存储考虑 30%冗余。存储设备考虑磁盘阵列存储设备，硬盘考虑单块6T，按三组 RAID5 做存储备份，单块硬盘使用率按 75%计算。所需存储空间≈（监控数量）*1.86TB*1.3。 </w:t>
      </w:r>
    </w:p>
    <w:p w14:paraId="79E49737">
      <w:pPr>
        <w:widowControl/>
        <w:ind w:firstLine="480" w:firstLineChars="200"/>
        <w:rPr>
          <w:rFonts w:ascii="仿宋" w:hAnsi="仿宋" w:eastAsia="仿宋" w:cs="仿宋"/>
        </w:rPr>
      </w:pPr>
      <w:r>
        <w:rPr>
          <w:rFonts w:hint="eastAsia" w:ascii="仿宋" w:hAnsi="仿宋" w:eastAsia="仿宋" w:cs="仿宋"/>
          <w:lang w:eastAsia="zh-CN"/>
        </w:rPr>
        <w:t xml:space="preserve">存储设备数量：所需存储空间/48*（6T*75%）（RAID5 硬盘使用率按 75%计算）。本项目所需≈150 路*1.86TB*1.3≈362.7T。如果考虑节约能耗，可以考虑采用单台 48 盘位中心存储，配 48 块 8T 硬盘，可以满足本方案需求。 </w:t>
      </w:r>
    </w:p>
    <w:p w14:paraId="1F2611B6">
      <w:pPr>
        <w:widowControl/>
        <w:rPr>
          <w:rFonts w:ascii="仿宋" w:hAnsi="仿宋" w:eastAsia="仿宋" w:cs="仿宋"/>
        </w:rPr>
      </w:pPr>
      <w:r>
        <w:rPr>
          <w:rFonts w:hint="eastAsia" w:ascii="仿宋" w:hAnsi="仿宋" w:eastAsia="仿宋" w:cs="仿宋"/>
          <w:b/>
          <w:bCs/>
          <w:lang w:eastAsia="zh-CN"/>
        </w:rPr>
        <w:t xml:space="preserve">5.3.3.3 业务数据容灾备份需求 </w:t>
      </w:r>
    </w:p>
    <w:p w14:paraId="200D8F1A">
      <w:pPr>
        <w:widowControl/>
        <w:ind w:firstLine="480" w:firstLineChars="200"/>
        <w:rPr>
          <w:rFonts w:ascii="仿宋" w:hAnsi="仿宋" w:eastAsia="仿宋" w:cs="仿宋"/>
        </w:rPr>
      </w:pPr>
      <w:r>
        <w:rPr>
          <w:rFonts w:hint="eastAsia" w:ascii="仿宋" w:hAnsi="仿宋" w:eastAsia="仿宋" w:cs="仿宋"/>
          <w:lang w:eastAsia="zh-CN"/>
        </w:rPr>
        <w:t xml:space="preserve">日常业务数据备份采用私有云自身虚拟机备份功能，存储空间考虑一定冗余即可，无需单独配置存储服务器。 </w:t>
      </w:r>
    </w:p>
    <w:p w14:paraId="28BFEC23">
      <w:pPr>
        <w:widowControl/>
        <w:ind w:firstLine="480" w:firstLineChars="200"/>
        <w:rPr>
          <w:rFonts w:ascii="仿宋" w:hAnsi="仿宋" w:eastAsia="仿宋" w:cs="仿宋"/>
        </w:rPr>
      </w:pPr>
      <w:r>
        <w:rPr>
          <w:rFonts w:hint="eastAsia" w:ascii="仿宋" w:hAnsi="仿宋" w:eastAsia="仿宋" w:cs="仿宋"/>
          <w:lang w:eastAsia="zh-CN"/>
        </w:rPr>
        <w:t xml:space="preserve">异地备份按三个月业务数据存储总量，约 66T 的基础上，考虑约 10%冗余。备份数据做 RAID1，硬盘使用率 50%，因此需 18+1 块（1 块备件）8T 左右的存储服务器以实现异地备份需求。考虑异地机柜租用按 U 计算，最节约的方式采用 1 台配置 19 块 8T 硬盘的备份一体机，可以满足方案需求。 </w:t>
      </w:r>
    </w:p>
    <w:p w14:paraId="4149DF88">
      <w:pPr>
        <w:widowControl/>
        <w:ind w:firstLine="480" w:firstLineChars="200"/>
        <w:rPr>
          <w:rFonts w:ascii="仿宋" w:hAnsi="仿宋" w:eastAsia="仿宋" w:cs="仿宋"/>
        </w:rPr>
      </w:pPr>
      <w:r>
        <w:rPr>
          <w:rFonts w:hint="eastAsia" w:ascii="仿宋" w:hAnsi="仿宋" w:eastAsia="仿宋" w:cs="仿宋"/>
          <w:lang w:eastAsia="zh-CN"/>
        </w:rPr>
        <w:t xml:space="preserve">测算滚动备份一天增量数据约 800G，因此，考虑租用一条千兆数据专线，备份时间控制在 2 小时内。 </w:t>
      </w:r>
    </w:p>
    <w:p w14:paraId="5D95AA6E">
      <w:pPr>
        <w:widowControl/>
        <w:rPr>
          <w:rFonts w:ascii="仿宋" w:hAnsi="仿宋" w:eastAsia="仿宋" w:cs="仿宋"/>
        </w:rPr>
      </w:pPr>
      <w:r>
        <w:rPr>
          <w:rFonts w:hint="eastAsia" w:ascii="仿宋" w:hAnsi="仿宋" w:eastAsia="仿宋" w:cs="仿宋"/>
          <w:b/>
          <w:bCs/>
          <w:lang w:eastAsia="zh-CN"/>
        </w:rPr>
        <w:t>5.3.4 应急指挥中心配套设施需求</w:t>
      </w:r>
      <w:r>
        <w:rPr>
          <w:rFonts w:hint="eastAsia" w:ascii="仿宋" w:hAnsi="仿宋" w:eastAsia="仿宋" w:cs="仿宋"/>
          <w:lang w:eastAsia="zh-CN"/>
        </w:rPr>
        <w:t xml:space="preserve"> </w:t>
      </w:r>
    </w:p>
    <w:p w14:paraId="7D7472EA">
      <w:pPr>
        <w:widowControl/>
        <w:ind w:firstLine="480" w:firstLineChars="200"/>
        <w:rPr>
          <w:rFonts w:ascii="仿宋" w:hAnsi="仿宋" w:eastAsia="仿宋" w:cs="仿宋"/>
        </w:rPr>
      </w:pPr>
      <w:r>
        <w:rPr>
          <w:rFonts w:hint="eastAsia" w:ascii="仿宋" w:hAnsi="仿宋" w:eastAsia="仿宋" w:cs="仿宋"/>
          <w:lang w:eastAsia="zh-CN"/>
        </w:rPr>
        <w:t xml:space="preserve">应急指挥中心大楼是指值守应急和指挥会商的办公场所，以及支撑应急信息平台基础设备运维的场所，其信息化建设应满足日常 7×24 小时值守应急和指挥会商以及日常模拟演练的需求。应急指挥中心大楼信息化主要包括以下几个重点区域： </w:t>
      </w:r>
    </w:p>
    <w:p w14:paraId="42857457">
      <w:pPr>
        <w:widowControl/>
        <w:ind w:firstLine="480" w:firstLineChars="200"/>
        <w:rPr>
          <w:rFonts w:ascii="仿宋" w:hAnsi="仿宋" w:eastAsia="仿宋" w:cs="仿宋"/>
        </w:rPr>
      </w:pPr>
      <w:r>
        <w:rPr>
          <w:rFonts w:hint="eastAsia" w:ascii="仿宋" w:hAnsi="仿宋" w:eastAsia="仿宋" w:cs="仿宋"/>
          <w:lang w:eastAsia="zh-CN"/>
        </w:rPr>
        <w:t xml:space="preserve">1.五楼指挥中心 </w:t>
      </w:r>
    </w:p>
    <w:p w14:paraId="6448B811">
      <w:pPr>
        <w:widowControl/>
        <w:ind w:firstLine="240" w:firstLineChars="100"/>
        <w:rPr>
          <w:rFonts w:ascii="仿宋" w:hAnsi="仿宋" w:eastAsia="仿宋" w:cs="仿宋"/>
        </w:rPr>
      </w:pPr>
      <w:r>
        <w:rPr>
          <w:rFonts w:hint="eastAsia" w:ascii="仿宋" w:hAnsi="仿宋" w:eastAsia="仿宋" w:cs="仿宋"/>
          <w:lang w:eastAsia="zh-CN"/>
        </w:rPr>
        <w:t xml:space="preserve">（15.6m*17.7m=261.1 ㎡） 指挥中心日常值班值守、调度，其他会议室音视频统一控制 </w:t>
      </w:r>
    </w:p>
    <w:p w14:paraId="1A95246D">
      <w:pPr>
        <w:widowControl/>
        <w:ind w:firstLine="480" w:firstLineChars="200"/>
        <w:rPr>
          <w:rFonts w:ascii="仿宋" w:hAnsi="仿宋" w:eastAsia="仿宋" w:cs="仿宋"/>
        </w:rPr>
      </w:pPr>
      <w:r>
        <w:rPr>
          <w:rFonts w:hint="eastAsia" w:ascii="仿宋" w:hAnsi="仿宋" w:eastAsia="仿宋" w:cs="仿宋"/>
          <w:lang w:eastAsia="zh-CN"/>
        </w:rPr>
        <w:t xml:space="preserve">2.五楼指挥中心配套机房（7.6*3.6=27.71 ㎡）指挥中心音视频设备、视频会议、网络设备等 </w:t>
      </w:r>
    </w:p>
    <w:p w14:paraId="6F315AD9">
      <w:pPr>
        <w:widowControl/>
        <w:ind w:firstLine="480" w:firstLineChars="200"/>
        <w:rPr>
          <w:rFonts w:ascii="仿宋" w:hAnsi="仿宋" w:eastAsia="仿宋" w:cs="仿宋"/>
        </w:rPr>
      </w:pPr>
      <w:r>
        <w:rPr>
          <w:rFonts w:hint="eastAsia" w:ascii="仿宋" w:hAnsi="仿宋" w:eastAsia="仿宋" w:cs="仿宋"/>
          <w:lang w:eastAsia="zh-CN"/>
        </w:rPr>
        <w:t xml:space="preserve">3.三楼党建室（7.2m*7.2m=50.52 ㎡）用于小规模视频会议及普通会议 </w:t>
      </w:r>
    </w:p>
    <w:p w14:paraId="727F70AB">
      <w:pPr>
        <w:widowControl/>
        <w:ind w:firstLine="480" w:firstLineChars="200"/>
        <w:rPr>
          <w:rFonts w:ascii="仿宋" w:hAnsi="仿宋" w:eastAsia="仿宋" w:cs="仿宋"/>
        </w:rPr>
      </w:pPr>
      <w:r>
        <w:rPr>
          <w:rFonts w:hint="eastAsia" w:ascii="仿宋" w:hAnsi="仿宋" w:eastAsia="仿宋" w:cs="仿宋"/>
          <w:lang w:eastAsia="zh-CN"/>
        </w:rPr>
        <w:t xml:space="preserve">4.三楼培训会议室 （18.85m*7.85m=149.76 ㎡）用于企业大规模视频会议、培训等 </w:t>
      </w:r>
    </w:p>
    <w:p w14:paraId="137E35CD">
      <w:pPr>
        <w:widowControl/>
        <w:ind w:firstLine="480" w:firstLineChars="200"/>
        <w:rPr>
          <w:rFonts w:ascii="仿宋" w:hAnsi="仿宋" w:eastAsia="仿宋" w:cs="仿宋"/>
        </w:rPr>
      </w:pPr>
      <w:r>
        <w:rPr>
          <w:rFonts w:hint="eastAsia" w:ascii="仿宋" w:hAnsi="仿宋" w:eastAsia="仿宋" w:cs="仿宋"/>
          <w:lang w:eastAsia="zh-CN"/>
        </w:rPr>
        <w:t xml:space="preserve">5.地下室弱电机房（7.8*7.2=54.84 ㎡） 用于大楼数据中心、综合布线、监控、UPS 设备安装 </w:t>
      </w:r>
    </w:p>
    <w:p w14:paraId="6271CE49">
      <w:pPr>
        <w:widowControl/>
        <w:ind w:firstLine="480" w:firstLineChars="200"/>
        <w:rPr>
          <w:rFonts w:ascii="仿宋" w:hAnsi="仿宋" w:eastAsia="仿宋" w:cs="仿宋"/>
        </w:rPr>
      </w:pPr>
      <w:r>
        <w:rPr>
          <w:rFonts w:hint="eastAsia" w:ascii="仿宋" w:hAnsi="仿宋" w:eastAsia="仿宋" w:cs="仿宋"/>
          <w:lang w:eastAsia="zh-CN"/>
        </w:rPr>
        <w:t xml:space="preserve">此外还包括： </w:t>
      </w:r>
    </w:p>
    <w:p w14:paraId="16DBE2C3">
      <w:pPr>
        <w:widowControl/>
        <w:ind w:firstLine="480" w:firstLineChars="200"/>
        <w:rPr>
          <w:rFonts w:ascii="仿宋" w:hAnsi="仿宋" w:eastAsia="仿宋" w:cs="仿宋"/>
        </w:rPr>
      </w:pPr>
      <w:r>
        <w:rPr>
          <w:rFonts w:hint="eastAsia" w:ascii="仿宋" w:hAnsi="仿宋" w:eastAsia="仿宋" w:cs="仿宋"/>
          <w:lang w:eastAsia="zh-CN"/>
        </w:rPr>
        <w:t xml:space="preserve">1）大楼综合布线： </w:t>
      </w:r>
    </w:p>
    <w:p w14:paraId="4CBEB636">
      <w:pPr>
        <w:widowControl/>
        <w:ind w:firstLine="480" w:firstLineChars="200"/>
        <w:rPr>
          <w:rFonts w:ascii="仿宋" w:hAnsi="仿宋" w:eastAsia="仿宋" w:cs="仿宋"/>
        </w:rPr>
      </w:pPr>
      <w:r>
        <w:rPr>
          <w:rFonts w:hint="eastAsia" w:ascii="仿宋" w:hAnsi="仿宋" w:eastAsia="仿宋" w:cs="仿宋"/>
          <w:lang w:eastAsia="zh-CN"/>
        </w:rPr>
        <w:t xml:space="preserve">办公大楼数据点位较少，网络规模很小，但分散，目前主要考虑：8 台 48 口接入交换机、1 台核心交换机、1 台路由器。 </w:t>
      </w:r>
    </w:p>
    <w:p w14:paraId="20BC607E">
      <w:pPr>
        <w:widowControl/>
        <w:ind w:firstLine="480" w:firstLineChars="200"/>
        <w:rPr>
          <w:rFonts w:ascii="仿宋" w:hAnsi="仿宋" w:eastAsia="仿宋" w:cs="仿宋"/>
        </w:rPr>
      </w:pPr>
      <w:r>
        <w:rPr>
          <w:rFonts w:hint="eastAsia" w:ascii="仿宋" w:hAnsi="仿宋" w:eastAsia="仿宋" w:cs="仿宋"/>
          <w:lang w:eastAsia="zh-CN"/>
        </w:rPr>
        <w:t xml:space="preserve">2）安防监控系统 </w:t>
      </w:r>
    </w:p>
    <w:p w14:paraId="57A7DB34">
      <w:pPr>
        <w:widowControl/>
        <w:ind w:firstLine="480" w:firstLineChars="200"/>
        <w:rPr>
          <w:rFonts w:ascii="仿宋" w:hAnsi="仿宋" w:eastAsia="仿宋" w:cs="仿宋"/>
        </w:rPr>
      </w:pPr>
      <w:r>
        <w:rPr>
          <w:rFonts w:hint="eastAsia" w:ascii="仿宋" w:hAnsi="仿宋" w:eastAsia="仿宋" w:cs="仿宋"/>
          <w:lang w:eastAsia="zh-CN"/>
        </w:rPr>
        <w:t xml:space="preserve">根据大楼其具体使用性质的要求及工程建设的标准，为保障营业场所的正常工作和安全管理，需配置周密精良的技防系统，大楼拟建设一套视频监控系统，以实现对各区域实现不间断视频监控。要求监控系统基于现有 IP 网络建设，采用网络视频监控产品构建系统。要求系统建成后能够满足监控、远程控制、录像存储等要求。本次拟建设半球摄像机 26 台，枪机 9 台（含 1 台结构化摄像机），接入交换机 6 台，硬盘录像机 1 台，监视器 1 台，解码器 1 台，录像存储时间为90 天，实现楼外与楼内公共区域视频覆盖。 </w:t>
      </w:r>
    </w:p>
    <w:p w14:paraId="417337D4">
      <w:pPr>
        <w:widowControl/>
        <w:ind w:firstLine="480" w:firstLineChars="200"/>
        <w:rPr>
          <w:rFonts w:ascii="仿宋" w:hAnsi="仿宋" w:eastAsia="仿宋" w:cs="仿宋"/>
        </w:rPr>
      </w:pPr>
      <w:r>
        <w:rPr>
          <w:rFonts w:hint="eastAsia" w:ascii="仿宋" w:hAnsi="仿宋" w:eastAsia="仿宋" w:cs="仿宋"/>
          <w:lang w:eastAsia="zh-CN"/>
        </w:rPr>
        <w:t xml:space="preserve">3）停车场系统 </w:t>
      </w:r>
    </w:p>
    <w:p w14:paraId="24DDD749">
      <w:pPr>
        <w:widowControl/>
        <w:ind w:firstLine="480" w:firstLineChars="200"/>
        <w:rPr>
          <w:rFonts w:ascii="仿宋" w:hAnsi="仿宋" w:eastAsia="仿宋" w:cs="仿宋"/>
        </w:rPr>
      </w:pPr>
      <w:r>
        <w:rPr>
          <w:rFonts w:hint="eastAsia" w:ascii="仿宋" w:hAnsi="仿宋" w:eastAsia="仿宋" w:cs="仿宋"/>
          <w:lang w:eastAsia="zh-CN"/>
        </w:rPr>
        <w:t xml:space="preserve">车辆道闸是停车场、小区以及其他场所控制车辆进出的常用设备，安装车辆道闸 可以有效地控制车辆进出，提高安全性。本次将在大门口安装车辆道闸 1 套，人脸识别门禁 1 套。 </w:t>
      </w:r>
    </w:p>
    <w:p w14:paraId="7D526AA4">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 敏捷应急设施配套需求 </w:t>
      </w:r>
    </w:p>
    <w:p w14:paraId="020EAAA2">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.1融合通信需求 </w:t>
      </w:r>
    </w:p>
    <w:p w14:paraId="2CAA13E0">
      <w:pPr>
        <w:widowControl/>
        <w:ind w:firstLine="480" w:firstLineChars="200"/>
        <w:rPr>
          <w:rFonts w:ascii="仿宋" w:hAnsi="仿宋" w:eastAsia="仿宋" w:cs="仿宋"/>
        </w:rPr>
      </w:pPr>
      <w:r>
        <w:rPr>
          <w:rFonts w:hint="eastAsia" w:ascii="仿宋" w:hAnsi="仿宋" w:eastAsia="仿宋" w:cs="仿宋"/>
          <w:lang w:eastAsia="zh-CN"/>
        </w:rPr>
        <w:t xml:space="preserve">基于视频云架构设计，将不同标准、不同平台、不同协议的语音、视频、数据等资源进行有效融合和资源联动，实现跨平台、跨部门的互联互通和资源共享，结合应急驾驶舱及融合通信，提供应急指挥救援、音视频资源的统一化调度与管 理，并对应急事件发展态势进行全程跟踪，能够达到看得见、听得到、呼得通、快处理、可追溯的统一指挥、联合行动的目的，极大提升应急指挥中心对应急事件的处置效率。 </w:t>
      </w:r>
    </w:p>
    <w:p w14:paraId="3ECBED6E">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.2应急广播需求 </w:t>
      </w:r>
    </w:p>
    <w:p w14:paraId="76B117E7">
      <w:pPr>
        <w:widowControl/>
        <w:ind w:firstLine="480" w:firstLineChars="200"/>
        <w:rPr>
          <w:rFonts w:ascii="仿宋" w:hAnsi="仿宋" w:eastAsia="仿宋" w:cs="仿宋"/>
        </w:rPr>
      </w:pPr>
      <w:r>
        <w:rPr>
          <w:rFonts w:hint="eastAsia" w:ascii="仿宋" w:hAnsi="仿宋" w:eastAsia="仿宋" w:cs="仿宋"/>
          <w:lang w:eastAsia="zh-CN"/>
        </w:rPr>
        <w:t xml:space="preserve">园区内建设广播系统，主要布点在园区应急逃散区、企业中控室、企业大门、企业重点监管区域。 </w:t>
      </w:r>
    </w:p>
    <w:p w14:paraId="638CBFB0">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6</w:t>
      </w:r>
      <w:r>
        <w:rPr>
          <w:rFonts w:hint="eastAsia" w:ascii="仿宋" w:hAnsi="仿宋" w:eastAsia="仿宋" w:cs="仿宋"/>
          <w:b/>
          <w:bCs/>
          <w:lang w:eastAsia="zh-CN"/>
        </w:rPr>
        <w:t xml:space="preserve">特殊作业管理设施配套需求 </w:t>
      </w:r>
    </w:p>
    <w:p w14:paraId="3279D0D3">
      <w:pPr>
        <w:widowControl/>
        <w:ind w:firstLine="480" w:firstLineChars="200"/>
        <w:rPr>
          <w:rFonts w:ascii="仿宋" w:hAnsi="仿宋" w:eastAsia="仿宋" w:cs="仿宋"/>
          <w:lang w:eastAsia="zh-CN"/>
        </w:rPr>
      </w:pPr>
      <w:r>
        <w:rPr>
          <w:rFonts w:hint="eastAsia" w:ascii="仿宋" w:hAnsi="仿宋" w:eastAsia="仿宋" w:cs="仿宋"/>
          <w:lang w:eastAsia="zh-CN"/>
        </w:rPr>
        <w:t>根据特殊作业管理要求，需要见检查人员现场携带专用手持式的气体检测设备进行监督检查管理。在视频无法覆盖到的地方需要便携式视频设备进行现场在线监管。</w:t>
      </w:r>
    </w:p>
    <w:p w14:paraId="61B31415">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7</w:t>
      </w:r>
      <w:r>
        <w:rPr>
          <w:rFonts w:hint="eastAsia" w:ascii="仿宋" w:hAnsi="仿宋" w:eastAsia="仿宋" w:cs="仿宋"/>
          <w:b/>
          <w:bCs/>
          <w:lang w:eastAsia="zh-CN"/>
        </w:rPr>
        <w:t xml:space="preserve"> 智慧环保设施配套需求</w:t>
      </w:r>
      <w:r>
        <w:rPr>
          <w:rFonts w:hint="eastAsia" w:ascii="仿宋" w:hAnsi="仿宋" w:eastAsia="仿宋" w:cs="仿宋"/>
          <w:lang w:eastAsia="zh-CN"/>
        </w:rPr>
        <w:t xml:space="preserve"> </w:t>
      </w:r>
    </w:p>
    <w:p w14:paraId="2DD70BD1">
      <w:pPr>
        <w:widowControl/>
        <w:ind w:firstLine="480" w:firstLineChars="200"/>
        <w:rPr>
          <w:rFonts w:ascii="仿宋" w:hAnsi="仿宋" w:eastAsia="仿宋" w:cs="仿宋"/>
        </w:rPr>
      </w:pPr>
      <w:r>
        <w:rPr>
          <w:rFonts w:hint="eastAsia" w:ascii="仿宋" w:hAnsi="仿宋" w:eastAsia="仿宋" w:cs="仿宋"/>
          <w:lang w:eastAsia="zh-CN"/>
        </w:rPr>
        <w:t xml:space="preserve">通过完善园区环境空气常规污染物及挥发性有机物组分在线监测，围绕PM2.5 和臭氧协同控制及重污染天气应急防控的管理需求，开展挥发性有机物组分在线监测，实现实时监控与预警；加强重点企业厂界、化工园区边界、化工园区内和化工园区周边敏感目标环境空气质量进在线监测，超过监测阈值报警，引导相关规范处理处置流程；大气环境质量在线监测：通过线监控数据展示、实时报警、预警模拟等模块基于 GIS 平台、大数据平台为依托，通过建立动态监测数据库，形成突发性环境事件的预警体系。 </w:t>
      </w:r>
    </w:p>
    <w:p w14:paraId="61BCFF85">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8</w:t>
      </w:r>
      <w:r>
        <w:rPr>
          <w:rFonts w:hint="eastAsia" w:ascii="仿宋" w:hAnsi="仿宋" w:eastAsia="仿宋" w:cs="仿宋"/>
          <w:b/>
          <w:bCs/>
          <w:lang w:eastAsia="zh-CN"/>
        </w:rPr>
        <w:t xml:space="preserve"> 易燃易爆有毒有害气体泄露检测设施配套需求</w:t>
      </w:r>
      <w:r>
        <w:rPr>
          <w:rFonts w:hint="eastAsia" w:ascii="仿宋" w:hAnsi="仿宋" w:eastAsia="仿宋" w:cs="仿宋"/>
          <w:lang w:eastAsia="zh-CN"/>
        </w:rPr>
        <w:t xml:space="preserve"> </w:t>
      </w:r>
    </w:p>
    <w:p w14:paraId="5457F9C6">
      <w:pPr>
        <w:widowControl/>
        <w:ind w:firstLine="480" w:firstLineChars="200"/>
        <w:rPr>
          <w:rFonts w:ascii="仿宋" w:hAnsi="仿宋" w:eastAsia="仿宋" w:cs="仿宋"/>
        </w:rPr>
      </w:pPr>
      <w:r>
        <w:rPr>
          <w:rFonts w:hint="eastAsia" w:ascii="仿宋" w:hAnsi="仿宋" w:eastAsia="仿宋" w:cs="仿宋"/>
          <w:lang w:eastAsia="zh-CN"/>
        </w:rPr>
        <w:t xml:space="preserve">根据相关管理规范，需配置气体泄漏检测相机的大范围速扫策略，实现对园区内大范围的气体泄漏检测设置及实时监测。在特定点位采集空气实时指标数据，而且需要接入企业自身各类气体检测设备实时监控气体泄漏情况。 </w:t>
      </w:r>
    </w:p>
    <w:p w14:paraId="7B1BE74E">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9</w:t>
      </w:r>
      <w:r>
        <w:rPr>
          <w:rFonts w:hint="eastAsia" w:ascii="仿宋" w:hAnsi="仿宋" w:eastAsia="仿宋" w:cs="仿宋"/>
          <w:b/>
          <w:bCs/>
          <w:lang w:eastAsia="zh-CN"/>
        </w:rPr>
        <w:t xml:space="preserve">园区运营管理设施配套需求 </w:t>
      </w:r>
    </w:p>
    <w:p w14:paraId="07C30A90">
      <w:pPr>
        <w:widowControl/>
        <w:ind w:firstLine="480" w:firstLineChars="200"/>
        <w:rPr>
          <w:rFonts w:ascii="仿宋" w:hAnsi="仿宋" w:eastAsia="仿宋" w:cs="仿宋"/>
        </w:rPr>
      </w:pPr>
      <w:r>
        <w:rPr>
          <w:rFonts w:hint="eastAsia" w:ascii="仿宋" w:hAnsi="仿宋" w:eastAsia="仿宋" w:cs="仿宋"/>
          <w:lang w:eastAsia="zh-CN"/>
        </w:rPr>
        <w:t xml:space="preserve">根据园区运营管理需要，建设园区高空瞭望监测，并接入园区所有视频监控及传感数据，进行视频融合整体，实现园区实时状态一屏可见。高空瞭望设备具备热成像及智能主动识别报警能力。系统还需要与企业物联设备对接能力等。 </w:t>
      </w:r>
    </w:p>
    <w:p w14:paraId="215C87FD">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系统及工具软件需求 </w:t>
      </w:r>
    </w:p>
    <w:p w14:paraId="6AF86CC9">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.1 操作系统需求 </w:t>
      </w:r>
    </w:p>
    <w:p w14:paraId="1D985260">
      <w:pPr>
        <w:widowControl/>
        <w:ind w:firstLine="480" w:firstLineChars="200"/>
        <w:rPr>
          <w:rFonts w:ascii="仿宋" w:hAnsi="仿宋" w:eastAsia="仿宋" w:cs="仿宋"/>
        </w:rPr>
      </w:pPr>
      <w:r>
        <w:rPr>
          <w:rFonts w:hint="eastAsia" w:ascii="仿宋" w:hAnsi="仿宋" w:eastAsia="仿宋" w:cs="仿宋"/>
          <w:lang w:eastAsia="zh-CN"/>
        </w:rPr>
        <w:t xml:space="preserve">1.安全性需求 </w:t>
      </w:r>
    </w:p>
    <w:p w14:paraId="1BEE3294">
      <w:pPr>
        <w:widowControl/>
        <w:ind w:firstLine="480" w:firstLineChars="200"/>
        <w:rPr>
          <w:rFonts w:ascii="仿宋" w:hAnsi="仿宋" w:eastAsia="仿宋" w:cs="仿宋"/>
        </w:rPr>
      </w:pPr>
      <w:r>
        <w:rPr>
          <w:rFonts w:hint="eastAsia" w:ascii="仿宋" w:hAnsi="仿宋" w:eastAsia="仿宋" w:cs="仿宋"/>
          <w:lang w:eastAsia="zh-CN"/>
        </w:rPr>
        <w:t xml:space="preserve">自主可控：操作系统必须基于国产自主研发的核心技术，确保底层代码和架构的自主可控，避免因外部技术限制带来的安全隐患。 </w:t>
      </w:r>
    </w:p>
    <w:p w14:paraId="39C30ED9">
      <w:pPr>
        <w:widowControl/>
        <w:ind w:firstLine="480" w:firstLineChars="200"/>
        <w:rPr>
          <w:rFonts w:ascii="仿宋" w:hAnsi="仿宋" w:eastAsia="仿宋" w:cs="仿宋"/>
        </w:rPr>
      </w:pPr>
      <w:r>
        <w:rPr>
          <w:rFonts w:hint="eastAsia" w:ascii="仿宋" w:hAnsi="仿宋" w:eastAsia="仿宋" w:cs="仿宋"/>
          <w:lang w:eastAsia="zh-CN"/>
        </w:rPr>
        <w:t xml:space="preserve">安全认证：满足国家信息安全等级保护要求，支持多级安全策略，如用户权限管理、数据加密存储与传输、访问控制等。 </w:t>
      </w:r>
    </w:p>
    <w:p w14:paraId="1C4F9442">
      <w:pPr>
        <w:widowControl/>
        <w:ind w:firstLine="480" w:firstLineChars="200"/>
        <w:rPr>
          <w:rFonts w:ascii="仿宋" w:hAnsi="仿宋" w:eastAsia="仿宋" w:cs="仿宋"/>
        </w:rPr>
      </w:pPr>
      <w:r>
        <w:rPr>
          <w:rFonts w:hint="eastAsia" w:ascii="仿宋" w:hAnsi="仿宋" w:eastAsia="仿宋" w:cs="仿宋"/>
          <w:lang w:eastAsia="zh-CN"/>
        </w:rPr>
        <w:t xml:space="preserve">漏洞管理：具备快速响应和修复安全漏洞的能力，提供定期的安全更新和补丁支持。 </w:t>
      </w:r>
    </w:p>
    <w:p w14:paraId="6EFBD809">
      <w:pPr>
        <w:widowControl/>
        <w:ind w:firstLine="480" w:firstLineChars="200"/>
        <w:rPr>
          <w:rFonts w:ascii="仿宋" w:hAnsi="仿宋" w:eastAsia="仿宋" w:cs="仿宋"/>
        </w:rPr>
      </w:pPr>
      <w:r>
        <w:rPr>
          <w:rFonts w:hint="eastAsia" w:ascii="仿宋" w:hAnsi="仿宋" w:eastAsia="仿宋" w:cs="仿宋"/>
          <w:lang w:eastAsia="zh-CN"/>
        </w:rPr>
        <w:t xml:space="preserve">2.性能需求 </w:t>
      </w:r>
    </w:p>
    <w:p w14:paraId="5C4E0224">
      <w:pPr>
        <w:widowControl/>
        <w:ind w:firstLine="480" w:firstLineChars="200"/>
        <w:rPr>
          <w:rFonts w:ascii="仿宋" w:hAnsi="仿宋" w:eastAsia="仿宋" w:cs="仿宋"/>
        </w:rPr>
      </w:pPr>
      <w:r>
        <w:rPr>
          <w:rFonts w:hint="eastAsia" w:ascii="仿宋" w:hAnsi="仿宋" w:eastAsia="仿宋" w:cs="仿宋"/>
          <w:lang w:eastAsia="zh-CN"/>
        </w:rPr>
        <w:t xml:space="preserve">多核计算支持：支持多核处理器架构，优化多线程和并行计算能力，以满足高并发业务场景的需求。 </w:t>
      </w:r>
    </w:p>
    <w:p w14:paraId="2BA1ED4E">
      <w:pPr>
        <w:widowControl/>
        <w:ind w:firstLine="480" w:firstLineChars="200"/>
        <w:rPr>
          <w:rFonts w:ascii="仿宋" w:hAnsi="仿宋" w:eastAsia="仿宋" w:cs="仿宋"/>
        </w:rPr>
      </w:pPr>
      <w:r>
        <w:rPr>
          <w:rFonts w:hint="eastAsia" w:ascii="仿宋" w:hAnsi="仿宋" w:eastAsia="仿宋" w:cs="仿宋"/>
          <w:lang w:eastAsia="zh-CN"/>
        </w:rPr>
        <w:t xml:space="preserve">系统稳定性：在长时间运行和高负载环境下保持稳定，具备高可用性（HA）设计，如故障切换、冗余机制等。 </w:t>
      </w:r>
    </w:p>
    <w:p w14:paraId="00804567">
      <w:pPr>
        <w:widowControl/>
        <w:ind w:firstLine="480" w:firstLineChars="200"/>
        <w:rPr>
          <w:rFonts w:ascii="仿宋" w:hAnsi="仿宋" w:eastAsia="仿宋" w:cs="仿宋"/>
        </w:rPr>
      </w:pPr>
      <w:r>
        <w:rPr>
          <w:rFonts w:hint="eastAsia" w:ascii="仿宋" w:hAnsi="仿宋" w:eastAsia="仿宋" w:cs="仿宋"/>
          <w:lang w:eastAsia="zh-CN"/>
        </w:rPr>
        <w:t xml:space="preserve">资源管理：提供高效的资源管理功能，支持动态资源分配、负载均衡和性能优化工具。 </w:t>
      </w:r>
    </w:p>
    <w:p w14:paraId="12968AB6">
      <w:pPr>
        <w:widowControl/>
        <w:ind w:firstLine="480" w:firstLineChars="200"/>
        <w:rPr>
          <w:rFonts w:ascii="仿宋" w:hAnsi="仿宋" w:eastAsia="仿宋" w:cs="仿宋"/>
        </w:rPr>
      </w:pPr>
      <w:r>
        <w:rPr>
          <w:rFonts w:hint="eastAsia" w:ascii="仿宋" w:hAnsi="仿宋" w:eastAsia="仿宋" w:cs="仿宋"/>
          <w:lang w:eastAsia="zh-CN"/>
        </w:rPr>
        <w:t xml:space="preserve">3.兼容性需求 </w:t>
      </w:r>
    </w:p>
    <w:p w14:paraId="0347A56E">
      <w:pPr>
        <w:widowControl/>
        <w:ind w:firstLine="480" w:firstLineChars="200"/>
        <w:rPr>
          <w:rFonts w:ascii="仿宋" w:hAnsi="仿宋" w:eastAsia="仿宋" w:cs="仿宋"/>
        </w:rPr>
      </w:pPr>
      <w:r>
        <w:rPr>
          <w:rFonts w:hint="eastAsia" w:ascii="仿宋" w:hAnsi="仿宋" w:eastAsia="仿宋" w:cs="仿宋"/>
          <w:lang w:eastAsia="zh-CN"/>
        </w:rPr>
        <w:t xml:space="preserve">硬件适配：兼容主流国产芯片和国产服务器硬件平台，确保系统在国产化硬件环境下的稳定运行。 </w:t>
      </w:r>
    </w:p>
    <w:p w14:paraId="3E19A991">
      <w:pPr>
        <w:widowControl/>
        <w:ind w:firstLine="480" w:firstLineChars="200"/>
        <w:rPr>
          <w:rFonts w:ascii="仿宋" w:hAnsi="仿宋" w:eastAsia="仿宋" w:cs="仿宋"/>
        </w:rPr>
      </w:pPr>
      <w:r>
        <w:rPr>
          <w:rFonts w:hint="eastAsia" w:ascii="仿宋" w:hAnsi="仿宋" w:eastAsia="仿宋" w:cs="仿宋"/>
          <w:lang w:eastAsia="zh-CN"/>
        </w:rPr>
        <w:t xml:space="preserve">软件生态：支持主流的国产数据库、中间件和开发工具。 </w:t>
      </w:r>
    </w:p>
    <w:p w14:paraId="13721858">
      <w:pPr>
        <w:widowControl/>
        <w:ind w:firstLine="480" w:firstLineChars="200"/>
        <w:rPr>
          <w:rFonts w:ascii="仿宋" w:hAnsi="仿宋" w:eastAsia="仿宋" w:cs="仿宋"/>
        </w:rPr>
      </w:pPr>
      <w:r>
        <w:rPr>
          <w:rFonts w:hint="eastAsia" w:ascii="仿宋" w:hAnsi="仿宋" w:eastAsia="仿宋" w:cs="仿宋"/>
          <w:lang w:eastAsia="zh-CN"/>
        </w:rPr>
        <w:t xml:space="preserve">应用兼容：支持常见的办公软件、浏览器、开发框架等，确保用户能够无缝迁移现有应用。 </w:t>
      </w:r>
    </w:p>
    <w:p w14:paraId="69205916">
      <w:pPr>
        <w:widowControl/>
        <w:ind w:firstLine="480" w:firstLineChars="200"/>
        <w:rPr>
          <w:rFonts w:ascii="仿宋" w:hAnsi="仿宋" w:eastAsia="仿宋" w:cs="仿宋"/>
        </w:rPr>
      </w:pPr>
      <w:r>
        <w:rPr>
          <w:rFonts w:hint="eastAsia" w:ascii="仿宋" w:hAnsi="仿宋" w:eastAsia="仿宋" w:cs="仿宋"/>
          <w:lang w:eastAsia="zh-CN"/>
        </w:rPr>
        <w:t xml:space="preserve">4.可用性需求 </w:t>
      </w:r>
    </w:p>
    <w:p w14:paraId="7A9C6C67">
      <w:pPr>
        <w:widowControl/>
        <w:ind w:firstLine="480" w:firstLineChars="200"/>
        <w:rPr>
          <w:rFonts w:ascii="仿宋" w:hAnsi="仿宋" w:eastAsia="仿宋" w:cs="仿宋"/>
        </w:rPr>
      </w:pPr>
      <w:r>
        <w:rPr>
          <w:rFonts w:hint="eastAsia" w:ascii="仿宋" w:hAnsi="仿宋" w:eastAsia="仿宋" w:cs="仿宋"/>
          <w:lang w:eastAsia="zh-CN"/>
        </w:rPr>
        <w:t xml:space="preserve">用户界面：提供简洁易用的图形化用户界面，降低用户的学习成本和操作难度。系统管理工具：提供完善的系统管理工具，支持远程管理、监控、备份与恢复等功能，方便运维人员操作。 </w:t>
      </w:r>
    </w:p>
    <w:p w14:paraId="7BCFA243">
      <w:pPr>
        <w:widowControl/>
        <w:ind w:firstLine="480" w:firstLineChars="200"/>
        <w:rPr>
          <w:rFonts w:ascii="仿宋" w:hAnsi="仿宋" w:eastAsia="仿宋" w:cs="仿宋"/>
        </w:rPr>
      </w:pPr>
      <w:r>
        <w:rPr>
          <w:rFonts w:hint="eastAsia" w:ascii="仿宋" w:hAnsi="仿宋" w:eastAsia="仿宋" w:cs="仿宋"/>
          <w:lang w:eastAsia="zh-CN"/>
        </w:rPr>
        <w:t xml:space="preserve">多语言支持：支持简体中文、英文等多种语言环境，满足不同用户的需求。 </w:t>
      </w:r>
    </w:p>
    <w:p w14:paraId="2F3D7192">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.2 数据库需求 </w:t>
      </w:r>
    </w:p>
    <w:p w14:paraId="50BCD7F5">
      <w:pPr>
        <w:widowControl/>
        <w:ind w:firstLine="480" w:firstLineChars="200"/>
        <w:rPr>
          <w:rFonts w:ascii="仿宋" w:hAnsi="仿宋" w:eastAsia="仿宋" w:cs="仿宋"/>
        </w:rPr>
      </w:pPr>
      <w:r>
        <w:rPr>
          <w:rFonts w:hint="eastAsia" w:ascii="仿宋" w:hAnsi="仿宋" w:eastAsia="仿宋" w:cs="仿宋"/>
          <w:lang w:eastAsia="zh-CN"/>
        </w:rPr>
        <w:t xml:space="preserve">1.性能需求 </w:t>
      </w:r>
    </w:p>
    <w:p w14:paraId="28592F92">
      <w:pPr>
        <w:widowControl/>
        <w:ind w:firstLine="480" w:firstLineChars="200"/>
        <w:rPr>
          <w:rFonts w:ascii="仿宋" w:hAnsi="仿宋" w:eastAsia="仿宋" w:cs="仿宋"/>
        </w:rPr>
      </w:pPr>
      <w:r>
        <w:rPr>
          <w:rFonts w:hint="eastAsia" w:ascii="仿宋" w:hAnsi="仿宋" w:eastAsia="仿宋" w:cs="仿宋"/>
          <w:lang w:eastAsia="zh-CN"/>
        </w:rPr>
        <w:t xml:space="preserve">高并发处理能力：支持高并发事务处理，满足大规模数据读写需求。 </w:t>
      </w:r>
    </w:p>
    <w:p w14:paraId="05D30AA4">
      <w:pPr>
        <w:widowControl/>
        <w:ind w:firstLine="480" w:firstLineChars="200"/>
        <w:rPr>
          <w:rFonts w:ascii="仿宋" w:hAnsi="仿宋" w:eastAsia="仿宋" w:cs="仿宋"/>
        </w:rPr>
      </w:pPr>
      <w:r>
        <w:rPr>
          <w:rFonts w:hint="eastAsia" w:ascii="仿宋" w:hAnsi="仿宋" w:eastAsia="仿宋" w:cs="仿宋"/>
          <w:lang w:eastAsia="zh-CN"/>
        </w:rPr>
        <w:t xml:space="preserve">复杂查询优化：具备高效的查询优化器，支持复杂查询和大数据量处理。分布式扩展性：支持分布式架构，可横向扩展以满足业务增长。 </w:t>
      </w:r>
    </w:p>
    <w:p w14:paraId="401B8407">
      <w:pPr>
        <w:widowControl/>
        <w:ind w:firstLine="480" w:firstLineChars="200"/>
        <w:rPr>
          <w:rFonts w:ascii="仿宋" w:hAnsi="仿宋" w:eastAsia="仿宋" w:cs="仿宋"/>
        </w:rPr>
      </w:pPr>
      <w:r>
        <w:rPr>
          <w:rFonts w:hint="eastAsia" w:ascii="仿宋" w:hAnsi="仿宋" w:eastAsia="仿宋" w:cs="仿宋"/>
          <w:lang w:eastAsia="zh-CN"/>
        </w:rPr>
        <w:t xml:space="preserve">2.可靠性需求 </w:t>
      </w:r>
    </w:p>
    <w:p w14:paraId="3A2B4D67">
      <w:pPr>
        <w:widowControl/>
        <w:ind w:firstLine="480" w:firstLineChars="200"/>
        <w:rPr>
          <w:rFonts w:ascii="仿宋" w:hAnsi="仿宋" w:eastAsia="仿宋" w:cs="仿宋"/>
        </w:rPr>
      </w:pPr>
      <w:r>
        <w:rPr>
          <w:rFonts w:hint="eastAsia" w:ascii="仿宋" w:hAnsi="仿宋" w:eastAsia="仿宋" w:cs="仿宋"/>
          <w:lang w:eastAsia="zh-CN"/>
        </w:rPr>
        <w:t xml:space="preserve">数据完整性与一致性：支持事务的 ACID 特性，确保数据的完整性和一致性。高可用性设计：支持主备切换、数据同步、多地多中心架构，确保系统无单点故 </w:t>
      </w:r>
    </w:p>
    <w:p w14:paraId="31CA6573">
      <w:pPr>
        <w:widowControl/>
        <w:rPr>
          <w:rFonts w:ascii="仿宋" w:hAnsi="仿宋" w:eastAsia="仿宋" w:cs="仿宋"/>
        </w:rPr>
      </w:pPr>
      <w:r>
        <w:rPr>
          <w:rFonts w:hint="eastAsia" w:ascii="仿宋" w:hAnsi="仿宋" w:eastAsia="仿宋" w:cs="仿宋"/>
          <w:lang w:eastAsia="zh-CN"/>
        </w:rPr>
        <w:t xml:space="preserve">障。 </w:t>
      </w:r>
    </w:p>
    <w:p w14:paraId="01C499C7">
      <w:pPr>
        <w:widowControl/>
        <w:ind w:firstLine="480" w:firstLineChars="200"/>
        <w:rPr>
          <w:rFonts w:ascii="仿宋" w:hAnsi="仿宋" w:eastAsia="仿宋" w:cs="仿宋"/>
        </w:rPr>
      </w:pPr>
      <w:r>
        <w:rPr>
          <w:rFonts w:hint="eastAsia" w:ascii="仿宋" w:hAnsi="仿宋" w:eastAsia="仿宋" w:cs="仿宋"/>
          <w:lang w:eastAsia="zh-CN"/>
        </w:rPr>
        <w:t xml:space="preserve">备份与恢复：提供全量、增量、实时备份策略，支持数据恢复到任意时间点。 </w:t>
      </w:r>
    </w:p>
    <w:p w14:paraId="4178FB4F">
      <w:pPr>
        <w:widowControl/>
        <w:ind w:firstLine="480" w:firstLineChars="200"/>
        <w:rPr>
          <w:rFonts w:ascii="仿宋" w:hAnsi="仿宋" w:eastAsia="仿宋" w:cs="仿宋"/>
        </w:rPr>
      </w:pPr>
      <w:r>
        <w:rPr>
          <w:rFonts w:hint="eastAsia" w:ascii="仿宋" w:hAnsi="仿宋" w:eastAsia="仿宋" w:cs="仿宋"/>
          <w:lang w:eastAsia="zh-CN"/>
        </w:rPr>
        <w:t xml:space="preserve">3.安全性需求 </w:t>
      </w:r>
    </w:p>
    <w:p w14:paraId="7FAC88D5">
      <w:pPr>
        <w:widowControl/>
        <w:ind w:firstLine="480" w:firstLineChars="200"/>
        <w:rPr>
          <w:rFonts w:ascii="仿宋" w:hAnsi="仿宋" w:eastAsia="仿宋" w:cs="仿宋"/>
        </w:rPr>
      </w:pPr>
      <w:r>
        <w:rPr>
          <w:rFonts w:hint="eastAsia" w:ascii="仿宋" w:hAnsi="仿宋" w:eastAsia="仿宋" w:cs="仿宋"/>
          <w:lang w:eastAsia="zh-CN"/>
        </w:rPr>
        <w:t xml:space="preserve">自主可控：基于国产自主研发技术，确保核心技术不受国外限制。安全认证机制：支持 SSL/TLS 加密、用户身份验证、权限管理、国密算法等。数据加密与脱敏：支持数据加密存储与传输，提供数据脱敏功能。 </w:t>
      </w:r>
    </w:p>
    <w:p w14:paraId="3D5EBA29">
      <w:pPr>
        <w:widowControl/>
        <w:ind w:firstLine="480" w:firstLineChars="200"/>
        <w:rPr>
          <w:rFonts w:ascii="仿宋" w:hAnsi="仿宋" w:eastAsia="仿宋" w:cs="仿宋"/>
        </w:rPr>
      </w:pPr>
      <w:r>
        <w:rPr>
          <w:rFonts w:hint="eastAsia" w:ascii="仿宋" w:hAnsi="仿宋" w:eastAsia="仿宋" w:cs="仿宋"/>
          <w:lang w:eastAsia="zh-CN"/>
        </w:rPr>
        <w:t xml:space="preserve">4.兼容性需求 </w:t>
      </w:r>
    </w:p>
    <w:p w14:paraId="4741E8D4">
      <w:pPr>
        <w:widowControl/>
        <w:ind w:firstLine="480" w:firstLineChars="200"/>
        <w:rPr>
          <w:rFonts w:ascii="仿宋" w:hAnsi="仿宋" w:eastAsia="仿宋" w:cs="仿宋"/>
        </w:rPr>
      </w:pPr>
      <w:r>
        <w:rPr>
          <w:rFonts w:hint="eastAsia" w:ascii="仿宋" w:hAnsi="仿宋" w:eastAsia="仿宋" w:cs="仿宋"/>
          <w:lang w:eastAsia="zh-CN"/>
        </w:rPr>
        <w:t xml:space="preserve">SQL 语法兼容性：支持标准 SQL 语法，兼容 Oracle、MySQL 等主流数据库的 SQL语法。 </w:t>
      </w:r>
    </w:p>
    <w:p w14:paraId="169EC00D">
      <w:pPr>
        <w:widowControl/>
        <w:ind w:firstLine="480" w:firstLineChars="200"/>
        <w:rPr>
          <w:rFonts w:ascii="仿宋" w:hAnsi="仿宋" w:eastAsia="仿宋" w:cs="仿宋"/>
        </w:rPr>
      </w:pPr>
      <w:r>
        <w:rPr>
          <w:rFonts w:hint="eastAsia" w:ascii="仿宋" w:hAnsi="仿宋" w:eastAsia="仿宋" w:cs="仿宋"/>
          <w:lang w:eastAsia="zh-CN"/>
        </w:rPr>
        <w:t xml:space="preserve">开发工具兼容性：支持 JDBC、ODBC 等常见开发工具，确保应用程序无缝迁移。 </w:t>
      </w:r>
    </w:p>
    <w:p w14:paraId="2E1BBFD6">
      <w:pPr>
        <w:widowControl/>
        <w:ind w:firstLine="480" w:firstLineChars="200"/>
        <w:rPr>
          <w:rFonts w:ascii="仿宋" w:hAnsi="仿宋" w:eastAsia="仿宋" w:cs="仿宋"/>
        </w:rPr>
      </w:pPr>
      <w:r>
        <w:rPr>
          <w:rFonts w:hint="eastAsia" w:ascii="仿宋" w:hAnsi="仿宋" w:eastAsia="仿宋" w:cs="仿宋"/>
          <w:lang w:eastAsia="zh-CN"/>
        </w:rPr>
        <w:t xml:space="preserve">生态兼容性：与国产操作系统、中间件、应用软件等生态产品兼容。 </w:t>
      </w:r>
    </w:p>
    <w:p w14:paraId="06849D32">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网络建设和部署需求 </w:t>
      </w:r>
    </w:p>
    <w:p w14:paraId="5076F391">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.1 部署环境需求 </w:t>
      </w:r>
    </w:p>
    <w:p w14:paraId="563A2651">
      <w:pPr>
        <w:widowControl/>
        <w:ind w:firstLine="480" w:firstLineChars="200"/>
        <w:rPr>
          <w:rFonts w:ascii="仿宋" w:hAnsi="仿宋" w:eastAsia="仿宋" w:cs="仿宋"/>
        </w:rPr>
      </w:pPr>
      <w:r>
        <w:rPr>
          <w:rFonts w:hint="eastAsia" w:ascii="仿宋" w:hAnsi="仿宋" w:eastAsia="仿宋" w:cs="仿宋"/>
          <w:lang w:eastAsia="zh-CN"/>
        </w:rPr>
        <w:t xml:space="preserve">本项目需新建园区信息网(内网)、园区物联网(传感器+视频)、园区宽带网(互联网出入口)。同时，异地灾备数据需要同步到哈密市运营商机房。 </w:t>
      </w:r>
    </w:p>
    <w:p w14:paraId="5D84AB0D">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.2 网络宽带需求 </w:t>
      </w:r>
    </w:p>
    <w:p w14:paraId="7C4C9BFA">
      <w:pPr>
        <w:widowControl/>
        <w:ind w:firstLine="480" w:firstLineChars="200"/>
        <w:rPr>
          <w:rFonts w:ascii="仿宋" w:hAnsi="仿宋" w:eastAsia="仿宋" w:cs="仿宋"/>
        </w:rPr>
      </w:pPr>
      <w:r>
        <w:rPr>
          <w:rFonts w:hint="eastAsia" w:ascii="仿宋" w:hAnsi="仿宋" w:eastAsia="仿宋" w:cs="仿宋"/>
          <w:lang w:eastAsia="zh-CN"/>
        </w:rPr>
        <w:t xml:space="preserve">需建立的连接数（忙时并发连接用户数）=Np1×T1/3600=2314，每用户平均占用带宽预估 100K，业务流量并发率按 20%计算。公共服务系统日常访问对互联网入口带宽需求计算结果如下：2314*100*20%*8/1024≈360Mbps。 </w:t>
      </w:r>
    </w:p>
    <w:p w14:paraId="2120D6FC">
      <w:pPr>
        <w:widowControl/>
        <w:ind w:firstLine="480" w:firstLineChars="200"/>
        <w:rPr>
          <w:rFonts w:ascii="仿宋" w:hAnsi="仿宋" w:eastAsia="仿宋" w:cs="仿宋"/>
        </w:rPr>
      </w:pPr>
      <w:r>
        <w:rPr>
          <w:rFonts w:hint="eastAsia" w:ascii="仿宋" w:hAnsi="仿宋" w:eastAsia="仿宋" w:cs="仿宋"/>
          <w:lang w:eastAsia="zh-CN"/>
        </w:rPr>
        <w:t xml:space="preserve">工作人员按 100 人计算，外来人员按 50%计算，冗余量 20%，每用户平均日常正常办公带宽（下载限流）按 200K 计算，互联网出口带宽需求为： </w:t>
      </w:r>
    </w:p>
    <w:p w14:paraId="07C59E0F">
      <w:pPr>
        <w:widowControl/>
        <w:rPr>
          <w:rFonts w:ascii="仿宋" w:hAnsi="仿宋" w:eastAsia="仿宋" w:cs="仿宋"/>
        </w:rPr>
      </w:pPr>
      <w:r>
        <w:rPr>
          <w:rFonts w:hint="eastAsia" w:ascii="仿宋" w:hAnsi="仿宋" w:eastAsia="仿宋" w:cs="仿宋"/>
          <w:lang w:eastAsia="zh-CN"/>
        </w:rPr>
        <w:t xml:space="preserve">150*1.2*200*8/1024≈290Mbps。 </w:t>
      </w:r>
    </w:p>
    <w:p w14:paraId="16687E18">
      <w:pPr>
        <w:widowControl/>
        <w:ind w:firstLine="480" w:firstLineChars="200"/>
        <w:rPr>
          <w:rFonts w:ascii="仿宋" w:hAnsi="仿宋" w:eastAsia="仿宋" w:cs="仿宋"/>
        </w:rPr>
      </w:pPr>
      <w:r>
        <w:rPr>
          <w:rFonts w:hint="eastAsia" w:ascii="仿宋" w:hAnsi="仿宋" w:eastAsia="仿宋" w:cs="仿宋"/>
          <w:lang w:eastAsia="zh-CN"/>
        </w:rPr>
        <w:t xml:space="preserve">单个前端视频摄像头，主码流按 8Mbps，辅码流按 4Mbps 计算考虑 30%带宽余量，配置 20M 带宽专线可以满足需求。路口卡口，按单路口 4 个相机计算，单路口配置 100M 带宽专线可以满足需求。 </w:t>
      </w:r>
    </w:p>
    <w:p w14:paraId="263CC2F4">
      <w:pPr>
        <w:widowControl/>
        <w:ind w:firstLine="480" w:firstLineChars="200"/>
        <w:rPr>
          <w:rFonts w:ascii="仿宋" w:hAnsi="仿宋" w:eastAsia="仿宋" w:cs="仿宋"/>
        </w:rPr>
      </w:pPr>
      <w:r>
        <w:rPr>
          <w:rFonts w:hint="eastAsia" w:ascii="仿宋" w:hAnsi="仿宋" w:eastAsia="仿宋" w:cs="仿宋"/>
          <w:lang w:eastAsia="zh-CN"/>
        </w:rPr>
        <w:t xml:space="preserve">视频专网汇聚到中心存储，考虑用辅码流存储单路带宽 4Mbps。一共需要中心存储的摄像头有 125 路，考虑 16 路主码流暨 8Mbps 直接上屏，再考虑 30%带宽余量，预计千兆带宽专线可以满足需求。 </w:t>
      </w:r>
    </w:p>
    <w:p w14:paraId="6571052C">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2</w:t>
      </w:r>
      <w:r>
        <w:rPr>
          <w:rFonts w:hint="eastAsia" w:ascii="仿宋" w:hAnsi="仿宋" w:eastAsia="仿宋" w:cs="仿宋"/>
          <w:b/>
          <w:bCs/>
          <w:lang w:eastAsia="zh-CN"/>
        </w:rPr>
        <w:t>信息交换与共享需求</w:t>
      </w:r>
      <w:r>
        <w:rPr>
          <w:rFonts w:hint="eastAsia" w:ascii="仿宋" w:hAnsi="仿宋" w:eastAsia="仿宋" w:cs="仿宋"/>
          <w:lang w:eastAsia="zh-CN"/>
        </w:rPr>
        <w:t xml:space="preserve"> </w:t>
      </w:r>
    </w:p>
    <w:p w14:paraId="6EA65FEF">
      <w:pPr>
        <w:widowControl/>
        <w:ind w:firstLine="480" w:firstLineChars="200"/>
        <w:rPr>
          <w:rFonts w:ascii="仿宋" w:hAnsi="仿宋" w:eastAsia="仿宋" w:cs="仿宋"/>
        </w:rPr>
      </w:pPr>
      <w:r>
        <w:rPr>
          <w:rFonts w:hint="eastAsia" w:ascii="仿宋" w:hAnsi="仿宋" w:eastAsia="仿宋" w:cs="仿宋"/>
          <w:lang w:eastAsia="zh-CN"/>
        </w:rPr>
        <w:t xml:space="preserve">根据《化工园区安全风险智能化管控平台数据交换规范（试行）》要求，对于未开展化工园区安全风险智能化管控平台建设的园区，应按照交换规范要求，开展系统数据部分建设。 </w:t>
      </w:r>
    </w:p>
    <w:p w14:paraId="0F65A410">
      <w:pPr>
        <w:widowControl/>
        <w:ind w:firstLine="480" w:firstLineChars="200"/>
        <w:rPr>
          <w:rFonts w:ascii="仿宋" w:hAnsi="仿宋" w:eastAsia="仿宋" w:cs="仿宋"/>
        </w:rPr>
      </w:pPr>
      <w:r>
        <w:rPr>
          <w:rFonts w:hint="eastAsia" w:ascii="仿宋" w:hAnsi="仿宋" w:eastAsia="仿宋" w:cs="仿宋"/>
          <w:lang w:eastAsia="zh-CN"/>
        </w:rPr>
        <w:t xml:space="preserve">化工园区安全风险智能化管控平台汇聚园区内企业各项业务数据，通过应急指挥专网将各项数据上报到省级应急管理厅系统中。国标站数据汇聚到园区平台，再通过环保专网，上报到环保厅。园区重大危险源视频还需要通过视频专线，级联到哈密市应急管理局。 </w:t>
      </w:r>
    </w:p>
    <w:p w14:paraId="3D55D7EF">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3</w:t>
      </w:r>
      <w:r>
        <w:rPr>
          <w:rFonts w:hint="eastAsia" w:ascii="仿宋" w:hAnsi="仿宋" w:eastAsia="仿宋" w:cs="仿宋"/>
          <w:b/>
          <w:bCs/>
          <w:lang w:eastAsia="zh-CN"/>
        </w:rPr>
        <w:t xml:space="preserve">性能和其他需求 </w:t>
      </w:r>
    </w:p>
    <w:p w14:paraId="3D932F34">
      <w:pPr>
        <w:widowControl/>
        <w:ind w:firstLine="480" w:firstLineChars="200"/>
        <w:rPr>
          <w:rFonts w:ascii="仿宋" w:hAnsi="仿宋" w:eastAsia="仿宋" w:cs="仿宋"/>
        </w:rPr>
      </w:pPr>
      <w:r>
        <w:rPr>
          <w:rFonts w:hint="eastAsia" w:ascii="仿宋" w:hAnsi="仿宋" w:eastAsia="仿宋" w:cs="仿宋"/>
          <w:lang w:eastAsia="zh-CN"/>
        </w:rPr>
        <w:t xml:space="preserve">系统性能指标主要从交易响应时间给出系统性能指标，系统本身的性能指标通过对本章信息量的测算及数据量、处理能力的计算得到。 </w:t>
      </w:r>
    </w:p>
    <w:p w14:paraId="482568DE">
      <w:pPr>
        <w:widowControl/>
        <w:ind w:firstLine="480" w:firstLineChars="200"/>
        <w:rPr>
          <w:rFonts w:ascii="仿宋" w:hAnsi="仿宋" w:eastAsia="仿宋" w:cs="仿宋"/>
        </w:rPr>
      </w:pPr>
      <w:r>
        <w:rPr>
          <w:rFonts w:hint="eastAsia" w:ascii="仿宋" w:hAnsi="仿宋" w:eastAsia="仿宋" w:cs="仿宋"/>
          <w:lang w:eastAsia="zh-CN"/>
        </w:rPr>
        <w:t xml:space="preserve">交易响应时间指完成目标系统中的交互或批量业务处理所需的响应时间。根据业务处理类型的不同，可以把园区信息化业务划分为三类：交互类业务、查询类业务和大数据批量处理类业务，分别给出响应时间要求的参考值，包括峰值响应时间、平均响应时间。 </w:t>
      </w:r>
    </w:p>
    <w:p w14:paraId="384A490F">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4</w:t>
      </w:r>
      <w:r>
        <w:rPr>
          <w:rFonts w:hint="eastAsia" w:ascii="仿宋" w:hAnsi="仿宋" w:eastAsia="仿宋" w:cs="仿宋"/>
          <w:b/>
          <w:bCs/>
          <w:lang w:eastAsia="zh-CN"/>
        </w:rPr>
        <w:t xml:space="preserve">.1 交互类业务 </w:t>
      </w:r>
    </w:p>
    <w:p w14:paraId="7A5E3C44">
      <w:pPr>
        <w:widowControl/>
        <w:ind w:firstLine="480" w:firstLineChars="200"/>
        <w:rPr>
          <w:rFonts w:ascii="仿宋" w:hAnsi="仿宋" w:eastAsia="仿宋" w:cs="仿宋"/>
        </w:rPr>
      </w:pPr>
      <w:r>
        <w:rPr>
          <w:rFonts w:hint="eastAsia" w:ascii="仿宋" w:hAnsi="仿宋" w:eastAsia="仿宋" w:cs="仿宋"/>
          <w:lang w:eastAsia="zh-CN"/>
        </w:rPr>
        <w:t xml:space="preserve">交互类业务是指平时工作中在系统中进行的业务处理，如录入、修改或删除一条记录、发布一条信息等操作。 </w:t>
      </w:r>
    </w:p>
    <w:p w14:paraId="0085CAAF">
      <w:pPr>
        <w:widowControl/>
        <w:ind w:firstLine="480" w:firstLineChars="200"/>
        <w:rPr>
          <w:rFonts w:ascii="仿宋" w:hAnsi="仿宋" w:eastAsia="仿宋" w:cs="仿宋"/>
        </w:rPr>
      </w:pPr>
      <w:r>
        <w:rPr>
          <w:rFonts w:hint="eastAsia" w:ascii="仿宋" w:hAnsi="仿宋" w:eastAsia="仿宋" w:cs="仿宋"/>
          <w:lang w:eastAsia="zh-CN"/>
        </w:rPr>
        <w:t xml:space="preserve">平均响应时间：1 秒； </w:t>
      </w:r>
    </w:p>
    <w:p w14:paraId="52D32DA5">
      <w:pPr>
        <w:widowControl/>
        <w:ind w:firstLine="480" w:firstLineChars="200"/>
        <w:rPr>
          <w:rFonts w:ascii="仿宋" w:hAnsi="仿宋" w:eastAsia="仿宋" w:cs="仿宋"/>
        </w:rPr>
      </w:pPr>
      <w:r>
        <w:rPr>
          <w:rFonts w:hint="eastAsia" w:ascii="仿宋" w:hAnsi="仿宋" w:eastAsia="仿宋" w:cs="仿宋"/>
          <w:lang w:eastAsia="zh-CN"/>
        </w:rPr>
        <w:t xml:space="preserve">峰值响应时间：3 秒。 </w:t>
      </w:r>
    </w:p>
    <w:p w14:paraId="4B7F15DA">
      <w:pPr>
        <w:widowControl/>
        <w:ind w:firstLine="480" w:firstLineChars="200"/>
        <w:rPr>
          <w:rFonts w:ascii="仿宋" w:hAnsi="仿宋" w:eastAsia="仿宋" w:cs="仿宋"/>
        </w:rPr>
      </w:pPr>
      <w:r>
        <w:rPr>
          <w:rFonts w:hint="eastAsia" w:ascii="仿宋" w:hAnsi="仿宋" w:eastAsia="仿宋" w:cs="仿宋"/>
          <w:lang w:eastAsia="zh-CN"/>
        </w:rPr>
        <w:t xml:space="preserve">批量前台经办业务数据导入（按一次 2000 条评估） </w:t>
      </w:r>
    </w:p>
    <w:p w14:paraId="105B31D1">
      <w:pPr>
        <w:widowControl/>
        <w:ind w:firstLine="480" w:firstLineChars="200"/>
        <w:rPr>
          <w:rFonts w:ascii="仿宋" w:hAnsi="仿宋" w:eastAsia="仿宋" w:cs="仿宋"/>
        </w:rPr>
      </w:pPr>
      <w:r>
        <w:rPr>
          <w:rFonts w:hint="eastAsia" w:ascii="仿宋" w:hAnsi="仿宋" w:eastAsia="仿宋" w:cs="仿宋"/>
          <w:lang w:eastAsia="zh-CN"/>
        </w:rPr>
        <w:t xml:space="preserve">平均响应时间：5 秒；峰值响应时间：10 秒。 </w:t>
      </w:r>
    </w:p>
    <w:p w14:paraId="71FFCDA2">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4</w:t>
      </w:r>
      <w:r>
        <w:rPr>
          <w:rFonts w:hint="eastAsia" w:ascii="仿宋" w:hAnsi="仿宋" w:eastAsia="仿宋" w:cs="仿宋"/>
          <w:b/>
          <w:bCs/>
          <w:lang w:eastAsia="zh-CN"/>
        </w:rPr>
        <w:t xml:space="preserve">.2 查询类业务 </w:t>
      </w:r>
    </w:p>
    <w:p w14:paraId="27437D05">
      <w:pPr>
        <w:widowControl/>
        <w:ind w:firstLine="480" w:firstLineChars="200"/>
        <w:rPr>
          <w:rFonts w:ascii="仿宋" w:hAnsi="仿宋" w:eastAsia="仿宋" w:cs="仿宋"/>
        </w:rPr>
      </w:pPr>
      <w:r>
        <w:rPr>
          <w:rFonts w:hint="eastAsia" w:ascii="仿宋" w:hAnsi="仿宋" w:eastAsia="仿宋" w:cs="仿宋"/>
          <w:lang w:eastAsia="zh-CN"/>
        </w:rPr>
        <w:t xml:space="preserve">查询业务由于受到查询的复杂程度、查询的数据量大小等因素的影响，需要根据具体情况而定，在此给出一个参考范围。 </w:t>
      </w:r>
    </w:p>
    <w:p w14:paraId="7A1FEEF3">
      <w:pPr>
        <w:widowControl/>
        <w:ind w:firstLine="480" w:firstLineChars="200"/>
        <w:rPr>
          <w:rFonts w:ascii="仿宋" w:hAnsi="仿宋" w:eastAsia="仿宋" w:cs="仿宋"/>
        </w:rPr>
      </w:pPr>
      <w:r>
        <w:rPr>
          <w:rFonts w:hint="eastAsia" w:ascii="仿宋" w:hAnsi="仿宋" w:eastAsia="仿宋" w:cs="仿宋"/>
          <w:lang w:eastAsia="zh-CN"/>
        </w:rPr>
        <w:t xml:space="preserve">简单查询平均响应时间：1 秒；复杂查询平均响应时间：3 秒；视频播放平均响应时间：5 秒。 </w:t>
      </w:r>
    </w:p>
    <w:p w14:paraId="50D93CE5">
      <w:pPr>
        <w:widowControl/>
        <w:rPr>
          <w:rFonts w:ascii="仿宋" w:hAnsi="仿宋" w:eastAsia="仿宋" w:cs="仿宋"/>
          <w:b/>
          <w:bCs/>
          <w:lang w:eastAsia="zh-CN"/>
        </w:rPr>
      </w:pPr>
    </w:p>
    <w:p w14:paraId="18E6900F">
      <w:pPr>
        <w:widowControl/>
        <w:rPr>
          <w:rFonts w:ascii="仿宋" w:hAnsi="仿宋" w:eastAsia="仿宋" w:cs="仿宋"/>
          <w:b/>
          <w:bCs/>
        </w:rPr>
      </w:pPr>
      <w:r>
        <w:rPr>
          <w:rFonts w:hint="eastAsia" w:ascii="仿宋" w:hAnsi="仿宋" w:eastAsia="仿宋" w:cs="仿宋"/>
          <w:b/>
          <w:bCs/>
          <w:lang w:eastAsia="zh-CN"/>
        </w:rPr>
        <w:t xml:space="preserve">5.4 网络安全建设需求 </w:t>
      </w:r>
    </w:p>
    <w:p w14:paraId="42BB7063">
      <w:pPr>
        <w:widowControl/>
        <w:rPr>
          <w:rFonts w:ascii="仿宋" w:hAnsi="仿宋" w:eastAsia="仿宋" w:cs="仿宋"/>
          <w:b/>
          <w:bCs/>
        </w:rPr>
      </w:pPr>
      <w:r>
        <w:rPr>
          <w:rFonts w:hint="eastAsia" w:ascii="仿宋" w:hAnsi="仿宋" w:eastAsia="仿宋" w:cs="仿宋"/>
          <w:b/>
          <w:bCs/>
          <w:lang w:eastAsia="zh-CN"/>
        </w:rPr>
        <w:t xml:space="preserve">5.4.1 网络安全基础设施建设需求 </w:t>
      </w:r>
    </w:p>
    <w:p w14:paraId="6354ADB4">
      <w:pPr>
        <w:widowControl/>
        <w:ind w:firstLine="480" w:firstLineChars="200"/>
        <w:rPr>
          <w:rFonts w:ascii="仿宋" w:hAnsi="仿宋" w:eastAsia="仿宋" w:cs="仿宋"/>
        </w:rPr>
      </w:pPr>
      <w:r>
        <w:rPr>
          <w:rFonts w:hint="eastAsia" w:ascii="仿宋" w:hAnsi="仿宋" w:eastAsia="仿宋" w:cs="仿宋"/>
          <w:lang w:eastAsia="zh-CN"/>
        </w:rPr>
        <w:t xml:space="preserve">通过物理安全、网络安全、主机安全、应用安全和管理安全的综合设计，构建符合等保三级要求的纵深防御体系，同时结合可信计算技术实现关键程序的全生命周期保护，最终满足信息系统安全运行、合规管控与可信验证的目标。 </w:t>
      </w:r>
    </w:p>
    <w:p w14:paraId="74DB0EDB">
      <w:pPr>
        <w:widowControl/>
        <w:rPr>
          <w:rFonts w:ascii="仿宋" w:hAnsi="仿宋" w:eastAsia="仿宋" w:cs="仿宋"/>
        </w:rPr>
      </w:pPr>
      <w:r>
        <w:rPr>
          <w:rFonts w:hint="eastAsia" w:ascii="仿宋" w:hAnsi="仿宋" w:eastAsia="仿宋" w:cs="仿宋"/>
          <w:b/>
          <w:bCs/>
          <w:lang w:eastAsia="zh-CN"/>
        </w:rPr>
        <w:t xml:space="preserve">5.4.1.1 运行环境需求 </w:t>
      </w:r>
    </w:p>
    <w:p w14:paraId="50E9D6FD">
      <w:pPr>
        <w:widowControl/>
        <w:ind w:firstLine="480" w:firstLineChars="200"/>
        <w:rPr>
          <w:rFonts w:ascii="仿宋" w:hAnsi="仿宋" w:eastAsia="仿宋" w:cs="仿宋"/>
        </w:rPr>
      </w:pPr>
      <w:r>
        <w:rPr>
          <w:rFonts w:hint="eastAsia" w:ascii="仿宋" w:hAnsi="仿宋" w:eastAsia="仿宋" w:cs="仿宋"/>
          <w:lang w:eastAsia="zh-CN"/>
        </w:rPr>
        <w:t xml:space="preserve">依据等保三级要求，需从物理环境、通信网络、区域边界、计算环境和管理中心五个维度构建安全运行环境： </w:t>
      </w:r>
    </w:p>
    <w:p w14:paraId="49289B55">
      <w:pPr>
        <w:widowControl/>
        <w:ind w:firstLine="480" w:firstLineChars="200"/>
        <w:rPr>
          <w:rFonts w:ascii="仿宋" w:hAnsi="仿宋" w:eastAsia="仿宋" w:cs="仿宋"/>
        </w:rPr>
      </w:pPr>
      <w:r>
        <w:rPr>
          <w:rFonts w:hint="eastAsia" w:ascii="仿宋" w:hAnsi="仿宋" w:eastAsia="仿宋" w:cs="仿宋"/>
          <w:lang w:eastAsia="zh-CN"/>
        </w:rPr>
        <w:t xml:space="preserve">1、物理环境安全： </w:t>
      </w:r>
    </w:p>
    <w:p w14:paraId="3845C1ED">
      <w:pPr>
        <w:widowControl/>
        <w:ind w:firstLine="240" w:firstLineChars="100"/>
        <w:rPr>
          <w:rFonts w:ascii="仿宋" w:hAnsi="仿宋" w:eastAsia="仿宋" w:cs="仿宋"/>
        </w:rPr>
      </w:pPr>
      <w:r>
        <w:rPr>
          <w:rFonts w:hint="eastAsia" w:ascii="仿宋" w:hAnsi="仿宋" w:eastAsia="仿宋" w:cs="仿宋"/>
          <w:lang w:eastAsia="zh-CN"/>
        </w:rPr>
        <w:t xml:space="preserve">（1）部署门禁系统、视频监控、防盗窃/防破坏报警装置，确保机房物理访问权限受控。 </w:t>
      </w:r>
    </w:p>
    <w:p w14:paraId="601C51C3">
      <w:pPr>
        <w:widowControl/>
        <w:ind w:firstLine="240" w:firstLineChars="100"/>
        <w:rPr>
          <w:rFonts w:ascii="仿宋" w:hAnsi="仿宋" w:eastAsia="仿宋" w:cs="仿宋"/>
        </w:rPr>
      </w:pPr>
      <w:r>
        <w:rPr>
          <w:rFonts w:hint="eastAsia" w:ascii="仿宋" w:hAnsi="仿宋" w:eastAsia="仿宋" w:cs="仿宋"/>
          <w:lang w:eastAsia="zh-CN"/>
        </w:rPr>
        <w:t xml:space="preserve">（2）采用防火、防水、防雷击、温湿度控制等基础设施，满足机房环境安全标准。 </w:t>
      </w:r>
    </w:p>
    <w:p w14:paraId="78AF8026">
      <w:pPr>
        <w:widowControl/>
        <w:ind w:firstLine="480" w:firstLineChars="200"/>
        <w:rPr>
          <w:rFonts w:ascii="仿宋" w:hAnsi="仿宋" w:eastAsia="仿宋" w:cs="仿宋"/>
        </w:rPr>
      </w:pPr>
      <w:r>
        <w:rPr>
          <w:rFonts w:hint="eastAsia" w:ascii="仿宋" w:hAnsi="仿宋" w:eastAsia="仿宋" w:cs="仿宋"/>
          <w:lang w:eastAsia="zh-CN"/>
        </w:rPr>
        <w:t xml:space="preserve">2、通信网络安全： </w:t>
      </w:r>
    </w:p>
    <w:p w14:paraId="08BF4812">
      <w:pPr>
        <w:widowControl/>
        <w:ind w:firstLine="240" w:firstLineChars="100"/>
        <w:rPr>
          <w:rFonts w:ascii="仿宋" w:hAnsi="仿宋" w:eastAsia="仿宋" w:cs="仿宋"/>
        </w:rPr>
      </w:pPr>
      <w:r>
        <w:rPr>
          <w:rFonts w:hint="eastAsia" w:ascii="仿宋" w:hAnsi="仿宋" w:eastAsia="仿宋" w:cs="仿宋"/>
          <w:lang w:eastAsia="zh-CN"/>
        </w:rPr>
        <w:t xml:space="preserve">（1）对网络传输数据实施加密（如 IPSec/SSLVPN），防止敏感数据在传输过程中被窃取或篡改。 </w:t>
      </w:r>
    </w:p>
    <w:p w14:paraId="16233146">
      <w:pPr>
        <w:widowControl/>
        <w:ind w:firstLine="240" w:firstLineChars="100"/>
        <w:rPr>
          <w:rFonts w:ascii="仿宋" w:hAnsi="仿宋" w:eastAsia="仿宋" w:cs="仿宋"/>
        </w:rPr>
      </w:pPr>
      <w:r>
        <w:rPr>
          <w:rFonts w:hint="eastAsia" w:ascii="仿宋" w:hAnsi="仿宋" w:eastAsia="仿宋" w:cs="仿宋"/>
          <w:lang w:eastAsia="zh-CN"/>
        </w:rPr>
        <w:t xml:space="preserve">（2）划分逻辑隔离的网络区域（如业务网、管理网、数据网），实现网络资源的分域管控。 </w:t>
      </w:r>
    </w:p>
    <w:p w14:paraId="79E8CA44">
      <w:pPr>
        <w:widowControl/>
        <w:ind w:firstLine="480" w:firstLineChars="200"/>
        <w:rPr>
          <w:rFonts w:ascii="仿宋" w:hAnsi="仿宋" w:eastAsia="仿宋" w:cs="仿宋"/>
        </w:rPr>
      </w:pPr>
      <w:r>
        <w:rPr>
          <w:rFonts w:hint="eastAsia" w:ascii="仿宋" w:hAnsi="仿宋" w:eastAsia="仿宋" w:cs="仿宋"/>
          <w:lang w:eastAsia="zh-CN"/>
        </w:rPr>
        <w:t xml:space="preserve">3、区域边界安全： </w:t>
      </w:r>
    </w:p>
    <w:p w14:paraId="26C6CAC4">
      <w:pPr>
        <w:widowControl/>
        <w:ind w:firstLine="240" w:firstLineChars="100"/>
        <w:rPr>
          <w:rFonts w:ascii="仿宋" w:hAnsi="仿宋" w:eastAsia="仿宋" w:cs="仿宋"/>
        </w:rPr>
      </w:pPr>
      <w:r>
        <w:rPr>
          <w:rFonts w:hint="eastAsia" w:ascii="仿宋" w:hAnsi="仿宋" w:eastAsia="仿宋" w:cs="仿宋"/>
          <w:lang w:eastAsia="zh-CN"/>
        </w:rPr>
        <w:t xml:space="preserve">（1）部署防火墙、入侵检测系统（IDS）和入侵防御系统（IPS），实时监测并阻断非法访问和攻击行为。 </w:t>
      </w:r>
    </w:p>
    <w:p w14:paraId="13273072">
      <w:pPr>
        <w:widowControl/>
        <w:ind w:firstLine="240" w:firstLineChars="100"/>
        <w:rPr>
          <w:rFonts w:ascii="仿宋" w:hAnsi="仿宋" w:eastAsia="仿宋" w:cs="仿宋"/>
        </w:rPr>
      </w:pPr>
      <w:r>
        <w:rPr>
          <w:rFonts w:hint="eastAsia" w:ascii="仿宋" w:hAnsi="仿宋" w:eastAsia="仿宋" w:cs="仿宋"/>
          <w:lang w:eastAsia="zh-CN"/>
        </w:rPr>
        <w:t xml:space="preserve">（2）通过流量审计、访问控制列表（ACL）等技术，确保跨区域数据交换安全可控。 </w:t>
      </w:r>
    </w:p>
    <w:p w14:paraId="79E3D19C">
      <w:pPr>
        <w:widowControl/>
        <w:ind w:firstLine="480" w:firstLineChars="200"/>
        <w:rPr>
          <w:rFonts w:ascii="仿宋" w:hAnsi="仿宋" w:eastAsia="仿宋" w:cs="仿宋"/>
        </w:rPr>
      </w:pPr>
      <w:r>
        <w:rPr>
          <w:rFonts w:hint="eastAsia" w:ascii="仿宋" w:hAnsi="仿宋" w:eastAsia="仿宋" w:cs="仿宋"/>
          <w:lang w:eastAsia="zh-CN"/>
        </w:rPr>
        <w:t xml:space="preserve">4、计算环境安全： </w:t>
      </w:r>
    </w:p>
    <w:p w14:paraId="38AD39AB">
      <w:pPr>
        <w:widowControl/>
        <w:ind w:firstLine="240" w:firstLineChars="100"/>
        <w:rPr>
          <w:rFonts w:ascii="仿宋" w:hAnsi="仿宋" w:eastAsia="仿宋" w:cs="仿宋"/>
        </w:rPr>
      </w:pPr>
      <w:r>
        <w:rPr>
          <w:rFonts w:hint="eastAsia" w:ascii="仿宋" w:hAnsi="仿宋" w:eastAsia="仿宋" w:cs="仿宋"/>
          <w:lang w:eastAsia="zh-CN"/>
        </w:rPr>
        <w:t xml:space="preserve">（1）实施主机加固、身份认证（如多因子认证）、最小权限访问控制，防止非授权操作。 </w:t>
      </w:r>
    </w:p>
    <w:p w14:paraId="2DE13734">
      <w:pPr>
        <w:widowControl/>
        <w:ind w:firstLine="240" w:firstLineChars="100"/>
        <w:rPr>
          <w:rFonts w:ascii="仿宋" w:hAnsi="仿宋" w:eastAsia="仿宋" w:cs="仿宋"/>
        </w:rPr>
      </w:pPr>
      <w:r>
        <w:rPr>
          <w:rFonts w:hint="eastAsia" w:ascii="仿宋" w:hAnsi="仿宋" w:eastAsia="仿宋" w:cs="仿宋"/>
          <w:lang w:eastAsia="zh-CN"/>
        </w:rPr>
        <w:t xml:space="preserve">（2）部署恶意代码防护系统（如防病毒软件）并定期更新特征库，保障终端和服务器安全。 </w:t>
      </w:r>
    </w:p>
    <w:p w14:paraId="5651B27C">
      <w:pPr>
        <w:widowControl/>
        <w:ind w:firstLine="480" w:firstLineChars="200"/>
        <w:rPr>
          <w:rFonts w:ascii="仿宋" w:hAnsi="仿宋" w:eastAsia="仿宋" w:cs="仿宋"/>
        </w:rPr>
      </w:pPr>
      <w:r>
        <w:rPr>
          <w:rFonts w:hint="eastAsia" w:ascii="仿宋" w:hAnsi="仿宋" w:eastAsia="仿宋" w:cs="仿宋"/>
          <w:lang w:eastAsia="zh-CN"/>
        </w:rPr>
        <w:t xml:space="preserve">5、管理中心安全： </w:t>
      </w:r>
    </w:p>
    <w:p w14:paraId="56AFAD80">
      <w:pPr>
        <w:widowControl/>
        <w:ind w:firstLine="480" w:firstLineChars="200"/>
        <w:rPr>
          <w:rFonts w:ascii="仿宋" w:hAnsi="仿宋" w:eastAsia="仿宋" w:cs="仿宋"/>
        </w:rPr>
      </w:pPr>
      <w:r>
        <w:rPr>
          <w:rFonts w:hint="eastAsia" w:ascii="仿宋" w:hAnsi="仿宋" w:eastAsia="仿宋" w:cs="仿宋"/>
          <w:lang w:eastAsia="zh-CN"/>
        </w:rPr>
        <w:t xml:space="preserve">(1)建立统一的日志审计平台，对全网设备、应用和用户行为进行集中监控与审计。 </w:t>
      </w:r>
    </w:p>
    <w:p w14:paraId="345C2729">
      <w:pPr>
        <w:widowControl/>
        <w:ind w:firstLine="480" w:firstLineChars="200"/>
        <w:rPr>
          <w:rFonts w:ascii="仿宋" w:hAnsi="仿宋" w:eastAsia="仿宋" w:cs="仿宋"/>
        </w:rPr>
      </w:pPr>
      <w:r>
        <w:rPr>
          <w:rFonts w:hint="eastAsia" w:ascii="仿宋" w:hAnsi="仿宋" w:eastAsia="仿宋" w:cs="仿宋"/>
          <w:lang w:eastAsia="zh-CN"/>
        </w:rPr>
        <w:t xml:space="preserve">(2）实现安全策略的统一配置与下发，确保安全能力覆盖全生命周期。 </w:t>
      </w:r>
    </w:p>
    <w:p w14:paraId="6109050E">
      <w:pPr>
        <w:widowControl/>
        <w:rPr>
          <w:rFonts w:ascii="仿宋" w:hAnsi="仿宋" w:eastAsia="仿宋" w:cs="仿宋"/>
        </w:rPr>
      </w:pPr>
      <w:r>
        <w:rPr>
          <w:rFonts w:hint="eastAsia" w:ascii="仿宋" w:hAnsi="仿宋" w:eastAsia="仿宋" w:cs="仿宋"/>
          <w:b/>
          <w:bCs/>
          <w:lang w:eastAsia="zh-CN"/>
        </w:rPr>
        <w:t xml:space="preserve">5.4.1.2 合规性需求 </w:t>
      </w:r>
    </w:p>
    <w:p w14:paraId="79FD5E7A">
      <w:pPr>
        <w:widowControl/>
        <w:ind w:firstLine="480" w:firstLineChars="200"/>
        <w:rPr>
          <w:rFonts w:ascii="仿宋" w:hAnsi="仿宋" w:eastAsia="仿宋" w:cs="仿宋"/>
        </w:rPr>
      </w:pPr>
      <w:r>
        <w:rPr>
          <w:rFonts w:hint="eastAsia" w:ascii="仿宋" w:hAnsi="仿宋" w:eastAsia="仿宋" w:cs="仿宋"/>
          <w:lang w:eastAsia="zh-CN"/>
        </w:rPr>
        <w:t xml:space="preserve">基于等保三级合规要求，需满足以下技术和管理控制项： </w:t>
      </w:r>
    </w:p>
    <w:p w14:paraId="4341AB43">
      <w:pPr>
        <w:widowControl/>
        <w:ind w:firstLine="480" w:firstLineChars="200"/>
        <w:rPr>
          <w:rFonts w:ascii="仿宋" w:hAnsi="仿宋" w:eastAsia="仿宋" w:cs="仿宋"/>
        </w:rPr>
      </w:pPr>
      <w:r>
        <w:rPr>
          <w:rFonts w:hint="eastAsia" w:ascii="仿宋" w:hAnsi="仿宋" w:eastAsia="仿宋" w:cs="仿宋"/>
          <w:lang w:eastAsia="zh-CN"/>
        </w:rPr>
        <w:t xml:space="preserve">1、技术合规要求 </w:t>
      </w:r>
    </w:p>
    <w:p w14:paraId="55D11678">
      <w:pPr>
        <w:widowControl/>
        <w:ind w:firstLine="240" w:firstLineChars="100"/>
        <w:rPr>
          <w:rFonts w:ascii="仿宋" w:hAnsi="仿宋" w:eastAsia="仿宋" w:cs="仿宋"/>
        </w:rPr>
      </w:pPr>
      <w:r>
        <w:rPr>
          <w:rFonts w:hint="eastAsia" w:ascii="仿宋" w:hAnsi="仿宋" w:eastAsia="仿宋" w:cs="仿宋"/>
          <w:lang w:eastAsia="zh-CN"/>
        </w:rPr>
        <w:t xml:space="preserve">（1）安全分区与隔离：核心业务系统与其他系统之间通过 VLAN、防火墙等实现逻辑隔离，避免非授权访问。 </w:t>
      </w:r>
    </w:p>
    <w:p w14:paraId="44AA3861">
      <w:pPr>
        <w:widowControl/>
        <w:ind w:firstLine="240" w:firstLineChars="100"/>
        <w:rPr>
          <w:rFonts w:ascii="仿宋" w:hAnsi="仿宋" w:eastAsia="仿宋" w:cs="仿宋"/>
        </w:rPr>
      </w:pPr>
      <w:r>
        <w:rPr>
          <w:rFonts w:hint="eastAsia" w:ascii="仿宋" w:hAnsi="仿宋" w:eastAsia="仿宋" w:cs="仿宋"/>
          <w:lang w:eastAsia="zh-CN"/>
        </w:rPr>
        <w:t xml:space="preserve">（2）入侵防范：部署全流量威胁检测系统（如 NTA），支持攻击行为实时监测、报警与溯源。 </w:t>
      </w:r>
    </w:p>
    <w:p w14:paraId="33905E4A">
      <w:pPr>
        <w:widowControl/>
        <w:ind w:firstLine="240" w:firstLineChars="100"/>
        <w:rPr>
          <w:rFonts w:ascii="仿宋" w:hAnsi="仿宋" w:eastAsia="仿宋" w:cs="仿宋"/>
        </w:rPr>
      </w:pPr>
      <w:r>
        <w:rPr>
          <w:rFonts w:hint="eastAsia" w:ascii="仿宋" w:hAnsi="仿宋" w:eastAsia="仿宋" w:cs="仿宋"/>
          <w:lang w:eastAsia="zh-CN"/>
        </w:rPr>
        <w:t xml:space="preserve">（3）恶意代码防护：在关键节点（如服务器、终端）部署防病毒系统，支持云查杀和未知威胁防护。 </w:t>
      </w:r>
    </w:p>
    <w:p w14:paraId="21D33663">
      <w:pPr>
        <w:widowControl/>
        <w:ind w:firstLine="240" w:firstLineChars="100"/>
        <w:rPr>
          <w:rFonts w:ascii="仿宋" w:hAnsi="仿宋" w:eastAsia="仿宋" w:cs="仿宋"/>
        </w:rPr>
      </w:pPr>
      <w:r>
        <w:rPr>
          <w:rFonts w:hint="eastAsia" w:ascii="仿宋" w:hAnsi="仿宋" w:eastAsia="仿宋" w:cs="仿宋"/>
          <w:lang w:eastAsia="zh-CN"/>
        </w:rPr>
        <w:t xml:space="preserve">（4）数据安全：对重要数据（如用户隐私、业务数据）实施存储加密和传输加密，定期备份并异地保存。 </w:t>
      </w:r>
    </w:p>
    <w:p w14:paraId="5B9BCC19">
      <w:pPr>
        <w:widowControl/>
        <w:ind w:firstLine="240" w:firstLineChars="100"/>
        <w:rPr>
          <w:rFonts w:ascii="仿宋" w:hAnsi="仿宋" w:eastAsia="仿宋" w:cs="仿宋"/>
        </w:rPr>
      </w:pPr>
      <w:r>
        <w:rPr>
          <w:rFonts w:hint="eastAsia" w:ascii="仿宋" w:hAnsi="仿宋" w:eastAsia="仿宋" w:cs="仿宋"/>
          <w:lang w:eastAsia="zh-CN"/>
        </w:rPr>
        <w:t xml:space="preserve">（5）审计追溯：留存至少 6 个月的操作日志、安全事件日志，支持日志关联分析与异常行为告警。 </w:t>
      </w:r>
    </w:p>
    <w:p w14:paraId="5B0FAFA1">
      <w:pPr>
        <w:widowControl/>
        <w:ind w:firstLine="480" w:firstLineChars="200"/>
        <w:rPr>
          <w:rFonts w:ascii="仿宋" w:hAnsi="仿宋" w:eastAsia="仿宋" w:cs="仿宋"/>
        </w:rPr>
      </w:pPr>
      <w:r>
        <w:rPr>
          <w:rFonts w:hint="eastAsia" w:ascii="仿宋" w:hAnsi="仿宋" w:eastAsia="仿宋" w:cs="仿宋"/>
          <w:lang w:eastAsia="zh-CN"/>
        </w:rPr>
        <w:t xml:space="preserve">2、管理合规要求 </w:t>
      </w:r>
    </w:p>
    <w:p w14:paraId="2BC068E1">
      <w:pPr>
        <w:widowControl/>
        <w:ind w:firstLine="240" w:firstLineChars="100"/>
        <w:rPr>
          <w:rFonts w:ascii="仿宋" w:hAnsi="仿宋" w:eastAsia="仿宋" w:cs="仿宋"/>
        </w:rPr>
      </w:pPr>
      <w:r>
        <w:rPr>
          <w:rFonts w:hint="eastAsia" w:ascii="仿宋" w:hAnsi="仿宋" w:eastAsia="仿宋" w:cs="仿宋"/>
          <w:lang w:eastAsia="zh-CN"/>
        </w:rPr>
        <w:t xml:space="preserve">（1）管理制度：制定《网络安全管理办法》《应急预案》等制度文档，明确责任分工与操作流程。 </w:t>
      </w:r>
    </w:p>
    <w:p w14:paraId="64805145">
      <w:pPr>
        <w:widowControl/>
        <w:ind w:firstLine="240" w:firstLineChars="100"/>
        <w:rPr>
          <w:rFonts w:ascii="仿宋" w:hAnsi="仿宋" w:eastAsia="仿宋" w:cs="仿宋"/>
        </w:rPr>
      </w:pPr>
      <w:r>
        <w:rPr>
          <w:rFonts w:hint="eastAsia" w:ascii="仿宋" w:hAnsi="仿宋" w:eastAsia="仿宋" w:cs="仿宋"/>
          <w:lang w:eastAsia="zh-CN"/>
        </w:rPr>
        <w:t xml:space="preserve">（2）人员管理：关键岗位实施背景审查与安全培训，签署保密协议，落实权限分离原则。 </w:t>
      </w:r>
    </w:p>
    <w:p w14:paraId="6B97E5C9">
      <w:pPr>
        <w:widowControl/>
        <w:ind w:firstLine="240" w:firstLineChars="100"/>
        <w:rPr>
          <w:rFonts w:ascii="仿宋" w:hAnsi="仿宋" w:eastAsia="仿宋" w:cs="仿宋"/>
        </w:rPr>
      </w:pPr>
      <w:r>
        <w:rPr>
          <w:rFonts w:hint="eastAsia" w:ascii="仿宋" w:hAnsi="仿宋" w:eastAsia="仿宋" w:cs="仿宋"/>
          <w:lang w:eastAsia="zh-CN"/>
        </w:rPr>
        <w:t xml:space="preserve">（3）运维管理：通过堡垒机实现运维操作审计，采用漏洞扫描工具定期评估系统风险。 </w:t>
      </w:r>
    </w:p>
    <w:p w14:paraId="34CE0E7D">
      <w:pPr>
        <w:widowControl/>
        <w:ind w:firstLine="240" w:firstLineChars="100"/>
        <w:rPr>
          <w:rFonts w:ascii="仿宋" w:hAnsi="仿宋" w:eastAsia="仿宋" w:cs="仿宋"/>
        </w:rPr>
      </w:pPr>
      <w:r>
        <w:rPr>
          <w:rFonts w:hint="eastAsia" w:ascii="仿宋" w:hAnsi="仿宋" w:eastAsia="仿宋" w:cs="仿宋"/>
          <w:lang w:eastAsia="zh-CN"/>
        </w:rPr>
        <w:t xml:space="preserve">（4）应急响应：建立网络安全事件应急组织，每年至少开展 1 次攻防演练和预案修订。 </w:t>
      </w:r>
    </w:p>
    <w:p w14:paraId="422CE078">
      <w:pPr>
        <w:widowControl/>
        <w:rPr>
          <w:rFonts w:ascii="仿宋" w:hAnsi="仿宋" w:eastAsia="仿宋" w:cs="仿宋"/>
        </w:rPr>
      </w:pPr>
      <w:r>
        <w:rPr>
          <w:rFonts w:hint="eastAsia" w:ascii="仿宋" w:hAnsi="仿宋" w:eastAsia="仿宋" w:cs="仿宋"/>
          <w:b/>
          <w:bCs/>
          <w:lang w:eastAsia="zh-CN"/>
        </w:rPr>
        <w:t xml:space="preserve">5.4.1.3 可信需求 </w:t>
      </w:r>
    </w:p>
    <w:p w14:paraId="15E02DFC">
      <w:pPr>
        <w:widowControl/>
        <w:ind w:firstLine="480" w:firstLineChars="200"/>
        <w:rPr>
          <w:rFonts w:ascii="仿宋" w:hAnsi="仿宋" w:eastAsia="仿宋" w:cs="仿宋"/>
        </w:rPr>
      </w:pPr>
      <w:r>
        <w:rPr>
          <w:rFonts w:hint="eastAsia" w:ascii="仿宋" w:hAnsi="仿宋" w:eastAsia="仿宋" w:cs="仿宋"/>
          <w:lang w:eastAsia="zh-CN"/>
        </w:rPr>
        <w:t xml:space="preserve">依据等保三级可信验证要求（GB/T22239-20198.1.3），需实现以下能力： </w:t>
      </w:r>
    </w:p>
    <w:p w14:paraId="5E0B3764">
      <w:pPr>
        <w:widowControl/>
        <w:ind w:firstLine="480" w:firstLineChars="200"/>
        <w:rPr>
          <w:rFonts w:ascii="仿宋" w:hAnsi="仿宋" w:eastAsia="仿宋" w:cs="仿宋"/>
        </w:rPr>
      </w:pPr>
      <w:r>
        <w:rPr>
          <w:rFonts w:hint="eastAsia" w:ascii="仿宋" w:hAnsi="仿宋" w:eastAsia="仿宋" w:cs="仿宋"/>
          <w:lang w:eastAsia="zh-CN"/>
        </w:rPr>
        <w:t xml:space="preserve">1、可信验证机制 </w:t>
      </w:r>
    </w:p>
    <w:p w14:paraId="2D76FBFC">
      <w:pPr>
        <w:widowControl/>
        <w:ind w:firstLine="240" w:firstLineChars="100"/>
        <w:rPr>
          <w:rFonts w:ascii="仿宋" w:hAnsi="仿宋" w:eastAsia="仿宋" w:cs="仿宋"/>
        </w:rPr>
      </w:pPr>
      <w:r>
        <w:rPr>
          <w:rFonts w:hint="eastAsia" w:ascii="仿宋" w:hAnsi="仿宋" w:eastAsia="仿宋" w:cs="仿宋"/>
          <w:lang w:eastAsia="zh-CN"/>
        </w:rPr>
        <w:t xml:space="preserve">（1）基于可信根（如 TPM/TCM 芯片）构建可信计算体系，对系统启动程序、关键应用程序进行可信度量，确保执行代码的完整性与合法性。 </w:t>
      </w:r>
    </w:p>
    <w:p w14:paraId="52BA34E2">
      <w:pPr>
        <w:widowControl/>
        <w:ind w:firstLine="240" w:firstLineChars="100"/>
        <w:rPr>
          <w:rFonts w:ascii="仿宋" w:hAnsi="仿宋" w:eastAsia="仿宋" w:cs="仿宋"/>
        </w:rPr>
      </w:pPr>
      <w:r>
        <w:rPr>
          <w:rFonts w:hint="eastAsia" w:ascii="仿宋" w:hAnsi="仿宋" w:eastAsia="仿宋" w:cs="仿宋"/>
          <w:lang w:eastAsia="zh-CN"/>
        </w:rPr>
        <w:t>（2）在系统启动、关键程序加载时，通过可信验证模块校验其数字签名或哈希值，阻断未授权代码执行。</w:t>
      </w:r>
    </w:p>
    <w:p w14:paraId="5DC03740">
      <w:pPr>
        <w:widowControl/>
        <w:ind w:firstLine="480" w:firstLineChars="200"/>
        <w:rPr>
          <w:rFonts w:ascii="仿宋" w:hAnsi="仿宋" w:eastAsia="仿宋" w:cs="仿宋"/>
        </w:rPr>
      </w:pPr>
      <w:r>
        <w:rPr>
          <w:rFonts w:hint="eastAsia" w:ascii="仿宋" w:hAnsi="仿宋" w:eastAsia="仿宋" w:cs="仿宋"/>
          <w:lang w:eastAsia="zh-CN"/>
        </w:rPr>
        <w:t xml:space="preserve">2、动态可信监控 </w:t>
      </w:r>
    </w:p>
    <w:p w14:paraId="5C0FD1A0">
      <w:pPr>
        <w:widowControl/>
        <w:ind w:firstLine="240" w:firstLineChars="100"/>
        <w:rPr>
          <w:rFonts w:ascii="仿宋" w:hAnsi="仿宋" w:eastAsia="仿宋" w:cs="仿宋"/>
        </w:rPr>
      </w:pPr>
      <w:r>
        <w:rPr>
          <w:rFonts w:hint="eastAsia" w:ascii="仿宋" w:hAnsi="仿宋" w:eastAsia="仿宋" w:cs="仿宋"/>
          <w:lang w:eastAsia="zh-CN"/>
        </w:rPr>
        <w:t xml:space="preserve">（1）对操作系统内核、数据库管理系统等核心组件的运行状态进行实时监控， </w:t>
      </w:r>
    </w:p>
    <w:p w14:paraId="38D118FD">
      <w:pPr>
        <w:widowControl/>
        <w:rPr>
          <w:rFonts w:ascii="仿宋" w:hAnsi="仿宋" w:eastAsia="仿宋" w:cs="仿宋"/>
        </w:rPr>
      </w:pPr>
      <w:r>
        <w:rPr>
          <w:rFonts w:hint="eastAsia" w:ascii="仿宋" w:hAnsi="仿宋" w:eastAsia="仿宋" w:cs="仿宋"/>
          <w:lang w:eastAsia="zh-CN"/>
        </w:rPr>
        <w:t xml:space="preserve">检测异常进程、内存篡改等行为。 </w:t>
      </w:r>
    </w:p>
    <w:p w14:paraId="011774DA">
      <w:pPr>
        <w:widowControl/>
        <w:ind w:firstLine="240" w:firstLineChars="100"/>
        <w:rPr>
          <w:rFonts w:ascii="仿宋" w:hAnsi="仿宋" w:eastAsia="仿宋" w:cs="仿宋"/>
        </w:rPr>
      </w:pPr>
      <w:r>
        <w:rPr>
          <w:rFonts w:hint="eastAsia" w:ascii="仿宋" w:hAnsi="仿宋" w:eastAsia="仿宋" w:cs="仿宋"/>
          <w:lang w:eastAsia="zh-CN"/>
        </w:rPr>
        <w:t xml:space="preserve">（2）结合白名单机制，仅允许可信程序在受控环境中运行，防止恶意代码注入 或供应链攻击。 </w:t>
      </w:r>
    </w:p>
    <w:p w14:paraId="0658B19B">
      <w:pPr>
        <w:widowControl/>
        <w:ind w:firstLine="480" w:firstLineChars="200"/>
        <w:rPr>
          <w:rFonts w:ascii="仿宋" w:hAnsi="仿宋" w:eastAsia="仿宋" w:cs="仿宋"/>
        </w:rPr>
      </w:pPr>
      <w:r>
        <w:rPr>
          <w:rFonts w:hint="eastAsia" w:ascii="仿宋" w:hAnsi="仿宋" w:eastAsia="仿宋" w:cs="仿宋"/>
          <w:lang w:eastAsia="zh-CN"/>
        </w:rPr>
        <w:t xml:space="preserve">3、可信支撑环境 </w:t>
      </w:r>
    </w:p>
    <w:p w14:paraId="3C09FCA9">
      <w:pPr>
        <w:widowControl/>
        <w:ind w:firstLine="240" w:firstLineChars="100"/>
        <w:rPr>
          <w:rFonts w:ascii="仿宋" w:hAnsi="仿宋" w:eastAsia="仿宋" w:cs="仿宋"/>
        </w:rPr>
      </w:pPr>
      <w:r>
        <w:rPr>
          <w:rFonts w:hint="eastAsia" w:ascii="仿宋" w:hAnsi="仿宋" w:eastAsia="仿宋" w:cs="仿宋"/>
          <w:lang w:eastAsia="zh-CN"/>
        </w:rPr>
        <w:t xml:space="preserve">（1）部署可信管理平台，实现可信策略的统一配置、验证结果集中分析与告警处置。 </w:t>
      </w:r>
    </w:p>
    <w:p w14:paraId="5AD3BA7A">
      <w:pPr>
        <w:widowControl/>
        <w:ind w:firstLine="240" w:firstLineChars="100"/>
        <w:rPr>
          <w:rFonts w:ascii="仿宋" w:hAnsi="仿宋" w:eastAsia="仿宋" w:cs="仿宋"/>
        </w:rPr>
      </w:pPr>
      <w:r>
        <w:rPr>
          <w:rFonts w:hint="eastAsia" w:ascii="仿宋" w:hAnsi="仿宋" w:eastAsia="仿宋" w:cs="仿宋"/>
          <w:lang w:eastAsia="zh-CN"/>
        </w:rPr>
        <w:t xml:space="preserve">（2）对虚拟化环境、容器等新型架构下的资源调度、数据交互过程实施可信验证，确保计算环境全链路可信。 </w:t>
      </w:r>
    </w:p>
    <w:p w14:paraId="7E7251AD">
      <w:pPr>
        <w:widowControl/>
        <w:rPr>
          <w:rFonts w:ascii="仿宋" w:hAnsi="仿宋" w:eastAsia="仿宋" w:cs="仿宋"/>
          <w:b/>
          <w:bCs/>
        </w:rPr>
      </w:pPr>
      <w:r>
        <w:rPr>
          <w:rFonts w:hint="eastAsia" w:ascii="仿宋" w:hAnsi="仿宋" w:eastAsia="仿宋" w:cs="仿宋"/>
          <w:b/>
          <w:bCs/>
          <w:lang w:eastAsia="zh-CN"/>
        </w:rPr>
        <w:t xml:space="preserve">5.4.2 密码应用建设需求 </w:t>
      </w:r>
    </w:p>
    <w:p w14:paraId="0AD9C34F">
      <w:pPr>
        <w:widowControl/>
        <w:rPr>
          <w:rFonts w:ascii="仿宋" w:hAnsi="仿宋" w:eastAsia="仿宋" w:cs="仿宋"/>
        </w:rPr>
      </w:pPr>
      <w:r>
        <w:rPr>
          <w:rFonts w:hint="eastAsia" w:ascii="仿宋" w:hAnsi="仿宋" w:eastAsia="仿宋" w:cs="仿宋"/>
          <w:b/>
          <w:bCs/>
          <w:lang w:eastAsia="zh-CN"/>
        </w:rPr>
        <w:t xml:space="preserve">5.4.2.1 密码应用要求 </w:t>
      </w:r>
    </w:p>
    <w:p w14:paraId="4D400A31">
      <w:pPr>
        <w:widowControl/>
        <w:ind w:firstLine="480" w:firstLineChars="200"/>
        <w:rPr>
          <w:rFonts w:ascii="仿宋" w:hAnsi="仿宋" w:eastAsia="仿宋" w:cs="仿宋"/>
        </w:rPr>
      </w:pPr>
      <w:r>
        <w:rPr>
          <w:rFonts w:hint="eastAsia" w:ascii="仿宋" w:hAnsi="仿宋" w:eastAsia="仿宋" w:cs="仿宋"/>
          <w:lang w:eastAsia="zh-CN"/>
        </w:rPr>
        <w:t xml:space="preserve">1、数据加密保护 </w:t>
      </w:r>
    </w:p>
    <w:p w14:paraId="5145F519">
      <w:pPr>
        <w:widowControl/>
        <w:ind w:firstLine="240" w:firstLineChars="100"/>
        <w:rPr>
          <w:rFonts w:ascii="仿宋" w:hAnsi="仿宋" w:eastAsia="仿宋" w:cs="仿宋"/>
          <w:lang w:eastAsia="zh-CN"/>
        </w:rPr>
      </w:pPr>
      <w:r>
        <w:rPr>
          <w:rFonts w:hint="eastAsia" w:ascii="仿宋" w:hAnsi="仿宋" w:eastAsia="仿宋" w:cs="仿宋"/>
          <w:lang w:eastAsia="zh-CN"/>
        </w:rPr>
        <w:t xml:space="preserve">（1）传输加密：对敏感数据（如用户身份信息、交易数据）在网络传输过程中使用国密算法（如 SM2/SM3/SM4）或国际通用加密算法（如 AES、RSA）进行加密，确保数据机密性和完整性。 </w:t>
      </w:r>
    </w:p>
    <w:p w14:paraId="7C829F96">
      <w:pPr>
        <w:widowControl/>
        <w:ind w:firstLine="240" w:firstLineChars="100"/>
        <w:rPr>
          <w:rFonts w:ascii="仿宋" w:hAnsi="仿宋" w:eastAsia="仿宋" w:cs="仿宋"/>
        </w:rPr>
      </w:pPr>
      <w:r>
        <w:rPr>
          <w:rFonts w:hint="eastAsia" w:ascii="仿宋" w:hAnsi="仿宋" w:eastAsia="仿宋" w:cs="仿宋"/>
          <w:lang w:eastAsia="zh-CN"/>
        </w:rPr>
        <w:t xml:space="preserve">（2）存储加密：对数据库中的敏感数据（如密码、个人隐私信息）采用加密存储，密钥与数据分离管理，禁止明文存储。 </w:t>
      </w:r>
    </w:p>
    <w:p w14:paraId="05F8900E">
      <w:pPr>
        <w:widowControl/>
        <w:ind w:firstLine="480" w:firstLineChars="200"/>
        <w:rPr>
          <w:rFonts w:ascii="仿宋" w:hAnsi="仿宋" w:eastAsia="仿宋" w:cs="仿宋"/>
        </w:rPr>
      </w:pPr>
      <w:r>
        <w:rPr>
          <w:rFonts w:hint="eastAsia" w:ascii="仿宋" w:hAnsi="仿宋" w:eastAsia="仿宋" w:cs="仿宋"/>
          <w:lang w:eastAsia="zh-CN"/>
        </w:rPr>
        <w:t xml:space="preserve">2、身份认证与访问控制 </w:t>
      </w:r>
    </w:p>
    <w:p w14:paraId="41CC2BF8">
      <w:pPr>
        <w:widowControl/>
        <w:ind w:firstLine="240" w:firstLineChars="100"/>
        <w:rPr>
          <w:rFonts w:ascii="仿宋" w:hAnsi="仿宋" w:eastAsia="仿宋" w:cs="仿宋"/>
        </w:rPr>
      </w:pPr>
      <w:r>
        <w:rPr>
          <w:rFonts w:hint="eastAsia" w:ascii="仿宋" w:hAnsi="仿宋" w:eastAsia="仿宋" w:cs="仿宋"/>
          <w:lang w:eastAsia="zh-CN"/>
        </w:rPr>
        <w:t xml:space="preserve">（1）强身份鉴别：登录、权限变更等关键操作需采用双因子认证（如动态口令+生物特征），且口令需满足复杂度要求（至少 8 位，含大小写字母、数字、特殊字符）。 </w:t>
      </w:r>
    </w:p>
    <w:p w14:paraId="549CCFFD">
      <w:pPr>
        <w:widowControl/>
        <w:ind w:firstLine="240" w:firstLineChars="100"/>
        <w:rPr>
          <w:rFonts w:ascii="仿宋" w:hAnsi="仿宋" w:eastAsia="仿宋" w:cs="仿宋"/>
        </w:rPr>
      </w:pPr>
      <w:r>
        <w:rPr>
          <w:rFonts w:hint="eastAsia" w:ascii="仿宋" w:hAnsi="仿宋" w:eastAsia="仿宋" w:cs="仿宋"/>
          <w:lang w:eastAsia="zh-CN"/>
        </w:rPr>
        <w:t xml:space="preserve">（2）会话保护：用户会话令牌需加密生成，设置超时自动退出机制，防止会话劫持。 </w:t>
      </w:r>
    </w:p>
    <w:p w14:paraId="09BC50B5">
      <w:pPr>
        <w:widowControl/>
        <w:ind w:firstLine="480" w:firstLineChars="200"/>
        <w:rPr>
          <w:rFonts w:ascii="仿宋" w:hAnsi="仿宋" w:eastAsia="仿宋" w:cs="仿宋"/>
        </w:rPr>
      </w:pPr>
      <w:r>
        <w:rPr>
          <w:rFonts w:hint="eastAsia" w:ascii="仿宋" w:hAnsi="仿宋" w:eastAsia="仿宋" w:cs="仿宋"/>
          <w:lang w:eastAsia="zh-CN"/>
        </w:rPr>
        <w:t xml:space="preserve">3、密钥安全管理 </w:t>
      </w:r>
    </w:p>
    <w:p w14:paraId="29A34206">
      <w:pPr>
        <w:widowControl/>
        <w:ind w:firstLine="240" w:firstLineChars="100"/>
        <w:rPr>
          <w:rFonts w:ascii="仿宋" w:hAnsi="仿宋" w:eastAsia="仿宋" w:cs="仿宋"/>
        </w:rPr>
      </w:pPr>
      <w:r>
        <w:rPr>
          <w:rFonts w:hint="eastAsia" w:ascii="仿宋" w:hAnsi="仿宋" w:eastAsia="仿宋" w:cs="仿宋"/>
          <w:lang w:eastAsia="zh-CN"/>
        </w:rPr>
        <w:t xml:space="preserve">（1）密钥生命周期管理：实现密钥生成、存储、分发、使用、更新、归档、销毁全流程管控，采用硬件密码模块（如密码机、USBKey）保护密钥安全。 </w:t>
      </w:r>
    </w:p>
    <w:p w14:paraId="3F8D827D">
      <w:pPr>
        <w:widowControl/>
        <w:ind w:firstLine="240" w:firstLineChars="100"/>
        <w:rPr>
          <w:rFonts w:ascii="仿宋" w:hAnsi="仿宋" w:eastAsia="仿宋" w:cs="仿宋"/>
          <w:lang w:eastAsia="zh-CN"/>
        </w:rPr>
      </w:pPr>
      <w:r>
        <w:rPr>
          <w:rFonts w:hint="eastAsia" w:ascii="仿宋" w:hAnsi="仿宋" w:eastAsia="仿宋" w:cs="仿宋"/>
          <w:lang w:eastAsia="zh-CN"/>
        </w:rPr>
        <w:t>（2）密钥分离原则：加密密钥与业务系统隔离存储，禁止密钥明文出现在代码或配置文件中。</w:t>
      </w:r>
    </w:p>
    <w:p w14:paraId="1D7FF433">
      <w:pPr>
        <w:widowControl/>
        <w:ind w:firstLine="480" w:firstLineChars="200"/>
        <w:rPr>
          <w:rFonts w:ascii="仿宋" w:hAnsi="仿宋" w:eastAsia="仿宋" w:cs="仿宋"/>
        </w:rPr>
      </w:pPr>
      <w:r>
        <w:rPr>
          <w:rFonts w:hint="eastAsia" w:ascii="仿宋" w:hAnsi="仿宋" w:eastAsia="仿宋" w:cs="仿宋"/>
          <w:lang w:eastAsia="zh-CN"/>
        </w:rPr>
        <w:t xml:space="preserve">4、密码算法合规性 </w:t>
      </w:r>
    </w:p>
    <w:p w14:paraId="05B86501">
      <w:pPr>
        <w:widowControl/>
        <w:ind w:firstLine="240" w:firstLineChars="100"/>
        <w:rPr>
          <w:rFonts w:ascii="仿宋" w:hAnsi="仿宋" w:eastAsia="仿宋" w:cs="仿宋"/>
        </w:rPr>
      </w:pPr>
      <w:r>
        <w:rPr>
          <w:rFonts w:hint="eastAsia" w:ascii="仿宋" w:hAnsi="仿宋" w:eastAsia="仿宋" w:cs="仿宋"/>
          <w:lang w:eastAsia="zh-CN"/>
        </w:rPr>
        <w:t xml:space="preserve">（1）优先采用国家密码管理局批准的商用密码算法（如 SM 系列算法），若使用国际通用算法需说明必要性并通过风险评估。 </w:t>
      </w:r>
    </w:p>
    <w:p w14:paraId="6B8CE6AA">
      <w:pPr>
        <w:widowControl/>
        <w:ind w:firstLine="240" w:firstLineChars="100"/>
        <w:rPr>
          <w:rFonts w:ascii="仿宋" w:hAnsi="仿宋" w:eastAsia="仿宋" w:cs="仿宋"/>
        </w:rPr>
      </w:pPr>
      <w:r>
        <w:rPr>
          <w:rFonts w:hint="eastAsia" w:ascii="仿宋" w:hAnsi="仿宋" w:eastAsia="仿宋" w:cs="仿宋"/>
          <w:lang w:eastAsia="zh-CN"/>
        </w:rPr>
        <w:t xml:space="preserve">（2）禁用 MD5、SHA-1 等已知脆弱算法，避免算法漏洞导致安全风险。 </w:t>
      </w:r>
    </w:p>
    <w:p w14:paraId="1F92885C">
      <w:pPr>
        <w:widowControl/>
        <w:ind w:firstLine="480" w:firstLineChars="200"/>
        <w:rPr>
          <w:rFonts w:ascii="仿宋" w:hAnsi="仿宋" w:eastAsia="仿宋" w:cs="仿宋"/>
        </w:rPr>
      </w:pPr>
      <w:r>
        <w:rPr>
          <w:rFonts w:hint="eastAsia" w:ascii="仿宋" w:hAnsi="仿宋" w:eastAsia="仿宋" w:cs="仿宋"/>
          <w:lang w:eastAsia="zh-CN"/>
        </w:rPr>
        <w:t xml:space="preserve">5、密码设备与模块安全 </w:t>
      </w:r>
    </w:p>
    <w:p w14:paraId="3CF4926D">
      <w:pPr>
        <w:widowControl/>
        <w:ind w:firstLine="240" w:firstLineChars="100"/>
        <w:rPr>
          <w:rFonts w:ascii="仿宋" w:hAnsi="仿宋" w:eastAsia="仿宋" w:cs="仿宋"/>
        </w:rPr>
      </w:pPr>
      <w:r>
        <w:rPr>
          <w:rFonts w:hint="eastAsia" w:ascii="仿宋" w:hAnsi="仿宋" w:eastAsia="仿宋" w:cs="仿宋"/>
          <w:lang w:eastAsia="zh-CN"/>
        </w:rPr>
        <w:t xml:space="preserve">（1）密码运算需通过合规密码设备（如服务器密码机、智能密码钥匙）实现， </w:t>
      </w:r>
    </w:p>
    <w:p w14:paraId="179F38FE">
      <w:pPr>
        <w:widowControl/>
        <w:rPr>
          <w:rFonts w:ascii="仿宋" w:hAnsi="仿宋" w:eastAsia="仿宋" w:cs="仿宋"/>
        </w:rPr>
      </w:pPr>
      <w:r>
        <w:rPr>
          <w:rFonts w:hint="eastAsia" w:ascii="仿宋" w:hAnsi="仿宋" w:eastAsia="仿宋" w:cs="仿宋"/>
          <w:lang w:eastAsia="zh-CN"/>
        </w:rPr>
        <w:t xml:space="preserve">确保密钥不出设备。 </w:t>
      </w:r>
    </w:p>
    <w:p w14:paraId="3A96F7A0">
      <w:pPr>
        <w:widowControl/>
        <w:ind w:firstLine="240" w:firstLineChars="100"/>
        <w:rPr>
          <w:rFonts w:ascii="仿宋" w:hAnsi="仿宋" w:eastAsia="仿宋" w:cs="仿宋"/>
        </w:rPr>
      </w:pPr>
      <w:r>
        <w:rPr>
          <w:rFonts w:hint="eastAsia" w:ascii="仿宋" w:hAnsi="仿宋" w:eastAsia="仿宋" w:cs="仿宋"/>
          <w:lang w:eastAsia="zh-CN"/>
        </w:rPr>
        <w:t xml:space="preserve">（2）密码模块需通过国家密码管理部门检测认证（如符合 GM/T0054-2018 标准）。 </w:t>
      </w:r>
    </w:p>
    <w:p w14:paraId="328EF10C">
      <w:pPr>
        <w:widowControl/>
        <w:ind w:firstLine="480" w:firstLineChars="200"/>
        <w:rPr>
          <w:rFonts w:ascii="仿宋" w:hAnsi="仿宋" w:eastAsia="仿宋" w:cs="仿宋"/>
        </w:rPr>
      </w:pPr>
      <w:r>
        <w:rPr>
          <w:rFonts w:hint="eastAsia" w:ascii="仿宋" w:hAnsi="仿宋" w:eastAsia="仿宋" w:cs="仿宋"/>
          <w:lang w:eastAsia="zh-CN"/>
        </w:rPr>
        <w:t xml:space="preserve">6、密码应用审计 </w:t>
      </w:r>
    </w:p>
    <w:p w14:paraId="18E86447">
      <w:pPr>
        <w:widowControl/>
        <w:ind w:firstLine="240" w:firstLineChars="100"/>
        <w:rPr>
          <w:rFonts w:ascii="仿宋" w:hAnsi="仿宋" w:eastAsia="仿宋" w:cs="仿宋"/>
        </w:rPr>
      </w:pPr>
      <w:r>
        <w:rPr>
          <w:rFonts w:hint="eastAsia" w:ascii="仿宋" w:hAnsi="仿宋" w:eastAsia="仿宋" w:cs="仿宋"/>
          <w:lang w:eastAsia="zh-CN"/>
        </w:rPr>
        <w:t xml:space="preserve">（1）记录密码操作日志（如密钥生成、加解密操作、认证失败事件），留存至少 6 个月并提供追溯能力。 </w:t>
      </w:r>
    </w:p>
    <w:p w14:paraId="7532462A">
      <w:pPr>
        <w:widowControl/>
        <w:rPr>
          <w:rFonts w:ascii="仿宋" w:hAnsi="仿宋" w:eastAsia="仿宋" w:cs="仿宋"/>
        </w:rPr>
      </w:pPr>
      <w:r>
        <w:rPr>
          <w:rFonts w:hint="eastAsia" w:ascii="仿宋" w:hAnsi="仿宋" w:eastAsia="仿宋" w:cs="仿宋"/>
          <w:b/>
          <w:bCs/>
          <w:lang w:eastAsia="zh-CN"/>
        </w:rPr>
        <w:t>5.4.2.2 密码应用需求</w:t>
      </w:r>
      <w:r>
        <w:rPr>
          <w:rFonts w:hint="eastAsia" w:ascii="仿宋" w:hAnsi="仿宋" w:eastAsia="仿宋" w:cs="仿宋"/>
          <w:lang w:eastAsia="zh-CN"/>
        </w:rPr>
        <w:t xml:space="preserve"> </w:t>
      </w:r>
    </w:p>
    <w:p w14:paraId="1C82810E">
      <w:pPr>
        <w:widowControl/>
        <w:ind w:firstLine="480" w:firstLineChars="200"/>
        <w:rPr>
          <w:rFonts w:ascii="仿宋" w:hAnsi="仿宋" w:eastAsia="仿宋" w:cs="仿宋"/>
        </w:rPr>
      </w:pPr>
      <w:r>
        <w:rPr>
          <w:rFonts w:hint="eastAsia" w:ascii="仿宋" w:hAnsi="仿宋" w:eastAsia="仿宋" w:cs="仿宋"/>
          <w:lang w:eastAsia="zh-CN"/>
        </w:rPr>
        <w:t xml:space="preserve">1、合规性驱动需求 </w:t>
      </w:r>
    </w:p>
    <w:p w14:paraId="289ED4B9">
      <w:pPr>
        <w:widowControl/>
        <w:ind w:firstLine="240" w:firstLineChars="100"/>
        <w:rPr>
          <w:rFonts w:ascii="仿宋" w:hAnsi="仿宋" w:eastAsia="仿宋" w:cs="仿宋"/>
        </w:rPr>
      </w:pPr>
      <w:r>
        <w:rPr>
          <w:rFonts w:hint="eastAsia" w:ascii="仿宋" w:hAnsi="仿宋" w:eastAsia="仿宋" w:cs="仿宋"/>
          <w:lang w:eastAsia="zh-CN"/>
        </w:rPr>
        <w:t xml:space="preserve">（1）根据《网络安全法》《密码法》及等保三级要求，系统必须实现密码技术对数据机密性、完整性、可用性的保护，并通过商用密码应用安全性评估（密评）。 </w:t>
      </w:r>
    </w:p>
    <w:p w14:paraId="75679B9D">
      <w:pPr>
        <w:widowControl/>
        <w:ind w:firstLine="240" w:firstLineChars="100"/>
        <w:rPr>
          <w:rFonts w:ascii="仿宋" w:hAnsi="仿宋" w:eastAsia="仿宋" w:cs="仿宋"/>
        </w:rPr>
      </w:pPr>
      <w:r>
        <w:rPr>
          <w:rFonts w:hint="eastAsia" w:ascii="仿宋" w:hAnsi="仿宋" w:eastAsia="仿宋" w:cs="仿宋"/>
          <w:lang w:eastAsia="zh-CN"/>
        </w:rPr>
        <w:t xml:space="preserve">（2）风险规避：未加密的敏感数据一旦泄露可能导致法律责任和声誉损失，需通过加密降低风险。 </w:t>
      </w:r>
    </w:p>
    <w:p w14:paraId="2423416E">
      <w:pPr>
        <w:widowControl/>
        <w:ind w:firstLine="480" w:firstLineChars="200"/>
        <w:rPr>
          <w:rFonts w:ascii="仿宋" w:hAnsi="仿宋" w:eastAsia="仿宋" w:cs="仿宋"/>
        </w:rPr>
      </w:pPr>
      <w:r>
        <w:rPr>
          <w:rFonts w:hint="eastAsia" w:ascii="仿宋" w:hAnsi="仿宋" w:eastAsia="仿宋" w:cs="仿宋"/>
          <w:lang w:eastAsia="zh-CN"/>
        </w:rPr>
        <w:t xml:space="preserve">2、技术实施需求 </w:t>
      </w:r>
    </w:p>
    <w:p w14:paraId="750DFDD8">
      <w:pPr>
        <w:widowControl/>
        <w:ind w:firstLine="240" w:firstLineChars="100"/>
        <w:rPr>
          <w:rFonts w:ascii="仿宋" w:hAnsi="仿宋" w:eastAsia="仿宋" w:cs="仿宋"/>
        </w:rPr>
      </w:pPr>
      <w:r>
        <w:rPr>
          <w:rFonts w:hint="eastAsia" w:ascii="仿宋" w:hAnsi="仿宋" w:eastAsia="仿宋" w:cs="仿宋"/>
          <w:lang w:eastAsia="zh-CN"/>
        </w:rPr>
        <w:t xml:space="preserve">（1）分层加密：按数据敏感程度分级加密（如核心业务数据使用 SM4 算法，普通数据使用 AES 算法）。 </w:t>
      </w:r>
    </w:p>
    <w:p w14:paraId="2CB3ECBD">
      <w:pPr>
        <w:widowControl/>
        <w:ind w:firstLine="240" w:firstLineChars="100"/>
        <w:rPr>
          <w:rFonts w:ascii="仿宋" w:hAnsi="仿宋" w:eastAsia="仿宋" w:cs="仿宋"/>
        </w:rPr>
      </w:pPr>
      <w:r>
        <w:rPr>
          <w:rFonts w:hint="eastAsia" w:ascii="仿宋" w:hAnsi="仿宋" w:eastAsia="仿宋" w:cs="仿宋"/>
          <w:lang w:eastAsia="zh-CN"/>
        </w:rPr>
        <w:t xml:space="preserve">（2）零信任架构：通过动态令牌、设备指纹等技术强化身份认证，防止冒用身份。 </w:t>
      </w:r>
    </w:p>
    <w:p w14:paraId="66293350">
      <w:pPr>
        <w:widowControl/>
        <w:ind w:firstLine="240" w:firstLineChars="100"/>
        <w:rPr>
          <w:rFonts w:ascii="仿宋" w:hAnsi="仿宋" w:eastAsia="仿宋" w:cs="仿宋"/>
        </w:rPr>
      </w:pPr>
      <w:r>
        <w:rPr>
          <w:rFonts w:hint="eastAsia" w:ascii="仿宋" w:hAnsi="仿宋" w:eastAsia="仿宋" w:cs="仿宋"/>
          <w:lang w:eastAsia="zh-CN"/>
        </w:rPr>
        <w:t xml:space="preserve">（3）密钥托管方案：采用第三方密钥管理系统（KMS）实现密钥集中管理，满足等保三级对密钥安全的要求。 </w:t>
      </w:r>
    </w:p>
    <w:p w14:paraId="2EFC1FBD">
      <w:pPr>
        <w:widowControl/>
        <w:ind w:firstLine="480" w:firstLineChars="200"/>
        <w:rPr>
          <w:rFonts w:ascii="仿宋" w:hAnsi="仿宋" w:eastAsia="仿宋" w:cs="仿宋"/>
        </w:rPr>
      </w:pPr>
      <w:r>
        <w:rPr>
          <w:rFonts w:hint="eastAsia" w:ascii="仿宋" w:hAnsi="仿宋" w:eastAsia="仿宋" w:cs="仿宋"/>
          <w:lang w:eastAsia="zh-CN"/>
        </w:rPr>
        <w:t xml:space="preserve">3、管理协同需求 </w:t>
      </w:r>
    </w:p>
    <w:p w14:paraId="2310D0CC">
      <w:pPr>
        <w:widowControl/>
        <w:ind w:firstLine="240" w:firstLineChars="100"/>
        <w:rPr>
          <w:rFonts w:ascii="仿宋" w:hAnsi="仿宋" w:eastAsia="仿宋" w:cs="仿宋"/>
        </w:rPr>
      </w:pPr>
      <w:r>
        <w:rPr>
          <w:rFonts w:hint="eastAsia" w:ascii="仿宋" w:hAnsi="仿宋" w:eastAsia="仿宋" w:cs="仿宋"/>
          <w:lang w:eastAsia="zh-CN"/>
        </w:rPr>
        <w:t xml:space="preserve">（1）制度配套：制定《密码安全管理制度》《密钥管理规范》，明确责任人与操作流程。 </w:t>
      </w:r>
    </w:p>
    <w:p w14:paraId="088D205D">
      <w:pPr>
        <w:widowControl/>
        <w:ind w:firstLine="240" w:firstLineChars="100"/>
        <w:rPr>
          <w:rFonts w:ascii="仿宋" w:hAnsi="仿宋" w:eastAsia="仿宋" w:cs="仿宋"/>
        </w:rPr>
      </w:pPr>
      <w:r>
        <w:rPr>
          <w:rFonts w:hint="eastAsia" w:ascii="仿宋" w:hAnsi="仿宋" w:eastAsia="仿宋" w:cs="仿宋"/>
          <w:lang w:eastAsia="zh-CN"/>
        </w:rPr>
        <w:t xml:space="preserve">（2）定期评估：每年开展密码应用合规性自查，结合渗透测试验证加密有效性。 </w:t>
      </w:r>
    </w:p>
    <w:p w14:paraId="72A96DFD">
      <w:pPr>
        <w:widowControl/>
        <w:ind w:firstLine="240" w:firstLineChars="100"/>
        <w:rPr>
          <w:rFonts w:ascii="仿宋" w:hAnsi="仿宋" w:eastAsia="仿宋" w:cs="仿宋"/>
        </w:rPr>
      </w:pPr>
      <w:r>
        <w:rPr>
          <w:rFonts w:hint="eastAsia" w:ascii="仿宋" w:hAnsi="仿宋" w:eastAsia="仿宋" w:cs="仿宋"/>
          <w:lang w:eastAsia="zh-CN"/>
        </w:rPr>
        <w:t xml:space="preserve">（3）应急响应：建立密钥泄露、算法破解等场景的应急处理预案，确保快速恢复与止损。 </w:t>
      </w:r>
    </w:p>
    <w:p w14:paraId="43282EF0">
      <w:pPr>
        <w:widowControl/>
        <w:rPr>
          <w:rFonts w:ascii="仿宋" w:hAnsi="仿宋" w:eastAsia="仿宋" w:cs="仿宋"/>
          <w:b/>
          <w:bCs/>
        </w:rPr>
      </w:pPr>
      <w:r>
        <w:rPr>
          <w:rFonts w:hint="eastAsia" w:ascii="仿宋" w:hAnsi="仿宋" w:eastAsia="仿宋" w:cs="仿宋"/>
          <w:b/>
          <w:bCs/>
          <w:lang w:eastAsia="zh-CN"/>
        </w:rPr>
        <w:t xml:space="preserve">5.4.3 网络安全等保/密评/分保工作需求 </w:t>
      </w:r>
    </w:p>
    <w:p w14:paraId="7F0AA8AA">
      <w:pPr>
        <w:widowControl/>
        <w:ind w:firstLine="480" w:firstLineChars="200"/>
        <w:rPr>
          <w:rFonts w:ascii="仿宋" w:hAnsi="仿宋" w:eastAsia="仿宋" w:cs="仿宋"/>
        </w:rPr>
      </w:pPr>
      <w:r>
        <w:rPr>
          <w:rFonts w:hint="eastAsia" w:ascii="仿宋" w:hAnsi="仿宋" w:eastAsia="仿宋" w:cs="仿宋"/>
          <w:lang w:eastAsia="zh-CN"/>
        </w:rPr>
        <w:t xml:space="preserve">依据《中华人民共和国网络安全法》，国家实行网络安全等级保护制度。网络运营者按照网络安全等级保护制度的要求，履行安全保护义务，保障网络免受干扰、破坏或者未经授权的访问，防止网络数据泄露或者被窃取、篡改；关键信息基础设施，在网络安全等级保护制度的基础上，实行重点保护。 </w:t>
      </w:r>
    </w:p>
    <w:p w14:paraId="66C5E6B0">
      <w:pPr>
        <w:widowControl/>
        <w:ind w:firstLine="480" w:firstLineChars="200"/>
        <w:rPr>
          <w:rFonts w:ascii="仿宋" w:hAnsi="仿宋" w:eastAsia="仿宋" w:cs="仿宋"/>
        </w:rPr>
      </w:pPr>
      <w:r>
        <w:rPr>
          <w:rFonts w:hint="eastAsia" w:ascii="仿宋" w:hAnsi="仿宋" w:eastAsia="仿宋" w:cs="仿宋"/>
          <w:lang w:eastAsia="zh-CN"/>
        </w:rPr>
        <w:t xml:space="preserve">依据《中华人民共和国密码法》及相关法律法规、政策、行业标准，对关键信息基础设施、网络安全等级保护第三级及以上、面向社会服务等重要非涉密政务信息项目信息系统开展密码应用安全性评估进行描述。 </w:t>
      </w:r>
    </w:p>
    <w:p w14:paraId="1E30CAB8">
      <w:pPr>
        <w:widowControl/>
        <w:ind w:firstLine="480" w:firstLineChars="200"/>
        <w:rPr>
          <w:rFonts w:ascii="仿宋" w:hAnsi="仿宋" w:eastAsia="仿宋" w:cs="仿宋"/>
          <w:lang w:eastAsia="zh-CN"/>
        </w:rPr>
      </w:pPr>
      <w:r>
        <w:rPr>
          <w:rFonts w:hint="eastAsia" w:ascii="仿宋" w:hAnsi="仿宋" w:eastAsia="仿宋" w:cs="仿宋"/>
          <w:lang w:eastAsia="zh-CN"/>
        </w:rPr>
        <w:t xml:space="preserve">本项目建设中，应用系统名称为：巴里坤县智慧化工园区平台；拟定等保级别为三级；本次建设验收前需完成等保测评。 </w:t>
      </w:r>
    </w:p>
    <w:p w14:paraId="103C3F15">
      <w:pPr>
        <w:rPr>
          <w:highlight w:val="yellow"/>
          <w:lang w:eastAsia="zh-CN"/>
        </w:rPr>
      </w:pPr>
    </w:p>
    <w:p w14:paraId="48E83243">
      <w:pPr>
        <w:jc w:val="center"/>
        <w:rPr>
          <w:rFonts w:hint="eastAsia" w:ascii="仿宋" w:hAnsi="仿宋" w:eastAsia="仿宋"/>
          <w:sz w:val="30"/>
          <w:szCs w:val="30"/>
          <w:highlight w:val="yellow"/>
          <w:lang w:eastAsia="zh-CN"/>
        </w:rPr>
      </w:pPr>
    </w:p>
    <w:p w14:paraId="7276D2D6">
      <w:pPr>
        <w:jc w:val="center"/>
        <w:rPr>
          <w:rFonts w:hint="eastAsia" w:ascii="仿宋" w:hAnsi="仿宋" w:eastAsia="仿宋"/>
          <w:sz w:val="30"/>
          <w:szCs w:val="30"/>
          <w:highlight w:val="yellow"/>
          <w:lang w:eastAsia="zh-CN"/>
        </w:rPr>
      </w:pPr>
    </w:p>
    <w:p w14:paraId="1E58E89D">
      <w:pPr>
        <w:jc w:val="center"/>
        <w:rPr>
          <w:rFonts w:hint="eastAsia" w:ascii="仿宋" w:hAnsi="仿宋" w:eastAsia="仿宋"/>
          <w:sz w:val="30"/>
          <w:szCs w:val="30"/>
          <w:highlight w:val="yellow"/>
          <w:lang w:eastAsia="zh-CN"/>
        </w:rPr>
      </w:pPr>
    </w:p>
    <w:p w14:paraId="72765924">
      <w:pPr>
        <w:jc w:val="center"/>
        <w:rPr>
          <w:rFonts w:hint="eastAsia" w:ascii="仿宋" w:hAnsi="仿宋" w:eastAsia="仿宋"/>
          <w:sz w:val="30"/>
          <w:szCs w:val="30"/>
          <w:highlight w:val="yellow"/>
          <w:lang w:eastAsia="zh-CN"/>
        </w:rPr>
      </w:pPr>
    </w:p>
    <w:p w14:paraId="29A90D4A">
      <w:pPr>
        <w:jc w:val="center"/>
        <w:rPr>
          <w:rFonts w:hint="eastAsia" w:ascii="仿宋" w:hAnsi="仿宋" w:eastAsia="仿宋"/>
          <w:sz w:val="30"/>
          <w:szCs w:val="30"/>
          <w:highlight w:val="yellow"/>
          <w:lang w:eastAsia="zh-CN"/>
        </w:rPr>
      </w:pPr>
    </w:p>
    <w:p w14:paraId="2504AA44">
      <w:pPr>
        <w:jc w:val="center"/>
        <w:rPr>
          <w:rFonts w:hint="eastAsia" w:ascii="仿宋" w:hAnsi="仿宋" w:eastAsia="仿宋"/>
          <w:sz w:val="30"/>
          <w:szCs w:val="30"/>
          <w:highlight w:val="yellow"/>
          <w:lang w:eastAsia="zh-CN"/>
        </w:rPr>
      </w:pPr>
    </w:p>
    <w:p w14:paraId="3446E71A">
      <w:pPr>
        <w:jc w:val="center"/>
        <w:rPr>
          <w:rFonts w:hint="eastAsia" w:ascii="仿宋" w:hAnsi="仿宋" w:eastAsia="仿宋"/>
          <w:sz w:val="30"/>
          <w:szCs w:val="30"/>
          <w:highlight w:val="yellow"/>
          <w:lang w:eastAsia="zh-CN"/>
        </w:rPr>
      </w:pPr>
    </w:p>
    <w:p w14:paraId="1B9A6A88">
      <w:pPr>
        <w:jc w:val="center"/>
        <w:rPr>
          <w:rFonts w:hint="eastAsia" w:ascii="仿宋" w:hAnsi="仿宋" w:eastAsia="仿宋"/>
          <w:sz w:val="30"/>
          <w:szCs w:val="30"/>
          <w:highlight w:val="yellow"/>
          <w:lang w:eastAsia="zh-CN"/>
        </w:rPr>
      </w:pPr>
    </w:p>
    <w:p w14:paraId="4107E24D">
      <w:pPr>
        <w:jc w:val="center"/>
        <w:rPr>
          <w:rFonts w:hint="eastAsia" w:ascii="仿宋" w:hAnsi="仿宋" w:eastAsia="仿宋"/>
          <w:sz w:val="30"/>
          <w:szCs w:val="30"/>
          <w:highlight w:val="yellow"/>
          <w:lang w:eastAsia="zh-CN"/>
        </w:rPr>
      </w:pPr>
    </w:p>
    <w:p w14:paraId="4EA1171E">
      <w:pPr>
        <w:jc w:val="center"/>
        <w:rPr>
          <w:rFonts w:hint="eastAsia" w:ascii="仿宋" w:hAnsi="仿宋" w:eastAsia="仿宋"/>
          <w:sz w:val="30"/>
          <w:szCs w:val="30"/>
          <w:highlight w:val="yellow"/>
          <w:lang w:eastAsia="zh-CN"/>
        </w:rPr>
      </w:pPr>
    </w:p>
    <w:p w14:paraId="61D9F39A">
      <w:pPr>
        <w:jc w:val="center"/>
        <w:rPr>
          <w:rFonts w:hint="eastAsia" w:ascii="仿宋" w:hAnsi="仿宋" w:eastAsia="仿宋"/>
          <w:sz w:val="30"/>
          <w:szCs w:val="30"/>
          <w:highlight w:val="yellow"/>
          <w:lang w:eastAsia="zh-CN"/>
        </w:rPr>
      </w:pPr>
    </w:p>
    <w:p w14:paraId="70CE03B3">
      <w:pPr>
        <w:jc w:val="center"/>
        <w:rPr>
          <w:rFonts w:hint="eastAsia" w:ascii="仿宋" w:hAnsi="仿宋" w:eastAsia="仿宋"/>
          <w:sz w:val="30"/>
          <w:szCs w:val="30"/>
          <w:highlight w:val="yellow"/>
          <w:lang w:eastAsia="zh-CN"/>
        </w:rPr>
      </w:pPr>
    </w:p>
    <w:p w14:paraId="3E743321">
      <w:pPr>
        <w:pStyle w:val="2"/>
        <w:rPr>
          <w:rFonts w:hint="eastAsia" w:ascii="仿宋" w:hAnsi="仿宋" w:eastAsia="仿宋"/>
          <w:sz w:val="30"/>
          <w:szCs w:val="30"/>
          <w:highlight w:val="yellow"/>
          <w:lang w:eastAsia="zh-CN"/>
        </w:rPr>
      </w:pPr>
    </w:p>
    <w:p w14:paraId="1266DE2D">
      <w:pPr>
        <w:pStyle w:val="2"/>
        <w:rPr>
          <w:rFonts w:hint="eastAsia" w:ascii="仿宋" w:hAnsi="仿宋" w:eastAsia="仿宋"/>
          <w:sz w:val="30"/>
          <w:szCs w:val="30"/>
          <w:highlight w:val="yellow"/>
          <w:lang w:eastAsia="zh-CN"/>
        </w:rPr>
      </w:pPr>
    </w:p>
    <w:p w14:paraId="70E4F88D">
      <w:pPr>
        <w:pStyle w:val="2"/>
        <w:rPr>
          <w:rFonts w:hint="eastAsia" w:ascii="仿宋" w:hAnsi="仿宋" w:eastAsia="仿宋"/>
          <w:sz w:val="30"/>
          <w:szCs w:val="30"/>
          <w:highlight w:val="yellow"/>
          <w:lang w:eastAsia="zh-CN"/>
        </w:rPr>
      </w:pPr>
    </w:p>
    <w:p w14:paraId="24F1E557">
      <w:pPr>
        <w:pStyle w:val="2"/>
        <w:rPr>
          <w:rFonts w:hint="eastAsia" w:ascii="仿宋" w:hAnsi="仿宋" w:eastAsia="仿宋"/>
          <w:sz w:val="30"/>
          <w:szCs w:val="30"/>
          <w:highlight w:val="yellow"/>
          <w:lang w:eastAsia="zh-CN"/>
        </w:rPr>
      </w:pPr>
    </w:p>
    <w:p w14:paraId="37E72CA2">
      <w:pPr>
        <w:jc w:val="both"/>
        <w:rPr>
          <w:rFonts w:hint="eastAsia" w:ascii="仿宋" w:hAnsi="仿宋" w:eastAsia="仿宋"/>
          <w:sz w:val="30"/>
          <w:szCs w:val="30"/>
          <w:highlight w:val="yellow"/>
          <w:lang w:eastAsia="zh-CN"/>
        </w:rPr>
      </w:pPr>
    </w:p>
    <w:p w14:paraId="1DD4C2E4">
      <w:pPr>
        <w:jc w:val="center"/>
        <w:rPr>
          <w:rFonts w:hint="eastAsia" w:ascii="仿宋" w:hAnsi="仿宋" w:eastAsia="仿宋"/>
          <w:sz w:val="30"/>
          <w:szCs w:val="30"/>
          <w:highlight w:val="yellow"/>
          <w:lang w:eastAsia="zh-CN"/>
        </w:rPr>
      </w:pPr>
    </w:p>
    <w:p w14:paraId="1DB392DE">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六</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巴里坤县智慧指挥中心基础设施建设项目（</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标段）采购清单明细表</w:t>
      </w:r>
    </w:p>
    <w:p w14:paraId="10FF85C6">
      <w:pPr>
        <w:jc w:val="center"/>
        <w:rPr>
          <w:rFonts w:hint="eastAsia" w:ascii="仿宋" w:hAnsi="仿宋" w:eastAsia="仿宋"/>
          <w:sz w:val="30"/>
          <w:szCs w:val="30"/>
          <w:highlight w:val="none"/>
          <w:lang w:val="en-US" w:eastAsia="zh-CN"/>
        </w:rPr>
      </w:pPr>
    </w:p>
    <w:p w14:paraId="6979D25F">
      <w:pPr>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详见附件</w:t>
      </w:r>
    </w:p>
    <w:p w14:paraId="653F225A">
      <w:pPr>
        <w:widowControl/>
        <w:jc w:val="center"/>
        <w:textAlignment w:val="center"/>
        <w:rPr>
          <w:lang w:eastAsia="zh-CN"/>
        </w:rPr>
      </w:pPr>
    </w:p>
    <w:p w14:paraId="3807908B">
      <w:pPr>
        <w:widowControl/>
        <w:jc w:val="center"/>
        <w:textAlignment w:val="center"/>
        <w:rPr>
          <w:lang w:eastAsia="zh-CN"/>
        </w:rPr>
      </w:pPr>
    </w:p>
    <w:p w14:paraId="7C9E14D8">
      <w:pPr>
        <w:widowControl/>
        <w:jc w:val="center"/>
        <w:textAlignment w:val="center"/>
        <w:rPr>
          <w:lang w:eastAsia="zh-CN"/>
        </w:rPr>
      </w:pPr>
    </w:p>
    <w:p w14:paraId="73692072">
      <w:pPr>
        <w:widowControl/>
        <w:jc w:val="center"/>
        <w:textAlignment w:val="center"/>
        <w:rPr>
          <w:lang w:eastAsia="zh-CN"/>
        </w:rPr>
      </w:pPr>
    </w:p>
    <w:p w14:paraId="77EB2B06">
      <w:pPr>
        <w:widowControl/>
        <w:jc w:val="center"/>
        <w:textAlignment w:val="center"/>
        <w:rPr>
          <w:lang w:eastAsia="zh-CN"/>
        </w:rPr>
      </w:pPr>
    </w:p>
    <w:p w14:paraId="44F2F00F">
      <w:pPr>
        <w:widowControl/>
        <w:jc w:val="center"/>
        <w:textAlignment w:val="center"/>
        <w:rPr>
          <w:lang w:eastAsia="zh-CN"/>
        </w:rPr>
      </w:pPr>
    </w:p>
    <w:p w14:paraId="4BC6C8A0">
      <w:pPr>
        <w:widowControl/>
        <w:jc w:val="center"/>
        <w:textAlignment w:val="center"/>
        <w:rPr>
          <w:lang w:eastAsia="zh-CN"/>
        </w:rPr>
      </w:pPr>
    </w:p>
    <w:p w14:paraId="4F1E1302">
      <w:pPr>
        <w:widowControl/>
        <w:jc w:val="center"/>
        <w:textAlignment w:val="center"/>
        <w:rPr>
          <w:lang w:eastAsia="zh-CN"/>
        </w:rPr>
      </w:pPr>
    </w:p>
    <w:p w14:paraId="4BF07646">
      <w:pPr>
        <w:widowControl/>
        <w:jc w:val="center"/>
        <w:textAlignment w:val="center"/>
        <w:rPr>
          <w:lang w:eastAsia="zh-CN"/>
        </w:rPr>
      </w:pPr>
    </w:p>
    <w:p w14:paraId="1C3A2E9C">
      <w:pPr>
        <w:widowControl/>
        <w:jc w:val="center"/>
        <w:textAlignment w:val="center"/>
        <w:rPr>
          <w:lang w:eastAsia="zh-CN"/>
        </w:rPr>
      </w:pPr>
    </w:p>
    <w:p w14:paraId="0E6861FB">
      <w:pPr>
        <w:widowControl/>
        <w:jc w:val="center"/>
        <w:textAlignment w:val="center"/>
        <w:rPr>
          <w:lang w:eastAsia="zh-CN"/>
        </w:rPr>
      </w:pPr>
    </w:p>
    <w:p w14:paraId="3810CBF9">
      <w:pPr>
        <w:widowControl/>
        <w:jc w:val="center"/>
        <w:textAlignment w:val="center"/>
        <w:rPr>
          <w:lang w:eastAsia="zh-CN"/>
        </w:rPr>
      </w:pPr>
    </w:p>
    <w:p w14:paraId="77318E3B">
      <w:pPr>
        <w:widowControl/>
        <w:jc w:val="center"/>
        <w:textAlignment w:val="center"/>
        <w:rPr>
          <w:lang w:eastAsia="zh-CN"/>
        </w:rPr>
      </w:pPr>
    </w:p>
    <w:p w14:paraId="009D929A">
      <w:pPr>
        <w:widowControl/>
        <w:jc w:val="center"/>
        <w:textAlignment w:val="center"/>
        <w:rPr>
          <w:lang w:eastAsia="zh-CN"/>
        </w:rPr>
      </w:pPr>
    </w:p>
    <w:p w14:paraId="04F1FFAF">
      <w:pPr>
        <w:widowControl/>
        <w:jc w:val="center"/>
        <w:textAlignment w:val="center"/>
        <w:rPr>
          <w:lang w:eastAsia="zh-CN"/>
        </w:rPr>
      </w:pPr>
    </w:p>
    <w:p w14:paraId="43594B5C">
      <w:pPr>
        <w:widowControl/>
        <w:jc w:val="center"/>
        <w:textAlignment w:val="center"/>
        <w:rPr>
          <w:lang w:eastAsia="zh-CN"/>
        </w:rPr>
      </w:pPr>
    </w:p>
    <w:p w14:paraId="73D92A66">
      <w:pPr>
        <w:widowControl/>
        <w:jc w:val="center"/>
        <w:textAlignment w:val="center"/>
        <w:rPr>
          <w:lang w:eastAsia="zh-CN"/>
        </w:rPr>
      </w:pPr>
    </w:p>
    <w:p w14:paraId="5DE7CC31">
      <w:pPr>
        <w:widowControl/>
        <w:jc w:val="center"/>
        <w:textAlignment w:val="center"/>
        <w:rPr>
          <w:lang w:eastAsia="zh-CN"/>
        </w:rPr>
      </w:pPr>
    </w:p>
    <w:p w14:paraId="101FCD8C">
      <w:pPr>
        <w:widowControl/>
        <w:jc w:val="center"/>
        <w:textAlignment w:val="center"/>
        <w:rPr>
          <w:lang w:eastAsia="zh-CN"/>
        </w:rPr>
      </w:pPr>
    </w:p>
    <w:p w14:paraId="3164031B">
      <w:pPr>
        <w:widowControl/>
        <w:jc w:val="center"/>
        <w:textAlignment w:val="center"/>
        <w:rPr>
          <w:lang w:eastAsia="zh-CN"/>
        </w:rPr>
      </w:pPr>
    </w:p>
    <w:p w14:paraId="34C1D0A5">
      <w:pPr>
        <w:pStyle w:val="35"/>
        <w:spacing w:line="400" w:lineRule="exact"/>
        <w:rPr>
          <w:rFonts w:ascii="Times New Roman" w:hAnsi="宋体" w:cs="Times New Roman"/>
          <w:b/>
          <w:bCs/>
          <w:color w:val="auto"/>
          <w:kern w:val="2"/>
          <w:sz w:val="21"/>
          <w:szCs w:val="20"/>
        </w:rPr>
      </w:pPr>
      <w:bookmarkStart w:id="50" w:name="_Toc267320052"/>
      <w:bookmarkStart w:id="51" w:name="_Toc340225294"/>
    </w:p>
    <w:p w14:paraId="35066BA3">
      <w:pPr>
        <w:pStyle w:val="35"/>
        <w:spacing w:line="400" w:lineRule="exact"/>
        <w:rPr>
          <w:rFonts w:ascii="Times New Roman" w:hAnsi="宋体" w:cs="Times New Roman"/>
          <w:b/>
          <w:bCs/>
          <w:color w:val="auto"/>
          <w:kern w:val="2"/>
          <w:sz w:val="21"/>
          <w:szCs w:val="20"/>
        </w:rPr>
      </w:pPr>
    </w:p>
    <w:p w14:paraId="73B7EB53">
      <w:pPr>
        <w:pStyle w:val="35"/>
        <w:spacing w:line="400" w:lineRule="exact"/>
        <w:rPr>
          <w:rFonts w:ascii="Times New Roman" w:hAnsi="宋体" w:cs="Times New Roman"/>
          <w:b/>
          <w:bCs/>
          <w:color w:val="auto"/>
          <w:kern w:val="2"/>
          <w:sz w:val="21"/>
          <w:szCs w:val="20"/>
        </w:rPr>
      </w:pPr>
    </w:p>
    <w:p w14:paraId="509E41D6">
      <w:pPr>
        <w:pStyle w:val="35"/>
        <w:spacing w:line="400" w:lineRule="exact"/>
        <w:rPr>
          <w:rFonts w:ascii="Times New Roman" w:hAnsi="宋体" w:cs="Times New Roman"/>
          <w:b/>
          <w:bCs/>
          <w:color w:val="auto"/>
          <w:kern w:val="2"/>
          <w:sz w:val="21"/>
          <w:szCs w:val="20"/>
        </w:rPr>
      </w:pPr>
    </w:p>
    <w:p w14:paraId="3B47392D">
      <w:pPr>
        <w:pStyle w:val="35"/>
        <w:spacing w:line="400" w:lineRule="exact"/>
        <w:rPr>
          <w:rFonts w:ascii="Times New Roman" w:hAnsi="宋体" w:cs="Times New Roman"/>
          <w:b/>
          <w:bCs/>
          <w:color w:val="auto"/>
          <w:kern w:val="2"/>
          <w:sz w:val="21"/>
          <w:szCs w:val="20"/>
        </w:rPr>
      </w:pPr>
    </w:p>
    <w:p w14:paraId="22D4FE2F">
      <w:pPr>
        <w:pStyle w:val="35"/>
        <w:spacing w:line="400" w:lineRule="exact"/>
        <w:rPr>
          <w:rFonts w:ascii="Times New Roman" w:hAnsi="宋体" w:cs="Times New Roman"/>
          <w:b/>
          <w:bCs/>
          <w:color w:val="auto"/>
          <w:kern w:val="2"/>
          <w:sz w:val="21"/>
          <w:szCs w:val="20"/>
        </w:rPr>
      </w:pPr>
    </w:p>
    <w:p w14:paraId="2C1CE4A7">
      <w:pPr>
        <w:pStyle w:val="35"/>
        <w:spacing w:line="400" w:lineRule="exact"/>
        <w:rPr>
          <w:rFonts w:ascii="Times New Roman" w:hAnsi="宋体" w:cs="Times New Roman"/>
          <w:b/>
          <w:bCs/>
          <w:color w:val="auto"/>
          <w:kern w:val="2"/>
          <w:sz w:val="21"/>
          <w:szCs w:val="20"/>
        </w:rPr>
      </w:pPr>
    </w:p>
    <w:p w14:paraId="6FB885AA">
      <w:pPr>
        <w:pStyle w:val="35"/>
        <w:spacing w:line="400" w:lineRule="exact"/>
        <w:rPr>
          <w:rFonts w:ascii="Times New Roman" w:hAnsi="宋体" w:cs="Times New Roman"/>
          <w:b/>
          <w:bCs/>
          <w:color w:val="auto"/>
          <w:kern w:val="2"/>
          <w:sz w:val="21"/>
          <w:szCs w:val="20"/>
        </w:rPr>
      </w:pPr>
    </w:p>
    <w:p w14:paraId="5B75926A">
      <w:pPr>
        <w:pStyle w:val="35"/>
        <w:spacing w:line="400" w:lineRule="exact"/>
        <w:rPr>
          <w:rFonts w:ascii="Times New Roman" w:hAnsi="宋体" w:cs="Times New Roman"/>
          <w:b/>
          <w:bCs/>
          <w:color w:val="auto"/>
          <w:kern w:val="2"/>
          <w:sz w:val="21"/>
          <w:szCs w:val="20"/>
        </w:rPr>
      </w:pPr>
    </w:p>
    <w:p w14:paraId="1A770575">
      <w:pPr>
        <w:pStyle w:val="35"/>
        <w:spacing w:line="400" w:lineRule="exact"/>
        <w:rPr>
          <w:rFonts w:ascii="Times New Roman" w:hAnsi="宋体" w:cs="Times New Roman"/>
          <w:b/>
          <w:bCs/>
          <w:color w:val="auto"/>
          <w:kern w:val="2"/>
          <w:sz w:val="21"/>
          <w:szCs w:val="20"/>
        </w:rPr>
      </w:pPr>
    </w:p>
    <w:p w14:paraId="3577AD09">
      <w:pPr>
        <w:pStyle w:val="35"/>
        <w:spacing w:line="400" w:lineRule="exact"/>
        <w:rPr>
          <w:rFonts w:ascii="Times New Roman" w:hAnsi="宋体" w:cs="Times New Roman"/>
          <w:b/>
          <w:bCs/>
          <w:color w:val="auto"/>
          <w:kern w:val="2"/>
          <w:sz w:val="21"/>
          <w:szCs w:val="20"/>
        </w:rPr>
      </w:pPr>
    </w:p>
    <w:p w14:paraId="6B6E6202">
      <w:pPr>
        <w:pStyle w:val="35"/>
        <w:spacing w:line="400" w:lineRule="exact"/>
        <w:rPr>
          <w:rFonts w:ascii="Times New Roman" w:hAnsi="宋体" w:cs="Times New Roman"/>
          <w:b/>
          <w:bCs/>
          <w:color w:val="auto"/>
          <w:kern w:val="2"/>
          <w:sz w:val="21"/>
          <w:szCs w:val="20"/>
        </w:rPr>
      </w:pPr>
    </w:p>
    <w:p w14:paraId="3F1E17E8">
      <w:pPr>
        <w:pStyle w:val="35"/>
        <w:spacing w:line="400" w:lineRule="exact"/>
        <w:rPr>
          <w:rFonts w:ascii="Times New Roman" w:hAnsi="宋体" w:cs="Times New Roman"/>
          <w:b/>
          <w:bCs/>
          <w:color w:val="auto"/>
          <w:kern w:val="2"/>
          <w:sz w:val="21"/>
          <w:szCs w:val="20"/>
        </w:rPr>
      </w:pPr>
    </w:p>
    <w:p w14:paraId="1D7E46BC">
      <w:pPr>
        <w:pStyle w:val="35"/>
        <w:spacing w:line="400" w:lineRule="exact"/>
        <w:rPr>
          <w:rFonts w:ascii="Times New Roman" w:hAnsi="宋体" w:cs="Times New Roman"/>
          <w:b/>
          <w:bCs/>
          <w:color w:val="auto"/>
          <w:kern w:val="2"/>
          <w:sz w:val="21"/>
          <w:szCs w:val="20"/>
        </w:rPr>
      </w:pPr>
    </w:p>
    <w:p w14:paraId="351C02D2">
      <w:pPr>
        <w:pStyle w:val="35"/>
        <w:spacing w:line="400" w:lineRule="exact"/>
        <w:rPr>
          <w:rFonts w:ascii="Times New Roman" w:hAnsi="宋体" w:cs="Times New Roman"/>
          <w:b/>
          <w:bCs/>
          <w:color w:val="auto"/>
          <w:kern w:val="2"/>
          <w:sz w:val="21"/>
          <w:szCs w:val="20"/>
        </w:rPr>
      </w:pPr>
    </w:p>
    <w:p w14:paraId="12B59DA7">
      <w:pPr>
        <w:pStyle w:val="35"/>
        <w:spacing w:line="400" w:lineRule="exact"/>
        <w:rPr>
          <w:rFonts w:ascii="Times New Roman" w:hAnsi="宋体" w:cs="Times New Roman"/>
          <w:b/>
          <w:bCs/>
          <w:color w:val="auto"/>
          <w:kern w:val="2"/>
          <w:sz w:val="21"/>
          <w:szCs w:val="20"/>
        </w:rPr>
      </w:pPr>
    </w:p>
    <w:p w14:paraId="6DBC5798">
      <w:pPr>
        <w:pStyle w:val="35"/>
        <w:spacing w:line="400" w:lineRule="exact"/>
        <w:rPr>
          <w:rFonts w:ascii="Times New Roman" w:hAnsi="宋体" w:cs="Times New Roman"/>
          <w:b/>
          <w:bCs/>
          <w:color w:val="auto"/>
          <w:kern w:val="2"/>
          <w:sz w:val="21"/>
          <w:szCs w:val="20"/>
        </w:rPr>
      </w:pPr>
    </w:p>
    <w:p w14:paraId="1F7CDD8C">
      <w:pPr>
        <w:pStyle w:val="35"/>
        <w:spacing w:line="400" w:lineRule="exact"/>
        <w:rPr>
          <w:rFonts w:ascii="Times New Roman" w:hAnsi="宋体" w:cs="Times New Roman"/>
          <w:b/>
          <w:bCs/>
          <w:color w:val="auto"/>
          <w:kern w:val="2"/>
          <w:sz w:val="21"/>
          <w:szCs w:val="20"/>
        </w:rPr>
      </w:pPr>
    </w:p>
    <w:p w14:paraId="79E81145">
      <w:pPr>
        <w:pStyle w:val="35"/>
        <w:spacing w:line="400" w:lineRule="exact"/>
        <w:ind w:firstLine="422" w:firstLineChars="200"/>
        <w:rPr>
          <w:rFonts w:ascii="Times New Roman" w:hAnsi="宋体" w:cs="Times New Roman"/>
          <w:b/>
          <w:bCs/>
          <w:color w:val="auto"/>
          <w:kern w:val="2"/>
          <w:sz w:val="21"/>
          <w:szCs w:val="20"/>
        </w:rPr>
      </w:pPr>
      <w:r>
        <w:rPr>
          <w:rFonts w:hint="eastAsia" w:ascii="Times New Roman" w:hAnsi="宋体" w:cs="Times New Roman"/>
          <w:b/>
          <w:bCs/>
          <w:color w:val="auto"/>
          <w:kern w:val="2"/>
          <w:sz w:val="21"/>
          <w:szCs w:val="20"/>
        </w:rPr>
        <w:t>备注：</w:t>
      </w:r>
    </w:p>
    <w:p w14:paraId="52630647">
      <w:pPr>
        <w:pStyle w:val="18"/>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2.投标企业</w:t>
      </w:r>
      <w:r>
        <w:rPr>
          <w:rFonts w:ascii="宋体" w:hAnsi="宋体" w:eastAsia="宋体" w:cs="仿宋_GB2312"/>
          <w:b/>
          <w:kern w:val="0"/>
          <w:sz w:val="21"/>
          <w:szCs w:val="22"/>
          <w:lang w:eastAsia="zh-CN" w:bidi="ar-SA"/>
        </w:rPr>
        <w:t>报价必须考虑事宜如下：从采购、运输</w:t>
      </w:r>
      <w:r>
        <w:rPr>
          <w:rFonts w:hint="eastAsia" w:ascii="宋体" w:hAnsi="宋体" w:eastAsia="宋体" w:cs="仿宋_GB2312"/>
          <w:b/>
          <w:kern w:val="0"/>
          <w:sz w:val="21"/>
          <w:szCs w:val="22"/>
          <w:lang w:eastAsia="zh-CN" w:bidi="ar-SA"/>
        </w:rPr>
        <w:t>、税金</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w:t>
      </w:r>
      <w:r>
        <w:rPr>
          <w:rFonts w:ascii="宋体" w:hAnsi="宋体" w:eastAsia="宋体" w:cs="仿宋_GB2312"/>
          <w:b/>
          <w:kern w:val="0"/>
          <w:sz w:val="21"/>
          <w:szCs w:val="22"/>
          <w:lang w:eastAsia="zh-CN" w:bidi="ar-SA"/>
        </w:rPr>
        <w:t>卸货至指定地点、验收合格、交付使用及售后服务等的人民币报价。</w:t>
      </w:r>
      <w:r>
        <w:rPr>
          <w:rFonts w:hint="eastAsia" w:ascii="宋体" w:hAnsi="宋体" w:eastAsia="宋体" w:cs="仿宋_GB2312"/>
          <w:b/>
          <w:kern w:val="0"/>
          <w:sz w:val="21"/>
          <w:szCs w:val="22"/>
          <w:lang w:eastAsia="zh-CN" w:bidi="ar-SA"/>
        </w:rPr>
        <w:t>报价</w:t>
      </w:r>
      <w:r>
        <w:rPr>
          <w:rFonts w:ascii="宋体" w:hAnsi="宋体" w:eastAsia="宋体" w:cs="仿宋_GB2312"/>
          <w:b/>
          <w:kern w:val="0"/>
          <w:sz w:val="21"/>
          <w:szCs w:val="22"/>
          <w:lang w:eastAsia="zh-CN" w:bidi="ar-SA"/>
        </w:rPr>
        <w:t>包括了货物</w:t>
      </w:r>
      <w:r>
        <w:rPr>
          <w:rFonts w:hint="eastAsia" w:ascii="宋体" w:hAnsi="宋体" w:eastAsia="宋体" w:cs="仿宋_GB2312"/>
          <w:b/>
          <w:kern w:val="0"/>
          <w:sz w:val="21"/>
          <w:szCs w:val="22"/>
          <w:lang w:eastAsia="zh-CN" w:bidi="ar-SA"/>
        </w:rPr>
        <w:t>本身价格</w:t>
      </w:r>
      <w:r>
        <w:rPr>
          <w:rFonts w:ascii="宋体" w:hAnsi="宋体" w:eastAsia="宋体" w:cs="仿宋_GB2312"/>
          <w:b/>
          <w:kern w:val="0"/>
          <w:sz w:val="21"/>
          <w:szCs w:val="22"/>
          <w:lang w:eastAsia="zh-CN" w:bidi="ar-SA"/>
        </w:rPr>
        <w:t>、运输</w:t>
      </w:r>
      <w:r>
        <w:rPr>
          <w:rFonts w:hint="eastAsia" w:ascii="宋体" w:hAnsi="宋体" w:eastAsia="宋体" w:cs="仿宋_GB2312"/>
          <w:b/>
          <w:kern w:val="0"/>
          <w:sz w:val="21"/>
          <w:szCs w:val="22"/>
          <w:lang w:eastAsia="zh-CN" w:bidi="ar-SA"/>
        </w:rPr>
        <w:t>税金费</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安装维修费</w:t>
      </w:r>
      <w:r>
        <w:rPr>
          <w:rFonts w:ascii="宋体" w:hAnsi="宋体" w:eastAsia="宋体" w:cs="仿宋_GB2312"/>
          <w:b/>
          <w:kern w:val="0"/>
          <w:sz w:val="21"/>
          <w:szCs w:val="22"/>
          <w:lang w:eastAsia="zh-CN" w:bidi="ar-SA"/>
        </w:rPr>
        <w:t>、现场检验试验</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交付使用及售后服务</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本次报价</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必须考虑</w:t>
      </w:r>
      <w:r>
        <w:rPr>
          <w:rFonts w:hint="eastAsia" w:ascii="宋体" w:hAnsi="宋体" w:eastAsia="宋体" w:cs="仿宋_GB2312"/>
          <w:b/>
          <w:kern w:val="0"/>
          <w:sz w:val="21"/>
          <w:szCs w:val="22"/>
          <w:lang w:eastAsia="zh-CN" w:bidi="ar-SA"/>
        </w:rPr>
        <w:t>清楚一切费用，一旦中标不增加任何费用</w:t>
      </w:r>
      <w:r>
        <w:rPr>
          <w:rFonts w:ascii="宋体" w:hAnsi="宋体" w:eastAsia="宋体" w:cs="仿宋_GB2312"/>
          <w:b/>
          <w:kern w:val="0"/>
          <w:sz w:val="21"/>
          <w:szCs w:val="22"/>
          <w:lang w:eastAsia="zh-CN" w:bidi="ar-SA"/>
        </w:rPr>
        <w:t>。</w:t>
      </w:r>
    </w:p>
    <w:p w14:paraId="74566A7A">
      <w:pPr>
        <w:pStyle w:val="18"/>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3.</w:t>
      </w:r>
      <w:r>
        <w:rPr>
          <w:rFonts w:ascii="宋体" w:hAnsi="宋体" w:eastAsia="宋体" w:cs="仿宋_GB2312"/>
          <w:b/>
          <w:kern w:val="0"/>
          <w:sz w:val="21"/>
          <w:szCs w:val="22"/>
          <w:lang w:eastAsia="zh-CN" w:bidi="ar-SA"/>
        </w:rPr>
        <w:t>质量标准</w:t>
      </w:r>
      <w:r>
        <w:rPr>
          <w:rFonts w:hint="eastAsia" w:ascii="宋体" w:hAnsi="宋体" w:eastAsia="宋体" w:cs="仿宋_GB2312"/>
          <w:b/>
          <w:kern w:val="0"/>
          <w:sz w:val="21"/>
          <w:szCs w:val="22"/>
          <w:lang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0C4B7F91">
      <w:pPr>
        <w:pStyle w:val="18"/>
        <w:spacing w:line="400" w:lineRule="exact"/>
        <w:ind w:left="0" w:leftChars="0" w:firstLine="482" w:firstLineChars="200"/>
        <w:rPr>
          <w:rFonts w:ascii="宋体" w:hAnsi="宋体" w:eastAsia="宋体" w:cs="仿宋_GB2312"/>
          <w:b/>
          <w:kern w:val="0"/>
          <w:sz w:val="21"/>
          <w:szCs w:val="22"/>
          <w:highlight w:val="none"/>
          <w:lang w:eastAsia="zh-CN" w:bidi="ar-SA"/>
        </w:rPr>
      </w:pPr>
      <w:r>
        <w:rPr>
          <w:rFonts w:hint="eastAsia" w:ascii="宋体" w:hAnsi="宋体" w:eastAsia="宋体" w:cs="仿宋_GB2312"/>
          <w:b/>
          <w:kern w:val="0"/>
          <w:sz w:val="21"/>
          <w:szCs w:val="22"/>
          <w:highlight w:val="none"/>
          <w:lang w:eastAsia="zh-CN" w:bidi="ar-SA"/>
        </w:rPr>
        <w:t>4.参数中涉及到的国家标准若有最新标准按最新标准执行。</w:t>
      </w:r>
    </w:p>
    <w:p w14:paraId="7FE92861">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eastAsia="zh-CN"/>
        </w:rPr>
        <w:t>、商务条款</w:t>
      </w:r>
    </w:p>
    <w:p w14:paraId="237B2417">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一、交货</w:t>
      </w:r>
      <w:r>
        <w:rPr>
          <w:rFonts w:hint="eastAsia" w:ascii="仿宋" w:hAnsi="仿宋" w:eastAsia="仿宋" w:cs="仿宋"/>
          <w:b/>
          <w:bCs/>
          <w:color w:val="000000" w:themeColor="text1"/>
          <w:highlight w:val="none"/>
          <w:lang w:val="en-US" w:eastAsia="zh-CN"/>
          <w14:textFill>
            <w14:solidFill>
              <w14:schemeClr w14:val="tx1"/>
            </w14:solidFill>
          </w14:textFill>
        </w:rPr>
        <w:t>期</w:t>
      </w:r>
      <w:r>
        <w:rPr>
          <w:rFonts w:hint="eastAsia" w:ascii="仿宋" w:hAnsi="仿宋" w:eastAsia="仿宋" w:cs="仿宋"/>
          <w:b/>
          <w:bCs/>
          <w:color w:val="000000" w:themeColor="text1"/>
          <w:highlight w:val="none"/>
          <w:lang w:eastAsia="zh-CN"/>
          <w14:textFill>
            <w14:solidFill>
              <w14:schemeClr w14:val="tx1"/>
            </w14:solidFill>
          </w14:textFill>
        </w:rPr>
        <w:t>交货地点：</w:t>
      </w:r>
    </w:p>
    <w:p w14:paraId="4339F043">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交货</w:t>
      </w:r>
      <w:r>
        <w:rPr>
          <w:rFonts w:hint="eastAsia" w:ascii="仿宋" w:hAnsi="仿宋" w:eastAsia="仿宋" w:cs="仿宋"/>
          <w:color w:val="auto"/>
          <w:highlight w:val="none"/>
          <w:lang w:val="en-US" w:eastAsia="zh-CN"/>
        </w:rPr>
        <w:t>期</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5个月，</w:t>
      </w:r>
      <w:r>
        <w:rPr>
          <w:rFonts w:hint="eastAsia" w:ascii="仿宋" w:hAnsi="仿宋" w:eastAsia="仿宋" w:cs="仿宋"/>
          <w:color w:val="auto"/>
          <w:highlight w:val="none"/>
          <w:lang w:eastAsia="zh-CN"/>
        </w:rPr>
        <w:t>截至</w:t>
      </w:r>
      <w:r>
        <w:rPr>
          <w:rFonts w:hint="eastAsia" w:ascii="仿宋" w:hAnsi="仿宋" w:eastAsia="仿宋" w:cs="仿宋"/>
          <w:color w:val="auto"/>
          <w:highlight w:val="none"/>
          <w:lang w:val="en-US" w:eastAsia="zh-CN"/>
        </w:rPr>
        <w:t>到</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lang w:eastAsia="zh-CN"/>
        </w:rPr>
        <w:t>供货安装</w:t>
      </w:r>
      <w:r>
        <w:rPr>
          <w:rFonts w:hint="eastAsia" w:ascii="仿宋" w:hAnsi="仿宋" w:eastAsia="仿宋" w:cs="仿宋"/>
          <w:color w:val="auto"/>
          <w:highlight w:val="none"/>
          <w:lang w:val="en-US" w:eastAsia="zh-CN"/>
        </w:rPr>
        <w:t>及调试完毕进入试运行阶段，若未能按时完成扣除履约保证金</w:t>
      </w:r>
      <w:r>
        <w:rPr>
          <w:rFonts w:hint="eastAsia" w:ascii="仿宋" w:hAnsi="仿宋" w:eastAsia="仿宋" w:cs="仿宋"/>
          <w:color w:val="auto"/>
          <w:highlight w:val="none"/>
          <w:lang w:eastAsia="zh-CN"/>
        </w:rPr>
        <w:t>。</w:t>
      </w:r>
    </w:p>
    <w:p w14:paraId="780AC48D">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交货地点：哈密市巴里坤县三塘湖工业园区条湖区</w:t>
      </w:r>
    </w:p>
    <w:p w14:paraId="4823B3BC">
      <w:pPr>
        <w:pStyle w:val="40"/>
        <w:ind w:firstLine="480" w:firstLineChars="200"/>
        <w:rPr>
          <w:highlight w:val="none"/>
          <w:lang w:eastAsia="zh-CN"/>
        </w:rPr>
      </w:pPr>
      <w:r>
        <w:rPr>
          <w:rFonts w:hint="eastAsia" w:ascii="仿宋" w:hAnsi="仿宋" w:eastAsia="仿宋" w:cs="仿宋"/>
          <w:color w:val="000000" w:themeColor="text1"/>
          <w:szCs w:val="24"/>
          <w:highlight w:val="none"/>
          <w:lang w:eastAsia="zh-CN"/>
          <w14:textFill>
            <w14:solidFill>
              <w14:schemeClr w14:val="tx1"/>
            </w14:solidFill>
          </w14:textFill>
        </w:rPr>
        <w:t>质保期：按国家标准执行</w:t>
      </w:r>
    </w:p>
    <w:p w14:paraId="3BDD68D4">
      <w:pPr>
        <w:spacing w:line="360" w:lineRule="auto"/>
        <w:ind w:firstLine="482" w:firstLineChars="200"/>
        <w:rPr>
          <w:rFonts w:hint="default"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二、验收</w:t>
      </w:r>
      <w:r>
        <w:rPr>
          <w:rFonts w:hint="eastAsia" w:ascii="仿宋" w:hAnsi="仿宋" w:eastAsia="仿宋" w:cs="仿宋"/>
          <w:b/>
          <w:bCs/>
          <w:color w:val="000000" w:themeColor="text1"/>
          <w:highlight w:val="none"/>
          <w:lang w:val="en-US" w:eastAsia="zh-CN"/>
          <w14:textFill>
            <w14:solidFill>
              <w14:schemeClr w14:val="tx1"/>
            </w14:solidFill>
          </w14:textFill>
        </w:rPr>
        <w:t>及付款方式</w:t>
      </w:r>
    </w:p>
    <w:p w14:paraId="749360DC">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14:paraId="1DDC1E84">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2、货物到达现场后，供应商应在使用单位人员在场情况下当面共同清点、检查，作出检查记录，双方签字确认。</w:t>
      </w:r>
    </w:p>
    <w:p w14:paraId="5956D7FA">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3、货物验收时，供应商向采购人提供生产厂家出具的验收报告、合格证、厂家资格证件等相关文件及计量检验所出具的检测报告。</w:t>
      </w:r>
    </w:p>
    <w:p w14:paraId="1C18672A">
      <w:pPr>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4、供应商提供的货物未达到招标文件规定要求，且对采购人造成损失的，由供应商承担一切责任，并赔偿所造成的损失。</w:t>
      </w:r>
    </w:p>
    <w:p w14:paraId="4B9BA834">
      <w:p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5、付款方式：签订合同后7日内,甲方向乙方支付货款的30%,货物现场交货验收后,甲方向乙方支付至货款的80 %,货物安装调试完成后，甲方向乙方支付至货款的100%。</w:t>
      </w:r>
    </w:p>
    <w:p w14:paraId="4C3DCD09">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三</w:t>
      </w:r>
      <w:r>
        <w:rPr>
          <w:rFonts w:hint="eastAsia" w:ascii="仿宋" w:hAnsi="仿宋" w:eastAsia="仿宋" w:cs="仿宋"/>
          <w:b/>
          <w:bCs/>
          <w:color w:val="000000" w:themeColor="text1"/>
          <w:highlight w:val="none"/>
          <w:lang w:eastAsia="zh-CN"/>
          <w14:textFill>
            <w14:solidFill>
              <w14:schemeClr w14:val="tx1"/>
            </w14:solidFill>
          </w14:textFill>
        </w:rPr>
        <w:t>、投标报价</w:t>
      </w:r>
    </w:p>
    <w:p w14:paraId="2CB51EE0">
      <w:pPr>
        <w:spacing w:line="360" w:lineRule="auto"/>
        <w:rPr>
          <w:rFonts w:ascii="仿宋" w:hAnsi="仿宋" w:eastAsia="仿宋" w:cs="仿宋"/>
          <w:color w:val="auto"/>
          <w:highlight w:val="none"/>
          <w:lang w:eastAsia="zh-CN"/>
        </w:rPr>
      </w:pPr>
      <w:r>
        <w:rPr>
          <w:rFonts w:hint="eastAsia" w:ascii="仿宋" w:hAnsi="仿宋" w:eastAsia="仿宋" w:cs="仿宋"/>
          <w:color w:val="000000" w:themeColor="text1"/>
          <w:highlight w:val="none"/>
          <w:lang w:eastAsia="zh-CN"/>
          <w14:textFill>
            <w14:solidFill>
              <w14:schemeClr w14:val="tx1"/>
            </w14:solidFill>
          </w14:textFill>
        </w:rPr>
        <w:t>项目报价采用人民币综合总价，以元为单位标准，投标供应商应严格按照“开标一览表”和“分项报价明细表”的格式认真填写</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本项目只接受一个投标总报价，且</w:t>
      </w:r>
      <w:r>
        <w:rPr>
          <w:rFonts w:hint="eastAsia" w:ascii="仿宋" w:hAnsi="仿宋" w:eastAsia="仿宋" w:cs="仿宋"/>
          <w:b/>
          <w:bCs/>
          <w:color w:val="auto"/>
          <w:szCs w:val="21"/>
          <w:highlight w:val="none"/>
          <w:lang w:eastAsia="zh-CN"/>
        </w:rPr>
        <w:t>投标总报价不得高于招标文件给定的最高限价</w:t>
      </w:r>
      <w:r>
        <w:rPr>
          <w:rFonts w:hint="eastAsia" w:ascii="仿宋" w:hAnsi="仿宋" w:eastAsia="仿宋" w:cs="仿宋"/>
          <w:b/>
          <w:bCs/>
          <w:color w:val="auto"/>
          <w:highlight w:val="none"/>
          <w:lang w:eastAsia="zh-CN"/>
        </w:rPr>
        <w:t>，否则按废标处理。有选择的或有条件的报价将不予接受。</w:t>
      </w:r>
    </w:p>
    <w:p w14:paraId="47A30C8E">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652CCF5B">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四</w:t>
      </w:r>
      <w:r>
        <w:rPr>
          <w:rFonts w:hint="eastAsia" w:ascii="仿宋" w:hAnsi="仿宋" w:eastAsia="仿宋" w:cs="仿宋"/>
          <w:b/>
          <w:bCs/>
          <w:color w:val="000000" w:themeColor="text1"/>
          <w:lang w:eastAsia="zh-CN"/>
          <w14:textFill>
            <w14:solidFill>
              <w14:schemeClr w14:val="tx1"/>
            </w14:solidFill>
          </w14:textFill>
        </w:rPr>
        <w:t>、质量保证</w:t>
      </w:r>
    </w:p>
    <w:p w14:paraId="26D4717E">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1556D753">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4E1EB033">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bookmarkStart w:id="52" w:name="_Toc16945"/>
      <w:bookmarkStart w:id="53" w:name="_Toc21807"/>
      <w:bookmarkStart w:id="54" w:name="_Toc8238"/>
      <w:r>
        <w:rPr>
          <w:rFonts w:hint="eastAsia" w:ascii="仿宋" w:hAnsi="仿宋" w:eastAsia="仿宋" w:cs="仿宋"/>
          <w:b/>
          <w:bCs/>
          <w:color w:val="000000" w:themeColor="text1"/>
          <w:lang w:val="en-US" w:eastAsia="zh-CN"/>
          <w14:textFill>
            <w14:solidFill>
              <w14:schemeClr w14:val="tx1"/>
            </w14:solidFill>
          </w14:textFill>
        </w:rPr>
        <w:t>五</w:t>
      </w:r>
      <w:r>
        <w:rPr>
          <w:rFonts w:hint="eastAsia" w:ascii="仿宋" w:hAnsi="仿宋" w:eastAsia="仿宋" w:cs="仿宋"/>
          <w:b/>
          <w:bCs/>
          <w:color w:val="000000" w:themeColor="text1"/>
          <w:lang w:eastAsia="zh-CN"/>
          <w14:textFill>
            <w14:solidFill>
              <w14:schemeClr w14:val="tx1"/>
            </w14:solidFill>
          </w14:textFill>
        </w:rPr>
        <w:t>、 知识产权</w:t>
      </w:r>
      <w:bookmarkEnd w:id="52"/>
      <w:bookmarkEnd w:id="53"/>
      <w:bookmarkEnd w:id="54"/>
    </w:p>
    <w:p w14:paraId="497CBEDA">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本项目在进行过程中，所产生的所有与本项目相关的，无论以任何载体形式出现的工作成果，其知识产权均属于招标方所有。</w:t>
      </w:r>
    </w:p>
    <w:p w14:paraId="024B6307">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投标方保证招标方及其用户对设备享有合法的使用权。</w:t>
      </w:r>
    </w:p>
    <w:p w14:paraId="118CC65D">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14:paraId="02714FD4">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64F99500">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bookmarkStart w:id="55" w:name="_Toc7598"/>
      <w:bookmarkStart w:id="56" w:name="_Toc20832"/>
      <w:bookmarkStart w:id="57" w:name="_Toc12239"/>
      <w:bookmarkStart w:id="58" w:name="_Toc267320054"/>
      <w:bookmarkStart w:id="59" w:name="_Toc439255252"/>
      <w:bookmarkStart w:id="60" w:name="_Toc12840_WPSOffice_Level1"/>
      <w:r>
        <w:rPr>
          <w:rFonts w:hint="eastAsia" w:ascii="仿宋" w:hAnsi="仿宋" w:eastAsia="仿宋" w:cs="仿宋"/>
          <w:b/>
          <w:bCs/>
          <w:color w:val="000000" w:themeColor="text1"/>
          <w:lang w:val="en-US" w:eastAsia="zh-CN"/>
          <w14:textFill>
            <w14:solidFill>
              <w14:schemeClr w14:val="tx1"/>
            </w14:solidFill>
          </w14:textFill>
        </w:rPr>
        <w:t>六</w:t>
      </w:r>
      <w:r>
        <w:rPr>
          <w:rFonts w:hint="eastAsia" w:ascii="仿宋" w:hAnsi="仿宋" w:eastAsia="仿宋" w:cs="仿宋"/>
          <w:b/>
          <w:bCs/>
          <w:color w:val="000000" w:themeColor="text1"/>
          <w:lang w:eastAsia="zh-CN"/>
          <w14:textFill>
            <w14:solidFill>
              <w14:schemeClr w14:val="tx1"/>
            </w14:solidFill>
          </w14:textFill>
        </w:rPr>
        <w:t>、 其他</w:t>
      </w:r>
      <w:bookmarkEnd w:id="55"/>
      <w:bookmarkEnd w:id="56"/>
      <w:bookmarkEnd w:id="57"/>
    </w:p>
    <w:bookmarkEnd w:id="58"/>
    <w:bookmarkEnd w:id="59"/>
    <w:bookmarkEnd w:id="60"/>
    <w:p w14:paraId="2A2C2E8D">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1、投标人必须在投标文件中对以上条款和服务承诺明确列出，承诺内容必须达到本篇及招标文件其他条款的要求。</w:t>
      </w:r>
    </w:p>
    <w:p w14:paraId="5F7C3817">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2、中标人与采购人签订《协议》后，须与用户方签订《合同》，明确具体供货数量、供货时间、送达地点等内容。</w:t>
      </w:r>
    </w:p>
    <w:p w14:paraId="7EF418E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14:paraId="3863DD7B">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若供货服务商不能按招标文件规定的交货期正常交货，采购方有权终止采购合同，并将相关情况上报给采购计划主管部门，取消其中标资格。</w:t>
      </w:r>
    </w:p>
    <w:p w14:paraId="753B9CBD">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sectPr>
          <w:pgSz w:w="11920" w:h="16840"/>
          <w:pgMar w:top="1540" w:right="1180" w:bottom="880" w:left="1300" w:header="0" w:footer="693" w:gutter="0"/>
          <w:cols w:space="720" w:num="1"/>
          <w:docGrid w:linePitch="299" w:charSpace="0"/>
        </w:sectPr>
      </w:pPr>
      <w:r>
        <w:rPr>
          <w:rFonts w:hint="eastAsia" w:ascii="仿宋" w:hAnsi="仿宋" w:eastAsia="仿宋" w:cs="仿宋"/>
          <w:color w:val="000000" w:themeColor="text1"/>
          <w:kern w:val="2"/>
          <w:lang w:eastAsia="zh-CN" w:bidi="ar-SA"/>
          <w14:textFill>
            <w14:solidFill>
              <w14:schemeClr w14:val="tx1"/>
            </w14:solidFill>
          </w14:textFill>
        </w:rPr>
        <w:t>5、其他未尽事宜由供需双方在采购合同中详细约定</w:t>
      </w:r>
    </w:p>
    <w:bookmarkEnd w:id="49"/>
    <w:bookmarkEnd w:id="50"/>
    <w:bookmarkEnd w:id="51"/>
    <w:p w14:paraId="3948BEB6">
      <w:pPr>
        <w:rPr>
          <w:rFonts w:ascii="仿宋" w:hAnsi="仿宋" w:cs="仿宋" w:eastAsiaTheme="minorEastAsia"/>
          <w:color w:val="000000" w:themeColor="text1"/>
          <w:lang w:eastAsia="zh-CN"/>
          <w14:textFill>
            <w14:solidFill>
              <w14:schemeClr w14:val="tx1"/>
            </w14:solidFill>
          </w14:textFill>
        </w:rPr>
      </w:pPr>
      <w:bookmarkStart w:id="61" w:name="_Toc469495740"/>
    </w:p>
    <w:p w14:paraId="2C11096E">
      <w:pPr>
        <w:numPr>
          <w:ilvl w:val="0"/>
          <w:numId w:val="8"/>
        </w:numPr>
        <w:spacing w:line="360" w:lineRule="auto"/>
        <w:ind w:firstLine="606" w:firstLineChars="200"/>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End w:id="61"/>
      <w:r>
        <w:rPr>
          <w:rFonts w:hint="eastAsia" w:ascii="仿宋" w:hAnsi="仿宋" w:eastAsia="仿宋" w:cs="仿宋"/>
          <w:b/>
          <w:bCs/>
          <w:color w:val="000000" w:themeColor="text1"/>
          <w:sz w:val="36"/>
          <w:szCs w:val="36"/>
          <w14:textFill>
            <w14:solidFill>
              <w14:schemeClr w14:val="tx1"/>
            </w14:solidFill>
          </w14:textFill>
        </w:rPr>
        <w:t>合  同</w:t>
      </w:r>
    </w:p>
    <w:p w14:paraId="5429EB54">
      <w:pPr>
        <w:keepNext w:val="0"/>
        <w:keepLines w:val="0"/>
        <w:widowControl/>
        <w:suppressLineNumbers w:val="0"/>
        <w:spacing w:line="360" w:lineRule="auto"/>
        <w:jc w:val="center"/>
      </w:pPr>
      <w:r>
        <w:rPr>
          <w:rFonts w:hint="eastAsia" w:ascii="仿宋" w:hAnsi="仿宋" w:eastAsia="仿宋" w:cs="仿宋"/>
          <w:b/>
          <w:bCs/>
          <w:color w:val="000000"/>
          <w:kern w:val="0"/>
          <w:sz w:val="24"/>
          <w:szCs w:val="24"/>
          <w:lang w:val="en-US" w:eastAsia="zh-CN" w:bidi="ar"/>
        </w:rPr>
        <w:t>合同协议书</w:t>
      </w:r>
    </w:p>
    <w:p w14:paraId="49186C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甲方：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（以下简称甲方） </w:t>
      </w:r>
    </w:p>
    <w:p w14:paraId="4D6A9D1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乙方：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 （以下简称乙方） </w:t>
      </w:r>
    </w:p>
    <w:p w14:paraId="51A58F34">
      <w:pPr>
        <w:keepNext w:val="0"/>
        <w:keepLines w:val="0"/>
        <w:widowControl/>
        <w:suppressLineNumbers w:val="0"/>
        <w:spacing w:line="360" w:lineRule="auto"/>
        <w:ind w:firstLine="486" w:firstLineChars="200"/>
        <w:jc w:val="left"/>
      </w:pPr>
      <w:r>
        <w:rPr>
          <w:rFonts w:hint="eastAsia" w:ascii="仿宋" w:hAnsi="仿宋" w:eastAsia="仿宋" w:cs="仿宋"/>
          <w:color w:val="000000"/>
          <w:kern w:val="0"/>
          <w:sz w:val="24"/>
          <w:szCs w:val="24"/>
          <w:lang w:val="en-US" w:eastAsia="zh-CN" w:bidi="ar"/>
        </w:rPr>
        <w:t>本项目为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采购项目，根据《中华人民共和国民法典》等法规、本次招标文件、投标文件、投标中的承诺等及招标结果，甲、乙双方就本项目达成如下合同条款： </w:t>
      </w:r>
    </w:p>
    <w:p w14:paraId="696202B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1.1、货物（品牌、规格、厂家、产地）、服务名称、数量、单价及合同分项价格、总价：   </w:t>
      </w:r>
      <w:r>
        <w:rPr>
          <w:rFonts w:hint="eastAsia" w:ascii="仿宋" w:hAnsi="仿宋" w:eastAsia="仿宋" w:cs="仿宋"/>
          <w:color w:val="000000"/>
          <w:kern w:val="0"/>
          <w:sz w:val="24"/>
          <w:szCs w:val="24"/>
          <w:lang w:val="en-US" w:eastAsia="zh-CN" w:bidi="ar"/>
        </w:rPr>
        <w:t xml:space="preserve">单位：元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5C8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0" w:type="dxa"/>
          </w:tcPr>
          <w:p w14:paraId="444A547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420" w:type="dxa"/>
          </w:tcPr>
          <w:p w14:paraId="40F644B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规格型号</w:t>
            </w:r>
          </w:p>
        </w:tc>
        <w:tc>
          <w:tcPr>
            <w:tcW w:w="1420" w:type="dxa"/>
          </w:tcPr>
          <w:p w14:paraId="253BEF5C">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品牌</w:t>
            </w:r>
          </w:p>
          <w:p w14:paraId="7670231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420" w:type="dxa"/>
          </w:tcPr>
          <w:p w14:paraId="49024D4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数量</w:t>
            </w:r>
          </w:p>
        </w:tc>
        <w:tc>
          <w:tcPr>
            <w:tcW w:w="1421" w:type="dxa"/>
          </w:tcPr>
          <w:p w14:paraId="65F8C634">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单价</w:t>
            </w:r>
          </w:p>
        </w:tc>
        <w:tc>
          <w:tcPr>
            <w:tcW w:w="1421" w:type="dxa"/>
          </w:tcPr>
          <w:p w14:paraId="4476FBD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小计</w:t>
            </w:r>
          </w:p>
        </w:tc>
      </w:tr>
      <w:tr w14:paraId="3192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14:paraId="022AD7A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1488E93A">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996349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2804BF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061848D">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683222C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16C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tcPr>
          <w:p w14:paraId="1639A13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FAF2F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C1F8EC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3DFBDFA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7A4C3C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EB8AE5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432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20" w:type="dxa"/>
          </w:tcPr>
          <w:p w14:paraId="42EF9B1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21FA0BAC">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01715F9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2232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FAC0E8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2EF2193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2A3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tcPr>
          <w:p w14:paraId="4EF3DFE7">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合计：</w:t>
            </w:r>
          </w:p>
        </w:tc>
        <w:tc>
          <w:tcPr>
            <w:tcW w:w="1420" w:type="dxa"/>
          </w:tcPr>
          <w:p w14:paraId="367FF9E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52C41E4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E29FD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BC4F0E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0407AD3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56E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6"/>
          </w:tcPr>
          <w:p w14:paraId="06FD0BB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合同总价（人民币大写）：</w:t>
            </w:r>
          </w:p>
        </w:tc>
      </w:tr>
    </w:tbl>
    <w:p w14:paraId="09ECB8F7">
      <w:pPr>
        <w:keepNext w:val="0"/>
        <w:keepLines w:val="0"/>
        <w:widowControl/>
        <w:suppressLineNumbers w:val="0"/>
        <w:jc w:val="left"/>
      </w:pPr>
    </w:p>
    <w:p w14:paraId="70EAB29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1.1.1、合同价格为货物到达甲方指定地点价格，包含一切税费、货物费、运杂 </w:t>
      </w:r>
    </w:p>
    <w:p w14:paraId="103C28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费、保险费、装卸落地费、保管费、备品备件专用工具、货物仓储费、拆除费、 </w:t>
      </w:r>
    </w:p>
    <w:p w14:paraId="4E1C61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二次搬运费（搬运至各区域所发生的全部费用）、安装水电费、安装人员食宿交通、安装调试费、备品备件专用工具费（若有）、检测验收费（有关法律法规规 </w:t>
      </w:r>
    </w:p>
    <w:p w14:paraId="2B0E719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定的货物进场、材料和成品抽检、最终检测及验收费）及质保期内维护保养等完成本项目所需的所有费用等。 </w:t>
      </w:r>
    </w:p>
    <w:p w14:paraId="72168C0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1.1.2、甲方因实际需要调整供货数量时，合同总价按结算时实际货物验收单数 </w:t>
      </w:r>
    </w:p>
    <w:p w14:paraId="13829CE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量为准。具体采购数量，必须由甲方书面确认后方可作为结算的依据。 </w:t>
      </w:r>
    </w:p>
    <w:p w14:paraId="6E8595F1">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1.2、质量保证、标准及规范要求 </w:t>
      </w:r>
    </w:p>
    <w:p w14:paraId="3546303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1.2.1、乙方对提交的所有货物（含消耗材料）质保期，为货物通过专项验收合 </w:t>
      </w:r>
    </w:p>
    <w:p w14:paraId="35682E3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格之日起   年。</w:t>
      </w:r>
    </w:p>
    <w:p w14:paraId="069D770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1.2.2、乙方应保证所供货物是全新的、未使用过的货物，同时应保证货物的各 </w:t>
      </w:r>
    </w:p>
    <w:p w14:paraId="244F84F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项功能和技术指标达到投标文件和国家相关标准。 </w:t>
      </w:r>
    </w:p>
    <w:p w14:paraId="2A6A16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1.2.3、乙方应保证其货物在正确安装、正常使用和保养条件下，在建筑物使用 </w:t>
      </w:r>
    </w:p>
    <w:p w14:paraId="134662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寿命内的正常使用和运行。 </w:t>
      </w:r>
    </w:p>
    <w:p w14:paraId="7DC3ED1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1.2.4、</w:t>
      </w:r>
      <w:r>
        <w:rPr>
          <w:rFonts w:hint="eastAsia" w:ascii="仿宋" w:hAnsi="仿宋" w:eastAsia="仿宋" w:cs="仿宋"/>
          <w:b/>
          <w:bCs/>
          <w:color w:val="000000"/>
          <w:kern w:val="0"/>
          <w:sz w:val="24"/>
          <w:szCs w:val="24"/>
          <w:lang w:val="en-US" w:eastAsia="zh-CN" w:bidi="ar"/>
        </w:rPr>
        <w:t xml:space="preserve">标准规范 </w:t>
      </w:r>
    </w:p>
    <w:p w14:paraId="7DAD542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1）乙方提供的所有产品及其设计、制造、材料、检验、供货、计量、验收与全 </w:t>
      </w:r>
    </w:p>
    <w:p w14:paraId="5FC4F43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部服务，均应符合采购文件技术规格、性能参数及功能的要求，并严格按照适 </w:t>
      </w:r>
    </w:p>
    <w:p w14:paraId="6DBE78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用于相关法规、规范和国家标准执行；所有计量仪器必须符合国际计量标准。 </w:t>
      </w:r>
    </w:p>
    <w:p w14:paraId="5D80D2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2）由甲方认可的其他国家的其他权威标准，并为最新标准，乙方应及时提供给 </w:t>
      </w:r>
    </w:p>
    <w:p w14:paraId="5500E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甲方（国外标准应翻译成中文）。 </w:t>
      </w:r>
    </w:p>
    <w:p w14:paraId="037504B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3）乙方遵守不仅限于此规格书中的标准时，要求及时解释清楚，获得甲方认可 </w:t>
      </w:r>
    </w:p>
    <w:p w14:paraId="7AA503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后，乙方推荐的标准和制造规范才能等效或适用于本合同。 </w:t>
      </w:r>
    </w:p>
    <w:p w14:paraId="1C54A17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1.3、交货与安装期 </w:t>
      </w:r>
    </w:p>
    <w:p w14:paraId="50291CB6">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1.3.1、交货地点：</w:t>
      </w:r>
      <w:r>
        <w:rPr>
          <w:rFonts w:hint="eastAsia" w:ascii="仿宋" w:hAnsi="仿宋" w:eastAsia="仿宋" w:cs="仿宋"/>
          <w:color w:val="auto"/>
          <w:kern w:val="0"/>
          <w:sz w:val="24"/>
          <w:szCs w:val="24"/>
          <w:highlight w:val="none"/>
          <w:u w:val="single"/>
          <w:lang w:val="en-US" w:eastAsia="zh-CN" w:bidi="ar"/>
        </w:rPr>
        <w:t>哈密市巴里坤县三塘湖工业园区条湖区</w:t>
      </w:r>
      <w:r>
        <w:rPr>
          <w:rFonts w:hint="eastAsia" w:ascii="仿宋" w:hAnsi="仿宋" w:eastAsia="仿宋" w:cs="仿宋"/>
          <w:color w:val="000000"/>
          <w:kern w:val="0"/>
          <w:sz w:val="24"/>
          <w:szCs w:val="24"/>
          <w:highlight w:val="none"/>
          <w:u w:val="single"/>
          <w:lang w:val="en-US" w:eastAsia="zh-CN" w:bidi="ar"/>
        </w:rPr>
        <w:t>。</w:t>
      </w:r>
      <w:r>
        <w:rPr>
          <w:rFonts w:hint="eastAsia" w:ascii="仿宋" w:hAnsi="仿宋" w:eastAsia="仿宋" w:cs="仿宋"/>
          <w:color w:val="000000"/>
          <w:kern w:val="0"/>
          <w:sz w:val="24"/>
          <w:szCs w:val="24"/>
          <w:highlight w:val="none"/>
          <w:lang w:val="en-US" w:eastAsia="zh-CN" w:bidi="ar"/>
        </w:rPr>
        <w:t xml:space="preserve"> </w:t>
      </w:r>
    </w:p>
    <w:p w14:paraId="2836A4B7">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1.3.2、交货方式：</w:t>
      </w:r>
      <w:r>
        <w:rPr>
          <w:rFonts w:hint="eastAsia" w:ascii="仿宋" w:hAnsi="仿宋" w:eastAsia="仿宋" w:cs="仿宋"/>
          <w:color w:val="000000"/>
          <w:kern w:val="0"/>
          <w:sz w:val="24"/>
          <w:szCs w:val="24"/>
          <w:highlight w:val="none"/>
          <w:u w:val="single"/>
          <w:lang w:val="en-US" w:eastAsia="zh-CN" w:bidi="ar"/>
        </w:rPr>
        <w:t>乙方按甲方要求整批或分批供货。</w:t>
      </w:r>
      <w:r>
        <w:rPr>
          <w:rFonts w:hint="eastAsia" w:ascii="仿宋" w:hAnsi="仿宋" w:eastAsia="仿宋" w:cs="仿宋"/>
          <w:color w:val="000000"/>
          <w:kern w:val="0"/>
          <w:sz w:val="24"/>
          <w:szCs w:val="24"/>
          <w:highlight w:val="none"/>
          <w:lang w:val="en-US" w:eastAsia="zh-CN" w:bidi="ar"/>
        </w:rPr>
        <w:t xml:space="preserve"> </w:t>
      </w:r>
    </w:p>
    <w:p w14:paraId="6530FB83">
      <w:pPr>
        <w:keepNext w:val="0"/>
        <w:keepLines w:val="0"/>
        <w:widowControl/>
        <w:suppressLineNumbers w:val="0"/>
        <w:spacing w:line="360" w:lineRule="auto"/>
        <w:jc w:val="left"/>
      </w:pPr>
      <w:r>
        <w:rPr>
          <w:rFonts w:hint="eastAsia" w:ascii="仿宋" w:hAnsi="仿宋" w:eastAsia="仿宋" w:cs="仿宋"/>
          <w:color w:val="000000"/>
          <w:kern w:val="0"/>
          <w:sz w:val="24"/>
          <w:szCs w:val="24"/>
          <w:highlight w:val="none"/>
          <w:lang w:val="en-US" w:eastAsia="zh-CN" w:bidi="ar"/>
        </w:rPr>
        <w:t>1.3.3、交货期：</w:t>
      </w:r>
      <w:r>
        <w:rPr>
          <w:rFonts w:hint="eastAsia" w:ascii="仿宋" w:hAnsi="仿宋" w:eastAsia="仿宋" w:cs="仿宋"/>
          <w:color w:val="000000"/>
          <w:kern w:val="0"/>
          <w:sz w:val="24"/>
          <w:szCs w:val="24"/>
          <w:highlight w:val="none"/>
          <w:u w:val="single"/>
          <w:lang w:val="en-US" w:eastAsia="zh-CN" w:bidi="ar"/>
        </w:rPr>
        <w:t>5个月，截至到2025年8月30日完成供货安装及调试完毕进入试运行阶段，若未能按时完成扣除履约保证金。</w:t>
      </w:r>
      <w:r>
        <w:rPr>
          <w:rFonts w:hint="eastAsia" w:ascii="仿宋" w:hAnsi="仿宋" w:eastAsia="仿宋" w:cs="仿宋"/>
          <w:color w:val="000000"/>
          <w:kern w:val="0"/>
          <w:sz w:val="24"/>
          <w:szCs w:val="24"/>
          <w:lang w:val="en-US" w:eastAsia="zh-CN" w:bidi="ar"/>
        </w:rPr>
        <w:t xml:space="preserve"> </w:t>
      </w:r>
    </w:p>
    <w:p w14:paraId="6587265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1.3.4、乙方在货物到货前 5 天将货物名称、规格、数量、包装箱件数、每件包 </w:t>
      </w:r>
    </w:p>
    <w:p w14:paraId="100845E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装箱的尺码、毛重及对货物的卸车（卸车由乙方负责）、贮存的特殊要求以传真 </w:t>
      </w:r>
    </w:p>
    <w:p w14:paraId="53B32E5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的形式通知甲方，以便接货。 </w:t>
      </w:r>
    </w:p>
    <w:p w14:paraId="7BF76CC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1.4、货物包装 </w:t>
      </w:r>
    </w:p>
    <w:p w14:paraId="6E6B95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1.4.1、货物包装须符合国家或专业（部）标准规定，以保证货物在长途运输、 </w:t>
      </w:r>
    </w:p>
    <w:p w14:paraId="140458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装卸以及存储过程中的安全，由于包装不善导致产品失缺或损坏，由乙方承担 </w:t>
      </w:r>
    </w:p>
    <w:p w14:paraId="38CB809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一切责任。 </w:t>
      </w:r>
    </w:p>
    <w:p w14:paraId="3C7D2A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1.4.2、每一包装箱内必须附有装箱清单。 </w:t>
      </w:r>
    </w:p>
    <w:p w14:paraId="6291264B">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1.5、安装、调试及培训 </w:t>
      </w:r>
    </w:p>
    <w:p w14:paraId="2A0F1C8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1.5.1、按照甲方要求，乙方需完成所有货物的就位安装、相互间的衔接及调试， </w:t>
      </w:r>
    </w:p>
    <w:p w14:paraId="7CCA9DF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使货物投入试用期，并向甲方提交要求专项验收的书面报告。 </w:t>
      </w:r>
    </w:p>
    <w:p w14:paraId="3DFE16A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1.5.2、安装标准：符合我国国家有关技术规范要求和技术标准。 </w:t>
      </w:r>
    </w:p>
    <w:p w14:paraId="53D3E18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1.5.3、在合同期内，乙方自行负责其施工人员一切工资、福利等，如发生工伤、 </w:t>
      </w:r>
    </w:p>
    <w:p w14:paraId="624188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职业暴露、职业病、疾病至死亡等情况，一切责任及费用由乙方全部负责。乙 </w:t>
      </w:r>
    </w:p>
    <w:p w14:paraId="4E5975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方所有人员的事故由乙方全权负责，乙方应对其员工投保保险，并加强安全教 </w:t>
      </w:r>
    </w:p>
    <w:p w14:paraId="3D52D4D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育。 </w:t>
      </w:r>
    </w:p>
    <w:p w14:paraId="7B20E7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1.5.4、乙方必须按国家有关安全操作规定施工。若发生因乙方措施不力而造成 </w:t>
      </w:r>
    </w:p>
    <w:p w14:paraId="0CB829C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的安全事故，其责任及费用由乙方自行负责。 </w:t>
      </w:r>
    </w:p>
    <w:p w14:paraId="06FAA40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1.5.5、乙方负责对甲方的维修人员（ 人）进行培训，使甲方维修人员熟练掌 </w:t>
      </w:r>
    </w:p>
    <w:p w14:paraId="31C2401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握操作和维护、维修技能，直到取得制造商的培训合格证书。完成培训后，乙 </w:t>
      </w:r>
    </w:p>
    <w:p w14:paraId="4721E8B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方提供详细的培训记录，并作为专项验收的一项内容。 </w:t>
      </w:r>
    </w:p>
    <w:p w14:paraId="7E30233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1.5.6、安装调试及培训所发生的所有费用均由乙方全部承担。 </w:t>
      </w:r>
    </w:p>
    <w:p w14:paraId="1A1331C4">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1.6、货物验收 </w:t>
      </w:r>
    </w:p>
    <w:p w14:paraId="5938CED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1.6.1、货物进场验收：货物交货到指定区域，甲方按国家相关材料进场规定与 </w:t>
      </w:r>
    </w:p>
    <w:p w14:paraId="3EE5FD0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发货通知内容要求、对货物的数量、包装、合格证、样品（若适用）等内容进 </w:t>
      </w:r>
    </w:p>
    <w:p w14:paraId="300492A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行验收，该项验收仅作付款依据，最终验收以专项验收合格为准。 </w:t>
      </w:r>
    </w:p>
    <w:p w14:paraId="69CF34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1.6.2、货物专项验收：货物安装调试完毕，甲方在认可乙方提交的书面报告后， </w:t>
      </w:r>
    </w:p>
    <w:p w14:paraId="28BB5E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组织相关部门，按本合同、采购文件、投标文件及相关标准规范进行专项验收， </w:t>
      </w:r>
    </w:p>
    <w:p w14:paraId="0C8F64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直至合格，甲乙双方共同签署《专项验收合格报告》。 </w:t>
      </w:r>
    </w:p>
    <w:p w14:paraId="7CD50B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1.6.3、甲方认为如有必要在货物制造过程中派人到货物制造厂进行监制，或在 </w:t>
      </w:r>
    </w:p>
    <w:p w14:paraId="4CADC0C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产品发货前派人赴制造厂进行预验收，乙方应予以积极配合并对监制或预验收 </w:t>
      </w:r>
    </w:p>
    <w:p w14:paraId="29C777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工作提供方便。 </w:t>
      </w:r>
    </w:p>
    <w:p w14:paraId="20B3E0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1.6.4、验收及监制过程产生的所有费用均由乙方承担。 </w:t>
      </w:r>
    </w:p>
    <w:p w14:paraId="43788A5A">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1.7、付款 </w:t>
      </w:r>
    </w:p>
    <w:p w14:paraId="51D1A41A">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本合同金额为人民币（大写） 元整（</w:t>
      </w:r>
      <w:r>
        <w:rPr>
          <w:rFonts w:hint="default" w:ascii="Arial" w:hAnsi="Arial" w:eastAsia="宋体" w:cs="Arial"/>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元）。 </w:t>
      </w:r>
    </w:p>
    <w:p w14:paraId="7BF02AF1">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1、合同签订生效后，乙方提供符合甲方要求的税务发票，甲方支付合同金额 </w:t>
      </w:r>
    </w:p>
    <w:p w14:paraId="76237085">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%预付款。 </w:t>
      </w:r>
    </w:p>
    <w:p w14:paraId="4F1E9B30">
      <w:pPr>
        <w:keepNext w:val="0"/>
        <w:keepLines w:val="0"/>
        <w:widowControl/>
        <w:numPr>
          <w:ilvl w:val="0"/>
          <w:numId w:val="0"/>
        </w:numPr>
        <w:suppressLineNumbers w:val="0"/>
        <w:spacing w:line="360" w:lineRule="auto"/>
        <w:ind w:leftChars="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2、付款方式：</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签订合同后7日内,甲方向乙方支付货款的30%,货物现场交货验收后,甲方向乙方支付至货款的80 %,货物安装调试完成后，甲方向乙方支付至货款的100%。</w:t>
      </w:r>
    </w:p>
    <w:p w14:paraId="0470F8BB">
      <w:pPr>
        <w:keepNext w:val="0"/>
        <w:keepLines w:val="0"/>
        <w:widowControl/>
        <w:numPr>
          <w:ilvl w:val="0"/>
          <w:numId w:val="0"/>
        </w:numPr>
        <w:suppressLineNumbers w:val="0"/>
        <w:spacing w:line="360" w:lineRule="auto"/>
        <w:ind w:leftChars="0"/>
        <w:jc w:val="left"/>
      </w:pPr>
      <w:r>
        <w:rPr>
          <w:rFonts w:hint="eastAsia" w:ascii="仿宋" w:hAnsi="仿宋" w:eastAsia="仿宋" w:cs="仿宋"/>
          <w:b/>
          <w:bCs/>
          <w:color w:val="000000"/>
          <w:kern w:val="0"/>
          <w:sz w:val="24"/>
          <w:szCs w:val="24"/>
          <w:lang w:val="en-US" w:eastAsia="zh-CN" w:bidi="ar"/>
        </w:rPr>
        <w:t xml:space="preserve">1.8、售后服务 </w:t>
      </w:r>
    </w:p>
    <w:p w14:paraId="4C984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1.8.1、质保期内 </w:t>
      </w:r>
    </w:p>
    <w:p w14:paraId="0235244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本项目质保期为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年，质保期内，因整套货物（含所有部件和附件）的任何故障，由乙方免费提供所有维修配件，乙方在接到甲方维修通知半小时内，携相关配件赶到甲方现场，并应在 12 小时内免费更换或修复。同一货物在质保期内发生相同质量问题 2 次以上的，乙方应免费更换为新货物，新货物的质保期由更换之日起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 </w:t>
      </w:r>
    </w:p>
    <w:p w14:paraId="36541A5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1.8.2、质保期后 </w:t>
      </w:r>
    </w:p>
    <w:p w14:paraId="369F75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货物质保期后，乙方应确保货物在整个使用期内的正常使用，向甲方提供 24 小 </w:t>
      </w:r>
    </w:p>
    <w:p w14:paraId="301A815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时售后服务，货物使用期内乙方负责货物的维护、维修以及和配件、消耗材料 </w:t>
      </w:r>
    </w:p>
    <w:p w14:paraId="5B7542E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的供应，并承诺其价格不高于市场价。 </w:t>
      </w:r>
    </w:p>
    <w:p w14:paraId="5F6335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1.9、违约责任 </w:t>
      </w:r>
    </w:p>
    <w:p w14:paraId="6C91E44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1.9.1、除法定不可抗力外，乙方未按期按量到货、安装调试及提交验收，则视 </w:t>
      </w:r>
    </w:p>
    <w:p w14:paraId="2D87C9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做违约，甲方有权终止部分合同甚至全部合同，乙方须向甲方赔偿合同金额 10% </w:t>
      </w:r>
    </w:p>
    <w:p w14:paraId="6CAC69C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的违约款。 </w:t>
      </w:r>
    </w:p>
    <w:p w14:paraId="4C71698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1.9.2、若验收不合格，乙方应在 5 天（日历天）内及时予以处理，期间发生的一切相关费用均由乙方负担，若第二次验收仍不合格，甲方有权终止本合同， </w:t>
      </w:r>
    </w:p>
    <w:p w14:paraId="6DA49EA1">
      <w:pPr>
        <w:keepNext w:val="0"/>
        <w:keepLines w:val="0"/>
        <w:widowControl/>
        <w:suppressLineNumbers w:val="0"/>
        <w:spacing w:line="360" w:lineRule="auto"/>
        <w:jc w:val="left"/>
      </w:pPr>
      <w:r>
        <w:rPr>
          <w:rFonts w:hint="eastAsia" w:ascii="仿宋" w:hAnsi="仿宋" w:eastAsia="仿宋" w:cs="仿宋"/>
          <w:color w:val="0070C0"/>
          <w:kern w:val="0"/>
          <w:sz w:val="24"/>
          <w:szCs w:val="24"/>
          <w:lang w:val="en-US" w:eastAsia="zh-CN" w:bidi="ar"/>
        </w:rPr>
        <w:t>并不退还履约保证金。</w:t>
      </w:r>
      <w:r>
        <w:rPr>
          <w:rFonts w:hint="eastAsia" w:ascii="仿宋" w:hAnsi="仿宋" w:eastAsia="仿宋" w:cs="仿宋"/>
          <w:color w:val="000000"/>
          <w:kern w:val="0"/>
          <w:sz w:val="24"/>
          <w:szCs w:val="24"/>
          <w:lang w:val="en-US" w:eastAsia="zh-CN" w:bidi="ar"/>
        </w:rPr>
        <w:t xml:space="preserve">乙方向甲方退还全部货款，甲方保留向乙方索赔的权利。 </w:t>
      </w:r>
    </w:p>
    <w:p w14:paraId="1C44379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1.9.3、乙方若提供假冒伪劣产品、未经甲方同意更换货物配置、未经甲方同意 </w:t>
      </w:r>
    </w:p>
    <w:p w14:paraId="601086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更换部件品牌及未经甲方同意转包第三方，均将视为严重违约，乙方须按合同 </w:t>
      </w:r>
    </w:p>
    <w:p w14:paraId="73779FD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总价的 100%，赔偿甲方所有损失，甲方有权终止部分甚至全部合同。 </w:t>
      </w:r>
    </w:p>
    <w:p w14:paraId="6C4C345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1.9.4、甲方若认为有必要对乙方行使的抽检、批检乃至货到用户现场的检验， </w:t>
      </w:r>
    </w:p>
    <w:p w14:paraId="2D91B28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如发现半成品或成品存在或部分存在不符合要求的，将单方面直接做出部分否 </w:t>
      </w:r>
    </w:p>
    <w:p w14:paraId="1DE4104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决或全部否决不合格（不达标）已采购的半成品或已使用在成品中的半成品或 </w:t>
      </w:r>
    </w:p>
    <w:p w14:paraId="61EB4EA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成品等决定，直至决定部分或全部退货或终止合同；乙方应充分考虑由此导致 </w:t>
      </w:r>
    </w:p>
    <w:p w14:paraId="4837CA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的（诸如重新采购达标的半成品或重新生产合格的成品或由于重复工作而影响 </w:t>
      </w:r>
    </w:p>
    <w:p w14:paraId="1B41EF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按期交货或终止合同等）部分或全部、直接和间接的、全部的经济责任和违约 </w:t>
      </w:r>
    </w:p>
    <w:p w14:paraId="4A9250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责任。 </w:t>
      </w:r>
    </w:p>
    <w:p w14:paraId="6A1626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1.9.5、乙方未能履行合同规定的其他义务，且在发生后 30 天内（日历天）未 </w:t>
      </w:r>
    </w:p>
    <w:p w14:paraId="7F273E9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能纠正的，甲方有权终止全部合同或部分甚至全部合同。 </w:t>
      </w:r>
    </w:p>
    <w:p w14:paraId="62F0483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1.9.6、乙方违约所导致的合同终止，合同履约保证金归甲方所有，不再退还。 </w:t>
      </w:r>
    </w:p>
    <w:p w14:paraId="69C6346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1.9.7、在终止部分合同的情况下，乙方仍负有对已交货部分货物的产品质量责 </w:t>
      </w:r>
    </w:p>
    <w:p w14:paraId="6A0FCF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 </w:t>
      </w:r>
    </w:p>
    <w:p w14:paraId="19DA5CC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1.9.8、在货物试用期、使用期内，因货物质量或安装问题给甲方或第三方造成 </w:t>
      </w:r>
    </w:p>
    <w:p w14:paraId="506160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损失的，则全部由乙方负责，并承担所有赔偿费用。 </w:t>
      </w:r>
    </w:p>
    <w:p w14:paraId="1E8FACF3">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1.10、合同修改 </w:t>
      </w:r>
    </w:p>
    <w:p w14:paraId="0CDB38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对合同条款的修改或补充必须经过双方同意，并共同签署，达成书面修改协议。 </w:t>
      </w:r>
    </w:p>
    <w:p w14:paraId="660E8D8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任何单方面的修改和补充均为无效。 </w:t>
      </w:r>
    </w:p>
    <w:p w14:paraId="04F206D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1.11.、资料提供 </w:t>
      </w:r>
    </w:p>
    <w:p w14:paraId="673157E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1.11.1、乙方项目竣工后，向甲方提供相关资料（如下，包括但不限于）： </w:t>
      </w:r>
    </w:p>
    <w:p w14:paraId="781DFB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 货物的彩色图片； </w:t>
      </w:r>
    </w:p>
    <w:p w14:paraId="5E65379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2）货物技术规格说明书； </w:t>
      </w:r>
    </w:p>
    <w:p w14:paraId="600A98F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3）货物的清单及备品备件清单； </w:t>
      </w:r>
    </w:p>
    <w:p w14:paraId="48C61F7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4）随机（随货物）资料：质量合格证、货物标签、使用说明书及维修手册等资 </w:t>
      </w:r>
    </w:p>
    <w:p w14:paraId="500A13D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料。 </w:t>
      </w:r>
    </w:p>
    <w:p w14:paraId="116BC4E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5）甲方认为有必要提供的其他相关文件和技术资料； </w:t>
      </w:r>
    </w:p>
    <w:p w14:paraId="675D32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1.11.2、售后服务、紧急维修中心及维修人员的电话号码。 </w:t>
      </w:r>
    </w:p>
    <w:p w14:paraId="596CE36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1.11.3、提供及修改上述资料图纸所发生的所有费用均由乙方全部承担。 </w:t>
      </w:r>
    </w:p>
    <w:p w14:paraId="48B0A097">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1.12、特别约定 </w:t>
      </w:r>
    </w:p>
    <w:p w14:paraId="4655CD5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1.12.1、在货物专项验收合格之前货物归乙方保管。 </w:t>
      </w:r>
    </w:p>
    <w:p w14:paraId="3A1026E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1.12.2、乙方有责任与总包方及其它乙方保持联系和合作，并接受统一管理， </w:t>
      </w:r>
    </w:p>
    <w:p w14:paraId="75D1584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遵守工地的安全和建筑规定。提供所需的相关数据及资料、标准和资料等工作。 </w:t>
      </w:r>
    </w:p>
    <w:p w14:paraId="528154E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1.12.3、乙方承诺永久向甲方提供免费的技术支持（包括技术咨询、设备整改 </w:t>
      </w:r>
    </w:p>
    <w:p w14:paraId="230B192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方案、提供相关数据资料及规范标准等）。 </w:t>
      </w:r>
    </w:p>
    <w:p w14:paraId="20B91CF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1.12.4、合同未涉及内容，按采购文件要求执行。 </w:t>
      </w:r>
    </w:p>
    <w:p w14:paraId="3D27F0B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1.12.5、甲方有权要求乙方在货物批量生产前先出样，涉及货物色泽的先定色， </w:t>
      </w:r>
    </w:p>
    <w:p w14:paraId="2F4809C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乙方只有在得到甲方认可了款式、颜色的前提下，方能按认可的样品进行批量 </w:t>
      </w:r>
    </w:p>
    <w:p w14:paraId="0BEBE1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生产。 </w:t>
      </w:r>
    </w:p>
    <w:p w14:paraId="4588A75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1.12.6、甲方有权要求乙方对货物的款式进行调整，直到调整后的款式符合甲 </w:t>
      </w:r>
    </w:p>
    <w:p w14:paraId="6F7DE3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方的要求。 </w:t>
      </w:r>
    </w:p>
    <w:p w14:paraId="288785ED">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1.13、合同纠纷解决 </w:t>
      </w:r>
    </w:p>
    <w:p w14:paraId="362AAAD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1.13.1 乙方和甲方因履行本合同所发生的一切争议，应当友好协商解决。自争 </w:t>
      </w:r>
    </w:p>
    <w:p w14:paraId="5FEF95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议发生之日起 15 个工作日内协商仍不能达成一致的，任何一方均可向</w:t>
      </w:r>
      <w:r>
        <w:rPr>
          <w:rFonts w:hint="eastAsia" w:ascii="仿宋" w:hAnsi="仿宋" w:eastAsia="仿宋" w:cs="仿宋"/>
          <w:color w:val="0070C0"/>
          <w:kern w:val="0"/>
          <w:sz w:val="24"/>
          <w:szCs w:val="24"/>
          <w:lang w:val="en-US" w:eastAsia="zh-CN" w:bidi="ar"/>
        </w:rPr>
        <w:t>业务发生地</w:t>
      </w:r>
      <w:r>
        <w:rPr>
          <w:rFonts w:hint="eastAsia" w:ascii="仿宋" w:hAnsi="仿宋" w:eastAsia="仿宋" w:cs="仿宋"/>
          <w:color w:val="000000"/>
          <w:kern w:val="0"/>
          <w:sz w:val="24"/>
          <w:szCs w:val="24"/>
          <w:lang w:val="en-US" w:eastAsia="zh-CN" w:bidi="ar"/>
        </w:rPr>
        <w:t xml:space="preserve">人民法院起诉。 </w:t>
      </w:r>
    </w:p>
    <w:p w14:paraId="223D277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1.14、合同生效 </w:t>
      </w:r>
    </w:p>
    <w:p w14:paraId="7D38BBA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1.14.1、经甲乙双方代表签字并加盖单位公章后，合同生效。本合同一式陆份， </w:t>
      </w:r>
    </w:p>
    <w:p w14:paraId="0E60DC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甲方执肆份，乙方执贰份。 </w:t>
      </w:r>
    </w:p>
    <w:p w14:paraId="4517C7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甲方（盖章）：                         乙方（盖章）： </w:t>
      </w:r>
    </w:p>
    <w:p w14:paraId="17E629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法定代表人或：（签字）                 法定代表人或：（签字） </w:t>
      </w:r>
    </w:p>
    <w:p w14:paraId="5E79382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委托代理人：                           委托代理人： </w:t>
      </w:r>
    </w:p>
    <w:p w14:paraId="0553FF7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联系人：                               联系人： </w:t>
      </w:r>
    </w:p>
    <w:p w14:paraId="2DF488B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经办人：                               经办人： </w:t>
      </w:r>
    </w:p>
    <w:p w14:paraId="6B80378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电话：                                 电话： </w:t>
      </w:r>
    </w:p>
    <w:p w14:paraId="5A33A03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开户银行：                             开户银行： </w:t>
      </w:r>
    </w:p>
    <w:p w14:paraId="1DFAF5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帐号：                                 帐号： </w:t>
      </w:r>
    </w:p>
    <w:p w14:paraId="502C4A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签订日期：                             签订日期： </w:t>
      </w:r>
    </w:p>
    <w:p w14:paraId="257585FB">
      <w:pPr>
        <w:jc w:val="both"/>
        <w:rPr>
          <w:rFonts w:ascii="仿宋" w:hAnsi="仿宋" w:eastAsia="仿宋" w:cs="仿宋"/>
          <w:b/>
          <w:bCs/>
          <w:color w:val="000000" w:themeColor="text1"/>
          <w:sz w:val="28"/>
          <w14:textFill>
            <w14:solidFill>
              <w14:schemeClr w14:val="tx1"/>
            </w14:solidFill>
          </w14:textFill>
        </w:rPr>
      </w:pPr>
    </w:p>
    <w:p w14:paraId="18B68C7C">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 xml:space="preserve"> </w:t>
      </w:r>
      <w:r>
        <w:rPr>
          <w:rFonts w:hint="eastAsia" w:ascii="仿宋" w:hAnsi="仿宋" w:eastAsia="仿宋" w:cs="仿宋"/>
          <w:b/>
          <w:bCs w:val="0"/>
          <w:color w:val="000000" w:themeColor="text1"/>
          <w:lang w:eastAsia="zh-CN"/>
          <w14:textFill>
            <w14:solidFill>
              <w14:schemeClr w14:val="tx1"/>
            </w14:solidFill>
          </w14:textFill>
        </w:rPr>
        <w:t>注：此合同仅供参考，具体以实际签订为准。</w:t>
      </w:r>
    </w:p>
    <w:p w14:paraId="502BA865">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6E6CA59F">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166C6594">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58C71761">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03AB04B5">
      <w:pPr>
        <w:pStyle w:val="44"/>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14:paraId="28C37D2C">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62"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14:paraId="7AC0094B">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14:paraId="27E69E02">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14:paraId="7B6D40C3">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07FA6409">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3719F553">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73935AD0">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13F9EABE">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6BD42D75">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14:paraId="56747968">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3946AD55">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14:paraId="1B7D867F">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681B4630">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14:paraId="4A90615E">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5E382C23">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14:paraId="77BF7EA8">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DF7E26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14:paraId="188B7720">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14:paraId="4E68521C">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14:paraId="31FF395D">
      <w:pPr>
        <w:pStyle w:val="46"/>
        <w:spacing w:after="340" w:line="240" w:lineRule="auto"/>
        <w:ind w:firstLine="0"/>
        <w:rPr>
          <w:rFonts w:ascii="仿宋" w:hAnsi="仿宋" w:eastAsia="仿宋" w:cs="仿宋"/>
          <w:color w:val="000000" w:themeColor="text1"/>
          <w14:textFill>
            <w14:solidFill>
              <w14:schemeClr w14:val="tx1"/>
            </w14:solidFill>
          </w14:textFill>
        </w:rPr>
      </w:pPr>
    </w:p>
    <w:bookmarkEnd w:id="62"/>
    <w:p w14:paraId="5DD7F88A">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63" w:name="_Toc515647803"/>
      <w:bookmarkStart w:id="64" w:name="_Toc18974"/>
      <w:bookmarkStart w:id="65" w:name="_Toc18694"/>
      <w:bookmarkStart w:id="66" w:name="_Toc8919"/>
    </w:p>
    <w:p w14:paraId="0F6BD12D">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63"/>
      <w:bookmarkEnd w:id="64"/>
      <w:bookmarkEnd w:id="65"/>
      <w:bookmarkEnd w:id="66"/>
    </w:p>
    <w:p w14:paraId="224CA736">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14:paraId="6AC3F70F">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6CA94EB9">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7CA2EEE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2B6A5FC3">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37CC22F6">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4095C800">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1116AFEA">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6DDD4C58">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w:t>
      </w:r>
      <w:r>
        <w:rPr>
          <w:rFonts w:hint="eastAsia" w:ascii="仿宋" w:hAnsi="仿宋" w:eastAsia="仿宋" w:cs="仿宋"/>
          <w:color w:val="000000" w:themeColor="text1"/>
          <w:szCs w:val="21"/>
          <w:highlight w:val="none"/>
          <w:lang w:eastAsia="zh-CN"/>
          <w14:textFill>
            <w14:solidFill>
              <w14:schemeClr w14:val="tx1"/>
            </w14:solidFill>
          </w14:textFill>
        </w:rPr>
        <w:t>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048B93EF">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4、单位负责人为同一人或者存在直接控股、管理关系的不同供应商，不得参加同一合同下的政府采购活动（提供书面声明）。</w:t>
      </w:r>
    </w:p>
    <w:p w14:paraId="5A057C09">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p w14:paraId="33A98924">
      <w:pPr>
        <w:spacing w:line="440" w:lineRule="exact"/>
        <w:ind w:firstLine="356" w:firstLineChars="147"/>
        <w:rPr>
          <w:rFonts w:hint="eastAsia" w:ascii="仿宋" w:hAnsi="仿宋" w:eastAsia="仿宋" w:cs="仿宋"/>
          <w:color w:val="auto"/>
          <w:szCs w:val="21"/>
          <w:highlight w:val="none"/>
          <w:lang w:eastAsia="zh-CN"/>
        </w:rPr>
      </w:pPr>
      <w:r>
        <w:rPr>
          <w:rFonts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auto"/>
          <w:szCs w:val="21"/>
          <w:highlight w:val="none"/>
          <w:lang w:eastAsia="zh-CN"/>
        </w:rPr>
        <w:t>缴纳保证金凭证或保函等票据。</w:t>
      </w:r>
      <w:r>
        <w:rPr>
          <w:rFonts w:hint="eastAsia" w:ascii="仿宋" w:hAnsi="仿宋" w:eastAsia="仿宋" w:cs="仿宋"/>
          <w:color w:val="auto"/>
          <w:szCs w:val="21"/>
          <w:highlight w:val="none"/>
          <w:lang w:val="en-US" w:eastAsia="zh-CN"/>
        </w:rPr>
        <w:t>投标保证金的各种缴纳方式均须从公司基本账户支出，其他账户支出的保证金无效。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需提供基本账户信息</w:t>
      </w:r>
      <w:r>
        <w:rPr>
          <w:rFonts w:hint="eastAsia" w:ascii="仿宋" w:hAnsi="仿宋" w:eastAsia="仿宋" w:cs="仿宋"/>
          <w:color w:val="auto"/>
          <w:szCs w:val="21"/>
          <w:highlight w:val="none"/>
          <w:lang w:eastAsia="zh-CN"/>
        </w:rPr>
        <w:t>）</w:t>
      </w:r>
    </w:p>
    <w:p w14:paraId="2060F0A8">
      <w:pPr>
        <w:spacing w:line="440" w:lineRule="exact"/>
        <w:ind w:firstLine="356"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7、保密承诺书</w:t>
      </w:r>
    </w:p>
    <w:p w14:paraId="7B12E27E">
      <w:pPr>
        <w:pStyle w:val="9"/>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14:paraId="4266CCB0">
      <w:pPr>
        <w:pStyle w:val="9"/>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14:paraId="08EE5205">
      <w:pPr>
        <w:pStyle w:val="9"/>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1、法定代表人身份证明</w:t>
      </w:r>
    </w:p>
    <w:p w14:paraId="1D7FACBC">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14:paraId="7F231249">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14:paraId="13B4B016">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14:paraId="3C03D4D9">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14:paraId="1D1C2174">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14:paraId="1DDA21B1">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14:paraId="42FC581A">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14:paraId="21FD382D">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14:paraId="664D63E6">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14:paraId="630741BD">
      <w:pPr>
        <w:pStyle w:val="9"/>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14:paraId="2736FE42">
      <w:pPr>
        <w:pStyle w:val="9"/>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14:paraId="32ADA430">
      <w:pPr>
        <w:pStyle w:val="9"/>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0" b="0"/>
                <wp:docPr id="13" name="组合 28"/>
                <wp:cNvGraphicFramePr/>
                <a:graphic xmlns:a="http://schemas.openxmlformats.org/drawingml/2006/main">
                  <a:graphicData uri="http://schemas.microsoft.com/office/word/2010/wordprocessingGroup">
                    <wpg:wgp>
                      <wpg:cNvGrpSpPr/>
                      <wpg:grpSpPr>
                        <a:xfrm>
                          <a:off x="0" y="0"/>
                          <a:ext cx="5136515" cy="1458595"/>
                          <a:chOff x="0" y="0"/>
                          <a:chExt cx="8089" cy="2297203"/>
                        </a:xfrm>
                      </wpg:grpSpPr>
                      <wps:wsp>
                        <wps:cNvPr id="1" name="自选图形 40"/>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2" name="自选图形 39"/>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3" name="自选图形 38"/>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4" name="自选图形 3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5" name="自选图形 36"/>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upright="1"/>
                      </wps:wsp>
                      <wps:wsp>
                        <wps:cNvPr id="6" name="自选图形 35"/>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upright="1"/>
                      </wps:wsp>
                      <wps:wsp>
                        <wps:cNvPr id="7" name="自选图形 34"/>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8" name="自选图形 33"/>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9" name="自选图形 3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10" name="自选图形 31"/>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s:wsp>
                        <wps:cNvPr id="11" name="文本框 30"/>
                        <wps:cNvSpPr txBox="1"/>
                        <wps:spPr>
                          <a:xfrm>
                            <a:off x="19" y="19"/>
                            <a:ext cx="4025" cy="2258"/>
                          </a:xfrm>
                          <a:prstGeom prst="rect">
                            <a:avLst/>
                          </a:prstGeom>
                          <a:noFill/>
                          <a:ln>
                            <a:noFill/>
                          </a:ln>
                        </wps:spPr>
                        <wps:txbx>
                          <w:txbxContent>
                            <w:p w14:paraId="206ACC74">
                              <w:pPr>
                                <w:pStyle w:val="9"/>
                                <w:numPr>
                                  <w:ilvl w:val="0"/>
                                  <w:numId w:val="0"/>
                                </w:numPr>
                                <w:kinsoku w:val="0"/>
                                <w:overflowPunct w:val="0"/>
                                <w:spacing w:before="13"/>
                                <w:rPr>
                                  <w:sz w:val="28"/>
                                  <w:szCs w:val="28"/>
                                </w:rPr>
                              </w:pPr>
                            </w:p>
                            <w:p w14:paraId="0D0F9A59">
                              <w:pPr>
                                <w:pStyle w:val="9"/>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12" name="文本框 29"/>
                        <wps:cNvSpPr txBox="1"/>
                        <wps:spPr>
                          <a:xfrm>
                            <a:off x="4044" y="19"/>
                            <a:ext cx="4025" cy="2258"/>
                          </a:xfrm>
                          <a:prstGeom prst="rect">
                            <a:avLst/>
                          </a:prstGeom>
                          <a:noFill/>
                          <a:ln>
                            <a:noFill/>
                          </a:ln>
                        </wps:spPr>
                        <wps:txbx>
                          <w:txbxContent>
                            <w:p w14:paraId="6D286014">
                              <w:pPr>
                                <w:pStyle w:val="9"/>
                                <w:numPr>
                                  <w:ilvl w:val="0"/>
                                  <w:numId w:val="0"/>
                                </w:numPr>
                                <w:kinsoku w:val="0"/>
                                <w:overflowPunct w:val="0"/>
                                <w:spacing w:before="13"/>
                                <w:rPr>
                                  <w:sz w:val="28"/>
                                  <w:szCs w:val="28"/>
                                </w:rPr>
                              </w:pPr>
                            </w:p>
                            <w:p w14:paraId="06F17DAA">
                              <w:pPr>
                                <w:pStyle w:val="9"/>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组合 28" o:spid="_x0000_s1026" o:spt="203" style="height:114.85pt;width:404.45pt;" coordsize="8089,2297203"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AAAAABkcnMvUEsBAhQAFAAAAAgA&#10;h07iQJf5fc/WAAAABQEAAA8AAAAAAAAAAQAgAAAAIgAAAGRycy9kb3ducmV2LnhtbFBLAQIUABQA&#10;AAAIAIdO4kAX2YuRngQAADwhAAAOAAAAAAAAAAEAIAAAACUBAABkcnMvZTJvRG9jLnhtbFBLBQYA&#10;AAAABgAGAFkBAAA1CAAAAAA=&#10;">
                <o:lock v:ext="edit" aspectratio="f"/>
                <v:shape id="自选图形 40"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自选图形 39"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自选图形 38"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自选图形 37"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自选图形 3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自选图形 35"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自选图形 34"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自选图形 33"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自选图形 32"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自选图形 31"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30"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06ACC74">
                        <w:pPr>
                          <w:pStyle w:val="9"/>
                          <w:numPr>
                            <w:ilvl w:val="0"/>
                            <w:numId w:val="0"/>
                          </w:numPr>
                          <w:kinsoku w:val="0"/>
                          <w:overflowPunct w:val="0"/>
                          <w:spacing w:before="13"/>
                          <w:rPr>
                            <w:sz w:val="28"/>
                            <w:szCs w:val="28"/>
                          </w:rPr>
                        </w:pPr>
                      </w:p>
                      <w:p w14:paraId="0D0F9A59">
                        <w:pPr>
                          <w:pStyle w:val="9"/>
                          <w:numPr>
                            <w:ilvl w:val="0"/>
                            <w:numId w:val="0"/>
                          </w:numPr>
                          <w:kinsoku w:val="0"/>
                          <w:overflowPunct w:val="0"/>
                          <w:jc w:val="center"/>
                          <w:rPr>
                            <w:lang w:eastAsia="zh-CN"/>
                          </w:rPr>
                        </w:pPr>
                        <w:r>
                          <w:rPr>
                            <w:rFonts w:hint="eastAsia"/>
                            <w:lang w:eastAsia="zh-CN"/>
                          </w:rPr>
                          <w:t>法定代表人身份证复印件（正面）</w:t>
                        </w:r>
                      </w:p>
                    </w:txbxContent>
                  </v:textbox>
                </v:shape>
                <v:shape id="文本框 29"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D286014">
                        <w:pPr>
                          <w:pStyle w:val="9"/>
                          <w:numPr>
                            <w:ilvl w:val="0"/>
                            <w:numId w:val="0"/>
                          </w:numPr>
                          <w:kinsoku w:val="0"/>
                          <w:overflowPunct w:val="0"/>
                          <w:spacing w:before="13"/>
                          <w:rPr>
                            <w:sz w:val="28"/>
                            <w:szCs w:val="28"/>
                          </w:rPr>
                        </w:pPr>
                      </w:p>
                      <w:p w14:paraId="06F17DAA">
                        <w:pPr>
                          <w:pStyle w:val="9"/>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14:paraId="7AB4C292">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613DA1E8">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7109EF7B">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14:paraId="0D3F647E">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14:paraId="1941B1F1">
      <w:pPr>
        <w:pStyle w:val="9"/>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授权委托书</w:t>
      </w:r>
    </w:p>
    <w:p w14:paraId="608763B5">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14:paraId="2A0CB59F">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14:paraId="41F88DFB">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7A3F1FC7">
      <w:pPr>
        <w:pStyle w:val="9"/>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14:paraId="7FE91E9A">
      <w:pPr>
        <w:pStyle w:val="9"/>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0" b="0"/>
                <wp:docPr id="26" name="组合 15"/>
                <wp:cNvGraphicFramePr/>
                <a:graphic xmlns:a="http://schemas.openxmlformats.org/drawingml/2006/main">
                  <a:graphicData uri="http://schemas.microsoft.com/office/word/2010/wordprocessingGroup">
                    <wpg:wgp>
                      <wpg:cNvGrpSpPr/>
                      <wpg:grpSpPr>
                        <a:xfrm>
                          <a:off x="0" y="0"/>
                          <a:ext cx="5136515" cy="1458595"/>
                          <a:chOff x="0" y="0"/>
                          <a:chExt cx="8089" cy="2297203"/>
                        </a:xfrm>
                      </wpg:grpSpPr>
                      <wps:wsp>
                        <wps:cNvPr id="14"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15" name="自选图形 26"/>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16" name="自选图形 25"/>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17" name="自选图形 2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18" name="自选图形 23"/>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upright="1"/>
                      </wps:wsp>
                      <wps:wsp>
                        <wps:cNvPr id="19" name="自选图形 22"/>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upright="1"/>
                      </wps:wsp>
                      <wps:wsp>
                        <wps:cNvPr id="20" name="自选图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1" name="自选图形 20"/>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2" name="自选图形 1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3" name="自选图形 18"/>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s:wsp>
                        <wps:cNvPr id="24" name="文本框 17"/>
                        <wps:cNvSpPr txBox="1"/>
                        <wps:spPr>
                          <a:xfrm>
                            <a:off x="19" y="19"/>
                            <a:ext cx="4025" cy="2258"/>
                          </a:xfrm>
                          <a:prstGeom prst="rect">
                            <a:avLst/>
                          </a:prstGeom>
                          <a:noFill/>
                          <a:ln>
                            <a:noFill/>
                          </a:ln>
                        </wps:spPr>
                        <wps:txbx>
                          <w:txbxContent>
                            <w:p w14:paraId="44095A7B">
                              <w:pPr>
                                <w:pStyle w:val="9"/>
                                <w:numPr>
                                  <w:ilvl w:val="0"/>
                                  <w:numId w:val="0"/>
                                </w:numPr>
                                <w:kinsoku w:val="0"/>
                                <w:overflowPunct w:val="0"/>
                                <w:spacing w:before="12"/>
                                <w:rPr>
                                  <w:sz w:val="28"/>
                                  <w:szCs w:val="28"/>
                                </w:rPr>
                              </w:pPr>
                            </w:p>
                            <w:p w14:paraId="6E881CF3">
                              <w:pPr>
                                <w:pStyle w:val="9"/>
                                <w:numPr>
                                  <w:ilvl w:val="0"/>
                                  <w:numId w:val="0"/>
                                </w:numPr>
                                <w:kinsoku w:val="0"/>
                                <w:overflowPunct w:val="0"/>
                                <w:jc w:val="center"/>
                              </w:pPr>
                            </w:p>
                            <w:p w14:paraId="3EC15DFA">
                              <w:pPr>
                                <w:pStyle w:val="9"/>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25" name="文本框 16"/>
                        <wps:cNvSpPr txBox="1"/>
                        <wps:spPr>
                          <a:xfrm>
                            <a:off x="4044" y="19"/>
                            <a:ext cx="4025" cy="2258"/>
                          </a:xfrm>
                          <a:prstGeom prst="rect">
                            <a:avLst/>
                          </a:prstGeom>
                          <a:noFill/>
                          <a:ln>
                            <a:noFill/>
                          </a:ln>
                        </wps:spPr>
                        <wps:txbx>
                          <w:txbxContent>
                            <w:p w14:paraId="4C4A2B88">
                              <w:pPr>
                                <w:pStyle w:val="9"/>
                                <w:numPr>
                                  <w:ilvl w:val="0"/>
                                  <w:numId w:val="0"/>
                                </w:numPr>
                                <w:kinsoku w:val="0"/>
                                <w:overflowPunct w:val="0"/>
                              </w:pPr>
                            </w:p>
                            <w:p w14:paraId="5FCD1FEB">
                              <w:pPr>
                                <w:pStyle w:val="9"/>
                                <w:numPr>
                                  <w:ilvl w:val="0"/>
                                  <w:numId w:val="0"/>
                                </w:numPr>
                                <w:kinsoku w:val="0"/>
                                <w:overflowPunct w:val="0"/>
                              </w:pPr>
                            </w:p>
                            <w:p w14:paraId="014652DA">
                              <w:pPr>
                                <w:pStyle w:val="9"/>
                                <w:numPr>
                                  <w:ilvl w:val="0"/>
                                  <w:numId w:val="0"/>
                                </w:numPr>
                                <w:kinsoku w:val="0"/>
                                <w:overflowPunct w:val="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组合 15" o:spid="_x0000_s1026" o:spt="203" style="height:114.85pt;width:404.45pt;" coordsize="8089,2297203"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X+X3P1gAAAAUBAAAPAAAAAAAAAAEAIAAAACIAAABkcnMvZG93&#10;bnJldi54bWxQSwECFAAUAAAACACHTuJAo52GiK4EAABHIQAADgAAAAAAAAABACAAAAAlAQAAZHJz&#10;L2Uyb0RvYy54bWxQSwUGAAAAAAYABgBZAQAARQgAAAAA&#10;">
                <o:lock v:ext="edit" aspectratio="f"/>
                <v:shape id="任意多边形 1"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自选图形 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自选图形 25"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自选图形 24"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自选图形 23" o:spid="_x0000_s1026" o:spt="100" style="position:absolute;left:9;top:4;height:2287;width:20;" filled="f" stroked="t" coordsize="20,2287" o:gfxdata="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fpS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自选图形 22" o:spid="_x0000_s1026" o:spt="100" style="position:absolute;left:28;top:24;height:2249;width:20;" filled="f" stroked="t" coordsize="20,2249" o:gfxdata="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idx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自选图形 21" o:spid="_x0000_s1026" o:spt="100" style="position:absolute;left:4034;top:24;height:2239;width:20;" filled="f" stroked="t" coordsize="20,2239" o:gfxdata="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CRza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自选图形 20" o:spid="_x0000_s1026" o:spt="100" style="position:absolute;left:4053;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自选图形 19" o:spid="_x0000_s1026" o:spt="100" style="position:absolute;left:8059;top:33;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自选图形 18" o:spid="_x0000_s1026" o:spt="100" style="position:absolute;left:8078;top:14;height:2278;width:20;" filled="f" stroked="t" coordsize="20,2278" o:gfxdata="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RP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7" o:spid="_x0000_s1026" o:spt="202" type="#_x0000_t202" style="position:absolute;left:19;top:19;height:2258;width:40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4095A7B">
                        <w:pPr>
                          <w:pStyle w:val="9"/>
                          <w:numPr>
                            <w:ilvl w:val="0"/>
                            <w:numId w:val="0"/>
                          </w:numPr>
                          <w:kinsoku w:val="0"/>
                          <w:overflowPunct w:val="0"/>
                          <w:spacing w:before="12"/>
                          <w:rPr>
                            <w:sz w:val="28"/>
                            <w:szCs w:val="28"/>
                          </w:rPr>
                        </w:pPr>
                      </w:p>
                      <w:p w14:paraId="6E881CF3">
                        <w:pPr>
                          <w:pStyle w:val="9"/>
                          <w:numPr>
                            <w:ilvl w:val="0"/>
                            <w:numId w:val="0"/>
                          </w:numPr>
                          <w:kinsoku w:val="0"/>
                          <w:overflowPunct w:val="0"/>
                          <w:jc w:val="center"/>
                        </w:pPr>
                      </w:p>
                      <w:p w14:paraId="3EC15DFA">
                        <w:pPr>
                          <w:pStyle w:val="9"/>
                          <w:numPr>
                            <w:ilvl w:val="0"/>
                            <w:numId w:val="0"/>
                          </w:numPr>
                          <w:kinsoku w:val="0"/>
                          <w:overflowPunct w:val="0"/>
                          <w:jc w:val="center"/>
                          <w:rPr>
                            <w:lang w:eastAsia="zh-CN"/>
                          </w:rPr>
                        </w:pPr>
                        <w:r>
                          <w:rPr>
                            <w:rFonts w:hint="eastAsia"/>
                            <w:lang w:eastAsia="zh-CN"/>
                          </w:rPr>
                          <w:t>授权人身份证复印件（正面）</w:t>
                        </w:r>
                      </w:p>
                    </w:txbxContent>
                  </v:textbox>
                </v:shape>
                <v:shape id="文本框 16" o:spid="_x0000_s1026" o:spt="202" type="#_x0000_t202" style="position:absolute;left:4044;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A2B88">
                        <w:pPr>
                          <w:pStyle w:val="9"/>
                          <w:numPr>
                            <w:ilvl w:val="0"/>
                            <w:numId w:val="0"/>
                          </w:numPr>
                          <w:kinsoku w:val="0"/>
                          <w:overflowPunct w:val="0"/>
                        </w:pPr>
                      </w:p>
                      <w:p w14:paraId="5FCD1FEB">
                        <w:pPr>
                          <w:pStyle w:val="9"/>
                          <w:numPr>
                            <w:ilvl w:val="0"/>
                            <w:numId w:val="0"/>
                          </w:numPr>
                          <w:kinsoku w:val="0"/>
                          <w:overflowPunct w:val="0"/>
                        </w:pPr>
                      </w:p>
                      <w:p w14:paraId="014652DA">
                        <w:pPr>
                          <w:pStyle w:val="9"/>
                          <w:numPr>
                            <w:ilvl w:val="0"/>
                            <w:numId w:val="0"/>
                          </w:numPr>
                          <w:kinsoku w:val="0"/>
                          <w:overflowPunct w:val="0"/>
                          <w:rPr>
                            <w:lang w:eastAsia="zh-CN"/>
                          </w:rPr>
                        </w:pPr>
                        <w:r>
                          <w:rPr>
                            <w:rFonts w:hint="eastAsia"/>
                            <w:lang w:eastAsia="zh-CN"/>
                          </w:rPr>
                          <w:t>授权人身份证复印件（反面）</w:t>
                        </w:r>
                      </w:p>
                    </w:txbxContent>
                  </v:textbox>
                </v:shape>
                <w10:wrap type="none"/>
                <w10:anchorlock/>
              </v:group>
            </w:pict>
          </mc:Fallback>
        </mc:AlternateContent>
      </w:r>
    </w:p>
    <w:p w14:paraId="4A0FC693">
      <w:pPr>
        <w:pStyle w:val="9"/>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0" b="0"/>
                <wp:docPr id="39" name="组合 2"/>
                <wp:cNvGraphicFramePr/>
                <a:graphic xmlns:a="http://schemas.openxmlformats.org/drawingml/2006/main">
                  <a:graphicData uri="http://schemas.microsoft.com/office/word/2010/wordprocessingGroup">
                    <wpg:wgp>
                      <wpg:cNvGrpSpPr/>
                      <wpg:grpSpPr>
                        <a:xfrm>
                          <a:off x="0" y="0"/>
                          <a:ext cx="5136515" cy="1384935"/>
                          <a:chOff x="0" y="0"/>
                          <a:chExt cx="8089" cy="2181203"/>
                        </a:xfrm>
                      </wpg:grpSpPr>
                      <wps:wsp>
                        <wps:cNvPr id="2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2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2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3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3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round/>
                            <a:headEnd type="none" w="med" len="med"/>
                            <a:tailEnd type="none" w="med" len="med"/>
                          </a:ln>
                        </wps:spPr>
                        <wps:bodyPr upright="1"/>
                      </wps:wsp>
                      <wps:wsp>
                        <wps:cNvPr id="3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round/>
                            <a:headEnd type="none" w="med" len="med"/>
                            <a:tailEnd type="none" w="med" len="med"/>
                          </a:ln>
                        </wps:spPr>
                        <wps:bodyPr upright="1"/>
                      </wps:wsp>
                      <wps:wsp>
                        <wps:cNvPr id="3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round/>
                            <a:headEnd type="none" w="med" len="med"/>
                            <a:tailEnd type="none" w="med" len="med"/>
                          </a:ln>
                        </wps:spPr>
                        <wps:bodyPr upright="1"/>
                      </wps:wsp>
                      <wps:wsp>
                        <wps:cNvPr id="37" name="文本框 44"/>
                        <wps:cNvSpPr txBox="1"/>
                        <wps:spPr>
                          <a:xfrm>
                            <a:off x="19" y="19"/>
                            <a:ext cx="4025" cy="2142"/>
                          </a:xfrm>
                          <a:prstGeom prst="rect">
                            <a:avLst/>
                          </a:prstGeom>
                          <a:noFill/>
                          <a:ln>
                            <a:noFill/>
                          </a:ln>
                        </wps:spPr>
                        <wps:txbx>
                          <w:txbxContent>
                            <w:p w14:paraId="34F74FBE">
                              <w:pPr>
                                <w:pStyle w:val="9"/>
                                <w:numPr>
                                  <w:ilvl w:val="0"/>
                                  <w:numId w:val="0"/>
                                </w:numPr>
                                <w:kinsoku w:val="0"/>
                                <w:overflowPunct w:val="0"/>
                              </w:pPr>
                            </w:p>
                            <w:p w14:paraId="506473E5">
                              <w:pPr>
                                <w:pStyle w:val="9"/>
                                <w:numPr>
                                  <w:ilvl w:val="0"/>
                                  <w:numId w:val="0"/>
                                </w:numPr>
                                <w:kinsoku w:val="0"/>
                                <w:overflowPunct w:val="0"/>
                              </w:pPr>
                            </w:p>
                            <w:p w14:paraId="06D5657F">
                              <w:pPr>
                                <w:pStyle w:val="9"/>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38" name="文本框 45"/>
                        <wps:cNvSpPr txBox="1"/>
                        <wps:spPr>
                          <a:xfrm>
                            <a:off x="4044" y="19"/>
                            <a:ext cx="4025" cy="2142"/>
                          </a:xfrm>
                          <a:prstGeom prst="rect">
                            <a:avLst/>
                          </a:prstGeom>
                          <a:noFill/>
                          <a:ln>
                            <a:noFill/>
                          </a:ln>
                        </wps:spPr>
                        <wps:txbx>
                          <w:txbxContent>
                            <w:p w14:paraId="0389F237">
                              <w:pPr>
                                <w:pStyle w:val="9"/>
                                <w:numPr>
                                  <w:ilvl w:val="0"/>
                                  <w:numId w:val="0"/>
                                </w:numPr>
                                <w:kinsoku w:val="0"/>
                                <w:overflowPunct w:val="0"/>
                              </w:pPr>
                            </w:p>
                            <w:p w14:paraId="37BA23BC">
                              <w:pPr>
                                <w:pStyle w:val="9"/>
                                <w:numPr>
                                  <w:ilvl w:val="0"/>
                                  <w:numId w:val="0"/>
                                </w:numPr>
                                <w:kinsoku w:val="0"/>
                                <w:overflowPunct w:val="0"/>
                              </w:pPr>
                            </w:p>
                            <w:p w14:paraId="2CD7EEF5">
                              <w:pPr>
                                <w:pStyle w:val="9"/>
                                <w:numPr>
                                  <w:ilvl w:val="0"/>
                                  <w:numId w:val="0"/>
                                </w:numPr>
                                <w:kinsoku w:val="0"/>
                                <w:overflowPunct w:val="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组合 2" o:spid="_x0000_s1026" o:spt="203" style="height:109.05pt;width:404.45pt;" coordsize="8089,2181203"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AhS9hM1gAAAAUBAAAPAAAAAAAAAAEAIAAAACIAAABkcnMvZG93bnJl&#10;di54bWxQSwECFAAUAAAACACHTuJAftK63asEAABiIQAADgAAAAAAAAABACAAAAAlAQAAZHJzL2Uy&#10;b0RvYy54bWxQSwUGAAAAAAYABgBZAQAAQggAAAAA&#10;">
                <o:lock v:ext="edit" aspectratio="f"/>
                <v:shape id="任意多边形 34"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GGyrMrsAAADb&#10;AAAADwAAAGRycy9kb3ducmV2LnhtbEWPQWvCQBSE7wX/w/KE3ppNK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yrMr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BdLgwb8AAADb&#10;AAAADwAAAGRycy9kb3ducmV2LnhtbEWPT2vCQBTE7wW/w/KE3urGWFRSVxFB6aEIriLp7ZF9TUKz&#10;b0N2/VM/fVcQPA4z8xtmtrjaRpyp87VjBcNBAoK4cKbmUsFhv36bgvAB2WDjmBT8kYfFvPcyw8y4&#10;C+/orEMpIoR9hgqqENpMSl9UZNEPXEscvR/XWQxRdqU0HV4i3DYyTZKxtFhzXKiwpVVFxa8+WQW3&#10;fbo95pom+svl33qzzMvb9l2p1/4w+QAR6Bqe4Uf70ygYpXD/En+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S4MG/&#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njNuybwAAADb&#10;AAAADwAAAGRycy9kb3ducmV2LnhtbEWPzWoCQRCE74G8w9ABb3FWB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zbsm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Edr2vbwAAADb&#10;AAAADwAAAGRycy9kb3ducmV2LnhtbEWPS2vDMBCE74X+B7GB3Bo5bcn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a9r2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fpZTJrwAAADb&#10;AAAADwAAAGRycy9kb3ducmV2LnhtbEWPS2vDMBCE74X+B7GB3Bo5L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Uya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7nQeTrcAAADb&#10;AAAADwAAAGRycy9kb3ducmV2LnhtbEWPwQrCMBBE74L/EFbwpqmKItXUgyCKJ61+wNqsbWmzKU2s&#10;+vdGEDwOM/OGWW9ephYdta60rGAyjkAQZ1aXnCu4XnajJQjnkTXWlknBmxxskn5vjbG2Tz5Tl/pc&#10;BAi7GBUU3jexlC4ryKAb24Y4eHfbGvRBtrnULT4D3NRyGkULabDksFBgQ9uCsip9GAXL7QxxXj1o&#10;fzqe8XS4lQa7VKnhYBKtQHh6+X/41z5oBbMF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dB5O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F74FBE">
                        <w:pPr>
                          <w:pStyle w:val="9"/>
                          <w:numPr>
                            <w:ilvl w:val="0"/>
                            <w:numId w:val="0"/>
                          </w:numPr>
                          <w:kinsoku w:val="0"/>
                          <w:overflowPunct w:val="0"/>
                        </w:pPr>
                      </w:p>
                      <w:p w14:paraId="506473E5">
                        <w:pPr>
                          <w:pStyle w:val="9"/>
                          <w:numPr>
                            <w:ilvl w:val="0"/>
                            <w:numId w:val="0"/>
                          </w:numPr>
                          <w:kinsoku w:val="0"/>
                          <w:overflowPunct w:val="0"/>
                        </w:pPr>
                      </w:p>
                      <w:p w14:paraId="06D5657F">
                        <w:pPr>
                          <w:pStyle w:val="9"/>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0389F237">
                        <w:pPr>
                          <w:pStyle w:val="9"/>
                          <w:numPr>
                            <w:ilvl w:val="0"/>
                            <w:numId w:val="0"/>
                          </w:numPr>
                          <w:kinsoku w:val="0"/>
                          <w:overflowPunct w:val="0"/>
                        </w:pPr>
                      </w:p>
                      <w:p w14:paraId="37BA23BC">
                        <w:pPr>
                          <w:pStyle w:val="9"/>
                          <w:numPr>
                            <w:ilvl w:val="0"/>
                            <w:numId w:val="0"/>
                          </w:numPr>
                          <w:kinsoku w:val="0"/>
                          <w:overflowPunct w:val="0"/>
                        </w:pPr>
                      </w:p>
                      <w:p w14:paraId="2CD7EEF5">
                        <w:pPr>
                          <w:pStyle w:val="9"/>
                          <w:numPr>
                            <w:ilvl w:val="0"/>
                            <w:numId w:val="0"/>
                          </w:numPr>
                          <w:kinsoku w:val="0"/>
                          <w:overflowPunct w:val="0"/>
                          <w:rPr>
                            <w:lang w:eastAsia="zh-CN"/>
                          </w:rPr>
                        </w:pPr>
                        <w:r>
                          <w:rPr>
                            <w:rFonts w:hint="eastAsia"/>
                            <w:lang w:eastAsia="zh-CN"/>
                          </w:rPr>
                          <w:t>被授权代表身份证复印件（反面）</w:t>
                        </w:r>
                      </w:p>
                    </w:txbxContent>
                  </v:textbox>
                </v:shape>
                <w10:wrap type="none"/>
                <w10:anchorlock/>
              </v:group>
            </w:pict>
          </mc:Fallback>
        </mc:AlternateContent>
      </w:r>
    </w:p>
    <w:p w14:paraId="218A9244">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14:paraId="4B7F8640">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14:paraId="7F7C95C5">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14:paraId="75689BEE">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14:paraId="2BB78C40">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14:paraId="39FD40A7">
      <w:pPr>
        <w:pStyle w:val="41"/>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14:paraId="27F39307">
      <w:pPr>
        <w:numPr>
          <w:ilvl w:val="0"/>
          <w:numId w:val="4"/>
        </w:numPr>
        <w:spacing w:line="440" w:lineRule="exact"/>
        <w:rPr>
          <w:rFonts w:ascii="仿宋" w:hAnsi="仿宋" w:eastAsia="仿宋" w:cs="仿宋"/>
          <w:b/>
          <w:color w:val="000000" w:themeColor="text1"/>
          <w:szCs w:val="20"/>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eastAsia="zh-CN"/>
          <w14:textFill>
            <w14:solidFill>
              <w14:schemeClr w14:val="tx1"/>
            </w14:solidFill>
          </w14:textFill>
        </w:rPr>
        <w:t>满足《中华人民共和国政府采购法》第二十二条规定；</w:t>
      </w:r>
    </w:p>
    <w:p w14:paraId="35F306B1">
      <w:pPr>
        <w:spacing w:line="44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highlight w:val="none"/>
          <w:lang w:val="zh-CN" w:eastAsia="zh-CN"/>
          <w14:textFill>
            <w14:solidFill>
              <w14:schemeClr w14:val="tx1"/>
            </w14:solidFill>
          </w14:textFill>
        </w:rPr>
        <w:t>具有有效的营业执照、组织机构代码证、税务登记证副本（或三证合一证件）</w:t>
      </w:r>
    </w:p>
    <w:p w14:paraId="15982AA9">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29986697">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72419BFD">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0D9B8C68">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（5）参加本次采购活动前三年内，在经营活动中没有重大违法记录（提供书面声明）；</w:t>
      </w:r>
    </w:p>
    <w:p w14:paraId="5207CB6D">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p>
    <w:p w14:paraId="6DF2550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FE418A6">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65C38538">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71DE6C09">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72FC336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D2E612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A5CFA1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1A994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773FF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0E1F16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1DBD30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411225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FCA87C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2A8465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E3E229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3E9B7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7DD2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07A98E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8BC14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A6D3C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2FEE764">
      <w:pPr>
        <w:spacing w:line="440" w:lineRule="exact"/>
        <w:ind w:firstLine="356" w:firstLineChars="1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b/>
          <w:color w:val="000000" w:themeColor="text1"/>
          <w:szCs w:val="20"/>
          <w:highlight w:val="none"/>
          <w:lang w:val="zh-CN" w:eastAsia="zh-CN"/>
          <w14:textFill>
            <w14:solidFill>
              <w14:schemeClr w14:val="tx1"/>
            </w14:solidFill>
          </w14:textFill>
        </w:rPr>
        <w:t>重大税收违法</w:t>
      </w:r>
      <w:r>
        <w:rPr>
          <w:rFonts w:hint="eastAsia" w:ascii="仿宋" w:hAnsi="仿宋" w:eastAsia="仿宋" w:cs="仿宋"/>
          <w:b/>
          <w:color w:val="000000" w:themeColor="text1"/>
          <w:szCs w:val="20"/>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797E80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DE3424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F829E5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E2093B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D69039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FA8C0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B5581B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EE7C0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22C037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487A08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10E26F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310985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61BB02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53962C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0F42C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5ACB90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34B0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6387A7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F91177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98E8A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08F28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719A8F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74CBB9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E2773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CA6EEC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9D29F7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40FCA9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6BF59C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4、单位负责人为同一人或者存在直接控股、管理关系的不同供应商，不得参加同一合同下的政府采购活动（提供书面声明）。</w:t>
      </w:r>
    </w:p>
    <w:p w14:paraId="63733D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D98DE9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7EBC9C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F02AB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61B3E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18BF5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82026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ACD37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B25C1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42FDB9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AE2E84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AE2611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ED90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605A8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624CF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CC925E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10BD3B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98E1F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CBC01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3CB76C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8C2504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0D1EB2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96C1B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AE27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4536C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60DF5E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A7FC3D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80C6E1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D4F37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B57BA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ascii="仿宋" w:hAnsi="仿宋" w:eastAsia="仿宋" w:cs="仿宋"/>
          <w:b/>
          <w:color w:val="000000" w:themeColor="text1"/>
          <w:szCs w:val="20"/>
          <w:lang w:eastAsia="zh-CN"/>
          <w14:textFill>
            <w14:solidFill>
              <w14:schemeClr w14:val="tx1"/>
            </w14:solidFill>
          </w14:textFill>
        </w:rPr>
        <w:t>5</w:t>
      </w:r>
      <w:r>
        <w:rPr>
          <w:rFonts w:hint="eastAsia" w:ascii="仿宋" w:hAnsi="仿宋" w:eastAsia="仿宋" w:cs="仿宋"/>
          <w:b/>
          <w:color w:val="000000" w:themeColor="text1"/>
          <w:szCs w:val="20"/>
          <w:lang w:eastAsia="zh-CN"/>
          <w14:textFill>
            <w14:solidFill>
              <w14:schemeClr w14:val="tx1"/>
            </w14:solidFill>
          </w14:textFill>
        </w:rPr>
        <w:t>、投标单位（供应商）针对本次采购项目《反商业贿赂承诺书》的书面声明。</w:t>
      </w:r>
    </w:p>
    <w:p w14:paraId="7B3B3EA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BBFF3E9">
      <w:pPr>
        <w:pStyle w:val="11"/>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14:paraId="39B2D4A7">
      <w:pPr>
        <w:pStyle w:val="5"/>
        <w:rPr>
          <w:rFonts w:ascii="仿宋" w:hAnsi="仿宋" w:eastAsia="仿宋" w:cs="仿宋"/>
          <w:color w:val="000000" w:themeColor="text1"/>
          <w:sz w:val="36"/>
          <w:szCs w:val="36"/>
          <w:lang w:eastAsia="zh-CN"/>
          <w14:textFill>
            <w14:solidFill>
              <w14:schemeClr w14:val="tx1"/>
            </w14:solidFill>
          </w14:textFill>
        </w:rPr>
      </w:pPr>
    </w:p>
    <w:p w14:paraId="1CB6682C">
      <w:pPr>
        <w:rPr>
          <w:rFonts w:ascii="仿宋" w:hAnsi="仿宋" w:eastAsia="仿宋" w:cs="仿宋"/>
          <w:b/>
          <w:bCs/>
          <w:color w:val="000000" w:themeColor="text1"/>
          <w:sz w:val="36"/>
          <w:szCs w:val="36"/>
          <w:lang w:eastAsia="zh-CN"/>
          <w14:textFill>
            <w14:solidFill>
              <w14:schemeClr w14:val="tx1"/>
            </w14:solidFill>
          </w14:textFill>
        </w:rPr>
      </w:pPr>
    </w:p>
    <w:p w14:paraId="71ECFD58">
      <w:pPr>
        <w:pStyle w:val="5"/>
        <w:rPr>
          <w:rFonts w:ascii="仿宋" w:hAnsi="仿宋" w:eastAsia="仿宋" w:cs="仿宋"/>
          <w:color w:val="000000" w:themeColor="text1"/>
          <w:sz w:val="36"/>
          <w:szCs w:val="36"/>
          <w:lang w:eastAsia="zh-CN"/>
          <w14:textFill>
            <w14:solidFill>
              <w14:schemeClr w14:val="tx1"/>
            </w14:solidFill>
          </w14:textFill>
        </w:rPr>
      </w:pPr>
    </w:p>
    <w:p w14:paraId="3E494519">
      <w:pPr>
        <w:rPr>
          <w:rFonts w:ascii="仿宋" w:hAnsi="仿宋" w:eastAsia="仿宋" w:cs="仿宋"/>
          <w:b/>
          <w:bCs/>
          <w:color w:val="000000" w:themeColor="text1"/>
          <w:sz w:val="36"/>
          <w:szCs w:val="36"/>
          <w:lang w:eastAsia="zh-CN"/>
          <w14:textFill>
            <w14:solidFill>
              <w14:schemeClr w14:val="tx1"/>
            </w14:solidFill>
          </w14:textFill>
        </w:rPr>
      </w:pPr>
    </w:p>
    <w:p w14:paraId="769431DC">
      <w:pPr>
        <w:pStyle w:val="5"/>
        <w:rPr>
          <w:rFonts w:ascii="仿宋" w:hAnsi="仿宋" w:eastAsia="仿宋" w:cs="仿宋"/>
          <w:color w:val="000000" w:themeColor="text1"/>
          <w:sz w:val="36"/>
          <w:szCs w:val="36"/>
          <w:lang w:eastAsia="zh-CN"/>
          <w14:textFill>
            <w14:solidFill>
              <w14:schemeClr w14:val="tx1"/>
            </w14:solidFill>
          </w14:textFill>
        </w:rPr>
      </w:pPr>
    </w:p>
    <w:p w14:paraId="1CB25458">
      <w:pPr>
        <w:rPr>
          <w:rFonts w:ascii="仿宋" w:hAnsi="仿宋" w:eastAsia="仿宋" w:cs="仿宋"/>
          <w:b/>
          <w:bCs/>
          <w:color w:val="000000" w:themeColor="text1"/>
          <w:sz w:val="36"/>
          <w:szCs w:val="36"/>
          <w:lang w:eastAsia="zh-CN"/>
          <w14:textFill>
            <w14:solidFill>
              <w14:schemeClr w14:val="tx1"/>
            </w14:solidFill>
          </w14:textFill>
        </w:rPr>
      </w:pPr>
    </w:p>
    <w:p w14:paraId="6F6B8BD5">
      <w:pPr>
        <w:pStyle w:val="5"/>
        <w:rPr>
          <w:rFonts w:ascii="仿宋" w:hAnsi="仿宋" w:eastAsia="仿宋" w:cs="仿宋"/>
          <w:color w:val="000000" w:themeColor="text1"/>
          <w:sz w:val="36"/>
          <w:szCs w:val="36"/>
          <w:lang w:eastAsia="zh-CN"/>
          <w14:textFill>
            <w14:solidFill>
              <w14:schemeClr w14:val="tx1"/>
            </w14:solidFill>
          </w14:textFill>
        </w:rPr>
      </w:pPr>
    </w:p>
    <w:p w14:paraId="1FDFF134">
      <w:pPr>
        <w:rPr>
          <w:rFonts w:ascii="仿宋" w:hAnsi="仿宋" w:eastAsia="仿宋" w:cs="仿宋"/>
          <w:b/>
          <w:bCs/>
          <w:color w:val="000000" w:themeColor="text1"/>
          <w:sz w:val="36"/>
          <w:szCs w:val="36"/>
          <w:lang w:eastAsia="zh-CN"/>
          <w14:textFill>
            <w14:solidFill>
              <w14:schemeClr w14:val="tx1"/>
            </w14:solidFill>
          </w14:textFill>
        </w:rPr>
      </w:pPr>
    </w:p>
    <w:p w14:paraId="6315D166">
      <w:pPr>
        <w:pStyle w:val="5"/>
        <w:rPr>
          <w:rFonts w:ascii="仿宋" w:hAnsi="仿宋" w:eastAsia="仿宋" w:cs="仿宋"/>
          <w:color w:val="000000" w:themeColor="text1"/>
          <w:sz w:val="36"/>
          <w:szCs w:val="36"/>
          <w:lang w:eastAsia="zh-CN"/>
          <w14:textFill>
            <w14:solidFill>
              <w14:schemeClr w14:val="tx1"/>
            </w14:solidFill>
          </w14:textFill>
        </w:rPr>
      </w:pPr>
    </w:p>
    <w:p w14:paraId="10BF358A">
      <w:pPr>
        <w:rPr>
          <w:rFonts w:ascii="仿宋" w:hAnsi="仿宋" w:eastAsia="仿宋" w:cs="仿宋"/>
          <w:b/>
          <w:bCs/>
          <w:color w:val="000000" w:themeColor="text1"/>
          <w:sz w:val="36"/>
          <w:szCs w:val="36"/>
          <w:lang w:eastAsia="zh-CN"/>
          <w14:textFill>
            <w14:solidFill>
              <w14:schemeClr w14:val="tx1"/>
            </w14:solidFill>
          </w14:textFill>
        </w:rPr>
      </w:pPr>
    </w:p>
    <w:p w14:paraId="799CF36D">
      <w:pPr>
        <w:pStyle w:val="5"/>
        <w:rPr>
          <w:rFonts w:ascii="仿宋" w:hAnsi="仿宋" w:eastAsia="仿宋" w:cs="仿宋"/>
          <w:color w:val="000000" w:themeColor="text1"/>
          <w:sz w:val="36"/>
          <w:szCs w:val="36"/>
          <w:lang w:eastAsia="zh-CN"/>
          <w14:textFill>
            <w14:solidFill>
              <w14:schemeClr w14:val="tx1"/>
            </w14:solidFill>
          </w14:textFill>
        </w:rPr>
      </w:pPr>
    </w:p>
    <w:p w14:paraId="43601553">
      <w:pPr>
        <w:rPr>
          <w:rFonts w:ascii="仿宋" w:hAnsi="仿宋" w:eastAsia="仿宋" w:cs="仿宋"/>
          <w:b/>
          <w:bCs/>
          <w:color w:val="000000" w:themeColor="text1"/>
          <w:sz w:val="36"/>
          <w:szCs w:val="36"/>
          <w:lang w:eastAsia="zh-CN"/>
          <w14:textFill>
            <w14:solidFill>
              <w14:schemeClr w14:val="tx1"/>
            </w14:solidFill>
          </w14:textFill>
        </w:rPr>
      </w:pPr>
    </w:p>
    <w:p w14:paraId="18DF65BD">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1CECE56B">
      <w:pPr>
        <w:spacing w:line="440" w:lineRule="exact"/>
        <w:ind w:firstLine="533" w:firstLineChars="147"/>
        <w:rPr>
          <w:rFonts w:ascii="仿宋" w:hAnsi="仿宋" w:eastAsia="仿宋" w:cs="仿宋"/>
          <w:b/>
          <w:bCs/>
          <w:color w:val="000000" w:themeColor="text1"/>
          <w:sz w:val="36"/>
          <w:szCs w:val="36"/>
          <w:lang w:eastAsia="zh-CN"/>
          <w14:textFill>
            <w14:solidFill>
              <w14:schemeClr w14:val="tx1"/>
            </w14:solidFill>
          </w14:textFill>
        </w:rPr>
      </w:pPr>
    </w:p>
    <w:p w14:paraId="7B82AAB1">
      <w:pPr>
        <w:spacing w:line="440" w:lineRule="exact"/>
        <w:ind w:firstLine="356" w:firstLineChars="147"/>
        <w:rPr>
          <w:rFonts w:ascii="仿宋" w:hAnsi="仿宋" w:eastAsia="仿宋" w:cs="仿宋"/>
          <w:b/>
          <w:color w:val="FF0000"/>
          <w:szCs w:val="20"/>
          <w:highlight w:val="none"/>
          <w:lang w:eastAsia="zh-CN"/>
        </w:rPr>
      </w:pPr>
      <w:r>
        <w:rPr>
          <w:rFonts w:ascii="仿宋" w:hAnsi="仿宋" w:eastAsia="仿宋" w:cs="仿宋"/>
          <w:b/>
          <w:color w:val="auto"/>
          <w:szCs w:val="20"/>
          <w:highlight w:val="none"/>
          <w:lang w:eastAsia="zh-CN"/>
        </w:rPr>
        <w:t>6</w:t>
      </w:r>
      <w:r>
        <w:rPr>
          <w:rFonts w:hint="eastAsia" w:ascii="仿宋" w:hAnsi="仿宋" w:eastAsia="仿宋" w:cs="仿宋"/>
          <w:b/>
          <w:color w:val="auto"/>
          <w:szCs w:val="20"/>
          <w:highlight w:val="none"/>
          <w:lang w:eastAsia="zh-CN"/>
        </w:rPr>
        <w:t>、缴纳保证金凭证或保函等票据。</w:t>
      </w:r>
      <w:r>
        <w:rPr>
          <w:rFonts w:hint="eastAsia" w:ascii="仿宋" w:hAnsi="仿宋" w:eastAsia="仿宋" w:cs="仿宋"/>
          <w:b/>
          <w:color w:val="auto"/>
          <w:szCs w:val="20"/>
          <w:highlight w:val="none"/>
          <w:lang w:val="en-US" w:eastAsia="zh-CN"/>
        </w:rPr>
        <w:t>投标保证金的各种缴纳方式均须从公司基本账户支出，其他账户支出的保证金无效。（需提供基本账户信息）</w:t>
      </w:r>
    </w:p>
    <w:p w14:paraId="5FEDA37A">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7AEC9787">
      <w:pPr>
        <w:ind w:firstLine="486" w:firstLineChars="200"/>
        <w:rPr>
          <w:rFonts w:ascii="仿宋" w:hAnsi="仿宋" w:eastAsia="仿宋" w:cs="仿宋"/>
          <w:color w:val="000000" w:themeColor="text1"/>
          <w:lang w:eastAsia="zh-CN"/>
          <w14:textFill>
            <w14:solidFill>
              <w14:schemeClr w14:val="tx1"/>
            </w14:solidFill>
          </w14:textFill>
        </w:rPr>
      </w:pPr>
      <w:bookmarkStart w:id="67" w:name="_Toc494296665"/>
      <w:bookmarkStart w:id="68" w:name="_Toc494296991"/>
    </w:p>
    <w:bookmarkEnd w:id="67"/>
    <w:bookmarkEnd w:id="68"/>
    <w:p w14:paraId="6FC780A3">
      <w:pPr>
        <w:pStyle w:val="6"/>
        <w:rPr>
          <w:rFonts w:ascii="仿宋" w:hAnsi="仿宋" w:eastAsia="仿宋" w:cs="仿宋"/>
          <w:color w:val="000000" w:themeColor="text1"/>
          <w:lang w:eastAsia="zh-CN"/>
          <w14:textFill>
            <w14:solidFill>
              <w14:schemeClr w14:val="tx1"/>
            </w14:solidFill>
          </w14:textFill>
        </w:rPr>
      </w:pPr>
    </w:p>
    <w:p w14:paraId="2BF82A9C">
      <w:pPr>
        <w:pStyle w:val="6"/>
        <w:rPr>
          <w:rFonts w:ascii="仿宋" w:hAnsi="仿宋" w:eastAsia="仿宋" w:cs="仿宋"/>
          <w:color w:val="000000" w:themeColor="text1"/>
          <w:lang w:eastAsia="zh-CN"/>
          <w14:textFill>
            <w14:solidFill>
              <w14:schemeClr w14:val="tx1"/>
            </w14:solidFill>
          </w14:textFill>
        </w:rPr>
      </w:pPr>
    </w:p>
    <w:p w14:paraId="2D5D259C">
      <w:pPr>
        <w:spacing w:line="240" w:lineRule="atLeast"/>
        <w:ind w:left="1164" w:leftChars="257" w:hanging="540"/>
        <w:jc w:val="center"/>
        <w:rPr>
          <w:rFonts w:ascii="仿宋" w:hAnsi="仿宋" w:eastAsia="仿宋" w:cs="仿宋"/>
          <w:color w:val="000000" w:themeColor="text1"/>
          <w:lang w:eastAsia="zh-CN"/>
          <w14:textFill>
            <w14:solidFill>
              <w14:schemeClr w14:val="tx1"/>
            </w14:solidFill>
          </w14:textFill>
        </w:rPr>
      </w:pPr>
    </w:p>
    <w:p w14:paraId="35948ADF">
      <w:pPr>
        <w:rPr>
          <w:rFonts w:ascii="仿宋" w:hAnsi="仿宋" w:eastAsia="仿宋" w:cs="仿宋"/>
          <w:color w:val="000000" w:themeColor="text1"/>
          <w:sz w:val="28"/>
          <w:szCs w:val="28"/>
          <w:lang w:eastAsia="zh-CN"/>
          <w14:textFill>
            <w14:solidFill>
              <w14:schemeClr w14:val="tx1"/>
            </w14:solidFill>
          </w14:textFill>
        </w:rPr>
      </w:pPr>
    </w:p>
    <w:p w14:paraId="431E30D2">
      <w:pPr>
        <w:pStyle w:val="6"/>
        <w:rPr>
          <w:rFonts w:ascii="仿宋" w:hAnsi="仿宋" w:eastAsia="仿宋" w:cs="仿宋"/>
          <w:color w:val="000000" w:themeColor="text1"/>
          <w:lang w:eastAsia="zh-CN"/>
          <w14:textFill>
            <w14:solidFill>
              <w14:schemeClr w14:val="tx1"/>
            </w14:solidFill>
          </w14:textFill>
        </w:rPr>
      </w:pPr>
    </w:p>
    <w:p w14:paraId="1E7341EA">
      <w:pPr>
        <w:pStyle w:val="6"/>
        <w:rPr>
          <w:rFonts w:ascii="仿宋" w:hAnsi="仿宋" w:eastAsia="仿宋" w:cs="仿宋"/>
          <w:color w:val="000000" w:themeColor="text1"/>
          <w:lang w:eastAsia="zh-CN"/>
          <w14:textFill>
            <w14:solidFill>
              <w14:schemeClr w14:val="tx1"/>
            </w14:solidFill>
          </w14:textFill>
        </w:rPr>
      </w:pPr>
    </w:p>
    <w:p w14:paraId="287124B5">
      <w:pPr>
        <w:pStyle w:val="6"/>
        <w:rPr>
          <w:rFonts w:ascii="仿宋" w:hAnsi="仿宋" w:eastAsia="仿宋" w:cs="仿宋"/>
          <w:color w:val="000000" w:themeColor="text1"/>
          <w:lang w:eastAsia="zh-CN"/>
          <w14:textFill>
            <w14:solidFill>
              <w14:schemeClr w14:val="tx1"/>
            </w14:solidFill>
          </w14:textFill>
        </w:rPr>
      </w:pPr>
    </w:p>
    <w:p w14:paraId="42035C69">
      <w:pPr>
        <w:pStyle w:val="6"/>
        <w:rPr>
          <w:rFonts w:ascii="仿宋" w:hAnsi="仿宋" w:eastAsia="仿宋" w:cs="仿宋"/>
          <w:color w:val="000000" w:themeColor="text1"/>
          <w:lang w:eastAsia="zh-CN"/>
          <w14:textFill>
            <w14:solidFill>
              <w14:schemeClr w14:val="tx1"/>
            </w14:solidFill>
          </w14:textFill>
        </w:rPr>
      </w:pPr>
    </w:p>
    <w:p w14:paraId="7637ED3A">
      <w:pPr>
        <w:pStyle w:val="6"/>
        <w:rPr>
          <w:rFonts w:ascii="仿宋" w:hAnsi="仿宋" w:eastAsia="仿宋" w:cs="仿宋"/>
          <w:color w:val="000000" w:themeColor="text1"/>
          <w:lang w:eastAsia="zh-CN"/>
          <w14:textFill>
            <w14:solidFill>
              <w14:schemeClr w14:val="tx1"/>
            </w14:solidFill>
          </w14:textFill>
        </w:rPr>
      </w:pPr>
    </w:p>
    <w:p w14:paraId="35CC78B3">
      <w:pPr>
        <w:pStyle w:val="6"/>
        <w:rPr>
          <w:rFonts w:ascii="仿宋" w:hAnsi="仿宋" w:eastAsia="仿宋" w:cs="仿宋"/>
          <w:color w:val="000000" w:themeColor="text1"/>
          <w:lang w:eastAsia="zh-CN"/>
          <w14:textFill>
            <w14:solidFill>
              <w14:schemeClr w14:val="tx1"/>
            </w14:solidFill>
          </w14:textFill>
        </w:rPr>
      </w:pPr>
    </w:p>
    <w:p w14:paraId="512A5562">
      <w:pPr>
        <w:rPr>
          <w:rFonts w:ascii="仿宋" w:hAnsi="仿宋" w:eastAsia="仿宋" w:cs="仿宋"/>
          <w:color w:val="000000" w:themeColor="text1"/>
          <w:lang w:eastAsia="zh-CN"/>
          <w14:textFill>
            <w14:solidFill>
              <w14:schemeClr w14:val="tx1"/>
            </w14:solidFill>
          </w14:textFill>
        </w:rPr>
      </w:pPr>
    </w:p>
    <w:p w14:paraId="341D6AEB">
      <w:pPr>
        <w:pStyle w:val="5"/>
        <w:rPr>
          <w:rFonts w:ascii="仿宋" w:hAnsi="仿宋" w:eastAsia="仿宋" w:cs="仿宋"/>
          <w:color w:val="000000" w:themeColor="text1"/>
          <w:lang w:eastAsia="zh-CN"/>
          <w14:textFill>
            <w14:solidFill>
              <w14:schemeClr w14:val="tx1"/>
            </w14:solidFill>
          </w14:textFill>
        </w:rPr>
      </w:pPr>
    </w:p>
    <w:p w14:paraId="1BB759F9">
      <w:pPr>
        <w:rPr>
          <w:rFonts w:ascii="仿宋" w:hAnsi="仿宋" w:eastAsia="仿宋" w:cs="仿宋"/>
          <w:color w:val="000000" w:themeColor="text1"/>
          <w:lang w:eastAsia="zh-CN"/>
          <w14:textFill>
            <w14:solidFill>
              <w14:schemeClr w14:val="tx1"/>
            </w14:solidFill>
          </w14:textFill>
        </w:rPr>
      </w:pPr>
    </w:p>
    <w:p w14:paraId="7496C9A0">
      <w:pPr>
        <w:rPr>
          <w:rFonts w:ascii="仿宋" w:hAnsi="仿宋" w:eastAsia="仿宋" w:cs="仿宋"/>
          <w:color w:val="000000" w:themeColor="text1"/>
          <w:lang w:eastAsia="zh-CN"/>
          <w14:textFill>
            <w14:solidFill>
              <w14:schemeClr w14:val="tx1"/>
            </w14:solidFill>
          </w14:textFill>
        </w:rPr>
      </w:pPr>
    </w:p>
    <w:p w14:paraId="4868387A">
      <w:pPr>
        <w:rPr>
          <w:rFonts w:ascii="仿宋" w:hAnsi="仿宋" w:eastAsia="仿宋" w:cs="仿宋"/>
          <w:color w:val="000000" w:themeColor="text1"/>
          <w:lang w:eastAsia="zh-CN"/>
          <w14:textFill>
            <w14:solidFill>
              <w14:schemeClr w14:val="tx1"/>
            </w14:solidFill>
          </w14:textFill>
        </w:rPr>
      </w:pPr>
    </w:p>
    <w:p w14:paraId="63609C7D">
      <w:pPr>
        <w:jc w:val="center"/>
        <w:rPr>
          <w:rFonts w:ascii="仿宋" w:hAnsi="仿宋" w:eastAsia="仿宋" w:cs="仿宋"/>
          <w:color w:val="000000" w:themeColor="text1"/>
          <w:sz w:val="28"/>
          <w:szCs w:val="28"/>
          <w:lang w:eastAsia="zh-CN"/>
          <w14:textFill>
            <w14:solidFill>
              <w14:schemeClr w14:val="tx1"/>
            </w14:solidFill>
          </w14:textFill>
        </w:rPr>
      </w:pPr>
    </w:p>
    <w:p w14:paraId="129BCFB3">
      <w:pPr>
        <w:jc w:val="center"/>
        <w:rPr>
          <w:rFonts w:ascii="仿宋" w:hAnsi="仿宋" w:eastAsia="仿宋" w:cs="仿宋"/>
          <w:color w:val="000000" w:themeColor="text1"/>
          <w:sz w:val="28"/>
          <w:szCs w:val="28"/>
          <w:lang w:eastAsia="zh-CN"/>
          <w14:textFill>
            <w14:solidFill>
              <w14:schemeClr w14:val="tx1"/>
            </w14:solidFill>
          </w14:textFill>
        </w:rPr>
      </w:pPr>
    </w:p>
    <w:p w14:paraId="0FCE0EAC">
      <w:pPr>
        <w:jc w:val="center"/>
        <w:rPr>
          <w:rFonts w:ascii="仿宋" w:hAnsi="仿宋" w:eastAsia="仿宋" w:cs="仿宋"/>
          <w:color w:val="000000" w:themeColor="text1"/>
          <w:sz w:val="28"/>
          <w:szCs w:val="28"/>
          <w:lang w:eastAsia="zh-CN"/>
          <w14:textFill>
            <w14:solidFill>
              <w14:schemeClr w14:val="tx1"/>
            </w14:solidFill>
          </w14:textFill>
        </w:rPr>
      </w:pPr>
    </w:p>
    <w:p w14:paraId="524C8142">
      <w:pPr>
        <w:jc w:val="center"/>
        <w:rPr>
          <w:rFonts w:ascii="仿宋" w:hAnsi="仿宋" w:eastAsia="仿宋" w:cs="仿宋"/>
          <w:color w:val="000000" w:themeColor="text1"/>
          <w:sz w:val="28"/>
          <w:szCs w:val="28"/>
          <w:lang w:eastAsia="zh-CN"/>
          <w14:textFill>
            <w14:solidFill>
              <w14:schemeClr w14:val="tx1"/>
            </w14:solidFill>
          </w14:textFill>
        </w:rPr>
      </w:pPr>
    </w:p>
    <w:p w14:paraId="703148D7">
      <w:pPr>
        <w:jc w:val="center"/>
        <w:rPr>
          <w:rFonts w:ascii="仿宋" w:hAnsi="仿宋" w:eastAsia="仿宋" w:cs="仿宋"/>
          <w:color w:val="000000" w:themeColor="text1"/>
          <w:sz w:val="28"/>
          <w:szCs w:val="28"/>
          <w:lang w:eastAsia="zh-CN"/>
          <w14:textFill>
            <w14:solidFill>
              <w14:schemeClr w14:val="tx1"/>
            </w14:solidFill>
          </w14:textFill>
        </w:rPr>
      </w:pPr>
    </w:p>
    <w:p w14:paraId="236C4E1C">
      <w:pPr>
        <w:jc w:val="center"/>
        <w:rPr>
          <w:rFonts w:ascii="仿宋" w:hAnsi="仿宋" w:eastAsia="仿宋" w:cs="仿宋"/>
          <w:color w:val="000000" w:themeColor="text1"/>
          <w:sz w:val="28"/>
          <w:szCs w:val="28"/>
          <w:lang w:eastAsia="zh-CN"/>
          <w14:textFill>
            <w14:solidFill>
              <w14:schemeClr w14:val="tx1"/>
            </w14:solidFill>
          </w14:textFill>
        </w:rPr>
      </w:pPr>
    </w:p>
    <w:p w14:paraId="77F049C4">
      <w:pPr>
        <w:jc w:val="center"/>
        <w:rPr>
          <w:rFonts w:ascii="仿宋" w:hAnsi="仿宋" w:eastAsia="仿宋" w:cs="仿宋"/>
          <w:color w:val="000000" w:themeColor="text1"/>
          <w:sz w:val="28"/>
          <w:szCs w:val="28"/>
          <w:lang w:eastAsia="zh-CN"/>
          <w14:textFill>
            <w14:solidFill>
              <w14:schemeClr w14:val="tx1"/>
            </w14:solidFill>
          </w14:textFill>
        </w:rPr>
      </w:pPr>
    </w:p>
    <w:p w14:paraId="5527822F">
      <w:pPr>
        <w:jc w:val="center"/>
        <w:rPr>
          <w:rFonts w:ascii="仿宋" w:hAnsi="仿宋" w:eastAsia="仿宋" w:cs="仿宋"/>
          <w:color w:val="000000" w:themeColor="text1"/>
          <w:sz w:val="28"/>
          <w:szCs w:val="28"/>
          <w:lang w:eastAsia="zh-CN"/>
          <w14:textFill>
            <w14:solidFill>
              <w14:schemeClr w14:val="tx1"/>
            </w14:solidFill>
          </w14:textFill>
        </w:rPr>
      </w:pPr>
    </w:p>
    <w:p w14:paraId="43FECCE7">
      <w:pPr>
        <w:jc w:val="center"/>
        <w:rPr>
          <w:rFonts w:ascii="仿宋" w:hAnsi="仿宋" w:eastAsia="仿宋" w:cs="仿宋"/>
          <w:color w:val="000000" w:themeColor="text1"/>
          <w:sz w:val="28"/>
          <w:szCs w:val="28"/>
          <w:lang w:eastAsia="zh-CN"/>
          <w14:textFill>
            <w14:solidFill>
              <w14:schemeClr w14:val="tx1"/>
            </w14:solidFill>
          </w14:textFill>
        </w:rPr>
      </w:pPr>
    </w:p>
    <w:p w14:paraId="27FA8E4A">
      <w:pPr>
        <w:spacing w:line="360" w:lineRule="auto"/>
        <w:jc w:val="lef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7、保密承诺书</w:t>
      </w:r>
    </w:p>
    <w:p w14:paraId="4ACEF21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保密承诺书</w:t>
      </w:r>
    </w:p>
    <w:p w14:paraId="62897AEF">
      <w:pPr>
        <w:spacing w:line="52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 xml:space="preserve">巴里坤哈萨克自治县三塘湖工业园区管理委员会 </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 xml:space="preserve"> </w:t>
      </w:r>
    </w:p>
    <w:p w14:paraId="45076DCB">
      <w:pPr>
        <w:pStyle w:val="10"/>
        <w:spacing w:line="520" w:lineRule="exact"/>
        <w:ind w:left="0" w:leftChars="0" w:firstLine="486"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现我公司参加了贵单位组织的</w:t>
      </w:r>
      <w:r>
        <w:rPr>
          <w:rFonts w:hint="eastAsia" w:ascii="仿宋" w:hAnsi="仿宋" w:eastAsia="仿宋" w:cs="仿宋"/>
          <w:kern w:val="2"/>
          <w:sz w:val="24"/>
          <w:szCs w:val="24"/>
          <w:highlight w:val="none"/>
          <w:lang w:eastAsia="zh-CN"/>
        </w:rPr>
        <w:t>巴里坤县智慧指挥中心基础设施建设项目（</w:t>
      </w:r>
      <w:r>
        <w:rPr>
          <w:rFonts w:hint="eastAsia" w:ascii="仿宋" w:hAnsi="仿宋" w:eastAsia="仿宋" w:cs="仿宋"/>
          <w:kern w:val="2"/>
          <w:sz w:val="24"/>
          <w:szCs w:val="24"/>
          <w:highlight w:val="none"/>
          <w:lang w:val="en-US" w:eastAsia="zh-CN"/>
        </w:rPr>
        <w:t>一</w:t>
      </w:r>
      <w:r>
        <w:rPr>
          <w:rFonts w:hint="eastAsia" w:ascii="仿宋" w:hAnsi="仿宋" w:eastAsia="仿宋" w:cs="仿宋"/>
          <w:kern w:val="2"/>
          <w:sz w:val="24"/>
          <w:szCs w:val="24"/>
          <w:highlight w:val="none"/>
          <w:lang w:eastAsia="zh-CN"/>
        </w:rPr>
        <w:t>标段）</w:t>
      </w:r>
      <w:r>
        <w:rPr>
          <w:rFonts w:hint="eastAsia" w:ascii="仿宋" w:hAnsi="仿宋" w:eastAsia="仿宋" w:cs="仿宋"/>
          <w:kern w:val="2"/>
          <w:sz w:val="24"/>
          <w:szCs w:val="24"/>
          <w:highlight w:val="none"/>
        </w:rPr>
        <w:t>的招标。为有效保守贵单位</w:t>
      </w:r>
      <w:r>
        <w:rPr>
          <w:rFonts w:hint="eastAsia" w:ascii="仿宋" w:hAnsi="仿宋" w:eastAsia="仿宋" w:cs="仿宋"/>
          <w:kern w:val="2"/>
          <w:sz w:val="24"/>
          <w:szCs w:val="24"/>
          <w:highlight w:val="none"/>
          <w:lang w:eastAsia="zh-CN"/>
        </w:rPr>
        <w:t>国家、</w:t>
      </w:r>
      <w:r>
        <w:rPr>
          <w:rFonts w:hint="eastAsia" w:ascii="仿宋" w:hAnsi="仿宋" w:eastAsia="仿宋" w:cs="仿宋"/>
          <w:kern w:val="2"/>
          <w:sz w:val="24"/>
          <w:szCs w:val="24"/>
          <w:highlight w:val="none"/>
        </w:rPr>
        <w:t>商业秘密，明确我公司单位和人员的保密责任，特此承诺：</w:t>
      </w:r>
    </w:p>
    <w:p w14:paraId="7C0B6AE7">
      <w:pPr>
        <w:spacing w:line="520" w:lineRule="exact"/>
        <w:ind w:right="174" w:rightChars="72"/>
        <w:rPr>
          <w:rFonts w:hint="eastAsia" w:ascii="仿宋" w:hAnsi="仿宋" w:eastAsia="仿宋" w:cs="仿宋"/>
          <w:bCs/>
          <w:kern w:val="0"/>
          <w:sz w:val="24"/>
          <w:szCs w:val="24"/>
          <w:highlight w:val="none"/>
        </w:rPr>
      </w:pPr>
      <w:r>
        <w:rPr>
          <w:rFonts w:hint="eastAsia" w:ascii="仿宋" w:hAnsi="仿宋" w:eastAsia="仿宋" w:cs="仿宋"/>
          <w:bCs/>
          <w:sz w:val="24"/>
          <w:szCs w:val="24"/>
          <w:highlight w:val="none"/>
        </w:rPr>
        <w:t>一、保密的内容与范围</w:t>
      </w:r>
    </w:p>
    <w:p w14:paraId="6EF39A6B">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贵单位因我公司招标工作需要传送或交付给我公司的项目文件及未来传送或交付给我公司的与项目相关的任何商业、行政或其它相关信息、文件、资料等，包括但不限于我公司在招标过程中获知的既存和/或潜在的商业交易、可行性研究、建议、设计方案、建设项目等特定信息、资料，均属于保密信息的范畴。</w:t>
      </w:r>
    </w:p>
    <w:p w14:paraId="6BEAC01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二、保密责任</w:t>
      </w:r>
    </w:p>
    <w:p w14:paraId="1CC73A2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l、我公司对在整个招标过程中知悉的保密信息负有保密责任。我公司在整个招标过程中，应遵守中华人民共和国的法律、法规及贵单位保密工作管理规定，做到不该问的秘密不问，不准看的秘密不看，不该记录的秘密不记录。</w:t>
      </w:r>
    </w:p>
    <w:p w14:paraId="720C88D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2、非经贵单位授权，我公司不得以任何直接或间接的方式泄露、散布、发表、披露、传递或者其它方式利用保密信息。</w:t>
      </w:r>
    </w:p>
    <w:p w14:paraId="0751D93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3、未经贵单位同意，我公司不得对贵单位的产品、厂房、设备设施及工作环境和场所摄像、拍照</w:t>
      </w:r>
    </w:p>
    <w:p w14:paraId="2E909816">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4、未经贵单位同意，我公司不得私自携带各种涉密载体(如：文件、图纸、资料、计算机磁盘、光盘、活动硬盘等)。</w:t>
      </w:r>
    </w:p>
    <w:p w14:paraId="384F1F2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5、我公司同意维护贵单位通过口头、书面、电子邮件和/或其它方式提供给我公司的保密信息的保密性。</w:t>
      </w:r>
    </w:p>
    <w:p w14:paraId="2EBA9C22">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6、我公司承诺以严格保密的态度、方式对待保密信息。我公司同意将采取必要和适当的预防措施来维护保密信息的保密性。贵单位有明确要求的，我公司承诺将遵循贵单位以书面形式提出的要求我公司采取的任何合理防范措施。</w:t>
      </w:r>
    </w:p>
    <w:p w14:paraId="013C68C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7、我公司同意对其参加服务的相关工作人员进行保密教育，履行保密义务，签订保密协议，确保贵单位利益。</w:t>
      </w:r>
    </w:p>
    <w:p w14:paraId="17A3A730">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8、我公司违反本承诺造成泄密，给贵单位造成损失的，贵单位有保留追究我公司责任的权利，对构成犯罪的人员，交有关部门依法追究其法律责任。</w:t>
      </w:r>
    </w:p>
    <w:p w14:paraId="161AD6E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三、保密信息的权利归属及移交</w:t>
      </w:r>
    </w:p>
    <w:p w14:paraId="0E8B2F6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1、贵单位作为本承诺下保密信息的合法权利人，享有对保密信息的一切权利。</w:t>
      </w:r>
    </w:p>
    <w:p w14:paraId="7332792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2、一旦本承诺所涉的项目终止或者经贵单位要求，我公司应当及时归还贵单位提供的所有/任何含有或属于保密信息的任何载体的材料，并且消除或销毁所有无形的相关保密信息。</w:t>
      </w:r>
    </w:p>
    <w:p w14:paraId="527069A7">
      <w:pPr>
        <w:tabs>
          <w:tab w:val="left" w:pos="1008"/>
        </w:tabs>
        <w:spacing w:line="360" w:lineRule="auto"/>
        <w:rPr>
          <w:rFonts w:hint="eastAsia" w:ascii="仿宋" w:hAnsi="仿宋" w:eastAsia="仿宋" w:cs="仿宋"/>
          <w:sz w:val="24"/>
          <w:szCs w:val="24"/>
          <w:highlight w:val="none"/>
        </w:rPr>
      </w:pPr>
    </w:p>
    <w:p w14:paraId="3DD5C2D2">
      <w:pPr>
        <w:autoSpaceDE w:val="0"/>
        <w:autoSpaceDN w:val="0"/>
        <w:adjustRightInd w:val="0"/>
        <w:spacing w:line="360" w:lineRule="auto"/>
        <w:ind w:left="-136" w:leftChars="-56" w:firstLine="142" w:firstLineChars="59"/>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单位盖章： </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法定代表人或其委托代理人</w:t>
      </w:r>
      <w:r>
        <w:rPr>
          <w:rFonts w:hint="eastAsia" w:ascii="仿宋" w:hAnsi="仿宋" w:eastAsia="仿宋" w:cs="仿宋"/>
          <w:b/>
          <w:sz w:val="24"/>
          <w:szCs w:val="24"/>
          <w:highlight w:val="none"/>
          <w:lang w:val="en-US" w:eastAsia="zh-CN"/>
        </w:rPr>
        <w:t>（签字或盖章）</w:t>
      </w:r>
      <w:r>
        <w:rPr>
          <w:rFonts w:hint="eastAsia" w:ascii="仿宋" w:hAnsi="仿宋" w:eastAsia="仿宋" w:cs="仿宋"/>
          <w:b/>
          <w:sz w:val="24"/>
          <w:szCs w:val="24"/>
          <w:highlight w:val="none"/>
        </w:rPr>
        <w:t>：</w:t>
      </w:r>
    </w:p>
    <w:p w14:paraId="37520B57">
      <w:pPr>
        <w:autoSpaceDE w:val="0"/>
        <w:autoSpaceDN w:val="0"/>
        <w:adjustRightInd w:val="0"/>
        <w:spacing w:line="360" w:lineRule="auto"/>
        <w:ind w:left="4216" w:hanging="3402" w:hangingChars="14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地址：　　　　　　　　　　　　　  　　　　　　　　　　　　　　　　</w:t>
      </w:r>
    </w:p>
    <w:p w14:paraId="7698302D">
      <w:pPr>
        <w:autoSpaceDE w:val="0"/>
        <w:autoSpaceDN w:val="0"/>
        <w:adjustRightInd w:val="0"/>
        <w:spacing w:before="120" w:after="120" w:line="360" w:lineRule="auto"/>
        <w:ind w:right="174" w:rightChars="72" w:firstLine="1944" w:firstLineChars="800"/>
        <w:rPr>
          <w:rFonts w:hint="eastAsia" w:ascii="仿宋" w:hAnsi="仿宋" w:eastAsia="仿宋" w:cs="仿宋"/>
          <w:b/>
          <w:sz w:val="24"/>
          <w:szCs w:val="24"/>
          <w:highlight w:val="none"/>
        </w:rPr>
      </w:pPr>
      <w:r>
        <w:rPr>
          <w:rFonts w:hint="eastAsia" w:ascii="仿宋" w:hAnsi="仿宋" w:eastAsia="仿宋" w:cs="仿宋"/>
          <w:b/>
          <w:sz w:val="24"/>
          <w:szCs w:val="24"/>
          <w:highlight w:val="none"/>
        </w:rPr>
        <w:t>电话：</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u w:val="single"/>
        </w:rPr>
        <w:t>202</w:t>
      </w:r>
      <w:r>
        <w:rPr>
          <w:rFonts w:hint="eastAsia" w:ascii="仿宋" w:hAnsi="仿宋" w:eastAsia="仿宋" w:cs="仿宋"/>
          <w:b/>
          <w:sz w:val="24"/>
          <w:szCs w:val="24"/>
          <w:highlight w:val="none"/>
          <w:u w:val="single"/>
          <w:lang w:val="en-US" w:eastAsia="zh-CN"/>
        </w:rPr>
        <w:t>5</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rPr>
        <w:t>日</w:t>
      </w:r>
    </w:p>
    <w:p w14:paraId="0B29C0D5">
      <w:pPr>
        <w:jc w:val="center"/>
        <w:rPr>
          <w:rFonts w:ascii="仿宋" w:hAnsi="仿宋" w:eastAsia="仿宋" w:cs="仿宋"/>
          <w:color w:val="000000" w:themeColor="text1"/>
          <w:sz w:val="28"/>
          <w:szCs w:val="28"/>
          <w:lang w:eastAsia="zh-CN"/>
          <w14:textFill>
            <w14:solidFill>
              <w14:schemeClr w14:val="tx1"/>
            </w14:solidFill>
          </w14:textFill>
        </w:rPr>
      </w:pPr>
    </w:p>
    <w:p w14:paraId="2D4222F3">
      <w:pPr>
        <w:jc w:val="center"/>
        <w:rPr>
          <w:rFonts w:ascii="仿宋" w:hAnsi="仿宋" w:eastAsia="仿宋" w:cs="仿宋"/>
          <w:color w:val="000000" w:themeColor="text1"/>
          <w:sz w:val="28"/>
          <w:szCs w:val="28"/>
          <w:lang w:eastAsia="zh-CN"/>
          <w14:textFill>
            <w14:solidFill>
              <w14:schemeClr w14:val="tx1"/>
            </w14:solidFill>
          </w14:textFill>
        </w:rPr>
      </w:pPr>
    </w:p>
    <w:p w14:paraId="0E5EBFC0">
      <w:pPr>
        <w:jc w:val="center"/>
        <w:rPr>
          <w:rFonts w:ascii="仿宋" w:hAnsi="仿宋" w:eastAsia="仿宋" w:cs="仿宋"/>
          <w:color w:val="000000" w:themeColor="text1"/>
          <w:sz w:val="28"/>
          <w:szCs w:val="28"/>
          <w:lang w:eastAsia="zh-CN"/>
          <w14:textFill>
            <w14:solidFill>
              <w14:schemeClr w14:val="tx1"/>
            </w14:solidFill>
          </w14:textFill>
        </w:rPr>
      </w:pPr>
    </w:p>
    <w:p w14:paraId="2B8857A4">
      <w:pPr>
        <w:jc w:val="center"/>
        <w:rPr>
          <w:rFonts w:ascii="仿宋" w:hAnsi="仿宋" w:eastAsia="仿宋" w:cs="仿宋"/>
          <w:color w:val="000000" w:themeColor="text1"/>
          <w:sz w:val="28"/>
          <w:szCs w:val="28"/>
          <w:lang w:eastAsia="zh-CN"/>
          <w14:textFill>
            <w14:solidFill>
              <w14:schemeClr w14:val="tx1"/>
            </w14:solidFill>
          </w14:textFill>
        </w:rPr>
      </w:pPr>
    </w:p>
    <w:p w14:paraId="259D6178">
      <w:pPr>
        <w:jc w:val="center"/>
        <w:rPr>
          <w:rFonts w:ascii="仿宋" w:hAnsi="仿宋" w:eastAsia="仿宋" w:cs="仿宋"/>
          <w:color w:val="000000" w:themeColor="text1"/>
          <w:sz w:val="28"/>
          <w:szCs w:val="28"/>
          <w:lang w:eastAsia="zh-CN"/>
          <w14:textFill>
            <w14:solidFill>
              <w14:schemeClr w14:val="tx1"/>
            </w14:solidFill>
          </w14:textFill>
        </w:rPr>
      </w:pPr>
    </w:p>
    <w:p w14:paraId="1A6A63BC">
      <w:pPr>
        <w:jc w:val="center"/>
        <w:rPr>
          <w:rFonts w:ascii="仿宋" w:hAnsi="仿宋" w:eastAsia="仿宋" w:cs="仿宋"/>
          <w:color w:val="000000" w:themeColor="text1"/>
          <w:sz w:val="28"/>
          <w:szCs w:val="28"/>
          <w:lang w:eastAsia="zh-CN"/>
          <w14:textFill>
            <w14:solidFill>
              <w14:schemeClr w14:val="tx1"/>
            </w14:solidFill>
          </w14:textFill>
        </w:rPr>
      </w:pPr>
    </w:p>
    <w:p w14:paraId="1FE32046">
      <w:pPr>
        <w:jc w:val="center"/>
        <w:rPr>
          <w:rFonts w:ascii="仿宋" w:hAnsi="仿宋" w:eastAsia="仿宋" w:cs="仿宋"/>
          <w:color w:val="000000" w:themeColor="text1"/>
          <w:sz w:val="28"/>
          <w:szCs w:val="28"/>
          <w:lang w:eastAsia="zh-CN"/>
          <w14:textFill>
            <w14:solidFill>
              <w14:schemeClr w14:val="tx1"/>
            </w14:solidFill>
          </w14:textFill>
        </w:rPr>
      </w:pPr>
    </w:p>
    <w:p w14:paraId="12FC693C">
      <w:pPr>
        <w:jc w:val="center"/>
        <w:rPr>
          <w:rFonts w:ascii="仿宋" w:hAnsi="仿宋" w:eastAsia="仿宋" w:cs="仿宋"/>
          <w:color w:val="000000" w:themeColor="text1"/>
          <w:sz w:val="28"/>
          <w:szCs w:val="28"/>
          <w:lang w:eastAsia="zh-CN"/>
          <w14:textFill>
            <w14:solidFill>
              <w14:schemeClr w14:val="tx1"/>
            </w14:solidFill>
          </w14:textFill>
        </w:rPr>
      </w:pPr>
    </w:p>
    <w:p w14:paraId="20D8A5B8">
      <w:pPr>
        <w:jc w:val="center"/>
        <w:rPr>
          <w:rFonts w:ascii="仿宋" w:hAnsi="仿宋" w:eastAsia="仿宋" w:cs="仿宋"/>
          <w:color w:val="000000" w:themeColor="text1"/>
          <w:sz w:val="28"/>
          <w:szCs w:val="28"/>
          <w:lang w:eastAsia="zh-CN"/>
          <w14:textFill>
            <w14:solidFill>
              <w14:schemeClr w14:val="tx1"/>
            </w14:solidFill>
          </w14:textFill>
        </w:rPr>
      </w:pPr>
    </w:p>
    <w:p w14:paraId="5AE3DF86">
      <w:pPr>
        <w:rPr>
          <w:rFonts w:ascii="仿宋" w:hAnsi="仿宋" w:eastAsia="仿宋" w:cs="仿宋"/>
          <w:color w:val="auto"/>
          <w:sz w:val="32"/>
          <w:szCs w:val="32"/>
          <w:lang w:eastAsia="zh-CN"/>
        </w:rPr>
      </w:pPr>
      <w:bookmarkStart w:id="69" w:name="_Toc11180"/>
      <w:bookmarkStart w:id="70" w:name="_Toc22967"/>
      <w:bookmarkStart w:id="71" w:name="_Toc5695"/>
      <w:bookmarkStart w:id="72" w:name="_Toc515647816"/>
      <w:r>
        <w:rPr>
          <w:rFonts w:hint="eastAsia" w:ascii="仿宋" w:hAnsi="仿宋" w:eastAsia="仿宋" w:cs="仿宋"/>
          <w:color w:val="auto"/>
          <w:sz w:val="32"/>
          <w:szCs w:val="32"/>
          <w:lang w:eastAsia="zh-CN"/>
        </w:rPr>
        <w:t>第二部分  商务及技术文件</w:t>
      </w:r>
      <w:bookmarkEnd w:id="69"/>
      <w:bookmarkEnd w:id="70"/>
      <w:bookmarkEnd w:id="71"/>
      <w:bookmarkEnd w:id="72"/>
    </w:p>
    <w:p w14:paraId="1A739A5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3182143">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14:paraId="10D1110C">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3、货物说明一览表</w:t>
      </w:r>
    </w:p>
    <w:p w14:paraId="044925D6">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32161F63">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572C374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16A6EF5F">
      <w:pPr>
        <w:pStyle w:val="11"/>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14:paraId="3BA3951B">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8、类似项目业绩表</w:t>
      </w:r>
    </w:p>
    <w:p w14:paraId="2F995F23">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2E3CF9BC">
      <w:pPr>
        <w:pStyle w:val="11"/>
        <w:spacing w:line="400" w:lineRule="exact"/>
        <w:ind w:left="359" w:leftChars="148" w:firstLine="228"/>
        <w:rPr>
          <w:rFonts w:ascii="仿宋" w:hAnsi="仿宋" w:eastAsia="仿宋" w:cs="仿宋"/>
          <w:color w:val="auto"/>
          <w:lang w:eastAsia="zh-CN"/>
        </w:rPr>
      </w:pPr>
      <w:bookmarkStart w:id="73" w:name="_Hlk144581557"/>
      <w:r>
        <w:rPr>
          <w:rFonts w:hint="eastAsia" w:ascii="仿宋" w:hAnsi="仿宋" w:eastAsia="仿宋" w:cs="仿宋"/>
          <w:color w:val="auto"/>
          <w:lang w:eastAsia="zh-CN"/>
        </w:rPr>
        <w:t>10、《残疾人福利性单位声明函》</w:t>
      </w:r>
    </w:p>
    <w:bookmarkEnd w:id="73"/>
    <w:p w14:paraId="61B6498B">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1F64EE6A">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66308685">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C2E2AF2">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778689CC">
      <w:pPr>
        <w:pStyle w:val="11"/>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14:paraId="561AA953">
      <w:pPr>
        <w:pStyle w:val="9"/>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14:paraId="345F9F1C">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14:paraId="309CE94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w:t>
      </w:r>
      <w:r>
        <w:rPr>
          <w:rFonts w:hint="eastAsia" w:ascii="仿宋" w:hAnsi="仿宋" w:eastAsia="仿宋" w:cs="仿宋"/>
          <w:lang w:val="en-US" w:eastAsia="zh-CN"/>
        </w:rPr>
        <w:t>项目编号</w:t>
      </w:r>
      <w:r>
        <w:rPr>
          <w:rFonts w:hint="eastAsia" w:ascii="仿宋" w:hAnsi="仿宋" w:eastAsia="仿宋" w:cs="仿宋"/>
          <w:lang w:eastAsia="zh-CN"/>
        </w:rPr>
        <w:t>为：</w:t>
      </w:r>
      <w:r>
        <w:rPr>
          <w:rFonts w:hint="eastAsia" w:ascii="仿宋" w:hAnsi="仿宋" w:eastAsia="仿宋" w:cs="仿宋"/>
          <w:u w:val="single"/>
          <w:lang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14:paraId="1491A572">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14:paraId="0B4D39C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207BA2">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14:paraId="5AF4C53D">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14:paraId="7364752C">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14:paraId="10BE9155">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 xml:space="preserve">     </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93D5D3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14:paraId="63C6CD6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14:paraId="7CB6636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14:paraId="5B40562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14:paraId="0496869C">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14:paraId="4A32C37D">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14:paraId="3EDB3B2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14:paraId="689092F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14:paraId="66B96FB1">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14:paraId="76B06916">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14:paraId="6089EEF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14:paraId="00362A98">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14:paraId="18325764">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14:paraId="34F2548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14:paraId="71386F1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14:paraId="5D386B9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14:paraId="3CB936E7">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14:paraId="3DE99DF5">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B76489C">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11AD6727">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4B80AC54">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7C79601">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14:paraId="3C210BB6">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14:paraId="3BF4E016">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14:paraId="5B63B625">
      <w:pPr>
        <w:pStyle w:val="41"/>
        <w:rPr>
          <w:rFonts w:ascii="仿宋" w:hAnsi="仿宋" w:eastAsia="仿宋" w:cs="仿宋"/>
          <w:color w:val="auto"/>
          <w:lang w:eastAsia="zh-CN"/>
        </w:rPr>
      </w:pPr>
      <w:r>
        <w:rPr>
          <w:rFonts w:hint="eastAsia" w:ascii="仿宋" w:hAnsi="仿宋" w:eastAsia="仿宋" w:cs="仿宋"/>
          <w:lang w:eastAsia="zh-CN"/>
        </w:rPr>
        <w:br w:type="page"/>
      </w:r>
    </w:p>
    <w:p w14:paraId="008FC980">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14:paraId="309E47FE">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7E1F5016">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0476AF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3C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7235600">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14:paraId="2B1E6F93">
            <w:pPr>
              <w:rPr>
                <w:rFonts w:ascii="仿宋" w:hAnsi="仿宋" w:eastAsia="仿宋" w:cs="仿宋"/>
                <w:color w:val="auto"/>
                <w:szCs w:val="21"/>
              </w:rPr>
            </w:pPr>
          </w:p>
        </w:tc>
      </w:tr>
      <w:tr w14:paraId="5CA2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8" w:hRule="atLeast"/>
        </w:trPr>
        <w:tc>
          <w:tcPr>
            <w:tcW w:w="2595" w:type="dxa"/>
            <w:gridSpan w:val="2"/>
            <w:vAlign w:val="center"/>
          </w:tcPr>
          <w:p w14:paraId="05865EEA">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交货期</w:t>
            </w:r>
          </w:p>
        </w:tc>
        <w:tc>
          <w:tcPr>
            <w:tcW w:w="6185" w:type="dxa"/>
            <w:vAlign w:val="center"/>
          </w:tcPr>
          <w:p w14:paraId="49A00720">
            <w:pPr>
              <w:jc w:val="center"/>
              <w:rPr>
                <w:rFonts w:ascii="仿宋" w:hAnsi="仿宋" w:eastAsia="仿宋" w:cs="仿宋"/>
                <w:color w:val="auto"/>
                <w:szCs w:val="21"/>
              </w:rPr>
            </w:pPr>
          </w:p>
        </w:tc>
      </w:tr>
      <w:tr w14:paraId="13B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54942DAD">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377A388C">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天</w:t>
            </w:r>
          </w:p>
        </w:tc>
      </w:tr>
      <w:tr w14:paraId="7E2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252D10C8">
            <w:pPr>
              <w:jc w:val="center"/>
              <w:rPr>
                <w:rFonts w:ascii="仿宋" w:hAnsi="仿宋" w:eastAsia="仿宋" w:cs="仿宋"/>
                <w:color w:val="auto"/>
                <w:szCs w:val="21"/>
              </w:rPr>
            </w:pPr>
            <w:r>
              <w:rPr>
                <w:rFonts w:hint="eastAsia" w:ascii="仿宋" w:hAnsi="仿宋" w:eastAsia="仿宋" w:cs="仿宋"/>
                <w:color w:val="auto"/>
                <w:szCs w:val="21"/>
              </w:rPr>
              <w:t>投标报价</w:t>
            </w:r>
          </w:p>
          <w:p w14:paraId="624FC7D0">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4897AF57">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4C6BBF0F">
            <w:pPr>
              <w:jc w:val="center"/>
              <w:rPr>
                <w:rFonts w:ascii="仿宋" w:hAnsi="仿宋" w:eastAsia="仿宋" w:cs="仿宋"/>
                <w:color w:val="auto"/>
                <w:szCs w:val="21"/>
              </w:rPr>
            </w:pPr>
          </w:p>
        </w:tc>
      </w:tr>
      <w:tr w14:paraId="2D9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vAlign w:val="center"/>
          </w:tcPr>
          <w:p w14:paraId="15D95705">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736656D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45E313C2">
            <w:pPr>
              <w:jc w:val="center"/>
              <w:rPr>
                <w:rFonts w:ascii="仿宋" w:hAnsi="仿宋" w:eastAsia="仿宋" w:cs="仿宋"/>
                <w:color w:val="auto"/>
                <w:szCs w:val="21"/>
              </w:rPr>
            </w:pPr>
          </w:p>
        </w:tc>
      </w:tr>
    </w:tbl>
    <w:p w14:paraId="16C4984D">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180CFDE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E814F83">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2.投标综合总价为招标范围所列全部招标项目的报价总和，并应与投标报价明细表及分项价格表保持一致。</w:t>
      </w:r>
    </w:p>
    <w:p w14:paraId="2E90A88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3.投标报价不得填报选择性报价。</w:t>
      </w:r>
    </w:p>
    <w:p w14:paraId="5DD67C7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2F2EDB2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A9EA5F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1BAD8C7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A12620E">
      <w:pPr>
        <w:pStyle w:val="4"/>
        <w:spacing w:line="240" w:lineRule="atLeast"/>
        <w:rPr>
          <w:rFonts w:ascii="宋体" w:hAnsi="宋体" w:eastAsia="宋体" w:cs="宋体"/>
          <w:bCs/>
          <w:color w:val="auto"/>
          <w:sz w:val="24"/>
          <w:lang w:eastAsia="zh-CN"/>
        </w:rPr>
      </w:pPr>
    </w:p>
    <w:p w14:paraId="67F34C8E">
      <w:pPr>
        <w:rPr>
          <w:rFonts w:ascii="宋体" w:hAnsi="宋体" w:eastAsia="宋体" w:cs="宋体"/>
          <w:b/>
          <w:bCs/>
          <w:color w:val="auto"/>
          <w:lang w:eastAsia="zh-CN"/>
        </w:rPr>
      </w:pPr>
    </w:p>
    <w:p w14:paraId="45F934BE">
      <w:pPr>
        <w:pStyle w:val="6"/>
        <w:rPr>
          <w:lang w:eastAsia="zh-CN"/>
        </w:rPr>
      </w:pPr>
    </w:p>
    <w:p w14:paraId="0B61C5F9">
      <w:pPr>
        <w:pStyle w:val="4"/>
        <w:spacing w:line="240" w:lineRule="atLeast"/>
        <w:rPr>
          <w:rFonts w:ascii="宋体" w:hAnsi="宋体" w:eastAsia="宋体" w:cs="宋体"/>
          <w:bCs/>
          <w:color w:val="auto"/>
          <w:sz w:val="24"/>
          <w:lang w:eastAsia="zh-CN"/>
        </w:rPr>
      </w:pPr>
    </w:p>
    <w:p w14:paraId="06D68092">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3、货物说明一览表</w:t>
      </w:r>
    </w:p>
    <w:p w14:paraId="094649B1">
      <w:pPr>
        <w:pStyle w:val="11"/>
        <w:spacing w:line="240" w:lineRule="atLeast"/>
        <w:ind w:left="1164" w:leftChars="257" w:hanging="540"/>
        <w:rPr>
          <w:rFonts w:ascii="仿宋" w:hAnsi="仿宋" w:eastAsia="仿宋" w:cs="仿宋"/>
          <w:color w:val="auto"/>
          <w:lang w:eastAsia="zh-CN"/>
        </w:rPr>
      </w:pPr>
    </w:p>
    <w:p w14:paraId="7DE1D814">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98C0EC7">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0E5C995C">
      <w:pPr>
        <w:pStyle w:val="11"/>
        <w:spacing w:line="240" w:lineRule="atLeast"/>
        <w:ind w:left="1164" w:leftChars="257" w:hanging="540"/>
        <w:rPr>
          <w:rFonts w:ascii="仿宋" w:hAnsi="仿宋" w:eastAsia="仿宋" w:cs="仿宋"/>
          <w:color w:val="auto"/>
          <w:lang w:eastAsia="zh-CN"/>
        </w:rPr>
      </w:pP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4"/>
        <w:gridCol w:w="1517"/>
        <w:gridCol w:w="883"/>
        <w:gridCol w:w="675"/>
        <w:gridCol w:w="1284"/>
        <w:gridCol w:w="1284"/>
        <w:gridCol w:w="874"/>
        <w:gridCol w:w="791"/>
      </w:tblGrid>
      <w:tr w14:paraId="04C0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 w:type="pct"/>
            <w:vAlign w:val="center"/>
          </w:tcPr>
          <w:p w14:paraId="2F0A4FA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447" w:type="pct"/>
            <w:vAlign w:val="center"/>
          </w:tcPr>
          <w:p w14:paraId="2281ABB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894" w:type="pct"/>
            <w:vAlign w:val="center"/>
          </w:tcPr>
          <w:p w14:paraId="182A821C">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522" w:type="pct"/>
            <w:vAlign w:val="center"/>
          </w:tcPr>
          <w:p w14:paraId="10F8599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400" w:type="pct"/>
            <w:vAlign w:val="center"/>
          </w:tcPr>
          <w:p w14:paraId="719F398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757" w:type="pct"/>
            <w:vAlign w:val="center"/>
          </w:tcPr>
          <w:p w14:paraId="6166DBA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757" w:type="pct"/>
            <w:vAlign w:val="center"/>
          </w:tcPr>
          <w:p w14:paraId="0D0C9BA7">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交货时间</w:t>
            </w:r>
          </w:p>
        </w:tc>
        <w:tc>
          <w:tcPr>
            <w:tcW w:w="517" w:type="pct"/>
            <w:vAlign w:val="center"/>
          </w:tcPr>
          <w:p w14:paraId="7AEA5DA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468" w:type="pct"/>
            <w:vAlign w:val="center"/>
          </w:tcPr>
          <w:p w14:paraId="40AFA7B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07CF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0BF07AF9">
            <w:pPr>
              <w:pStyle w:val="11"/>
              <w:spacing w:line="240" w:lineRule="atLeast"/>
              <w:ind w:left="1164" w:leftChars="257" w:hanging="540"/>
              <w:rPr>
                <w:rFonts w:ascii="仿宋" w:hAnsi="仿宋" w:eastAsia="仿宋" w:cs="仿宋"/>
                <w:color w:val="auto"/>
                <w:lang w:eastAsia="zh-CN"/>
              </w:rPr>
            </w:pPr>
          </w:p>
        </w:tc>
        <w:tc>
          <w:tcPr>
            <w:tcW w:w="447" w:type="pct"/>
          </w:tcPr>
          <w:p w14:paraId="37C03904">
            <w:pPr>
              <w:pStyle w:val="11"/>
              <w:spacing w:line="240" w:lineRule="atLeast"/>
              <w:ind w:left="1164" w:leftChars="257" w:hanging="540"/>
              <w:rPr>
                <w:rFonts w:ascii="仿宋" w:hAnsi="仿宋" w:eastAsia="仿宋" w:cs="仿宋"/>
                <w:color w:val="auto"/>
                <w:lang w:eastAsia="zh-CN"/>
              </w:rPr>
            </w:pPr>
          </w:p>
        </w:tc>
        <w:tc>
          <w:tcPr>
            <w:tcW w:w="894" w:type="pct"/>
          </w:tcPr>
          <w:p w14:paraId="223C0945">
            <w:pPr>
              <w:pStyle w:val="11"/>
              <w:spacing w:line="240" w:lineRule="atLeast"/>
              <w:ind w:left="1164" w:leftChars="257" w:hanging="540"/>
              <w:rPr>
                <w:rFonts w:ascii="仿宋" w:hAnsi="仿宋" w:eastAsia="仿宋" w:cs="仿宋"/>
                <w:color w:val="auto"/>
                <w:lang w:eastAsia="zh-CN"/>
              </w:rPr>
            </w:pPr>
          </w:p>
        </w:tc>
        <w:tc>
          <w:tcPr>
            <w:tcW w:w="522" w:type="pct"/>
          </w:tcPr>
          <w:p w14:paraId="39E32EE5">
            <w:pPr>
              <w:pStyle w:val="11"/>
              <w:spacing w:line="240" w:lineRule="atLeast"/>
              <w:ind w:left="1164" w:leftChars="257" w:hanging="540"/>
              <w:rPr>
                <w:rFonts w:ascii="仿宋" w:hAnsi="仿宋" w:eastAsia="仿宋" w:cs="仿宋"/>
                <w:color w:val="auto"/>
                <w:lang w:eastAsia="zh-CN"/>
              </w:rPr>
            </w:pPr>
          </w:p>
        </w:tc>
        <w:tc>
          <w:tcPr>
            <w:tcW w:w="400" w:type="pct"/>
          </w:tcPr>
          <w:p w14:paraId="1CA05953">
            <w:pPr>
              <w:pStyle w:val="11"/>
              <w:spacing w:line="240" w:lineRule="atLeast"/>
              <w:ind w:left="1164" w:leftChars="257" w:hanging="540"/>
              <w:rPr>
                <w:rFonts w:ascii="仿宋" w:hAnsi="仿宋" w:eastAsia="仿宋" w:cs="仿宋"/>
                <w:color w:val="auto"/>
                <w:lang w:eastAsia="zh-CN"/>
              </w:rPr>
            </w:pPr>
          </w:p>
        </w:tc>
        <w:tc>
          <w:tcPr>
            <w:tcW w:w="757" w:type="pct"/>
          </w:tcPr>
          <w:p w14:paraId="5149779F">
            <w:pPr>
              <w:pStyle w:val="11"/>
              <w:spacing w:line="240" w:lineRule="atLeast"/>
              <w:ind w:left="1164" w:leftChars="257" w:hanging="540"/>
              <w:rPr>
                <w:rFonts w:ascii="仿宋" w:hAnsi="仿宋" w:eastAsia="仿宋" w:cs="仿宋"/>
                <w:color w:val="auto"/>
                <w:lang w:eastAsia="zh-CN"/>
              </w:rPr>
            </w:pPr>
          </w:p>
        </w:tc>
        <w:tc>
          <w:tcPr>
            <w:tcW w:w="757" w:type="pct"/>
          </w:tcPr>
          <w:p w14:paraId="725CC8E7">
            <w:pPr>
              <w:pStyle w:val="11"/>
              <w:spacing w:line="240" w:lineRule="atLeast"/>
              <w:ind w:left="1164" w:leftChars="257" w:hanging="540"/>
              <w:rPr>
                <w:rFonts w:ascii="仿宋" w:hAnsi="仿宋" w:eastAsia="仿宋" w:cs="仿宋"/>
                <w:color w:val="auto"/>
                <w:lang w:eastAsia="zh-CN"/>
              </w:rPr>
            </w:pPr>
          </w:p>
        </w:tc>
        <w:tc>
          <w:tcPr>
            <w:tcW w:w="517" w:type="pct"/>
          </w:tcPr>
          <w:p w14:paraId="3FC43FB6">
            <w:pPr>
              <w:pStyle w:val="11"/>
              <w:spacing w:line="240" w:lineRule="atLeast"/>
              <w:ind w:left="1164" w:leftChars="257" w:hanging="540"/>
              <w:rPr>
                <w:rFonts w:ascii="仿宋" w:hAnsi="仿宋" w:eastAsia="仿宋" w:cs="仿宋"/>
                <w:color w:val="auto"/>
                <w:lang w:eastAsia="zh-CN"/>
              </w:rPr>
            </w:pPr>
          </w:p>
        </w:tc>
        <w:tc>
          <w:tcPr>
            <w:tcW w:w="468" w:type="pct"/>
          </w:tcPr>
          <w:p w14:paraId="14AA4236">
            <w:pPr>
              <w:pStyle w:val="11"/>
              <w:spacing w:line="240" w:lineRule="atLeast"/>
              <w:ind w:left="1164" w:leftChars="257" w:hanging="540"/>
              <w:rPr>
                <w:rFonts w:ascii="仿宋" w:hAnsi="仿宋" w:eastAsia="仿宋" w:cs="仿宋"/>
                <w:color w:val="auto"/>
                <w:lang w:eastAsia="zh-CN"/>
              </w:rPr>
            </w:pPr>
          </w:p>
        </w:tc>
      </w:tr>
      <w:tr w14:paraId="0255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4E0BCB39">
            <w:pPr>
              <w:pStyle w:val="11"/>
              <w:spacing w:line="240" w:lineRule="atLeast"/>
              <w:ind w:left="1164" w:leftChars="257" w:hanging="540"/>
              <w:rPr>
                <w:rFonts w:ascii="仿宋" w:hAnsi="仿宋" w:eastAsia="仿宋" w:cs="仿宋"/>
                <w:color w:val="auto"/>
                <w:lang w:eastAsia="zh-CN"/>
              </w:rPr>
            </w:pPr>
          </w:p>
        </w:tc>
        <w:tc>
          <w:tcPr>
            <w:tcW w:w="447" w:type="pct"/>
          </w:tcPr>
          <w:p w14:paraId="46CECFA6">
            <w:pPr>
              <w:pStyle w:val="11"/>
              <w:spacing w:line="240" w:lineRule="atLeast"/>
              <w:ind w:left="1164" w:leftChars="257" w:hanging="540"/>
              <w:rPr>
                <w:rFonts w:ascii="仿宋" w:hAnsi="仿宋" w:eastAsia="仿宋" w:cs="仿宋"/>
                <w:color w:val="auto"/>
                <w:lang w:eastAsia="zh-CN"/>
              </w:rPr>
            </w:pPr>
          </w:p>
        </w:tc>
        <w:tc>
          <w:tcPr>
            <w:tcW w:w="894" w:type="pct"/>
          </w:tcPr>
          <w:p w14:paraId="6980D308">
            <w:pPr>
              <w:pStyle w:val="11"/>
              <w:spacing w:line="240" w:lineRule="atLeast"/>
              <w:ind w:left="1164" w:leftChars="257" w:hanging="540"/>
              <w:rPr>
                <w:rFonts w:ascii="仿宋" w:hAnsi="仿宋" w:eastAsia="仿宋" w:cs="仿宋"/>
                <w:color w:val="auto"/>
                <w:lang w:eastAsia="zh-CN"/>
              </w:rPr>
            </w:pPr>
          </w:p>
        </w:tc>
        <w:tc>
          <w:tcPr>
            <w:tcW w:w="522" w:type="pct"/>
          </w:tcPr>
          <w:p w14:paraId="02858C9B">
            <w:pPr>
              <w:pStyle w:val="11"/>
              <w:spacing w:line="240" w:lineRule="atLeast"/>
              <w:ind w:left="1164" w:leftChars="257" w:hanging="540"/>
              <w:rPr>
                <w:rFonts w:ascii="仿宋" w:hAnsi="仿宋" w:eastAsia="仿宋" w:cs="仿宋"/>
                <w:color w:val="auto"/>
                <w:lang w:eastAsia="zh-CN"/>
              </w:rPr>
            </w:pPr>
          </w:p>
        </w:tc>
        <w:tc>
          <w:tcPr>
            <w:tcW w:w="400" w:type="pct"/>
          </w:tcPr>
          <w:p w14:paraId="0EBA8870">
            <w:pPr>
              <w:pStyle w:val="11"/>
              <w:spacing w:line="240" w:lineRule="atLeast"/>
              <w:ind w:left="1164" w:leftChars="257" w:hanging="540"/>
              <w:rPr>
                <w:rFonts w:ascii="仿宋" w:hAnsi="仿宋" w:eastAsia="仿宋" w:cs="仿宋"/>
                <w:color w:val="auto"/>
                <w:lang w:eastAsia="zh-CN"/>
              </w:rPr>
            </w:pPr>
          </w:p>
        </w:tc>
        <w:tc>
          <w:tcPr>
            <w:tcW w:w="757" w:type="pct"/>
          </w:tcPr>
          <w:p w14:paraId="3161E836">
            <w:pPr>
              <w:pStyle w:val="11"/>
              <w:spacing w:line="240" w:lineRule="atLeast"/>
              <w:ind w:left="1164" w:leftChars="257" w:hanging="540"/>
              <w:rPr>
                <w:rFonts w:ascii="仿宋" w:hAnsi="仿宋" w:eastAsia="仿宋" w:cs="仿宋"/>
                <w:color w:val="auto"/>
                <w:lang w:eastAsia="zh-CN"/>
              </w:rPr>
            </w:pPr>
          </w:p>
        </w:tc>
        <w:tc>
          <w:tcPr>
            <w:tcW w:w="757" w:type="pct"/>
          </w:tcPr>
          <w:p w14:paraId="7981F91D">
            <w:pPr>
              <w:pStyle w:val="11"/>
              <w:spacing w:line="240" w:lineRule="atLeast"/>
              <w:ind w:left="1164" w:leftChars="257" w:hanging="540"/>
              <w:rPr>
                <w:rFonts w:ascii="仿宋" w:hAnsi="仿宋" w:eastAsia="仿宋" w:cs="仿宋"/>
                <w:color w:val="auto"/>
                <w:lang w:eastAsia="zh-CN"/>
              </w:rPr>
            </w:pPr>
          </w:p>
        </w:tc>
        <w:tc>
          <w:tcPr>
            <w:tcW w:w="517" w:type="pct"/>
          </w:tcPr>
          <w:p w14:paraId="4E64DB1E">
            <w:pPr>
              <w:pStyle w:val="11"/>
              <w:spacing w:line="240" w:lineRule="atLeast"/>
              <w:ind w:left="1164" w:leftChars="257" w:hanging="540"/>
              <w:rPr>
                <w:rFonts w:ascii="仿宋" w:hAnsi="仿宋" w:eastAsia="仿宋" w:cs="仿宋"/>
                <w:color w:val="auto"/>
                <w:lang w:eastAsia="zh-CN"/>
              </w:rPr>
            </w:pPr>
          </w:p>
        </w:tc>
        <w:tc>
          <w:tcPr>
            <w:tcW w:w="468" w:type="pct"/>
          </w:tcPr>
          <w:p w14:paraId="00C0CCB6">
            <w:pPr>
              <w:pStyle w:val="11"/>
              <w:spacing w:line="240" w:lineRule="atLeast"/>
              <w:ind w:left="1164" w:leftChars="257" w:hanging="540"/>
              <w:rPr>
                <w:rFonts w:ascii="仿宋" w:hAnsi="仿宋" w:eastAsia="仿宋" w:cs="仿宋"/>
                <w:color w:val="auto"/>
                <w:lang w:eastAsia="zh-CN"/>
              </w:rPr>
            </w:pPr>
          </w:p>
        </w:tc>
      </w:tr>
      <w:tr w14:paraId="0B05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218A439E">
            <w:pPr>
              <w:pStyle w:val="11"/>
              <w:spacing w:line="240" w:lineRule="atLeast"/>
              <w:ind w:left="1164" w:leftChars="257" w:hanging="540"/>
              <w:rPr>
                <w:rFonts w:ascii="仿宋" w:hAnsi="仿宋" w:eastAsia="仿宋" w:cs="仿宋"/>
                <w:color w:val="auto"/>
                <w:lang w:eastAsia="zh-CN"/>
              </w:rPr>
            </w:pPr>
          </w:p>
        </w:tc>
        <w:tc>
          <w:tcPr>
            <w:tcW w:w="447" w:type="pct"/>
          </w:tcPr>
          <w:p w14:paraId="4F91E8EB">
            <w:pPr>
              <w:pStyle w:val="11"/>
              <w:spacing w:line="240" w:lineRule="atLeast"/>
              <w:ind w:left="1164" w:leftChars="257" w:hanging="540"/>
              <w:rPr>
                <w:rFonts w:ascii="仿宋" w:hAnsi="仿宋" w:eastAsia="仿宋" w:cs="仿宋"/>
                <w:color w:val="auto"/>
                <w:lang w:eastAsia="zh-CN"/>
              </w:rPr>
            </w:pPr>
          </w:p>
        </w:tc>
        <w:tc>
          <w:tcPr>
            <w:tcW w:w="894" w:type="pct"/>
          </w:tcPr>
          <w:p w14:paraId="3291C64B">
            <w:pPr>
              <w:pStyle w:val="11"/>
              <w:spacing w:line="240" w:lineRule="atLeast"/>
              <w:ind w:left="1164" w:leftChars="257" w:hanging="540"/>
              <w:rPr>
                <w:rFonts w:ascii="仿宋" w:hAnsi="仿宋" w:eastAsia="仿宋" w:cs="仿宋"/>
                <w:color w:val="auto"/>
                <w:lang w:eastAsia="zh-CN"/>
              </w:rPr>
            </w:pPr>
          </w:p>
        </w:tc>
        <w:tc>
          <w:tcPr>
            <w:tcW w:w="522" w:type="pct"/>
          </w:tcPr>
          <w:p w14:paraId="444ECECC">
            <w:pPr>
              <w:pStyle w:val="11"/>
              <w:spacing w:line="240" w:lineRule="atLeast"/>
              <w:ind w:left="1164" w:leftChars="257" w:hanging="540"/>
              <w:rPr>
                <w:rFonts w:ascii="仿宋" w:hAnsi="仿宋" w:eastAsia="仿宋" w:cs="仿宋"/>
                <w:color w:val="auto"/>
                <w:lang w:eastAsia="zh-CN"/>
              </w:rPr>
            </w:pPr>
          </w:p>
        </w:tc>
        <w:tc>
          <w:tcPr>
            <w:tcW w:w="400" w:type="pct"/>
          </w:tcPr>
          <w:p w14:paraId="783102BE">
            <w:pPr>
              <w:pStyle w:val="11"/>
              <w:spacing w:line="240" w:lineRule="atLeast"/>
              <w:ind w:left="1164" w:leftChars="257" w:hanging="540"/>
              <w:rPr>
                <w:rFonts w:ascii="仿宋" w:hAnsi="仿宋" w:eastAsia="仿宋" w:cs="仿宋"/>
                <w:color w:val="auto"/>
                <w:lang w:eastAsia="zh-CN"/>
              </w:rPr>
            </w:pPr>
          </w:p>
        </w:tc>
        <w:tc>
          <w:tcPr>
            <w:tcW w:w="757" w:type="pct"/>
          </w:tcPr>
          <w:p w14:paraId="7F1F4E76">
            <w:pPr>
              <w:pStyle w:val="11"/>
              <w:spacing w:line="240" w:lineRule="atLeast"/>
              <w:ind w:left="1164" w:leftChars="257" w:hanging="540"/>
              <w:rPr>
                <w:rFonts w:ascii="仿宋" w:hAnsi="仿宋" w:eastAsia="仿宋" w:cs="仿宋"/>
                <w:color w:val="auto"/>
                <w:lang w:eastAsia="zh-CN"/>
              </w:rPr>
            </w:pPr>
          </w:p>
        </w:tc>
        <w:tc>
          <w:tcPr>
            <w:tcW w:w="757" w:type="pct"/>
          </w:tcPr>
          <w:p w14:paraId="1B101580">
            <w:pPr>
              <w:pStyle w:val="11"/>
              <w:spacing w:line="240" w:lineRule="atLeast"/>
              <w:ind w:left="1164" w:leftChars="257" w:hanging="540"/>
              <w:rPr>
                <w:rFonts w:ascii="仿宋" w:hAnsi="仿宋" w:eastAsia="仿宋" w:cs="仿宋"/>
                <w:color w:val="auto"/>
                <w:lang w:eastAsia="zh-CN"/>
              </w:rPr>
            </w:pPr>
          </w:p>
        </w:tc>
        <w:tc>
          <w:tcPr>
            <w:tcW w:w="517" w:type="pct"/>
          </w:tcPr>
          <w:p w14:paraId="72BADEE5">
            <w:pPr>
              <w:pStyle w:val="11"/>
              <w:spacing w:line="240" w:lineRule="atLeast"/>
              <w:ind w:left="1164" w:leftChars="257" w:hanging="540"/>
              <w:rPr>
                <w:rFonts w:ascii="仿宋" w:hAnsi="仿宋" w:eastAsia="仿宋" w:cs="仿宋"/>
                <w:color w:val="auto"/>
                <w:lang w:eastAsia="zh-CN"/>
              </w:rPr>
            </w:pPr>
          </w:p>
        </w:tc>
        <w:tc>
          <w:tcPr>
            <w:tcW w:w="468" w:type="pct"/>
          </w:tcPr>
          <w:p w14:paraId="192BA47F">
            <w:pPr>
              <w:pStyle w:val="11"/>
              <w:spacing w:line="240" w:lineRule="atLeast"/>
              <w:ind w:left="1164" w:leftChars="257" w:hanging="540"/>
              <w:rPr>
                <w:rFonts w:ascii="仿宋" w:hAnsi="仿宋" w:eastAsia="仿宋" w:cs="仿宋"/>
                <w:color w:val="auto"/>
                <w:lang w:eastAsia="zh-CN"/>
              </w:rPr>
            </w:pPr>
          </w:p>
        </w:tc>
      </w:tr>
      <w:tr w14:paraId="2D28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519850DA">
            <w:pPr>
              <w:pStyle w:val="11"/>
              <w:spacing w:line="240" w:lineRule="atLeast"/>
              <w:ind w:left="1164" w:leftChars="257" w:hanging="540"/>
              <w:rPr>
                <w:rFonts w:ascii="仿宋" w:hAnsi="仿宋" w:eastAsia="仿宋" w:cs="仿宋"/>
                <w:color w:val="auto"/>
                <w:lang w:eastAsia="zh-CN"/>
              </w:rPr>
            </w:pPr>
          </w:p>
        </w:tc>
        <w:tc>
          <w:tcPr>
            <w:tcW w:w="447" w:type="pct"/>
          </w:tcPr>
          <w:p w14:paraId="444C12DD">
            <w:pPr>
              <w:pStyle w:val="11"/>
              <w:spacing w:line="240" w:lineRule="atLeast"/>
              <w:ind w:left="1164" w:leftChars="257" w:hanging="540"/>
              <w:rPr>
                <w:rFonts w:ascii="仿宋" w:hAnsi="仿宋" w:eastAsia="仿宋" w:cs="仿宋"/>
                <w:color w:val="auto"/>
                <w:lang w:eastAsia="zh-CN"/>
              </w:rPr>
            </w:pPr>
          </w:p>
        </w:tc>
        <w:tc>
          <w:tcPr>
            <w:tcW w:w="894" w:type="pct"/>
          </w:tcPr>
          <w:p w14:paraId="66C24080">
            <w:pPr>
              <w:pStyle w:val="11"/>
              <w:spacing w:line="240" w:lineRule="atLeast"/>
              <w:ind w:left="1164" w:leftChars="257" w:hanging="540"/>
              <w:rPr>
                <w:rFonts w:ascii="仿宋" w:hAnsi="仿宋" w:eastAsia="仿宋" w:cs="仿宋"/>
                <w:color w:val="auto"/>
                <w:lang w:eastAsia="zh-CN"/>
              </w:rPr>
            </w:pPr>
          </w:p>
        </w:tc>
        <w:tc>
          <w:tcPr>
            <w:tcW w:w="522" w:type="pct"/>
          </w:tcPr>
          <w:p w14:paraId="07790C72">
            <w:pPr>
              <w:pStyle w:val="11"/>
              <w:spacing w:line="240" w:lineRule="atLeast"/>
              <w:ind w:left="1164" w:leftChars="257" w:hanging="540"/>
              <w:rPr>
                <w:rFonts w:ascii="仿宋" w:hAnsi="仿宋" w:eastAsia="仿宋" w:cs="仿宋"/>
                <w:color w:val="auto"/>
                <w:lang w:eastAsia="zh-CN"/>
              </w:rPr>
            </w:pPr>
          </w:p>
        </w:tc>
        <w:tc>
          <w:tcPr>
            <w:tcW w:w="400" w:type="pct"/>
          </w:tcPr>
          <w:p w14:paraId="3C38E660">
            <w:pPr>
              <w:pStyle w:val="11"/>
              <w:spacing w:line="240" w:lineRule="atLeast"/>
              <w:ind w:left="1164" w:leftChars="257" w:hanging="540"/>
              <w:rPr>
                <w:rFonts w:ascii="仿宋" w:hAnsi="仿宋" w:eastAsia="仿宋" w:cs="仿宋"/>
                <w:color w:val="auto"/>
                <w:lang w:eastAsia="zh-CN"/>
              </w:rPr>
            </w:pPr>
          </w:p>
        </w:tc>
        <w:tc>
          <w:tcPr>
            <w:tcW w:w="757" w:type="pct"/>
          </w:tcPr>
          <w:p w14:paraId="7EE8C0AC">
            <w:pPr>
              <w:pStyle w:val="11"/>
              <w:spacing w:line="240" w:lineRule="atLeast"/>
              <w:ind w:left="1164" w:leftChars="257" w:hanging="540"/>
              <w:rPr>
                <w:rFonts w:ascii="仿宋" w:hAnsi="仿宋" w:eastAsia="仿宋" w:cs="仿宋"/>
                <w:color w:val="auto"/>
                <w:lang w:eastAsia="zh-CN"/>
              </w:rPr>
            </w:pPr>
          </w:p>
        </w:tc>
        <w:tc>
          <w:tcPr>
            <w:tcW w:w="757" w:type="pct"/>
          </w:tcPr>
          <w:p w14:paraId="26820F6B">
            <w:pPr>
              <w:pStyle w:val="11"/>
              <w:spacing w:line="240" w:lineRule="atLeast"/>
              <w:ind w:left="1164" w:leftChars="257" w:hanging="540"/>
              <w:rPr>
                <w:rFonts w:ascii="仿宋" w:hAnsi="仿宋" w:eastAsia="仿宋" w:cs="仿宋"/>
                <w:color w:val="auto"/>
                <w:lang w:eastAsia="zh-CN"/>
              </w:rPr>
            </w:pPr>
          </w:p>
        </w:tc>
        <w:tc>
          <w:tcPr>
            <w:tcW w:w="517" w:type="pct"/>
          </w:tcPr>
          <w:p w14:paraId="4F1AFEA1">
            <w:pPr>
              <w:pStyle w:val="11"/>
              <w:spacing w:line="240" w:lineRule="atLeast"/>
              <w:ind w:left="1164" w:leftChars="257" w:hanging="540"/>
              <w:rPr>
                <w:rFonts w:ascii="仿宋" w:hAnsi="仿宋" w:eastAsia="仿宋" w:cs="仿宋"/>
                <w:color w:val="auto"/>
                <w:lang w:eastAsia="zh-CN"/>
              </w:rPr>
            </w:pPr>
          </w:p>
        </w:tc>
        <w:tc>
          <w:tcPr>
            <w:tcW w:w="468" w:type="pct"/>
          </w:tcPr>
          <w:p w14:paraId="0C7CF395">
            <w:pPr>
              <w:pStyle w:val="11"/>
              <w:spacing w:line="240" w:lineRule="atLeast"/>
              <w:ind w:left="1164" w:leftChars="257" w:hanging="540"/>
              <w:rPr>
                <w:rFonts w:ascii="仿宋" w:hAnsi="仿宋" w:eastAsia="仿宋" w:cs="仿宋"/>
                <w:color w:val="auto"/>
                <w:lang w:eastAsia="zh-CN"/>
              </w:rPr>
            </w:pPr>
          </w:p>
        </w:tc>
      </w:tr>
      <w:tr w14:paraId="5DD3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4" w:type="pct"/>
          </w:tcPr>
          <w:p w14:paraId="6F9FCF23">
            <w:pPr>
              <w:pStyle w:val="11"/>
              <w:spacing w:line="240" w:lineRule="atLeast"/>
              <w:ind w:left="1164" w:leftChars="257" w:hanging="540"/>
              <w:rPr>
                <w:rFonts w:ascii="仿宋" w:hAnsi="仿宋" w:eastAsia="仿宋" w:cs="仿宋"/>
                <w:color w:val="auto"/>
                <w:lang w:eastAsia="zh-CN"/>
              </w:rPr>
            </w:pPr>
          </w:p>
        </w:tc>
        <w:tc>
          <w:tcPr>
            <w:tcW w:w="447" w:type="pct"/>
          </w:tcPr>
          <w:p w14:paraId="69789CFD">
            <w:pPr>
              <w:pStyle w:val="11"/>
              <w:spacing w:line="240" w:lineRule="atLeast"/>
              <w:ind w:left="1164" w:leftChars="257" w:hanging="540"/>
              <w:rPr>
                <w:rFonts w:ascii="仿宋" w:hAnsi="仿宋" w:eastAsia="仿宋" w:cs="仿宋"/>
                <w:color w:val="auto"/>
                <w:lang w:eastAsia="zh-CN"/>
              </w:rPr>
            </w:pPr>
          </w:p>
        </w:tc>
        <w:tc>
          <w:tcPr>
            <w:tcW w:w="894" w:type="pct"/>
          </w:tcPr>
          <w:p w14:paraId="12D6CAA2">
            <w:pPr>
              <w:pStyle w:val="11"/>
              <w:spacing w:line="240" w:lineRule="atLeast"/>
              <w:ind w:left="1164" w:leftChars="257" w:hanging="540"/>
              <w:rPr>
                <w:rFonts w:ascii="仿宋" w:hAnsi="仿宋" w:eastAsia="仿宋" w:cs="仿宋"/>
                <w:color w:val="auto"/>
                <w:lang w:eastAsia="zh-CN"/>
              </w:rPr>
            </w:pPr>
          </w:p>
        </w:tc>
        <w:tc>
          <w:tcPr>
            <w:tcW w:w="522" w:type="pct"/>
          </w:tcPr>
          <w:p w14:paraId="4A91B3C1">
            <w:pPr>
              <w:pStyle w:val="11"/>
              <w:spacing w:line="240" w:lineRule="atLeast"/>
              <w:ind w:left="1164" w:leftChars="257" w:hanging="540"/>
              <w:rPr>
                <w:rFonts w:ascii="仿宋" w:hAnsi="仿宋" w:eastAsia="仿宋" w:cs="仿宋"/>
                <w:color w:val="auto"/>
                <w:lang w:eastAsia="zh-CN"/>
              </w:rPr>
            </w:pPr>
          </w:p>
        </w:tc>
        <w:tc>
          <w:tcPr>
            <w:tcW w:w="400" w:type="pct"/>
          </w:tcPr>
          <w:p w14:paraId="6A2D30A7">
            <w:pPr>
              <w:pStyle w:val="11"/>
              <w:spacing w:line="240" w:lineRule="atLeast"/>
              <w:ind w:left="1164" w:leftChars="257" w:hanging="540"/>
              <w:rPr>
                <w:rFonts w:ascii="仿宋" w:hAnsi="仿宋" w:eastAsia="仿宋" w:cs="仿宋"/>
                <w:color w:val="auto"/>
                <w:lang w:eastAsia="zh-CN"/>
              </w:rPr>
            </w:pPr>
          </w:p>
        </w:tc>
        <w:tc>
          <w:tcPr>
            <w:tcW w:w="757" w:type="pct"/>
          </w:tcPr>
          <w:p w14:paraId="0AD02C88">
            <w:pPr>
              <w:pStyle w:val="11"/>
              <w:spacing w:line="240" w:lineRule="atLeast"/>
              <w:ind w:left="1164" w:leftChars="257" w:hanging="540"/>
              <w:rPr>
                <w:rFonts w:ascii="仿宋" w:hAnsi="仿宋" w:eastAsia="仿宋" w:cs="仿宋"/>
                <w:color w:val="auto"/>
                <w:lang w:eastAsia="zh-CN"/>
              </w:rPr>
            </w:pPr>
          </w:p>
        </w:tc>
        <w:tc>
          <w:tcPr>
            <w:tcW w:w="757" w:type="pct"/>
          </w:tcPr>
          <w:p w14:paraId="20F9F25E">
            <w:pPr>
              <w:pStyle w:val="11"/>
              <w:spacing w:line="240" w:lineRule="atLeast"/>
              <w:ind w:left="1164" w:leftChars="257" w:hanging="540"/>
              <w:rPr>
                <w:rFonts w:ascii="仿宋" w:hAnsi="仿宋" w:eastAsia="仿宋" w:cs="仿宋"/>
                <w:color w:val="auto"/>
                <w:lang w:eastAsia="zh-CN"/>
              </w:rPr>
            </w:pPr>
          </w:p>
        </w:tc>
        <w:tc>
          <w:tcPr>
            <w:tcW w:w="517" w:type="pct"/>
          </w:tcPr>
          <w:p w14:paraId="2AC96988">
            <w:pPr>
              <w:pStyle w:val="11"/>
              <w:spacing w:line="240" w:lineRule="atLeast"/>
              <w:ind w:left="1164" w:leftChars="257" w:hanging="540"/>
              <w:rPr>
                <w:rFonts w:ascii="仿宋" w:hAnsi="仿宋" w:eastAsia="仿宋" w:cs="仿宋"/>
                <w:color w:val="auto"/>
                <w:lang w:eastAsia="zh-CN"/>
              </w:rPr>
            </w:pPr>
          </w:p>
        </w:tc>
        <w:tc>
          <w:tcPr>
            <w:tcW w:w="468" w:type="pct"/>
          </w:tcPr>
          <w:p w14:paraId="72D537CA">
            <w:pPr>
              <w:pStyle w:val="11"/>
              <w:spacing w:line="240" w:lineRule="atLeast"/>
              <w:ind w:left="1164" w:leftChars="257" w:hanging="540"/>
              <w:rPr>
                <w:rFonts w:ascii="仿宋" w:hAnsi="仿宋" w:eastAsia="仿宋" w:cs="仿宋"/>
                <w:color w:val="auto"/>
                <w:lang w:eastAsia="zh-CN"/>
              </w:rPr>
            </w:pPr>
          </w:p>
        </w:tc>
      </w:tr>
      <w:tr w14:paraId="716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 w:type="pct"/>
          </w:tcPr>
          <w:p w14:paraId="2D9AA752">
            <w:pPr>
              <w:pStyle w:val="11"/>
              <w:spacing w:line="240" w:lineRule="atLeast"/>
              <w:ind w:left="1164" w:leftChars="257" w:hanging="540"/>
              <w:rPr>
                <w:rFonts w:ascii="仿宋" w:hAnsi="仿宋" w:eastAsia="仿宋" w:cs="仿宋"/>
                <w:color w:val="auto"/>
                <w:lang w:eastAsia="zh-CN"/>
              </w:rPr>
            </w:pPr>
          </w:p>
        </w:tc>
        <w:tc>
          <w:tcPr>
            <w:tcW w:w="447" w:type="pct"/>
          </w:tcPr>
          <w:p w14:paraId="01991A18">
            <w:pPr>
              <w:pStyle w:val="11"/>
              <w:spacing w:line="240" w:lineRule="atLeast"/>
              <w:ind w:left="1164" w:leftChars="257" w:hanging="540"/>
              <w:rPr>
                <w:rFonts w:ascii="仿宋" w:hAnsi="仿宋" w:eastAsia="仿宋" w:cs="仿宋"/>
                <w:color w:val="auto"/>
                <w:lang w:eastAsia="zh-CN"/>
              </w:rPr>
            </w:pPr>
          </w:p>
        </w:tc>
        <w:tc>
          <w:tcPr>
            <w:tcW w:w="894" w:type="pct"/>
          </w:tcPr>
          <w:p w14:paraId="71295F0F">
            <w:pPr>
              <w:pStyle w:val="11"/>
              <w:spacing w:line="240" w:lineRule="atLeast"/>
              <w:ind w:left="1164" w:leftChars="257" w:hanging="540"/>
              <w:rPr>
                <w:rFonts w:ascii="仿宋" w:hAnsi="仿宋" w:eastAsia="仿宋" w:cs="仿宋"/>
                <w:color w:val="auto"/>
                <w:lang w:eastAsia="zh-CN"/>
              </w:rPr>
            </w:pPr>
          </w:p>
        </w:tc>
        <w:tc>
          <w:tcPr>
            <w:tcW w:w="522" w:type="pct"/>
          </w:tcPr>
          <w:p w14:paraId="24907FFD">
            <w:pPr>
              <w:pStyle w:val="11"/>
              <w:spacing w:line="240" w:lineRule="atLeast"/>
              <w:ind w:left="1164" w:leftChars="257" w:hanging="540"/>
              <w:rPr>
                <w:rFonts w:ascii="仿宋" w:hAnsi="仿宋" w:eastAsia="仿宋" w:cs="仿宋"/>
                <w:color w:val="auto"/>
                <w:lang w:eastAsia="zh-CN"/>
              </w:rPr>
            </w:pPr>
          </w:p>
        </w:tc>
        <w:tc>
          <w:tcPr>
            <w:tcW w:w="400" w:type="pct"/>
          </w:tcPr>
          <w:p w14:paraId="561212C6">
            <w:pPr>
              <w:pStyle w:val="11"/>
              <w:spacing w:line="240" w:lineRule="atLeast"/>
              <w:ind w:left="1164" w:leftChars="257" w:hanging="540"/>
              <w:rPr>
                <w:rFonts w:ascii="仿宋" w:hAnsi="仿宋" w:eastAsia="仿宋" w:cs="仿宋"/>
                <w:color w:val="auto"/>
                <w:lang w:eastAsia="zh-CN"/>
              </w:rPr>
            </w:pPr>
          </w:p>
        </w:tc>
        <w:tc>
          <w:tcPr>
            <w:tcW w:w="757" w:type="pct"/>
          </w:tcPr>
          <w:p w14:paraId="20683298">
            <w:pPr>
              <w:pStyle w:val="11"/>
              <w:spacing w:line="240" w:lineRule="atLeast"/>
              <w:ind w:left="1164" w:leftChars="257" w:hanging="540"/>
              <w:rPr>
                <w:rFonts w:ascii="仿宋" w:hAnsi="仿宋" w:eastAsia="仿宋" w:cs="仿宋"/>
                <w:color w:val="auto"/>
                <w:lang w:eastAsia="zh-CN"/>
              </w:rPr>
            </w:pPr>
          </w:p>
        </w:tc>
        <w:tc>
          <w:tcPr>
            <w:tcW w:w="757" w:type="pct"/>
          </w:tcPr>
          <w:p w14:paraId="38445CED">
            <w:pPr>
              <w:pStyle w:val="11"/>
              <w:spacing w:line="240" w:lineRule="atLeast"/>
              <w:ind w:left="1164" w:leftChars="257" w:hanging="540"/>
              <w:rPr>
                <w:rFonts w:ascii="仿宋" w:hAnsi="仿宋" w:eastAsia="仿宋" w:cs="仿宋"/>
                <w:color w:val="auto"/>
                <w:lang w:eastAsia="zh-CN"/>
              </w:rPr>
            </w:pPr>
          </w:p>
        </w:tc>
        <w:tc>
          <w:tcPr>
            <w:tcW w:w="517" w:type="pct"/>
          </w:tcPr>
          <w:p w14:paraId="427322E9">
            <w:pPr>
              <w:pStyle w:val="11"/>
              <w:spacing w:line="240" w:lineRule="atLeast"/>
              <w:ind w:left="1164" w:leftChars="257" w:hanging="540"/>
              <w:rPr>
                <w:rFonts w:ascii="仿宋" w:hAnsi="仿宋" w:eastAsia="仿宋" w:cs="仿宋"/>
                <w:color w:val="auto"/>
                <w:lang w:eastAsia="zh-CN"/>
              </w:rPr>
            </w:pPr>
          </w:p>
        </w:tc>
        <w:tc>
          <w:tcPr>
            <w:tcW w:w="468" w:type="pct"/>
          </w:tcPr>
          <w:p w14:paraId="3F1D912F">
            <w:pPr>
              <w:pStyle w:val="11"/>
              <w:spacing w:line="240" w:lineRule="atLeast"/>
              <w:ind w:left="1164" w:leftChars="257" w:hanging="540"/>
              <w:rPr>
                <w:rFonts w:ascii="仿宋" w:hAnsi="仿宋" w:eastAsia="仿宋" w:cs="仿宋"/>
                <w:color w:val="auto"/>
                <w:lang w:eastAsia="zh-CN"/>
              </w:rPr>
            </w:pPr>
          </w:p>
        </w:tc>
      </w:tr>
      <w:tr w14:paraId="0CB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 w:type="pct"/>
          </w:tcPr>
          <w:p w14:paraId="70714432">
            <w:pPr>
              <w:pStyle w:val="11"/>
              <w:spacing w:line="240" w:lineRule="atLeast"/>
              <w:ind w:left="1164" w:leftChars="257" w:hanging="540"/>
              <w:rPr>
                <w:rFonts w:ascii="仿宋" w:hAnsi="仿宋" w:eastAsia="仿宋" w:cs="仿宋"/>
                <w:color w:val="auto"/>
                <w:lang w:eastAsia="zh-CN"/>
              </w:rPr>
            </w:pPr>
          </w:p>
        </w:tc>
        <w:tc>
          <w:tcPr>
            <w:tcW w:w="447" w:type="pct"/>
          </w:tcPr>
          <w:p w14:paraId="26F4698B">
            <w:pPr>
              <w:pStyle w:val="11"/>
              <w:spacing w:line="240" w:lineRule="atLeast"/>
              <w:ind w:left="1164" w:leftChars="257" w:hanging="540"/>
              <w:rPr>
                <w:rFonts w:ascii="仿宋" w:hAnsi="仿宋" w:eastAsia="仿宋" w:cs="仿宋"/>
                <w:color w:val="auto"/>
                <w:lang w:eastAsia="zh-CN"/>
              </w:rPr>
            </w:pPr>
          </w:p>
        </w:tc>
        <w:tc>
          <w:tcPr>
            <w:tcW w:w="894" w:type="pct"/>
          </w:tcPr>
          <w:p w14:paraId="11322BE6">
            <w:pPr>
              <w:pStyle w:val="11"/>
              <w:spacing w:line="240" w:lineRule="atLeast"/>
              <w:ind w:left="1164" w:leftChars="257" w:hanging="540"/>
              <w:rPr>
                <w:rFonts w:ascii="仿宋" w:hAnsi="仿宋" w:eastAsia="仿宋" w:cs="仿宋"/>
                <w:color w:val="auto"/>
                <w:lang w:eastAsia="zh-CN"/>
              </w:rPr>
            </w:pPr>
          </w:p>
        </w:tc>
        <w:tc>
          <w:tcPr>
            <w:tcW w:w="522" w:type="pct"/>
          </w:tcPr>
          <w:p w14:paraId="147C14D8">
            <w:pPr>
              <w:pStyle w:val="11"/>
              <w:spacing w:line="240" w:lineRule="atLeast"/>
              <w:ind w:left="1164" w:leftChars="257" w:hanging="540"/>
              <w:rPr>
                <w:rFonts w:ascii="仿宋" w:hAnsi="仿宋" w:eastAsia="仿宋" w:cs="仿宋"/>
                <w:color w:val="auto"/>
                <w:lang w:eastAsia="zh-CN"/>
              </w:rPr>
            </w:pPr>
          </w:p>
        </w:tc>
        <w:tc>
          <w:tcPr>
            <w:tcW w:w="400" w:type="pct"/>
          </w:tcPr>
          <w:p w14:paraId="60723418">
            <w:pPr>
              <w:pStyle w:val="11"/>
              <w:spacing w:line="240" w:lineRule="atLeast"/>
              <w:ind w:left="1164" w:leftChars="257" w:hanging="540"/>
              <w:rPr>
                <w:rFonts w:ascii="仿宋" w:hAnsi="仿宋" w:eastAsia="仿宋" w:cs="仿宋"/>
                <w:color w:val="auto"/>
                <w:lang w:eastAsia="zh-CN"/>
              </w:rPr>
            </w:pPr>
          </w:p>
        </w:tc>
        <w:tc>
          <w:tcPr>
            <w:tcW w:w="757" w:type="pct"/>
          </w:tcPr>
          <w:p w14:paraId="5E4B2ED3">
            <w:pPr>
              <w:pStyle w:val="11"/>
              <w:spacing w:line="240" w:lineRule="atLeast"/>
              <w:ind w:left="1164" w:leftChars="257" w:hanging="540"/>
              <w:rPr>
                <w:rFonts w:ascii="仿宋" w:hAnsi="仿宋" w:eastAsia="仿宋" w:cs="仿宋"/>
                <w:color w:val="auto"/>
                <w:lang w:eastAsia="zh-CN"/>
              </w:rPr>
            </w:pPr>
          </w:p>
        </w:tc>
        <w:tc>
          <w:tcPr>
            <w:tcW w:w="757" w:type="pct"/>
          </w:tcPr>
          <w:p w14:paraId="4490CCE8">
            <w:pPr>
              <w:pStyle w:val="11"/>
              <w:spacing w:line="240" w:lineRule="atLeast"/>
              <w:ind w:left="1164" w:leftChars="257" w:hanging="540"/>
              <w:rPr>
                <w:rFonts w:ascii="仿宋" w:hAnsi="仿宋" w:eastAsia="仿宋" w:cs="仿宋"/>
                <w:color w:val="auto"/>
                <w:lang w:eastAsia="zh-CN"/>
              </w:rPr>
            </w:pPr>
          </w:p>
        </w:tc>
        <w:tc>
          <w:tcPr>
            <w:tcW w:w="517" w:type="pct"/>
          </w:tcPr>
          <w:p w14:paraId="5B309281">
            <w:pPr>
              <w:pStyle w:val="11"/>
              <w:spacing w:line="240" w:lineRule="atLeast"/>
              <w:ind w:left="1164" w:leftChars="257" w:hanging="540"/>
              <w:rPr>
                <w:rFonts w:ascii="仿宋" w:hAnsi="仿宋" w:eastAsia="仿宋" w:cs="仿宋"/>
                <w:color w:val="auto"/>
                <w:lang w:eastAsia="zh-CN"/>
              </w:rPr>
            </w:pPr>
          </w:p>
        </w:tc>
        <w:tc>
          <w:tcPr>
            <w:tcW w:w="468" w:type="pct"/>
          </w:tcPr>
          <w:p w14:paraId="56E1913D">
            <w:pPr>
              <w:pStyle w:val="11"/>
              <w:spacing w:line="240" w:lineRule="atLeast"/>
              <w:ind w:left="1164" w:leftChars="257" w:hanging="540"/>
              <w:rPr>
                <w:rFonts w:ascii="仿宋" w:hAnsi="仿宋" w:eastAsia="仿宋" w:cs="仿宋"/>
                <w:color w:val="auto"/>
                <w:lang w:eastAsia="zh-CN"/>
              </w:rPr>
            </w:pPr>
          </w:p>
        </w:tc>
      </w:tr>
      <w:tr w14:paraId="2FFA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4" w:type="pct"/>
          </w:tcPr>
          <w:p w14:paraId="5E0C75A4">
            <w:pPr>
              <w:pStyle w:val="11"/>
              <w:spacing w:line="240" w:lineRule="atLeast"/>
              <w:ind w:left="1164" w:leftChars="257" w:hanging="540"/>
              <w:rPr>
                <w:rFonts w:ascii="仿宋" w:hAnsi="仿宋" w:eastAsia="仿宋" w:cs="仿宋"/>
                <w:color w:val="auto"/>
                <w:lang w:eastAsia="zh-CN"/>
              </w:rPr>
            </w:pPr>
          </w:p>
        </w:tc>
        <w:tc>
          <w:tcPr>
            <w:tcW w:w="447" w:type="pct"/>
          </w:tcPr>
          <w:p w14:paraId="08E114D4">
            <w:pPr>
              <w:pStyle w:val="11"/>
              <w:spacing w:line="240" w:lineRule="atLeast"/>
              <w:ind w:left="1164" w:leftChars="257" w:hanging="540"/>
              <w:rPr>
                <w:rFonts w:ascii="仿宋" w:hAnsi="仿宋" w:eastAsia="仿宋" w:cs="仿宋"/>
                <w:color w:val="auto"/>
                <w:lang w:eastAsia="zh-CN"/>
              </w:rPr>
            </w:pPr>
          </w:p>
        </w:tc>
        <w:tc>
          <w:tcPr>
            <w:tcW w:w="894" w:type="pct"/>
          </w:tcPr>
          <w:p w14:paraId="3AB4340F">
            <w:pPr>
              <w:pStyle w:val="11"/>
              <w:spacing w:line="240" w:lineRule="atLeast"/>
              <w:ind w:left="1164" w:leftChars="257" w:hanging="540"/>
              <w:rPr>
                <w:rFonts w:ascii="仿宋" w:hAnsi="仿宋" w:eastAsia="仿宋" w:cs="仿宋"/>
                <w:color w:val="auto"/>
                <w:lang w:eastAsia="zh-CN"/>
              </w:rPr>
            </w:pPr>
          </w:p>
        </w:tc>
        <w:tc>
          <w:tcPr>
            <w:tcW w:w="522" w:type="pct"/>
          </w:tcPr>
          <w:p w14:paraId="2CE65E36">
            <w:pPr>
              <w:pStyle w:val="11"/>
              <w:spacing w:line="240" w:lineRule="atLeast"/>
              <w:ind w:left="1164" w:leftChars="257" w:hanging="540"/>
              <w:rPr>
                <w:rFonts w:ascii="仿宋" w:hAnsi="仿宋" w:eastAsia="仿宋" w:cs="仿宋"/>
                <w:color w:val="auto"/>
                <w:lang w:eastAsia="zh-CN"/>
              </w:rPr>
            </w:pPr>
          </w:p>
        </w:tc>
        <w:tc>
          <w:tcPr>
            <w:tcW w:w="400" w:type="pct"/>
          </w:tcPr>
          <w:p w14:paraId="302C4B47">
            <w:pPr>
              <w:pStyle w:val="11"/>
              <w:spacing w:line="240" w:lineRule="atLeast"/>
              <w:ind w:left="1164" w:leftChars="257" w:hanging="540"/>
              <w:rPr>
                <w:rFonts w:ascii="仿宋" w:hAnsi="仿宋" w:eastAsia="仿宋" w:cs="仿宋"/>
                <w:color w:val="auto"/>
                <w:lang w:eastAsia="zh-CN"/>
              </w:rPr>
            </w:pPr>
          </w:p>
        </w:tc>
        <w:tc>
          <w:tcPr>
            <w:tcW w:w="757" w:type="pct"/>
          </w:tcPr>
          <w:p w14:paraId="2146ACE7">
            <w:pPr>
              <w:pStyle w:val="11"/>
              <w:spacing w:line="240" w:lineRule="atLeast"/>
              <w:ind w:left="1164" w:leftChars="257" w:hanging="540"/>
              <w:rPr>
                <w:rFonts w:ascii="仿宋" w:hAnsi="仿宋" w:eastAsia="仿宋" w:cs="仿宋"/>
                <w:color w:val="auto"/>
                <w:lang w:eastAsia="zh-CN"/>
              </w:rPr>
            </w:pPr>
          </w:p>
        </w:tc>
        <w:tc>
          <w:tcPr>
            <w:tcW w:w="757" w:type="pct"/>
          </w:tcPr>
          <w:p w14:paraId="64457488">
            <w:pPr>
              <w:pStyle w:val="11"/>
              <w:spacing w:line="240" w:lineRule="atLeast"/>
              <w:ind w:left="1164" w:leftChars="257" w:hanging="540"/>
              <w:rPr>
                <w:rFonts w:ascii="仿宋" w:hAnsi="仿宋" w:eastAsia="仿宋" w:cs="仿宋"/>
                <w:color w:val="auto"/>
                <w:lang w:eastAsia="zh-CN"/>
              </w:rPr>
            </w:pPr>
          </w:p>
        </w:tc>
        <w:tc>
          <w:tcPr>
            <w:tcW w:w="517" w:type="pct"/>
          </w:tcPr>
          <w:p w14:paraId="4BDCB3AE">
            <w:pPr>
              <w:pStyle w:val="11"/>
              <w:spacing w:line="240" w:lineRule="atLeast"/>
              <w:ind w:left="1164" w:leftChars="257" w:hanging="540"/>
              <w:rPr>
                <w:rFonts w:ascii="仿宋" w:hAnsi="仿宋" w:eastAsia="仿宋" w:cs="仿宋"/>
                <w:color w:val="auto"/>
                <w:lang w:eastAsia="zh-CN"/>
              </w:rPr>
            </w:pPr>
          </w:p>
        </w:tc>
        <w:tc>
          <w:tcPr>
            <w:tcW w:w="468" w:type="pct"/>
          </w:tcPr>
          <w:p w14:paraId="4C891A0A">
            <w:pPr>
              <w:pStyle w:val="11"/>
              <w:spacing w:line="240" w:lineRule="atLeast"/>
              <w:ind w:left="1164" w:leftChars="257" w:hanging="540"/>
              <w:rPr>
                <w:rFonts w:ascii="仿宋" w:hAnsi="仿宋" w:eastAsia="仿宋" w:cs="仿宋"/>
                <w:color w:val="auto"/>
                <w:lang w:eastAsia="zh-CN"/>
              </w:rPr>
            </w:pPr>
          </w:p>
        </w:tc>
      </w:tr>
    </w:tbl>
    <w:p w14:paraId="2E9B5332">
      <w:pPr>
        <w:pStyle w:val="11"/>
        <w:spacing w:line="240" w:lineRule="atLeast"/>
        <w:ind w:left="1164" w:leftChars="257" w:hanging="540"/>
        <w:rPr>
          <w:rFonts w:ascii="仿宋" w:hAnsi="仿宋" w:eastAsia="仿宋" w:cs="仿宋"/>
          <w:color w:val="auto"/>
        </w:rPr>
      </w:pPr>
    </w:p>
    <w:p w14:paraId="2D61448C">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783C2F00">
      <w:pPr>
        <w:pStyle w:val="11"/>
        <w:tabs>
          <w:tab w:val="left" w:pos="5370"/>
        </w:tabs>
        <w:spacing w:line="240" w:lineRule="atLeast"/>
        <w:ind w:left="1164" w:leftChars="257" w:hanging="540"/>
        <w:rPr>
          <w:rFonts w:hAnsi="宋体" w:eastAsia="宋体" w:cs="宋体"/>
          <w:color w:val="auto"/>
          <w:u w:val="single"/>
          <w:lang w:eastAsia="zh-CN"/>
        </w:rPr>
      </w:pPr>
      <w:r>
        <w:rPr>
          <w:rFonts w:hint="eastAsia" w:ascii="仿宋" w:hAnsi="仿宋" w:eastAsia="仿宋" w:cs="仿宋"/>
          <w:color w:val="auto"/>
          <w:lang w:eastAsia="zh-CN"/>
        </w:rPr>
        <w:t>投标人(盖单位章)</w:t>
      </w:r>
      <w:r>
        <w:rPr>
          <w:rFonts w:hint="eastAsia" w:hAnsi="宋体" w:eastAsia="宋体" w:cs="宋体"/>
          <w:color w:val="auto"/>
          <w:lang w:eastAsia="zh-CN"/>
        </w:rPr>
        <w:t>:</w:t>
      </w:r>
      <w:r>
        <w:rPr>
          <w:rFonts w:hint="eastAsia" w:hAnsi="宋体" w:eastAsia="宋体" w:cs="宋体"/>
          <w:color w:val="auto"/>
          <w:u w:val="single"/>
          <w:lang w:eastAsia="zh-CN"/>
        </w:rPr>
        <w:tab/>
      </w:r>
    </w:p>
    <w:p w14:paraId="60456E37">
      <w:pPr>
        <w:pStyle w:val="11"/>
        <w:spacing w:line="240" w:lineRule="atLeast"/>
        <w:ind w:left="1164" w:leftChars="257" w:hanging="540"/>
        <w:rPr>
          <w:rFonts w:hAnsi="宋体" w:eastAsia="宋体" w:cs="宋体"/>
          <w:color w:val="auto"/>
          <w:lang w:eastAsia="zh-CN"/>
        </w:rPr>
      </w:pPr>
    </w:p>
    <w:p w14:paraId="00F5A465">
      <w:pPr>
        <w:pStyle w:val="11"/>
        <w:tabs>
          <w:tab w:val="left" w:pos="5370"/>
        </w:tabs>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注: 各项货物详细技术性能应另页描述。</w:t>
      </w:r>
    </w:p>
    <w:p w14:paraId="06413330">
      <w:pPr>
        <w:pStyle w:val="11"/>
        <w:tabs>
          <w:tab w:val="left" w:pos="5370"/>
        </w:tabs>
        <w:spacing w:line="240" w:lineRule="atLeast"/>
        <w:ind w:left="1164" w:leftChars="257" w:hanging="540"/>
        <w:rPr>
          <w:rFonts w:ascii="仿宋" w:hAnsi="仿宋" w:eastAsia="仿宋" w:cs="仿宋"/>
          <w:color w:val="auto"/>
          <w:lang w:eastAsia="zh-CN"/>
        </w:rPr>
      </w:pPr>
    </w:p>
    <w:p w14:paraId="1A94F962">
      <w:pPr>
        <w:pStyle w:val="11"/>
        <w:tabs>
          <w:tab w:val="left" w:pos="5370"/>
        </w:tabs>
        <w:spacing w:line="240" w:lineRule="atLeast"/>
        <w:ind w:left="1164" w:leftChars="257" w:hanging="540"/>
        <w:rPr>
          <w:rFonts w:ascii="仿宋" w:hAnsi="仿宋" w:eastAsia="仿宋" w:cs="仿宋"/>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14:paraId="60559F9A">
      <w:pPr>
        <w:pStyle w:val="44"/>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14:paraId="32E01A43">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4A6E1648">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7249AA37">
      <w:pPr>
        <w:pStyle w:val="11"/>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w:t>
      </w:r>
    </w:p>
    <w:tbl>
      <w:tblPr>
        <w:tblStyle w:val="19"/>
        <w:tblW w:w="10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gridCol w:w="818"/>
      </w:tblGrid>
      <w:tr w14:paraId="037B8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397B87B4">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3EA5425F">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25192964">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14:paraId="0FA0D558">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14:paraId="39EBACB1">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14:paraId="57A899EB">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751" w:type="dxa"/>
            <w:tcBorders>
              <w:top w:val="single" w:color="auto" w:sz="12" w:space="0"/>
              <w:left w:val="single" w:color="auto" w:sz="6" w:space="0"/>
              <w:bottom w:val="single" w:color="auto" w:sz="6" w:space="0"/>
              <w:right w:val="single" w:color="auto" w:sz="6" w:space="0"/>
            </w:tcBorders>
            <w:vAlign w:val="center"/>
          </w:tcPr>
          <w:p w14:paraId="623FB7DC">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14:paraId="6596A361">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单价</w:t>
            </w:r>
          </w:p>
        </w:tc>
        <w:tc>
          <w:tcPr>
            <w:tcW w:w="664" w:type="dxa"/>
            <w:tcBorders>
              <w:top w:val="single" w:color="auto" w:sz="12" w:space="0"/>
              <w:left w:val="single" w:color="auto" w:sz="6" w:space="0"/>
              <w:bottom w:val="single" w:color="auto" w:sz="6" w:space="0"/>
              <w:right w:val="single" w:color="auto" w:sz="6" w:space="0"/>
            </w:tcBorders>
            <w:vAlign w:val="center"/>
          </w:tcPr>
          <w:p w14:paraId="19D0A0C0">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14:paraId="3AAEEB0A">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c>
          <w:tcPr>
            <w:tcW w:w="818" w:type="dxa"/>
            <w:tcBorders>
              <w:top w:val="single" w:color="auto" w:sz="12" w:space="0"/>
              <w:left w:val="single" w:color="auto" w:sz="6" w:space="0"/>
              <w:bottom w:val="single" w:color="auto" w:sz="6" w:space="0"/>
              <w:right w:val="single" w:color="auto" w:sz="12" w:space="0"/>
            </w:tcBorders>
            <w:vAlign w:val="center"/>
          </w:tcPr>
          <w:p w14:paraId="173936D1">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818" w:type="dxa"/>
            <w:tcBorders>
              <w:top w:val="single" w:color="auto" w:sz="12" w:space="0"/>
              <w:left w:val="single" w:color="auto" w:sz="6" w:space="0"/>
              <w:bottom w:val="single" w:color="auto" w:sz="6" w:space="0"/>
              <w:right w:val="single" w:color="auto" w:sz="12" w:space="0"/>
            </w:tcBorders>
            <w:vAlign w:val="center"/>
          </w:tcPr>
          <w:p w14:paraId="13D6578C">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其他</w:t>
            </w:r>
          </w:p>
        </w:tc>
      </w:tr>
      <w:tr w14:paraId="50695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39AFCC07">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C74B7A2">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5551F2F">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0F2DC8B">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6F53A8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A50387C">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A00E7A9">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80DC1EB">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733E2F4">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EBEC6BF">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5619C9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0C0F20">
            <w:pPr>
              <w:spacing w:line="500" w:lineRule="exact"/>
              <w:jc w:val="center"/>
              <w:rPr>
                <w:rFonts w:ascii="仿宋" w:hAnsi="仿宋" w:eastAsia="仿宋" w:cs="仿宋"/>
                <w:color w:val="auto"/>
                <w:szCs w:val="21"/>
              </w:rPr>
            </w:pPr>
          </w:p>
        </w:tc>
      </w:tr>
      <w:tr w14:paraId="1E99D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441DB8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640E846C">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C2D221F">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00D04C14">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77E1DEF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4B55CBA">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0E07175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0323CC8">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FB07025">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5C4B04E">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E50E7F4">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163CC9E">
            <w:pPr>
              <w:spacing w:line="500" w:lineRule="exact"/>
              <w:jc w:val="center"/>
              <w:rPr>
                <w:rFonts w:ascii="仿宋" w:hAnsi="仿宋" w:eastAsia="仿宋" w:cs="仿宋"/>
                <w:color w:val="auto"/>
                <w:szCs w:val="21"/>
              </w:rPr>
            </w:pPr>
          </w:p>
        </w:tc>
      </w:tr>
      <w:tr w14:paraId="65F67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61887BBF">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1080047">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2E5661D">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FBAA4DF">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34BC0938">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C30649A">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618BCA2B">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9D112F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17F9BAA">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56D0A1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2C89BE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64F3431">
            <w:pPr>
              <w:spacing w:line="500" w:lineRule="exact"/>
              <w:jc w:val="center"/>
              <w:rPr>
                <w:rFonts w:ascii="仿宋" w:hAnsi="仿宋" w:eastAsia="仿宋" w:cs="仿宋"/>
                <w:color w:val="auto"/>
                <w:szCs w:val="21"/>
              </w:rPr>
            </w:pPr>
          </w:p>
        </w:tc>
      </w:tr>
      <w:tr w14:paraId="2072B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293C613B">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18DF58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4DD8C690">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1002D33">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0373BC66">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1D092E9">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53CDED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46B5DB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B95A738">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E4A9AA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7F2337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95693C1">
            <w:pPr>
              <w:spacing w:line="500" w:lineRule="exact"/>
              <w:jc w:val="center"/>
              <w:rPr>
                <w:rFonts w:ascii="仿宋" w:hAnsi="仿宋" w:eastAsia="仿宋" w:cs="仿宋"/>
                <w:color w:val="auto"/>
                <w:szCs w:val="21"/>
              </w:rPr>
            </w:pPr>
          </w:p>
        </w:tc>
      </w:tr>
      <w:tr w14:paraId="1712A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43D5F4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B76A59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4D607604">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BCFC30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2BCE15C">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F2738B3">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6A2071C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D06DA05">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B6B67D2">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6D5CB36">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F5490B7">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09AF57D">
            <w:pPr>
              <w:spacing w:line="500" w:lineRule="exact"/>
              <w:jc w:val="center"/>
              <w:rPr>
                <w:rFonts w:ascii="仿宋" w:hAnsi="仿宋" w:eastAsia="仿宋" w:cs="仿宋"/>
                <w:color w:val="auto"/>
                <w:szCs w:val="21"/>
              </w:rPr>
            </w:pPr>
          </w:p>
        </w:tc>
      </w:tr>
      <w:tr w14:paraId="604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922BDC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27F8301">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9728875">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4C621AF7">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E843718">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1E5C3F4F">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604BB5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CE07DE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D2473FA">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309D62E">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F2F7AA1">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59477AE">
            <w:pPr>
              <w:spacing w:line="500" w:lineRule="exact"/>
              <w:jc w:val="center"/>
              <w:rPr>
                <w:rFonts w:ascii="仿宋" w:hAnsi="仿宋" w:eastAsia="仿宋" w:cs="仿宋"/>
                <w:color w:val="auto"/>
                <w:szCs w:val="21"/>
              </w:rPr>
            </w:pPr>
          </w:p>
        </w:tc>
      </w:tr>
      <w:tr w14:paraId="3D596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57A073EC">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316F273">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5E7D6B6">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252765D0">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BE0F27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71748FE9">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3A467EC">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3ABC26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3D02C76">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005E94F4">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959739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0A94EE">
            <w:pPr>
              <w:spacing w:line="500" w:lineRule="exact"/>
              <w:jc w:val="center"/>
              <w:rPr>
                <w:rFonts w:ascii="仿宋" w:hAnsi="仿宋" w:eastAsia="仿宋" w:cs="仿宋"/>
                <w:color w:val="auto"/>
                <w:szCs w:val="21"/>
              </w:rPr>
            </w:pPr>
          </w:p>
        </w:tc>
      </w:tr>
      <w:tr w14:paraId="0E91E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14:paraId="470FB9D6">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rPr>
              <w:t>）</w:t>
            </w:r>
          </w:p>
        </w:tc>
        <w:tc>
          <w:tcPr>
            <w:tcW w:w="818" w:type="dxa"/>
            <w:tcBorders>
              <w:top w:val="single" w:color="auto" w:sz="6" w:space="0"/>
              <w:left w:val="single" w:color="auto" w:sz="12" w:space="0"/>
              <w:bottom w:val="single" w:color="auto" w:sz="6" w:space="0"/>
              <w:right w:val="single" w:color="auto" w:sz="12" w:space="0"/>
            </w:tcBorders>
            <w:vAlign w:val="center"/>
          </w:tcPr>
          <w:p w14:paraId="41DB59D9">
            <w:pPr>
              <w:spacing w:line="500" w:lineRule="exact"/>
              <w:jc w:val="center"/>
              <w:rPr>
                <w:rFonts w:ascii="仿宋" w:hAnsi="仿宋" w:eastAsia="仿宋" w:cs="仿宋"/>
                <w:color w:val="auto"/>
                <w:szCs w:val="21"/>
              </w:rPr>
            </w:pPr>
          </w:p>
        </w:tc>
      </w:tr>
    </w:tbl>
    <w:p w14:paraId="3C456BC0">
      <w:pPr>
        <w:pStyle w:val="48"/>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14:paraId="10E37FB9">
      <w:pPr>
        <w:pStyle w:val="48"/>
        <w:numPr>
          <w:ilvl w:val="0"/>
          <w:numId w:val="9"/>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14:paraId="708D7639">
      <w:pPr>
        <w:pStyle w:val="48"/>
        <w:numPr>
          <w:ilvl w:val="0"/>
          <w:numId w:val="9"/>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56C9B5D5">
      <w:pPr>
        <w:pStyle w:val="48"/>
        <w:numPr>
          <w:ilvl w:val="0"/>
          <w:numId w:val="9"/>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14:paraId="595D82A8">
      <w:pPr>
        <w:pStyle w:val="48"/>
        <w:numPr>
          <w:ilvl w:val="0"/>
          <w:numId w:val="9"/>
        </w:numPr>
        <w:tabs>
          <w:tab w:val="left" w:pos="493"/>
        </w:tabs>
        <w:spacing w:line="317" w:lineRule="exact"/>
        <w:ind w:left="176"/>
        <w:rPr>
          <w:rFonts w:ascii="仿宋" w:hAnsi="仿宋" w:eastAsia="仿宋" w:cs="仿宋"/>
          <w:sz w:val="24"/>
          <w:szCs w:val="24"/>
        </w:rPr>
      </w:pPr>
      <w:r>
        <w:rPr>
          <w:rFonts w:hint="eastAsia" w:ascii="仿宋" w:hAnsi="仿宋" w:eastAsia="仿宋" w:cs="仿宋"/>
          <w:b/>
          <w:bCs/>
          <w:color w:val="000000" w:themeColor="text1"/>
          <w:sz w:val="24"/>
          <w:szCs w:val="24"/>
          <w:lang w:val="en-US" w:eastAsia="zh-CN"/>
          <w14:textFill>
            <w14:solidFill>
              <w14:schemeClr w14:val="tx1"/>
            </w14:solidFill>
          </w14:textFill>
        </w:rPr>
        <w:t>各分项</w:t>
      </w:r>
      <w:r>
        <w:rPr>
          <w:rFonts w:hint="eastAsia" w:ascii="仿宋" w:hAnsi="仿宋" w:eastAsia="仿宋" w:cs="仿宋"/>
          <w:b/>
          <w:bCs/>
          <w:color w:val="000000" w:themeColor="text1"/>
          <w:sz w:val="24"/>
          <w:szCs w:val="24"/>
          <w:lang w:eastAsia="zh-CN"/>
          <w14:textFill>
            <w14:solidFill>
              <w14:schemeClr w14:val="tx1"/>
            </w14:solidFill>
          </w14:textFill>
        </w:rPr>
        <w:t>所报单价不能超过单价控制价，否则按废标</w:t>
      </w:r>
      <w:r>
        <w:rPr>
          <w:rFonts w:hint="eastAsia" w:ascii="仿宋" w:hAnsi="仿宋" w:eastAsia="仿宋" w:cs="仿宋"/>
          <w:b/>
          <w:bCs/>
          <w:color w:val="000000" w:themeColor="text1"/>
          <w:sz w:val="24"/>
          <w:szCs w:val="24"/>
          <w:lang w:val="en-US" w:eastAsia="zh-CN"/>
          <w14:textFill>
            <w14:solidFill>
              <w14:schemeClr w14:val="tx1"/>
            </w14:solidFill>
          </w14:textFill>
        </w:rPr>
        <w:t>处理</w:t>
      </w:r>
      <w:r>
        <w:rPr>
          <w:rFonts w:hint="eastAsia" w:ascii="仿宋" w:hAnsi="仿宋" w:eastAsia="仿宋" w:cs="仿宋"/>
          <w:b/>
          <w:bCs/>
          <w:color w:val="000000" w:themeColor="text1"/>
          <w:sz w:val="24"/>
          <w:szCs w:val="24"/>
          <w:lang w:eastAsia="zh-CN"/>
          <w14:textFill>
            <w14:solidFill>
              <w14:schemeClr w14:val="tx1"/>
            </w14:solidFill>
          </w14:textFill>
        </w:rPr>
        <w:t>。</w:t>
      </w:r>
    </w:p>
    <w:p w14:paraId="0054928D">
      <w:pPr>
        <w:pStyle w:val="48"/>
        <w:tabs>
          <w:tab w:val="left" w:pos="493"/>
        </w:tabs>
        <w:spacing w:line="317" w:lineRule="exact"/>
        <w:ind w:left="176"/>
        <w:rPr>
          <w:rFonts w:ascii="仿宋" w:hAnsi="仿宋" w:eastAsia="仿宋" w:cs="仿宋"/>
          <w:sz w:val="20"/>
          <w:szCs w:val="20"/>
        </w:rPr>
      </w:pPr>
    </w:p>
    <w:p w14:paraId="2B37612B">
      <w:pPr>
        <w:pStyle w:val="48"/>
        <w:tabs>
          <w:tab w:val="left" w:pos="493"/>
        </w:tabs>
        <w:spacing w:line="317" w:lineRule="exact"/>
        <w:ind w:left="176"/>
        <w:rPr>
          <w:rFonts w:ascii="仿宋" w:hAnsi="仿宋" w:eastAsia="仿宋" w:cs="仿宋"/>
          <w:sz w:val="20"/>
          <w:szCs w:val="20"/>
        </w:rPr>
      </w:pPr>
    </w:p>
    <w:p w14:paraId="13AB8EE3">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67B854A6">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17943213">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04DD6A5D">
      <w:pPr>
        <w:pStyle w:val="9"/>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14:paraId="122DD9E7">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19"/>
        <w:tblW w:w="8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200"/>
        <w:gridCol w:w="2155"/>
        <w:gridCol w:w="1326"/>
        <w:gridCol w:w="2335"/>
        <w:gridCol w:w="1073"/>
      </w:tblGrid>
      <w:tr w14:paraId="1C1E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66" w:type="dxa"/>
            <w:vAlign w:val="center"/>
          </w:tcPr>
          <w:p w14:paraId="6C6BACB5">
            <w:pPr>
              <w:jc w:val="center"/>
              <w:rPr>
                <w:rFonts w:ascii="仿宋" w:hAnsi="仿宋" w:eastAsia="仿宋" w:cs="仿宋"/>
                <w:bCs/>
              </w:rPr>
            </w:pPr>
            <w:r>
              <w:rPr>
                <w:rFonts w:hint="eastAsia" w:ascii="仿宋" w:hAnsi="仿宋" w:eastAsia="仿宋" w:cs="仿宋"/>
                <w:bCs/>
              </w:rPr>
              <w:t>序号</w:t>
            </w:r>
          </w:p>
        </w:tc>
        <w:tc>
          <w:tcPr>
            <w:tcW w:w="1200" w:type="dxa"/>
            <w:vAlign w:val="center"/>
          </w:tcPr>
          <w:p w14:paraId="32DF4A79">
            <w:pPr>
              <w:jc w:val="center"/>
              <w:rPr>
                <w:rFonts w:ascii="仿宋" w:hAnsi="仿宋" w:eastAsia="仿宋" w:cs="仿宋"/>
                <w:bCs/>
              </w:rPr>
            </w:pPr>
            <w:r>
              <w:rPr>
                <w:rFonts w:hint="eastAsia" w:ascii="仿宋" w:hAnsi="仿宋" w:eastAsia="仿宋" w:cs="仿宋"/>
                <w:bCs/>
              </w:rPr>
              <w:t>货物名称</w:t>
            </w:r>
          </w:p>
        </w:tc>
        <w:tc>
          <w:tcPr>
            <w:tcW w:w="2155" w:type="dxa"/>
            <w:vAlign w:val="center"/>
          </w:tcPr>
          <w:p w14:paraId="2941C872">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14:paraId="18E6502C">
            <w:pPr>
              <w:jc w:val="center"/>
              <w:rPr>
                <w:rFonts w:ascii="仿宋" w:hAnsi="仿宋" w:eastAsia="仿宋" w:cs="仿宋"/>
                <w:bCs/>
              </w:rPr>
            </w:pPr>
            <w:r>
              <w:rPr>
                <w:rFonts w:hint="eastAsia" w:ascii="仿宋" w:hAnsi="仿宋" w:eastAsia="仿宋" w:cs="仿宋"/>
                <w:bCs/>
              </w:rPr>
              <w:t>投标规格</w:t>
            </w:r>
          </w:p>
        </w:tc>
        <w:tc>
          <w:tcPr>
            <w:tcW w:w="2335" w:type="dxa"/>
            <w:vAlign w:val="center"/>
          </w:tcPr>
          <w:p w14:paraId="3829F3EC">
            <w:pPr>
              <w:jc w:val="center"/>
              <w:rPr>
                <w:rFonts w:ascii="仿宋" w:hAnsi="仿宋" w:eastAsia="仿宋" w:cs="仿宋"/>
                <w:bCs/>
              </w:rPr>
            </w:pPr>
            <w:r>
              <w:rPr>
                <w:rFonts w:hint="eastAsia" w:ascii="仿宋" w:hAnsi="仿宋" w:eastAsia="仿宋" w:cs="仿宋"/>
                <w:bCs/>
              </w:rPr>
              <w:t>偏离</w:t>
            </w:r>
          </w:p>
        </w:tc>
        <w:tc>
          <w:tcPr>
            <w:tcW w:w="1073" w:type="dxa"/>
            <w:vAlign w:val="center"/>
          </w:tcPr>
          <w:p w14:paraId="0774DDE2">
            <w:pPr>
              <w:jc w:val="center"/>
              <w:rPr>
                <w:rFonts w:ascii="仿宋" w:hAnsi="仿宋" w:eastAsia="仿宋" w:cs="仿宋"/>
                <w:bCs/>
              </w:rPr>
            </w:pPr>
            <w:r>
              <w:rPr>
                <w:rFonts w:hint="eastAsia" w:ascii="仿宋" w:hAnsi="仿宋" w:eastAsia="仿宋" w:cs="仿宋"/>
                <w:bCs/>
              </w:rPr>
              <w:t>说明</w:t>
            </w:r>
          </w:p>
        </w:tc>
      </w:tr>
      <w:tr w14:paraId="5632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66" w:type="dxa"/>
          </w:tcPr>
          <w:p w14:paraId="71A88A72">
            <w:pPr>
              <w:jc w:val="center"/>
              <w:rPr>
                <w:rFonts w:ascii="仿宋" w:hAnsi="仿宋" w:eastAsia="仿宋" w:cs="仿宋"/>
                <w:b/>
                <w:bCs/>
              </w:rPr>
            </w:pPr>
          </w:p>
        </w:tc>
        <w:tc>
          <w:tcPr>
            <w:tcW w:w="1200" w:type="dxa"/>
          </w:tcPr>
          <w:p w14:paraId="6B374BA6">
            <w:pPr>
              <w:jc w:val="center"/>
              <w:rPr>
                <w:rFonts w:ascii="仿宋" w:hAnsi="仿宋" w:eastAsia="仿宋" w:cs="仿宋"/>
                <w:b/>
                <w:bCs/>
              </w:rPr>
            </w:pPr>
          </w:p>
        </w:tc>
        <w:tc>
          <w:tcPr>
            <w:tcW w:w="2155" w:type="dxa"/>
          </w:tcPr>
          <w:p w14:paraId="6E174D47">
            <w:pPr>
              <w:jc w:val="center"/>
              <w:rPr>
                <w:rFonts w:ascii="仿宋" w:hAnsi="仿宋" w:eastAsia="仿宋" w:cs="仿宋"/>
                <w:b/>
                <w:bCs/>
              </w:rPr>
            </w:pPr>
          </w:p>
        </w:tc>
        <w:tc>
          <w:tcPr>
            <w:tcW w:w="1326" w:type="dxa"/>
          </w:tcPr>
          <w:p w14:paraId="13E59917">
            <w:pPr>
              <w:jc w:val="center"/>
              <w:rPr>
                <w:rFonts w:ascii="仿宋" w:hAnsi="仿宋" w:eastAsia="仿宋" w:cs="仿宋"/>
                <w:b/>
                <w:bCs/>
              </w:rPr>
            </w:pPr>
          </w:p>
        </w:tc>
        <w:tc>
          <w:tcPr>
            <w:tcW w:w="2335" w:type="dxa"/>
          </w:tcPr>
          <w:p w14:paraId="7948C73A">
            <w:pPr>
              <w:jc w:val="center"/>
              <w:rPr>
                <w:rFonts w:ascii="仿宋" w:hAnsi="仿宋" w:eastAsia="仿宋" w:cs="仿宋"/>
                <w:b/>
                <w:bCs/>
                <w:lang w:eastAsia="zh-CN"/>
              </w:rPr>
            </w:pPr>
          </w:p>
        </w:tc>
        <w:tc>
          <w:tcPr>
            <w:tcW w:w="1073" w:type="dxa"/>
          </w:tcPr>
          <w:p w14:paraId="05469487">
            <w:pPr>
              <w:jc w:val="center"/>
              <w:rPr>
                <w:rFonts w:ascii="仿宋" w:hAnsi="仿宋" w:eastAsia="仿宋" w:cs="仿宋"/>
                <w:b/>
                <w:bCs/>
                <w:lang w:eastAsia="zh-CN"/>
              </w:rPr>
            </w:pPr>
          </w:p>
        </w:tc>
      </w:tr>
      <w:tr w14:paraId="3694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66" w:type="dxa"/>
          </w:tcPr>
          <w:p w14:paraId="7705DA78">
            <w:pPr>
              <w:jc w:val="center"/>
              <w:rPr>
                <w:rFonts w:ascii="仿宋" w:hAnsi="仿宋" w:eastAsia="仿宋" w:cs="仿宋"/>
                <w:b/>
                <w:bCs/>
                <w:lang w:eastAsia="zh-CN"/>
              </w:rPr>
            </w:pPr>
          </w:p>
        </w:tc>
        <w:tc>
          <w:tcPr>
            <w:tcW w:w="1200" w:type="dxa"/>
          </w:tcPr>
          <w:p w14:paraId="35EA6E2B">
            <w:pPr>
              <w:jc w:val="center"/>
              <w:rPr>
                <w:rFonts w:ascii="仿宋" w:hAnsi="仿宋" w:eastAsia="仿宋" w:cs="仿宋"/>
                <w:b/>
                <w:bCs/>
                <w:lang w:eastAsia="zh-CN"/>
              </w:rPr>
            </w:pPr>
          </w:p>
        </w:tc>
        <w:tc>
          <w:tcPr>
            <w:tcW w:w="2155" w:type="dxa"/>
          </w:tcPr>
          <w:p w14:paraId="7C42A8ED">
            <w:pPr>
              <w:jc w:val="center"/>
              <w:rPr>
                <w:rFonts w:ascii="仿宋" w:hAnsi="仿宋" w:eastAsia="仿宋" w:cs="仿宋"/>
                <w:b/>
                <w:bCs/>
                <w:lang w:eastAsia="zh-CN"/>
              </w:rPr>
            </w:pPr>
          </w:p>
        </w:tc>
        <w:tc>
          <w:tcPr>
            <w:tcW w:w="1326" w:type="dxa"/>
          </w:tcPr>
          <w:p w14:paraId="47D5F8F4">
            <w:pPr>
              <w:jc w:val="center"/>
              <w:rPr>
                <w:rFonts w:ascii="仿宋" w:hAnsi="仿宋" w:eastAsia="仿宋" w:cs="仿宋"/>
                <w:b/>
                <w:bCs/>
                <w:lang w:eastAsia="zh-CN"/>
              </w:rPr>
            </w:pPr>
          </w:p>
        </w:tc>
        <w:tc>
          <w:tcPr>
            <w:tcW w:w="2335" w:type="dxa"/>
          </w:tcPr>
          <w:p w14:paraId="2B4E0EBC">
            <w:pPr>
              <w:jc w:val="center"/>
              <w:rPr>
                <w:rFonts w:ascii="仿宋" w:hAnsi="仿宋" w:eastAsia="仿宋" w:cs="仿宋"/>
                <w:b/>
                <w:bCs/>
                <w:lang w:eastAsia="zh-CN"/>
              </w:rPr>
            </w:pPr>
          </w:p>
        </w:tc>
        <w:tc>
          <w:tcPr>
            <w:tcW w:w="1073" w:type="dxa"/>
          </w:tcPr>
          <w:p w14:paraId="5BC2D083">
            <w:pPr>
              <w:jc w:val="center"/>
              <w:rPr>
                <w:rFonts w:ascii="仿宋" w:hAnsi="仿宋" w:eastAsia="仿宋" w:cs="仿宋"/>
                <w:b/>
                <w:bCs/>
                <w:lang w:eastAsia="zh-CN"/>
              </w:rPr>
            </w:pPr>
          </w:p>
        </w:tc>
      </w:tr>
      <w:tr w14:paraId="4033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66" w:type="dxa"/>
          </w:tcPr>
          <w:p w14:paraId="461E93E8">
            <w:pPr>
              <w:jc w:val="center"/>
              <w:rPr>
                <w:rFonts w:ascii="仿宋" w:hAnsi="仿宋" w:eastAsia="仿宋" w:cs="仿宋"/>
                <w:b/>
                <w:bCs/>
                <w:lang w:eastAsia="zh-CN"/>
              </w:rPr>
            </w:pPr>
          </w:p>
        </w:tc>
        <w:tc>
          <w:tcPr>
            <w:tcW w:w="1200" w:type="dxa"/>
          </w:tcPr>
          <w:p w14:paraId="426F6201">
            <w:pPr>
              <w:jc w:val="center"/>
              <w:rPr>
                <w:rFonts w:ascii="仿宋" w:hAnsi="仿宋" w:eastAsia="仿宋" w:cs="仿宋"/>
                <w:b/>
                <w:bCs/>
                <w:lang w:eastAsia="zh-CN"/>
              </w:rPr>
            </w:pPr>
          </w:p>
        </w:tc>
        <w:tc>
          <w:tcPr>
            <w:tcW w:w="2155" w:type="dxa"/>
          </w:tcPr>
          <w:p w14:paraId="14DA66F9">
            <w:pPr>
              <w:jc w:val="center"/>
              <w:rPr>
                <w:rFonts w:ascii="仿宋" w:hAnsi="仿宋" w:eastAsia="仿宋" w:cs="仿宋"/>
                <w:b/>
                <w:bCs/>
                <w:lang w:eastAsia="zh-CN"/>
              </w:rPr>
            </w:pPr>
          </w:p>
        </w:tc>
        <w:tc>
          <w:tcPr>
            <w:tcW w:w="1326" w:type="dxa"/>
          </w:tcPr>
          <w:p w14:paraId="0D6285B5">
            <w:pPr>
              <w:jc w:val="center"/>
              <w:rPr>
                <w:rFonts w:ascii="仿宋" w:hAnsi="仿宋" w:eastAsia="仿宋" w:cs="仿宋"/>
                <w:b/>
                <w:bCs/>
                <w:lang w:eastAsia="zh-CN"/>
              </w:rPr>
            </w:pPr>
          </w:p>
        </w:tc>
        <w:tc>
          <w:tcPr>
            <w:tcW w:w="2335" w:type="dxa"/>
          </w:tcPr>
          <w:p w14:paraId="04A863C3">
            <w:pPr>
              <w:jc w:val="center"/>
              <w:rPr>
                <w:rFonts w:ascii="仿宋" w:hAnsi="仿宋" w:eastAsia="仿宋" w:cs="仿宋"/>
                <w:b/>
                <w:bCs/>
                <w:lang w:eastAsia="zh-CN"/>
              </w:rPr>
            </w:pPr>
          </w:p>
        </w:tc>
        <w:tc>
          <w:tcPr>
            <w:tcW w:w="1073" w:type="dxa"/>
          </w:tcPr>
          <w:p w14:paraId="47674BFB">
            <w:pPr>
              <w:jc w:val="center"/>
              <w:rPr>
                <w:rFonts w:ascii="仿宋" w:hAnsi="仿宋" w:eastAsia="仿宋" w:cs="仿宋"/>
                <w:b/>
                <w:bCs/>
                <w:lang w:eastAsia="zh-CN"/>
              </w:rPr>
            </w:pPr>
          </w:p>
        </w:tc>
      </w:tr>
      <w:tr w14:paraId="142D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66" w:type="dxa"/>
          </w:tcPr>
          <w:p w14:paraId="1590F4CE">
            <w:pPr>
              <w:jc w:val="center"/>
              <w:rPr>
                <w:rFonts w:ascii="仿宋" w:hAnsi="仿宋" w:eastAsia="仿宋" w:cs="仿宋"/>
                <w:b/>
                <w:bCs/>
                <w:lang w:eastAsia="zh-CN"/>
              </w:rPr>
            </w:pPr>
          </w:p>
        </w:tc>
        <w:tc>
          <w:tcPr>
            <w:tcW w:w="1200" w:type="dxa"/>
          </w:tcPr>
          <w:p w14:paraId="237FF682">
            <w:pPr>
              <w:jc w:val="center"/>
              <w:rPr>
                <w:rFonts w:ascii="仿宋" w:hAnsi="仿宋" w:eastAsia="仿宋" w:cs="仿宋"/>
                <w:b/>
                <w:bCs/>
                <w:lang w:eastAsia="zh-CN"/>
              </w:rPr>
            </w:pPr>
          </w:p>
        </w:tc>
        <w:tc>
          <w:tcPr>
            <w:tcW w:w="2155" w:type="dxa"/>
          </w:tcPr>
          <w:p w14:paraId="1BB387EB">
            <w:pPr>
              <w:jc w:val="center"/>
              <w:rPr>
                <w:rFonts w:ascii="仿宋" w:hAnsi="仿宋" w:eastAsia="仿宋" w:cs="仿宋"/>
                <w:b/>
                <w:bCs/>
                <w:lang w:eastAsia="zh-CN"/>
              </w:rPr>
            </w:pPr>
          </w:p>
        </w:tc>
        <w:tc>
          <w:tcPr>
            <w:tcW w:w="1326" w:type="dxa"/>
          </w:tcPr>
          <w:p w14:paraId="6AA0B6E8">
            <w:pPr>
              <w:jc w:val="center"/>
              <w:rPr>
                <w:rFonts w:ascii="仿宋" w:hAnsi="仿宋" w:eastAsia="仿宋" w:cs="仿宋"/>
                <w:b/>
                <w:bCs/>
                <w:lang w:eastAsia="zh-CN"/>
              </w:rPr>
            </w:pPr>
          </w:p>
        </w:tc>
        <w:tc>
          <w:tcPr>
            <w:tcW w:w="2335" w:type="dxa"/>
          </w:tcPr>
          <w:p w14:paraId="6DD77DD4">
            <w:pPr>
              <w:jc w:val="center"/>
              <w:rPr>
                <w:rFonts w:ascii="仿宋" w:hAnsi="仿宋" w:eastAsia="仿宋" w:cs="仿宋"/>
                <w:b/>
                <w:bCs/>
                <w:lang w:eastAsia="zh-CN"/>
              </w:rPr>
            </w:pPr>
          </w:p>
        </w:tc>
        <w:tc>
          <w:tcPr>
            <w:tcW w:w="1073" w:type="dxa"/>
          </w:tcPr>
          <w:p w14:paraId="4B0B64FE">
            <w:pPr>
              <w:jc w:val="center"/>
              <w:rPr>
                <w:rFonts w:ascii="仿宋" w:hAnsi="仿宋" w:eastAsia="仿宋" w:cs="仿宋"/>
                <w:b/>
                <w:bCs/>
                <w:lang w:eastAsia="zh-CN"/>
              </w:rPr>
            </w:pPr>
          </w:p>
        </w:tc>
      </w:tr>
      <w:tr w14:paraId="6861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66" w:type="dxa"/>
          </w:tcPr>
          <w:p w14:paraId="51C59B28">
            <w:pPr>
              <w:jc w:val="center"/>
              <w:rPr>
                <w:rFonts w:ascii="仿宋" w:hAnsi="仿宋" w:eastAsia="仿宋" w:cs="仿宋"/>
                <w:b/>
                <w:bCs/>
                <w:lang w:eastAsia="zh-CN"/>
              </w:rPr>
            </w:pPr>
          </w:p>
        </w:tc>
        <w:tc>
          <w:tcPr>
            <w:tcW w:w="1200" w:type="dxa"/>
          </w:tcPr>
          <w:p w14:paraId="737461FD">
            <w:pPr>
              <w:jc w:val="center"/>
              <w:rPr>
                <w:rFonts w:ascii="仿宋" w:hAnsi="仿宋" w:eastAsia="仿宋" w:cs="仿宋"/>
                <w:b/>
                <w:bCs/>
                <w:lang w:eastAsia="zh-CN"/>
              </w:rPr>
            </w:pPr>
          </w:p>
        </w:tc>
        <w:tc>
          <w:tcPr>
            <w:tcW w:w="2155" w:type="dxa"/>
          </w:tcPr>
          <w:p w14:paraId="5D6F0C05">
            <w:pPr>
              <w:jc w:val="center"/>
              <w:rPr>
                <w:rFonts w:ascii="仿宋" w:hAnsi="仿宋" w:eastAsia="仿宋" w:cs="仿宋"/>
                <w:b/>
                <w:bCs/>
                <w:lang w:eastAsia="zh-CN"/>
              </w:rPr>
            </w:pPr>
          </w:p>
        </w:tc>
        <w:tc>
          <w:tcPr>
            <w:tcW w:w="1326" w:type="dxa"/>
          </w:tcPr>
          <w:p w14:paraId="5136BBF3">
            <w:pPr>
              <w:jc w:val="center"/>
              <w:rPr>
                <w:rFonts w:ascii="仿宋" w:hAnsi="仿宋" w:eastAsia="仿宋" w:cs="仿宋"/>
                <w:b/>
                <w:bCs/>
                <w:lang w:eastAsia="zh-CN"/>
              </w:rPr>
            </w:pPr>
          </w:p>
        </w:tc>
        <w:tc>
          <w:tcPr>
            <w:tcW w:w="2335" w:type="dxa"/>
          </w:tcPr>
          <w:p w14:paraId="70BCE4D3">
            <w:pPr>
              <w:jc w:val="center"/>
              <w:rPr>
                <w:rFonts w:ascii="仿宋" w:hAnsi="仿宋" w:eastAsia="仿宋" w:cs="仿宋"/>
                <w:b/>
                <w:bCs/>
                <w:lang w:eastAsia="zh-CN"/>
              </w:rPr>
            </w:pPr>
          </w:p>
        </w:tc>
        <w:tc>
          <w:tcPr>
            <w:tcW w:w="1073" w:type="dxa"/>
          </w:tcPr>
          <w:p w14:paraId="49460706">
            <w:pPr>
              <w:jc w:val="center"/>
              <w:rPr>
                <w:rFonts w:ascii="仿宋" w:hAnsi="仿宋" w:eastAsia="仿宋" w:cs="仿宋"/>
                <w:b/>
                <w:bCs/>
                <w:lang w:eastAsia="zh-CN"/>
              </w:rPr>
            </w:pPr>
          </w:p>
        </w:tc>
      </w:tr>
    </w:tbl>
    <w:p w14:paraId="53FB46B9">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w:t>
      </w:r>
      <w:r>
        <w:rPr>
          <w:rFonts w:hint="eastAsia" w:ascii="仿宋" w:hAnsi="仿宋" w:eastAsia="仿宋" w:cs="仿宋"/>
          <w:bCs/>
        </w:rPr>
        <w:t>偏离</w:t>
      </w:r>
      <w:r>
        <w:rPr>
          <w:rFonts w:hint="eastAsia" w:ascii="仿宋" w:hAnsi="仿宋" w:eastAsia="仿宋" w:cs="仿宋"/>
          <w:lang w:eastAsia="zh-CN"/>
        </w:rPr>
        <w:t>的，则在此表中列明实际响应的内容提要并加以说明，以便查对。本表包括所有的技术响应及</w:t>
      </w:r>
      <w:r>
        <w:rPr>
          <w:rFonts w:hint="eastAsia" w:ascii="仿宋" w:hAnsi="仿宋" w:eastAsia="仿宋" w:cs="仿宋"/>
          <w:lang w:val="en-US" w:eastAsia="zh-CN"/>
        </w:rPr>
        <w:t>偏离</w:t>
      </w:r>
      <w:r>
        <w:rPr>
          <w:rFonts w:hint="eastAsia" w:ascii="仿宋" w:hAnsi="仿宋" w:eastAsia="仿宋" w:cs="仿宋"/>
          <w:lang w:eastAsia="zh-CN"/>
        </w:rPr>
        <w:t>。无</w:t>
      </w:r>
      <w:r>
        <w:rPr>
          <w:rFonts w:hint="eastAsia" w:ascii="仿宋" w:hAnsi="仿宋" w:eastAsia="仿宋" w:cs="仿宋"/>
          <w:bCs/>
        </w:rPr>
        <w:t>偏离</w:t>
      </w:r>
      <w:r>
        <w:rPr>
          <w:rFonts w:hint="eastAsia" w:ascii="仿宋" w:hAnsi="仿宋" w:eastAsia="仿宋" w:cs="仿宋"/>
          <w:lang w:eastAsia="zh-CN"/>
        </w:rPr>
        <w:t>说明表示完全响应。</w:t>
      </w:r>
      <w:r>
        <w:rPr>
          <w:rFonts w:hint="eastAsia" w:ascii="仿宋" w:hAnsi="仿宋" w:eastAsia="仿宋" w:cs="仿宋"/>
          <w:bCs/>
          <w:lang w:eastAsia="zh-CN"/>
        </w:rPr>
        <w:t>需提供证明材料，证明材料附后(并注明页码)</w:t>
      </w:r>
    </w:p>
    <w:p w14:paraId="4C7DB3F2">
      <w:pPr>
        <w:pStyle w:val="11"/>
        <w:tabs>
          <w:tab w:val="left" w:pos="5580"/>
        </w:tabs>
        <w:spacing w:line="360" w:lineRule="auto"/>
        <w:ind w:firstLine="3120" w:firstLineChars="1300"/>
        <w:rPr>
          <w:rFonts w:ascii="仿宋" w:hAnsi="仿宋" w:eastAsia="仿宋" w:cs="仿宋"/>
          <w:lang w:eastAsia="zh-CN"/>
        </w:rPr>
      </w:pPr>
    </w:p>
    <w:p w14:paraId="54559E66">
      <w:pPr>
        <w:pStyle w:val="11"/>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14:paraId="570085E5">
      <w:pPr>
        <w:pStyle w:val="11"/>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14:paraId="30C11BD7">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14:paraId="2A446F4C">
      <w:pPr>
        <w:pStyle w:val="5"/>
        <w:rPr>
          <w:rFonts w:ascii="仿宋" w:hAnsi="仿宋" w:eastAsia="仿宋" w:cs="仿宋"/>
          <w:sz w:val="36"/>
          <w:szCs w:val="36"/>
          <w:lang w:eastAsia="zh-CN"/>
        </w:rPr>
      </w:pPr>
    </w:p>
    <w:p w14:paraId="65BFB413">
      <w:pPr>
        <w:rPr>
          <w:rFonts w:ascii="仿宋" w:hAnsi="仿宋" w:eastAsia="仿宋" w:cs="仿宋"/>
          <w:lang w:eastAsia="zh-CN"/>
        </w:rPr>
      </w:pPr>
    </w:p>
    <w:p w14:paraId="1E8DFE5F">
      <w:pPr>
        <w:pStyle w:val="45"/>
        <w:spacing w:after="0"/>
        <w:ind w:firstLine="420"/>
        <w:jc w:val="center"/>
        <w:rPr>
          <w:rFonts w:ascii="仿宋" w:hAnsi="仿宋" w:eastAsia="仿宋" w:cs="仿宋"/>
          <w:sz w:val="36"/>
          <w:szCs w:val="36"/>
          <w:lang w:eastAsia="zh-CN"/>
        </w:rPr>
      </w:pPr>
    </w:p>
    <w:p w14:paraId="1C7CC6C3">
      <w:pPr>
        <w:pStyle w:val="45"/>
        <w:spacing w:after="0"/>
        <w:ind w:firstLine="420"/>
        <w:jc w:val="center"/>
        <w:rPr>
          <w:rFonts w:ascii="仿宋" w:hAnsi="仿宋" w:eastAsia="仿宋" w:cs="仿宋"/>
          <w:sz w:val="36"/>
          <w:szCs w:val="36"/>
          <w:lang w:eastAsia="zh-CN"/>
        </w:rPr>
      </w:pPr>
    </w:p>
    <w:p w14:paraId="6B971291">
      <w:pPr>
        <w:pStyle w:val="45"/>
        <w:spacing w:after="0"/>
        <w:ind w:firstLine="420"/>
        <w:jc w:val="center"/>
        <w:rPr>
          <w:rFonts w:ascii="仿宋" w:hAnsi="仿宋" w:eastAsia="仿宋" w:cs="仿宋"/>
          <w:sz w:val="36"/>
          <w:szCs w:val="36"/>
          <w:lang w:eastAsia="zh-CN"/>
        </w:rPr>
      </w:pPr>
    </w:p>
    <w:p w14:paraId="7B6628BC">
      <w:pPr>
        <w:pStyle w:val="45"/>
        <w:spacing w:after="0"/>
        <w:ind w:firstLine="420"/>
        <w:jc w:val="center"/>
        <w:rPr>
          <w:rFonts w:ascii="仿宋" w:hAnsi="仿宋" w:eastAsia="仿宋" w:cs="仿宋"/>
          <w:sz w:val="36"/>
          <w:szCs w:val="36"/>
          <w:lang w:eastAsia="zh-CN"/>
        </w:rPr>
      </w:pPr>
    </w:p>
    <w:p w14:paraId="2DBB7E0A">
      <w:pPr>
        <w:pStyle w:val="45"/>
        <w:spacing w:after="0"/>
        <w:ind w:firstLine="420"/>
        <w:jc w:val="center"/>
        <w:rPr>
          <w:rFonts w:ascii="仿宋" w:hAnsi="仿宋" w:eastAsia="仿宋" w:cs="仿宋"/>
          <w:sz w:val="36"/>
          <w:szCs w:val="36"/>
          <w:lang w:eastAsia="zh-CN"/>
        </w:rPr>
      </w:pPr>
    </w:p>
    <w:p w14:paraId="0897387F">
      <w:pPr>
        <w:pStyle w:val="45"/>
        <w:spacing w:after="0"/>
        <w:ind w:firstLine="420"/>
        <w:jc w:val="center"/>
        <w:rPr>
          <w:rFonts w:ascii="仿宋" w:hAnsi="仿宋" w:eastAsia="仿宋" w:cs="仿宋"/>
          <w:sz w:val="36"/>
          <w:szCs w:val="36"/>
          <w:lang w:eastAsia="zh-CN"/>
        </w:rPr>
      </w:pPr>
    </w:p>
    <w:p w14:paraId="4521C2E2">
      <w:pPr>
        <w:pStyle w:val="45"/>
        <w:spacing w:after="0"/>
        <w:ind w:firstLine="420"/>
        <w:jc w:val="center"/>
        <w:rPr>
          <w:rFonts w:ascii="仿宋" w:hAnsi="仿宋" w:eastAsia="仿宋" w:cs="仿宋"/>
          <w:sz w:val="36"/>
          <w:szCs w:val="36"/>
          <w:lang w:eastAsia="zh-CN"/>
        </w:rPr>
      </w:pPr>
    </w:p>
    <w:p w14:paraId="6E7F6BAA">
      <w:pPr>
        <w:pStyle w:val="45"/>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456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8471621">
            <w:pPr>
              <w:rPr>
                <w:rFonts w:ascii="仿宋" w:hAnsi="仿宋" w:eastAsia="仿宋" w:cs="仿宋"/>
                <w:spacing w:val="-1"/>
              </w:rPr>
            </w:pPr>
            <w:r>
              <w:rPr>
                <w:rFonts w:hint="eastAsia" w:ascii="仿宋" w:hAnsi="仿宋" w:eastAsia="仿宋" w:cs="仿宋"/>
                <w:spacing w:val="-1"/>
              </w:rPr>
              <w:t>序号</w:t>
            </w:r>
          </w:p>
        </w:tc>
        <w:tc>
          <w:tcPr>
            <w:tcW w:w="2154" w:type="dxa"/>
          </w:tcPr>
          <w:p w14:paraId="55DD79D8">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77" w:type="dxa"/>
          </w:tcPr>
          <w:p w14:paraId="584D0DEF">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454" w:type="dxa"/>
          </w:tcPr>
          <w:p w14:paraId="4E72DE5A">
            <w:pPr>
              <w:pStyle w:val="11"/>
              <w:spacing w:line="240" w:lineRule="atLeast"/>
              <w:jc w:val="center"/>
              <w:rPr>
                <w:rFonts w:ascii="仿宋" w:hAnsi="仿宋" w:eastAsia="仿宋" w:cs="仿宋"/>
                <w:spacing w:val="-1"/>
              </w:rPr>
            </w:pPr>
            <w:r>
              <w:rPr>
                <w:rFonts w:hint="eastAsia" w:ascii="仿宋" w:hAnsi="仿宋" w:eastAsia="仿宋" w:cs="仿宋"/>
                <w:bCs/>
                <w:szCs w:val="24"/>
              </w:rPr>
              <w:t>偏离</w:t>
            </w:r>
          </w:p>
        </w:tc>
        <w:tc>
          <w:tcPr>
            <w:tcW w:w="1130" w:type="dxa"/>
          </w:tcPr>
          <w:p w14:paraId="279A926B">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14:paraId="49CD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E7F0A0B">
            <w:pPr>
              <w:rPr>
                <w:rFonts w:ascii="仿宋" w:hAnsi="仿宋" w:eastAsia="仿宋" w:cs="仿宋"/>
                <w:spacing w:val="-1"/>
              </w:rPr>
            </w:pPr>
            <w:r>
              <w:rPr>
                <w:rFonts w:hint="eastAsia" w:ascii="仿宋" w:hAnsi="仿宋" w:eastAsia="仿宋" w:cs="仿宋"/>
                <w:spacing w:val="-1"/>
              </w:rPr>
              <w:t>1</w:t>
            </w:r>
          </w:p>
        </w:tc>
        <w:tc>
          <w:tcPr>
            <w:tcW w:w="2154" w:type="dxa"/>
            <w:vAlign w:val="center"/>
          </w:tcPr>
          <w:p w14:paraId="01FE4038">
            <w:pPr>
              <w:rPr>
                <w:rFonts w:ascii="仿宋" w:hAnsi="仿宋" w:eastAsia="仿宋" w:cs="仿宋"/>
                <w:spacing w:val="-1"/>
              </w:rPr>
            </w:pPr>
          </w:p>
        </w:tc>
        <w:tc>
          <w:tcPr>
            <w:tcW w:w="2477" w:type="dxa"/>
            <w:vAlign w:val="center"/>
          </w:tcPr>
          <w:p w14:paraId="4FFBB0C8">
            <w:pPr>
              <w:rPr>
                <w:rFonts w:ascii="仿宋" w:hAnsi="仿宋" w:eastAsia="仿宋" w:cs="仿宋"/>
                <w:spacing w:val="-1"/>
              </w:rPr>
            </w:pPr>
          </w:p>
        </w:tc>
        <w:tc>
          <w:tcPr>
            <w:tcW w:w="2454" w:type="dxa"/>
            <w:vAlign w:val="center"/>
          </w:tcPr>
          <w:p w14:paraId="5234A420">
            <w:pPr>
              <w:rPr>
                <w:rFonts w:ascii="仿宋" w:hAnsi="仿宋" w:eastAsia="仿宋" w:cs="仿宋"/>
                <w:spacing w:val="-1"/>
              </w:rPr>
            </w:pPr>
          </w:p>
        </w:tc>
        <w:tc>
          <w:tcPr>
            <w:tcW w:w="1130" w:type="dxa"/>
            <w:vAlign w:val="center"/>
          </w:tcPr>
          <w:p w14:paraId="42B86B4D">
            <w:pPr>
              <w:rPr>
                <w:rFonts w:ascii="仿宋" w:hAnsi="仿宋" w:eastAsia="仿宋" w:cs="仿宋"/>
                <w:spacing w:val="-1"/>
              </w:rPr>
            </w:pPr>
          </w:p>
        </w:tc>
      </w:tr>
      <w:tr w14:paraId="2BC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9386EEC">
            <w:pPr>
              <w:rPr>
                <w:rFonts w:ascii="仿宋" w:hAnsi="仿宋" w:eastAsia="仿宋" w:cs="仿宋"/>
                <w:spacing w:val="-1"/>
              </w:rPr>
            </w:pPr>
            <w:r>
              <w:rPr>
                <w:rFonts w:hint="eastAsia" w:ascii="仿宋" w:hAnsi="仿宋" w:eastAsia="仿宋" w:cs="仿宋"/>
                <w:spacing w:val="-1"/>
              </w:rPr>
              <w:t>2</w:t>
            </w:r>
          </w:p>
        </w:tc>
        <w:tc>
          <w:tcPr>
            <w:tcW w:w="2154" w:type="dxa"/>
            <w:vAlign w:val="center"/>
          </w:tcPr>
          <w:p w14:paraId="611C09F8">
            <w:pPr>
              <w:rPr>
                <w:rFonts w:ascii="仿宋" w:hAnsi="仿宋" w:eastAsia="仿宋" w:cs="仿宋"/>
                <w:spacing w:val="-1"/>
              </w:rPr>
            </w:pPr>
          </w:p>
        </w:tc>
        <w:tc>
          <w:tcPr>
            <w:tcW w:w="2477" w:type="dxa"/>
            <w:vAlign w:val="center"/>
          </w:tcPr>
          <w:p w14:paraId="2BBD8013">
            <w:pPr>
              <w:rPr>
                <w:rFonts w:ascii="仿宋" w:hAnsi="仿宋" w:eastAsia="仿宋" w:cs="仿宋"/>
                <w:spacing w:val="-1"/>
              </w:rPr>
            </w:pPr>
          </w:p>
        </w:tc>
        <w:tc>
          <w:tcPr>
            <w:tcW w:w="2454" w:type="dxa"/>
            <w:vAlign w:val="center"/>
          </w:tcPr>
          <w:p w14:paraId="6E07E2B9">
            <w:pPr>
              <w:rPr>
                <w:rFonts w:ascii="仿宋" w:hAnsi="仿宋" w:eastAsia="仿宋" w:cs="仿宋"/>
                <w:spacing w:val="-1"/>
              </w:rPr>
            </w:pPr>
          </w:p>
        </w:tc>
        <w:tc>
          <w:tcPr>
            <w:tcW w:w="1130" w:type="dxa"/>
            <w:vAlign w:val="center"/>
          </w:tcPr>
          <w:p w14:paraId="59079116">
            <w:pPr>
              <w:rPr>
                <w:rFonts w:ascii="仿宋" w:hAnsi="仿宋" w:eastAsia="仿宋" w:cs="仿宋"/>
                <w:spacing w:val="-1"/>
              </w:rPr>
            </w:pPr>
          </w:p>
        </w:tc>
      </w:tr>
      <w:tr w14:paraId="0F79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8B853D2">
            <w:pPr>
              <w:rPr>
                <w:rFonts w:ascii="仿宋" w:hAnsi="仿宋" w:eastAsia="仿宋" w:cs="仿宋"/>
                <w:spacing w:val="-1"/>
              </w:rPr>
            </w:pPr>
            <w:r>
              <w:rPr>
                <w:rFonts w:hint="eastAsia" w:ascii="仿宋" w:hAnsi="仿宋" w:eastAsia="仿宋" w:cs="仿宋"/>
                <w:spacing w:val="-1"/>
              </w:rPr>
              <w:t>3</w:t>
            </w:r>
          </w:p>
        </w:tc>
        <w:tc>
          <w:tcPr>
            <w:tcW w:w="2154" w:type="dxa"/>
            <w:vAlign w:val="center"/>
          </w:tcPr>
          <w:p w14:paraId="72652342">
            <w:pPr>
              <w:rPr>
                <w:rFonts w:ascii="仿宋" w:hAnsi="仿宋" w:eastAsia="仿宋" w:cs="仿宋"/>
                <w:spacing w:val="-1"/>
              </w:rPr>
            </w:pPr>
          </w:p>
        </w:tc>
        <w:tc>
          <w:tcPr>
            <w:tcW w:w="2477" w:type="dxa"/>
            <w:vAlign w:val="center"/>
          </w:tcPr>
          <w:p w14:paraId="0BFE09A3">
            <w:pPr>
              <w:rPr>
                <w:rFonts w:ascii="仿宋" w:hAnsi="仿宋" w:eastAsia="仿宋" w:cs="仿宋"/>
                <w:spacing w:val="-1"/>
              </w:rPr>
            </w:pPr>
          </w:p>
        </w:tc>
        <w:tc>
          <w:tcPr>
            <w:tcW w:w="2454" w:type="dxa"/>
            <w:vAlign w:val="center"/>
          </w:tcPr>
          <w:p w14:paraId="611630E8">
            <w:pPr>
              <w:rPr>
                <w:rFonts w:ascii="仿宋" w:hAnsi="仿宋" w:eastAsia="仿宋" w:cs="仿宋"/>
                <w:spacing w:val="-1"/>
              </w:rPr>
            </w:pPr>
          </w:p>
        </w:tc>
        <w:tc>
          <w:tcPr>
            <w:tcW w:w="1130" w:type="dxa"/>
            <w:vAlign w:val="center"/>
          </w:tcPr>
          <w:p w14:paraId="01D40461">
            <w:pPr>
              <w:rPr>
                <w:rFonts w:ascii="仿宋" w:hAnsi="仿宋" w:eastAsia="仿宋" w:cs="仿宋"/>
                <w:spacing w:val="-1"/>
              </w:rPr>
            </w:pPr>
          </w:p>
        </w:tc>
      </w:tr>
      <w:tr w14:paraId="2AA0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880A9F">
            <w:pPr>
              <w:rPr>
                <w:rFonts w:ascii="仿宋" w:hAnsi="仿宋" w:eastAsia="仿宋" w:cs="仿宋"/>
                <w:spacing w:val="-1"/>
              </w:rPr>
            </w:pPr>
            <w:r>
              <w:rPr>
                <w:rFonts w:hint="eastAsia" w:ascii="仿宋" w:hAnsi="仿宋" w:eastAsia="仿宋" w:cs="仿宋"/>
                <w:spacing w:val="-1"/>
              </w:rPr>
              <w:t>4</w:t>
            </w:r>
          </w:p>
        </w:tc>
        <w:tc>
          <w:tcPr>
            <w:tcW w:w="2154" w:type="dxa"/>
            <w:vAlign w:val="center"/>
          </w:tcPr>
          <w:p w14:paraId="2EF21C74">
            <w:pPr>
              <w:rPr>
                <w:rFonts w:ascii="仿宋" w:hAnsi="仿宋" w:eastAsia="仿宋" w:cs="仿宋"/>
                <w:spacing w:val="-1"/>
              </w:rPr>
            </w:pPr>
          </w:p>
        </w:tc>
        <w:tc>
          <w:tcPr>
            <w:tcW w:w="2477" w:type="dxa"/>
            <w:vAlign w:val="center"/>
          </w:tcPr>
          <w:p w14:paraId="1FC46F0E">
            <w:pPr>
              <w:rPr>
                <w:rFonts w:ascii="仿宋" w:hAnsi="仿宋" w:eastAsia="仿宋" w:cs="仿宋"/>
                <w:spacing w:val="-1"/>
              </w:rPr>
            </w:pPr>
          </w:p>
        </w:tc>
        <w:tc>
          <w:tcPr>
            <w:tcW w:w="2454" w:type="dxa"/>
            <w:vAlign w:val="center"/>
          </w:tcPr>
          <w:p w14:paraId="6F18558D">
            <w:pPr>
              <w:rPr>
                <w:rFonts w:ascii="仿宋" w:hAnsi="仿宋" w:eastAsia="仿宋" w:cs="仿宋"/>
                <w:spacing w:val="-1"/>
              </w:rPr>
            </w:pPr>
          </w:p>
        </w:tc>
        <w:tc>
          <w:tcPr>
            <w:tcW w:w="1130" w:type="dxa"/>
            <w:vAlign w:val="center"/>
          </w:tcPr>
          <w:p w14:paraId="5FE0A1A9">
            <w:pPr>
              <w:rPr>
                <w:rFonts w:ascii="仿宋" w:hAnsi="仿宋" w:eastAsia="仿宋" w:cs="仿宋"/>
                <w:spacing w:val="-1"/>
              </w:rPr>
            </w:pPr>
          </w:p>
        </w:tc>
      </w:tr>
      <w:tr w14:paraId="491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4401793">
            <w:pPr>
              <w:rPr>
                <w:rFonts w:ascii="仿宋" w:hAnsi="仿宋" w:eastAsia="仿宋" w:cs="仿宋"/>
                <w:spacing w:val="-1"/>
              </w:rPr>
            </w:pPr>
            <w:r>
              <w:rPr>
                <w:rFonts w:hint="eastAsia" w:ascii="仿宋" w:hAnsi="仿宋" w:eastAsia="仿宋" w:cs="仿宋"/>
                <w:spacing w:val="-1"/>
              </w:rPr>
              <w:t>5</w:t>
            </w:r>
          </w:p>
        </w:tc>
        <w:tc>
          <w:tcPr>
            <w:tcW w:w="2154" w:type="dxa"/>
            <w:vAlign w:val="center"/>
          </w:tcPr>
          <w:p w14:paraId="6632900F">
            <w:pPr>
              <w:rPr>
                <w:rFonts w:ascii="仿宋" w:hAnsi="仿宋" w:eastAsia="仿宋" w:cs="仿宋"/>
                <w:spacing w:val="-1"/>
              </w:rPr>
            </w:pPr>
          </w:p>
        </w:tc>
        <w:tc>
          <w:tcPr>
            <w:tcW w:w="2477" w:type="dxa"/>
            <w:vAlign w:val="center"/>
          </w:tcPr>
          <w:p w14:paraId="22A5249C">
            <w:pPr>
              <w:rPr>
                <w:rFonts w:ascii="仿宋" w:hAnsi="仿宋" w:eastAsia="仿宋" w:cs="仿宋"/>
                <w:spacing w:val="-1"/>
              </w:rPr>
            </w:pPr>
          </w:p>
        </w:tc>
        <w:tc>
          <w:tcPr>
            <w:tcW w:w="2454" w:type="dxa"/>
            <w:vAlign w:val="center"/>
          </w:tcPr>
          <w:p w14:paraId="6770082C">
            <w:pPr>
              <w:rPr>
                <w:rFonts w:ascii="仿宋" w:hAnsi="仿宋" w:eastAsia="仿宋" w:cs="仿宋"/>
                <w:spacing w:val="-1"/>
              </w:rPr>
            </w:pPr>
          </w:p>
        </w:tc>
        <w:tc>
          <w:tcPr>
            <w:tcW w:w="1130" w:type="dxa"/>
            <w:vAlign w:val="center"/>
          </w:tcPr>
          <w:p w14:paraId="2AA2E604">
            <w:pPr>
              <w:rPr>
                <w:rFonts w:ascii="仿宋" w:hAnsi="仿宋" w:eastAsia="仿宋" w:cs="仿宋"/>
                <w:spacing w:val="-1"/>
              </w:rPr>
            </w:pPr>
          </w:p>
        </w:tc>
      </w:tr>
      <w:tr w14:paraId="23C7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5012C6F">
            <w:pPr>
              <w:rPr>
                <w:rFonts w:ascii="仿宋" w:hAnsi="仿宋" w:eastAsia="仿宋" w:cs="仿宋"/>
                <w:spacing w:val="-1"/>
              </w:rPr>
            </w:pPr>
            <w:r>
              <w:rPr>
                <w:rFonts w:hint="eastAsia" w:ascii="仿宋" w:hAnsi="仿宋" w:eastAsia="仿宋" w:cs="仿宋"/>
                <w:spacing w:val="-1"/>
              </w:rPr>
              <w:t>6</w:t>
            </w:r>
          </w:p>
        </w:tc>
        <w:tc>
          <w:tcPr>
            <w:tcW w:w="2154" w:type="dxa"/>
            <w:vAlign w:val="center"/>
          </w:tcPr>
          <w:p w14:paraId="007444A1">
            <w:pPr>
              <w:rPr>
                <w:rFonts w:ascii="仿宋" w:hAnsi="仿宋" w:eastAsia="仿宋" w:cs="仿宋"/>
                <w:spacing w:val="-1"/>
              </w:rPr>
            </w:pPr>
          </w:p>
        </w:tc>
        <w:tc>
          <w:tcPr>
            <w:tcW w:w="2477" w:type="dxa"/>
            <w:vAlign w:val="center"/>
          </w:tcPr>
          <w:p w14:paraId="247A283F">
            <w:pPr>
              <w:rPr>
                <w:rFonts w:ascii="仿宋" w:hAnsi="仿宋" w:eastAsia="仿宋" w:cs="仿宋"/>
                <w:spacing w:val="-1"/>
              </w:rPr>
            </w:pPr>
          </w:p>
        </w:tc>
        <w:tc>
          <w:tcPr>
            <w:tcW w:w="2454" w:type="dxa"/>
            <w:vAlign w:val="center"/>
          </w:tcPr>
          <w:p w14:paraId="5AC0DE88">
            <w:pPr>
              <w:rPr>
                <w:rFonts w:ascii="仿宋" w:hAnsi="仿宋" w:eastAsia="仿宋" w:cs="仿宋"/>
                <w:spacing w:val="-1"/>
              </w:rPr>
            </w:pPr>
          </w:p>
        </w:tc>
        <w:tc>
          <w:tcPr>
            <w:tcW w:w="1130" w:type="dxa"/>
            <w:vAlign w:val="center"/>
          </w:tcPr>
          <w:p w14:paraId="0368D53C">
            <w:pPr>
              <w:rPr>
                <w:rFonts w:ascii="仿宋" w:hAnsi="仿宋" w:eastAsia="仿宋" w:cs="仿宋"/>
                <w:spacing w:val="-1"/>
              </w:rPr>
            </w:pPr>
          </w:p>
        </w:tc>
      </w:tr>
      <w:tr w14:paraId="4C9E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DB7B382">
            <w:pPr>
              <w:rPr>
                <w:rFonts w:ascii="仿宋" w:hAnsi="仿宋" w:eastAsia="仿宋" w:cs="仿宋"/>
                <w:spacing w:val="-1"/>
              </w:rPr>
            </w:pPr>
            <w:r>
              <w:rPr>
                <w:rFonts w:hint="eastAsia" w:ascii="仿宋" w:hAnsi="仿宋" w:eastAsia="仿宋" w:cs="仿宋"/>
                <w:spacing w:val="-1"/>
              </w:rPr>
              <w:t>7</w:t>
            </w:r>
          </w:p>
        </w:tc>
        <w:tc>
          <w:tcPr>
            <w:tcW w:w="2154" w:type="dxa"/>
            <w:vAlign w:val="center"/>
          </w:tcPr>
          <w:p w14:paraId="7D99A537">
            <w:pPr>
              <w:rPr>
                <w:rFonts w:ascii="仿宋" w:hAnsi="仿宋" w:eastAsia="仿宋" w:cs="仿宋"/>
                <w:spacing w:val="-1"/>
              </w:rPr>
            </w:pPr>
          </w:p>
        </w:tc>
        <w:tc>
          <w:tcPr>
            <w:tcW w:w="2477" w:type="dxa"/>
            <w:vAlign w:val="center"/>
          </w:tcPr>
          <w:p w14:paraId="2F38A389">
            <w:pPr>
              <w:rPr>
                <w:rFonts w:ascii="仿宋" w:hAnsi="仿宋" w:eastAsia="仿宋" w:cs="仿宋"/>
                <w:spacing w:val="-1"/>
              </w:rPr>
            </w:pPr>
          </w:p>
        </w:tc>
        <w:tc>
          <w:tcPr>
            <w:tcW w:w="2454" w:type="dxa"/>
            <w:vAlign w:val="center"/>
          </w:tcPr>
          <w:p w14:paraId="725DE95B">
            <w:pPr>
              <w:rPr>
                <w:rFonts w:ascii="仿宋" w:hAnsi="仿宋" w:eastAsia="仿宋" w:cs="仿宋"/>
                <w:spacing w:val="-1"/>
              </w:rPr>
            </w:pPr>
          </w:p>
        </w:tc>
        <w:tc>
          <w:tcPr>
            <w:tcW w:w="1130" w:type="dxa"/>
            <w:vAlign w:val="center"/>
          </w:tcPr>
          <w:p w14:paraId="1CC6D04C">
            <w:pPr>
              <w:rPr>
                <w:rFonts w:ascii="仿宋" w:hAnsi="仿宋" w:eastAsia="仿宋" w:cs="仿宋"/>
                <w:spacing w:val="-1"/>
              </w:rPr>
            </w:pPr>
          </w:p>
        </w:tc>
      </w:tr>
      <w:tr w14:paraId="4B83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66C9B57">
            <w:pPr>
              <w:rPr>
                <w:rFonts w:ascii="仿宋" w:hAnsi="仿宋" w:eastAsia="仿宋" w:cs="仿宋"/>
                <w:spacing w:val="-1"/>
              </w:rPr>
            </w:pPr>
            <w:r>
              <w:rPr>
                <w:rFonts w:hint="eastAsia" w:ascii="仿宋" w:hAnsi="仿宋" w:eastAsia="仿宋" w:cs="仿宋"/>
                <w:spacing w:val="-1"/>
              </w:rPr>
              <w:t>8</w:t>
            </w:r>
          </w:p>
        </w:tc>
        <w:tc>
          <w:tcPr>
            <w:tcW w:w="2154" w:type="dxa"/>
            <w:vAlign w:val="center"/>
          </w:tcPr>
          <w:p w14:paraId="4EDF7408">
            <w:pPr>
              <w:rPr>
                <w:rFonts w:ascii="仿宋" w:hAnsi="仿宋" w:eastAsia="仿宋" w:cs="仿宋"/>
                <w:spacing w:val="-1"/>
              </w:rPr>
            </w:pPr>
          </w:p>
        </w:tc>
        <w:tc>
          <w:tcPr>
            <w:tcW w:w="2477" w:type="dxa"/>
            <w:vAlign w:val="center"/>
          </w:tcPr>
          <w:p w14:paraId="48215908">
            <w:pPr>
              <w:rPr>
                <w:rFonts w:ascii="仿宋" w:hAnsi="仿宋" w:eastAsia="仿宋" w:cs="仿宋"/>
                <w:spacing w:val="-1"/>
              </w:rPr>
            </w:pPr>
          </w:p>
        </w:tc>
        <w:tc>
          <w:tcPr>
            <w:tcW w:w="2454" w:type="dxa"/>
            <w:vAlign w:val="center"/>
          </w:tcPr>
          <w:p w14:paraId="3242F4D0">
            <w:pPr>
              <w:rPr>
                <w:rFonts w:ascii="仿宋" w:hAnsi="仿宋" w:eastAsia="仿宋" w:cs="仿宋"/>
                <w:spacing w:val="-1"/>
              </w:rPr>
            </w:pPr>
          </w:p>
        </w:tc>
        <w:tc>
          <w:tcPr>
            <w:tcW w:w="1130" w:type="dxa"/>
            <w:vAlign w:val="center"/>
          </w:tcPr>
          <w:p w14:paraId="52F3C7C9">
            <w:pPr>
              <w:rPr>
                <w:rFonts w:ascii="仿宋" w:hAnsi="仿宋" w:eastAsia="仿宋" w:cs="仿宋"/>
                <w:spacing w:val="-1"/>
              </w:rPr>
            </w:pPr>
          </w:p>
        </w:tc>
      </w:tr>
      <w:tr w14:paraId="3DF0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3304DC4">
            <w:pPr>
              <w:rPr>
                <w:rFonts w:ascii="仿宋" w:hAnsi="仿宋" w:eastAsia="仿宋" w:cs="仿宋"/>
                <w:spacing w:val="-1"/>
              </w:rPr>
            </w:pPr>
            <w:r>
              <w:rPr>
                <w:rFonts w:hint="eastAsia" w:ascii="仿宋" w:hAnsi="仿宋" w:eastAsia="仿宋" w:cs="仿宋"/>
                <w:spacing w:val="-1"/>
              </w:rPr>
              <w:t>9</w:t>
            </w:r>
          </w:p>
        </w:tc>
        <w:tc>
          <w:tcPr>
            <w:tcW w:w="2154" w:type="dxa"/>
            <w:vAlign w:val="center"/>
          </w:tcPr>
          <w:p w14:paraId="19FC6D22">
            <w:pPr>
              <w:rPr>
                <w:rFonts w:ascii="仿宋" w:hAnsi="仿宋" w:eastAsia="仿宋" w:cs="仿宋"/>
                <w:spacing w:val="-1"/>
              </w:rPr>
            </w:pPr>
          </w:p>
        </w:tc>
        <w:tc>
          <w:tcPr>
            <w:tcW w:w="2477" w:type="dxa"/>
            <w:vAlign w:val="center"/>
          </w:tcPr>
          <w:p w14:paraId="1967FEE5">
            <w:pPr>
              <w:rPr>
                <w:rFonts w:ascii="仿宋" w:hAnsi="仿宋" w:eastAsia="仿宋" w:cs="仿宋"/>
                <w:spacing w:val="-1"/>
              </w:rPr>
            </w:pPr>
          </w:p>
        </w:tc>
        <w:tc>
          <w:tcPr>
            <w:tcW w:w="2454" w:type="dxa"/>
            <w:vAlign w:val="center"/>
          </w:tcPr>
          <w:p w14:paraId="4696B4AD">
            <w:pPr>
              <w:rPr>
                <w:rFonts w:ascii="仿宋" w:hAnsi="仿宋" w:eastAsia="仿宋" w:cs="仿宋"/>
                <w:spacing w:val="-1"/>
              </w:rPr>
            </w:pPr>
          </w:p>
        </w:tc>
        <w:tc>
          <w:tcPr>
            <w:tcW w:w="1130" w:type="dxa"/>
            <w:vAlign w:val="center"/>
          </w:tcPr>
          <w:p w14:paraId="4F71D9C9">
            <w:pPr>
              <w:rPr>
                <w:rFonts w:ascii="仿宋" w:hAnsi="仿宋" w:eastAsia="仿宋" w:cs="仿宋"/>
                <w:spacing w:val="-1"/>
              </w:rPr>
            </w:pPr>
          </w:p>
        </w:tc>
      </w:tr>
      <w:tr w14:paraId="7109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7FF588">
            <w:pPr>
              <w:rPr>
                <w:rFonts w:ascii="仿宋" w:hAnsi="仿宋" w:eastAsia="仿宋" w:cs="仿宋"/>
                <w:spacing w:val="-1"/>
              </w:rPr>
            </w:pPr>
            <w:r>
              <w:rPr>
                <w:rFonts w:hint="eastAsia" w:ascii="仿宋" w:hAnsi="仿宋" w:eastAsia="仿宋" w:cs="仿宋"/>
                <w:spacing w:val="-1"/>
              </w:rPr>
              <w:t>10</w:t>
            </w:r>
          </w:p>
        </w:tc>
        <w:tc>
          <w:tcPr>
            <w:tcW w:w="2154" w:type="dxa"/>
            <w:vAlign w:val="center"/>
          </w:tcPr>
          <w:p w14:paraId="71268557">
            <w:pPr>
              <w:rPr>
                <w:rFonts w:ascii="仿宋" w:hAnsi="仿宋" w:eastAsia="仿宋" w:cs="仿宋"/>
                <w:spacing w:val="-1"/>
              </w:rPr>
            </w:pPr>
          </w:p>
        </w:tc>
        <w:tc>
          <w:tcPr>
            <w:tcW w:w="2477" w:type="dxa"/>
            <w:vAlign w:val="center"/>
          </w:tcPr>
          <w:p w14:paraId="19CB807C">
            <w:pPr>
              <w:rPr>
                <w:rFonts w:ascii="仿宋" w:hAnsi="仿宋" w:eastAsia="仿宋" w:cs="仿宋"/>
                <w:spacing w:val="-1"/>
              </w:rPr>
            </w:pPr>
          </w:p>
        </w:tc>
        <w:tc>
          <w:tcPr>
            <w:tcW w:w="2454" w:type="dxa"/>
            <w:vAlign w:val="center"/>
          </w:tcPr>
          <w:p w14:paraId="79F8AAD8">
            <w:pPr>
              <w:rPr>
                <w:rFonts w:ascii="仿宋" w:hAnsi="仿宋" w:eastAsia="仿宋" w:cs="仿宋"/>
                <w:spacing w:val="-1"/>
              </w:rPr>
            </w:pPr>
          </w:p>
        </w:tc>
        <w:tc>
          <w:tcPr>
            <w:tcW w:w="1130" w:type="dxa"/>
            <w:vAlign w:val="center"/>
          </w:tcPr>
          <w:p w14:paraId="728B967D">
            <w:pPr>
              <w:rPr>
                <w:rFonts w:ascii="仿宋" w:hAnsi="仿宋" w:eastAsia="仿宋" w:cs="仿宋"/>
                <w:spacing w:val="-1"/>
              </w:rPr>
            </w:pPr>
          </w:p>
        </w:tc>
      </w:tr>
      <w:tr w14:paraId="0654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B079507">
            <w:pPr>
              <w:rPr>
                <w:rFonts w:ascii="仿宋" w:hAnsi="仿宋" w:eastAsia="仿宋" w:cs="仿宋"/>
                <w:spacing w:val="-1"/>
              </w:rPr>
            </w:pPr>
            <w:r>
              <w:rPr>
                <w:rFonts w:hint="eastAsia" w:ascii="仿宋" w:hAnsi="仿宋" w:eastAsia="仿宋" w:cs="仿宋"/>
                <w:spacing w:val="-1"/>
              </w:rPr>
              <w:t>11</w:t>
            </w:r>
          </w:p>
        </w:tc>
        <w:tc>
          <w:tcPr>
            <w:tcW w:w="2154" w:type="dxa"/>
            <w:vAlign w:val="center"/>
          </w:tcPr>
          <w:p w14:paraId="35B26CAD">
            <w:pPr>
              <w:rPr>
                <w:rFonts w:ascii="仿宋" w:hAnsi="仿宋" w:eastAsia="仿宋" w:cs="仿宋"/>
                <w:spacing w:val="-1"/>
              </w:rPr>
            </w:pPr>
          </w:p>
        </w:tc>
        <w:tc>
          <w:tcPr>
            <w:tcW w:w="2477" w:type="dxa"/>
            <w:vAlign w:val="center"/>
          </w:tcPr>
          <w:p w14:paraId="0DA1DAD6">
            <w:pPr>
              <w:rPr>
                <w:rFonts w:ascii="仿宋" w:hAnsi="仿宋" w:eastAsia="仿宋" w:cs="仿宋"/>
                <w:spacing w:val="-1"/>
              </w:rPr>
            </w:pPr>
          </w:p>
        </w:tc>
        <w:tc>
          <w:tcPr>
            <w:tcW w:w="2454" w:type="dxa"/>
            <w:vAlign w:val="center"/>
          </w:tcPr>
          <w:p w14:paraId="270C3EA3">
            <w:pPr>
              <w:rPr>
                <w:rFonts w:ascii="仿宋" w:hAnsi="仿宋" w:eastAsia="仿宋" w:cs="仿宋"/>
                <w:spacing w:val="-1"/>
              </w:rPr>
            </w:pPr>
          </w:p>
        </w:tc>
        <w:tc>
          <w:tcPr>
            <w:tcW w:w="1130" w:type="dxa"/>
            <w:vAlign w:val="center"/>
          </w:tcPr>
          <w:p w14:paraId="506BE5F4">
            <w:pPr>
              <w:rPr>
                <w:rFonts w:ascii="仿宋" w:hAnsi="仿宋" w:eastAsia="仿宋" w:cs="仿宋"/>
                <w:spacing w:val="-1"/>
              </w:rPr>
            </w:pPr>
          </w:p>
        </w:tc>
      </w:tr>
      <w:tr w14:paraId="7DDE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F743DD">
            <w:pPr>
              <w:rPr>
                <w:rFonts w:ascii="仿宋" w:hAnsi="仿宋" w:eastAsia="仿宋" w:cs="仿宋"/>
                <w:spacing w:val="-1"/>
              </w:rPr>
            </w:pPr>
            <w:r>
              <w:rPr>
                <w:rFonts w:hint="eastAsia" w:ascii="仿宋" w:hAnsi="仿宋" w:eastAsia="仿宋" w:cs="仿宋"/>
                <w:spacing w:val="-1"/>
              </w:rPr>
              <w:t>12</w:t>
            </w:r>
          </w:p>
        </w:tc>
        <w:tc>
          <w:tcPr>
            <w:tcW w:w="2154" w:type="dxa"/>
            <w:vAlign w:val="center"/>
          </w:tcPr>
          <w:p w14:paraId="730C7239">
            <w:pPr>
              <w:rPr>
                <w:rFonts w:ascii="仿宋" w:hAnsi="仿宋" w:eastAsia="仿宋" w:cs="仿宋"/>
                <w:spacing w:val="-1"/>
              </w:rPr>
            </w:pPr>
          </w:p>
        </w:tc>
        <w:tc>
          <w:tcPr>
            <w:tcW w:w="2477" w:type="dxa"/>
            <w:vAlign w:val="center"/>
          </w:tcPr>
          <w:p w14:paraId="00114060">
            <w:pPr>
              <w:rPr>
                <w:rFonts w:ascii="仿宋" w:hAnsi="仿宋" w:eastAsia="仿宋" w:cs="仿宋"/>
                <w:spacing w:val="-1"/>
              </w:rPr>
            </w:pPr>
          </w:p>
        </w:tc>
        <w:tc>
          <w:tcPr>
            <w:tcW w:w="2454" w:type="dxa"/>
            <w:vAlign w:val="center"/>
          </w:tcPr>
          <w:p w14:paraId="6C18A974">
            <w:pPr>
              <w:rPr>
                <w:rFonts w:ascii="仿宋" w:hAnsi="仿宋" w:eastAsia="仿宋" w:cs="仿宋"/>
                <w:spacing w:val="-1"/>
              </w:rPr>
            </w:pPr>
          </w:p>
        </w:tc>
        <w:tc>
          <w:tcPr>
            <w:tcW w:w="1130" w:type="dxa"/>
            <w:vAlign w:val="center"/>
          </w:tcPr>
          <w:p w14:paraId="39AB5B49">
            <w:pPr>
              <w:rPr>
                <w:rFonts w:ascii="仿宋" w:hAnsi="仿宋" w:eastAsia="仿宋" w:cs="仿宋"/>
                <w:spacing w:val="-1"/>
              </w:rPr>
            </w:pPr>
          </w:p>
        </w:tc>
      </w:tr>
      <w:tr w14:paraId="5A12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3CC89C7">
            <w:pPr>
              <w:rPr>
                <w:rFonts w:ascii="仿宋" w:hAnsi="仿宋" w:eastAsia="仿宋" w:cs="仿宋"/>
                <w:spacing w:val="-1"/>
              </w:rPr>
            </w:pPr>
            <w:r>
              <w:rPr>
                <w:rFonts w:hint="eastAsia" w:ascii="仿宋" w:hAnsi="仿宋" w:eastAsia="仿宋" w:cs="仿宋"/>
                <w:spacing w:val="-1"/>
              </w:rPr>
              <w:t>13</w:t>
            </w:r>
          </w:p>
        </w:tc>
        <w:tc>
          <w:tcPr>
            <w:tcW w:w="2154" w:type="dxa"/>
            <w:vAlign w:val="center"/>
          </w:tcPr>
          <w:p w14:paraId="47867BFE">
            <w:pPr>
              <w:rPr>
                <w:rFonts w:ascii="仿宋" w:hAnsi="仿宋" w:eastAsia="仿宋" w:cs="仿宋"/>
                <w:spacing w:val="-1"/>
              </w:rPr>
            </w:pPr>
          </w:p>
        </w:tc>
        <w:tc>
          <w:tcPr>
            <w:tcW w:w="2477" w:type="dxa"/>
            <w:vAlign w:val="center"/>
          </w:tcPr>
          <w:p w14:paraId="6DC524D2">
            <w:pPr>
              <w:rPr>
                <w:rFonts w:ascii="仿宋" w:hAnsi="仿宋" w:eastAsia="仿宋" w:cs="仿宋"/>
                <w:spacing w:val="-1"/>
              </w:rPr>
            </w:pPr>
          </w:p>
        </w:tc>
        <w:tc>
          <w:tcPr>
            <w:tcW w:w="2454" w:type="dxa"/>
            <w:vAlign w:val="center"/>
          </w:tcPr>
          <w:p w14:paraId="546AC6CC">
            <w:pPr>
              <w:rPr>
                <w:rFonts w:ascii="仿宋" w:hAnsi="仿宋" w:eastAsia="仿宋" w:cs="仿宋"/>
                <w:spacing w:val="-1"/>
              </w:rPr>
            </w:pPr>
          </w:p>
        </w:tc>
        <w:tc>
          <w:tcPr>
            <w:tcW w:w="1130" w:type="dxa"/>
            <w:vAlign w:val="center"/>
          </w:tcPr>
          <w:p w14:paraId="1734C86C">
            <w:pPr>
              <w:rPr>
                <w:rFonts w:ascii="仿宋" w:hAnsi="仿宋" w:eastAsia="仿宋" w:cs="仿宋"/>
                <w:spacing w:val="-1"/>
              </w:rPr>
            </w:pPr>
          </w:p>
        </w:tc>
      </w:tr>
      <w:tr w14:paraId="4B3E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DFCAB69">
            <w:pPr>
              <w:rPr>
                <w:rFonts w:ascii="仿宋" w:hAnsi="仿宋" w:eastAsia="仿宋" w:cs="仿宋"/>
                <w:spacing w:val="-1"/>
              </w:rPr>
            </w:pPr>
            <w:r>
              <w:rPr>
                <w:rFonts w:hint="eastAsia" w:ascii="仿宋" w:hAnsi="仿宋" w:eastAsia="仿宋" w:cs="仿宋"/>
                <w:spacing w:val="-1"/>
              </w:rPr>
              <w:t>14</w:t>
            </w:r>
          </w:p>
        </w:tc>
        <w:tc>
          <w:tcPr>
            <w:tcW w:w="2154" w:type="dxa"/>
            <w:vAlign w:val="center"/>
          </w:tcPr>
          <w:p w14:paraId="33440E9E">
            <w:pPr>
              <w:rPr>
                <w:rFonts w:ascii="仿宋" w:hAnsi="仿宋" w:eastAsia="仿宋" w:cs="仿宋"/>
                <w:spacing w:val="-1"/>
              </w:rPr>
            </w:pPr>
          </w:p>
        </w:tc>
        <w:tc>
          <w:tcPr>
            <w:tcW w:w="2477" w:type="dxa"/>
            <w:vAlign w:val="center"/>
          </w:tcPr>
          <w:p w14:paraId="2090C0B2">
            <w:pPr>
              <w:rPr>
                <w:rFonts w:ascii="仿宋" w:hAnsi="仿宋" w:eastAsia="仿宋" w:cs="仿宋"/>
                <w:spacing w:val="-1"/>
              </w:rPr>
            </w:pPr>
          </w:p>
        </w:tc>
        <w:tc>
          <w:tcPr>
            <w:tcW w:w="2454" w:type="dxa"/>
            <w:vAlign w:val="center"/>
          </w:tcPr>
          <w:p w14:paraId="4C90067F">
            <w:pPr>
              <w:rPr>
                <w:rFonts w:ascii="仿宋" w:hAnsi="仿宋" w:eastAsia="仿宋" w:cs="仿宋"/>
                <w:spacing w:val="-1"/>
              </w:rPr>
            </w:pPr>
          </w:p>
        </w:tc>
        <w:tc>
          <w:tcPr>
            <w:tcW w:w="1130" w:type="dxa"/>
            <w:vAlign w:val="center"/>
          </w:tcPr>
          <w:p w14:paraId="0431AE6E">
            <w:pPr>
              <w:rPr>
                <w:rFonts w:ascii="仿宋" w:hAnsi="仿宋" w:eastAsia="仿宋" w:cs="仿宋"/>
                <w:spacing w:val="-1"/>
              </w:rPr>
            </w:pPr>
          </w:p>
        </w:tc>
      </w:tr>
      <w:tr w14:paraId="3EFC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50FCEA4">
            <w:pPr>
              <w:rPr>
                <w:rFonts w:ascii="仿宋" w:hAnsi="仿宋" w:eastAsia="仿宋" w:cs="仿宋"/>
                <w:spacing w:val="-1"/>
              </w:rPr>
            </w:pPr>
            <w:r>
              <w:rPr>
                <w:rFonts w:hint="eastAsia" w:ascii="仿宋" w:hAnsi="仿宋" w:eastAsia="仿宋" w:cs="仿宋"/>
                <w:spacing w:val="-1"/>
              </w:rPr>
              <w:t>15</w:t>
            </w:r>
          </w:p>
        </w:tc>
        <w:tc>
          <w:tcPr>
            <w:tcW w:w="2154" w:type="dxa"/>
            <w:vAlign w:val="center"/>
          </w:tcPr>
          <w:p w14:paraId="1B81B8E0">
            <w:pPr>
              <w:rPr>
                <w:rFonts w:ascii="仿宋" w:hAnsi="仿宋" w:eastAsia="仿宋" w:cs="仿宋"/>
                <w:spacing w:val="-1"/>
              </w:rPr>
            </w:pPr>
          </w:p>
        </w:tc>
        <w:tc>
          <w:tcPr>
            <w:tcW w:w="2477" w:type="dxa"/>
            <w:vAlign w:val="center"/>
          </w:tcPr>
          <w:p w14:paraId="6A2F39C8">
            <w:pPr>
              <w:rPr>
                <w:rFonts w:ascii="仿宋" w:hAnsi="仿宋" w:eastAsia="仿宋" w:cs="仿宋"/>
                <w:spacing w:val="-1"/>
              </w:rPr>
            </w:pPr>
          </w:p>
        </w:tc>
        <w:tc>
          <w:tcPr>
            <w:tcW w:w="2454" w:type="dxa"/>
            <w:vAlign w:val="center"/>
          </w:tcPr>
          <w:p w14:paraId="06D3E34A">
            <w:pPr>
              <w:rPr>
                <w:rFonts w:ascii="仿宋" w:hAnsi="仿宋" w:eastAsia="仿宋" w:cs="仿宋"/>
                <w:spacing w:val="-1"/>
              </w:rPr>
            </w:pPr>
          </w:p>
        </w:tc>
        <w:tc>
          <w:tcPr>
            <w:tcW w:w="1130" w:type="dxa"/>
            <w:vAlign w:val="center"/>
          </w:tcPr>
          <w:p w14:paraId="28246B92">
            <w:pPr>
              <w:rPr>
                <w:rFonts w:ascii="仿宋" w:hAnsi="仿宋" w:eastAsia="仿宋" w:cs="仿宋"/>
                <w:spacing w:val="-1"/>
              </w:rPr>
            </w:pPr>
          </w:p>
        </w:tc>
      </w:tr>
    </w:tbl>
    <w:p w14:paraId="05E7025E">
      <w:pPr>
        <w:rPr>
          <w:rFonts w:ascii="仿宋" w:hAnsi="仿宋" w:eastAsia="仿宋" w:cs="仿宋"/>
          <w:color w:val="000000" w:themeColor="text1"/>
          <w:spacing w:val="-1"/>
          <w:highlight w:val="none"/>
          <w:lang w:eastAsia="zh-CN"/>
          <w14:textFill>
            <w14:solidFill>
              <w14:schemeClr w14:val="tx1"/>
            </w14:solidFill>
          </w14:textFill>
        </w:rPr>
      </w:pPr>
      <w:r>
        <w:rPr>
          <w:rFonts w:hint="eastAsia" w:ascii="仿宋" w:hAnsi="仿宋" w:eastAsia="仿宋" w:cs="仿宋"/>
          <w:color w:val="000000" w:themeColor="text1"/>
          <w:spacing w:val="-1"/>
          <w:highlight w:val="none"/>
          <w:lang w:eastAsia="zh-CN"/>
          <w14:textFill>
            <w14:solidFill>
              <w14:schemeClr w14:val="tx1"/>
            </w14:solidFill>
          </w14:textFill>
        </w:rPr>
        <w:t>注：请在“偏离说明”栏内扼要说明偏离情况，如无偏离则不需列明，</w:t>
      </w:r>
      <w:r>
        <w:rPr>
          <w:rFonts w:hint="eastAsia" w:ascii="仿宋" w:hAnsi="仿宋" w:eastAsia="仿宋" w:cs="仿宋"/>
          <w:color w:val="000000" w:themeColor="text1"/>
          <w:spacing w:val="-1"/>
          <w:highlight w:val="none"/>
          <w:lang w:val="en-US" w:eastAsia="zh-CN"/>
          <w14:textFill>
            <w14:solidFill>
              <w14:schemeClr w14:val="tx1"/>
            </w14:solidFill>
          </w14:textFill>
        </w:rPr>
        <w:t>标注“无偏离”即可</w:t>
      </w:r>
      <w:r>
        <w:rPr>
          <w:rFonts w:hint="eastAsia" w:ascii="仿宋" w:hAnsi="仿宋" w:eastAsia="仿宋" w:cs="仿宋"/>
          <w:color w:val="000000" w:themeColor="text1"/>
          <w:spacing w:val="-1"/>
          <w:highlight w:val="none"/>
          <w:lang w:eastAsia="zh-CN"/>
          <w14:textFill>
            <w14:solidFill>
              <w14:schemeClr w14:val="tx1"/>
            </w14:solidFill>
          </w14:textFill>
        </w:rPr>
        <w:t>。</w:t>
      </w:r>
    </w:p>
    <w:p w14:paraId="419D3E89">
      <w:pPr>
        <w:pStyle w:val="9"/>
        <w:numPr>
          <w:ilvl w:val="0"/>
          <w:numId w:val="0"/>
        </w:numPr>
        <w:tabs>
          <w:tab w:val="left" w:pos="8227"/>
        </w:tabs>
        <w:kinsoku w:val="0"/>
        <w:overflowPunct w:val="0"/>
        <w:spacing w:line="381" w:lineRule="auto"/>
        <w:ind w:left="1680" w:right="118"/>
        <w:rPr>
          <w:rFonts w:ascii="仿宋" w:hAnsi="仿宋" w:eastAsia="仿宋" w:cs="仿宋"/>
          <w:lang w:eastAsia="zh-CN"/>
        </w:rPr>
      </w:pPr>
    </w:p>
    <w:p w14:paraId="7A99C309">
      <w:pPr>
        <w:pStyle w:val="9"/>
        <w:numPr>
          <w:ilvl w:val="0"/>
          <w:numId w:val="0"/>
        </w:numPr>
        <w:tabs>
          <w:tab w:val="left" w:pos="8227"/>
        </w:tabs>
        <w:kinsoku w:val="0"/>
        <w:overflowPunct w:val="0"/>
        <w:spacing w:line="381" w:lineRule="auto"/>
        <w:ind w:left="1680" w:right="118"/>
        <w:rPr>
          <w:rFonts w:ascii="仿宋" w:hAnsi="仿宋" w:eastAsia="仿宋" w:cs="仿宋"/>
          <w:lang w:eastAsia="zh-CN"/>
        </w:rPr>
      </w:pPr>
    </w:p>
    <w:p w14:paraId="62775DF3">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75B27FCC">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4583D6E3">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1A2CFBFF">
      <w:pPr>
        <w:pStyle w:val="45"/>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368A0D6C">
      <w:pPr>
        <w:pStyle w:val="45"/>
        <w:spacing w:after="0"/>
        <w:ind w:firstLine="420"/>
        <w:jc w:val="center"/>
        <w:rPr>
          <w:rFonts w:ascii="仿宋" w:hAnsi="仿宋" w:eastAsia="仿宋" w:cs="仿宋"/>
          <w:sz w:val="36"/>
          <w:szCs w:val="36"/>
        </w:rPr>
      </w:pPr>
    </w:p>
    <w:p w14:paraId="75BC564C">
      <w:pPr>
        <w:pStyle w:val="46"/>
        <w:tabs>
          <w:tab w:val="left" w:pos="826"/>
        </w:tabs>
        <w:spacing w:line="470" w:lineRule="exact"/>
        <w:ind w:firstLine="0"/>
        <w:jc w:val="center"/>
        <w:rPr>
          <w:rFonts w:ascii="仿宋" w:hAnsi="仿宋" w:eastAsia="仿宋" w:cs="仿宋"/>
          <w:sz w:val="21"/>
          <w:szCs w:val="21"/>
        </w:rPr>
      </w:pPr>
    </w:p>
    <w:p w14:paraId="2731276B">
      <w:pPr>
        <w:pStyle w:val="46"/>
        <w:tabs>
          <w:tab w:val="left" w:pos="826"/>
        </w:tabs>
        <w:spacing w:line="470" w:lineRule="exact"/>
        <w:ind w:firstLine="0"/>
        <w:jc w:val="both"/>
        <w:rPr>
          <w:rFonts w:ascii="仿宋" w:hAnsi="仿宋" w:eastAsia="仿宋" w:cs="仿宋"/>
          <w:sz w:val="21"/>
          <w:szCs w:val="21"/>
        </w:rPr>
      </w:pPr>
    </w:p>
    <w:p w14:paraId="3CDB9346">
      <w:pPr>
        <w:pStyle w:val="46"/>
        <w:tabs>
          <w:tab w:val="left" w:pos="826"/>
        </w:tabs>
        <w:spacing w:line="470" w:lineRule="exact"/>
        <w:ind w:firstLine="0"/>
        <w:jc w:val="both"/>
        <w:rPr>
          <w:rFonts w:ascii="仿宋" w:hAnsi="仿宋" w:eastAsia="仿宋" w:cs="仿宋"/>
          <w:sz w:val="21"/>
          <w:szCs w:val="21"/>
        </w:rPr>
      </w:pPr>
    </w:p>
    <w:p w14:paraId="2932DCEC">
      <w:pPr>
        <w:pStyle w:val="45"/>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14:paraId="6CA0057F">
      <w:pPr>
        <w:pStyle w:val="9"/>
        <w:numPr>
          <w:ilvl w:val="0"/>
          <w:numId w:val="0"/>
        </w:numPr>
        <w:kinsoku w:val="0"/>
        <w:overflowPunct w:val="0"/>
        <w:spacing w:before="5"/>
        <w:rPr>
          <w:rFonts w:ascii="仿宋" w:hAnsi="仿宋" w:eastAsia="仿宋" w:cs="仿宋"/>
          <w:b/>
          <w:bCs/>
          <w:sz w:val="6"/>
          <w:szCs w:val="6"/>
          <w:lang w:eastAsia="zh-CN"/>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663D0E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00CC78">
            <w:pPr>
              <w:pStyle w:val="49"/>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4A7D18A">
            <w:pPr>
              <w:rPr>
                <w:rFonts w:ascii="仿宋" w:hAnsi="仿宋" w:eastAsia="仿宋" w:cs="仿宋"/>
              </w:rPr>
            </w:pPr>
          </w:p>
        </w:tc>
      </w:tr>
      <w:tr w14:paraId="5CC88FB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AFB2044">
            <w:pPr>
              <w:pStyle w:val="49"/>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5521FCF">
            <w:pPr>
              <w:rPr>
                <w:rFonts w:ascii="仿宋" w:hAnsi="仿宋" w:eastAsia="仿宋" w:cs="仿宋"/>
              </w:rPr>
            </w:pPr>
          </w:p>
        </w:tc>
      </w:tr>
      <w:tr w14:paraId="1F49C94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2BA5310">
            <w:pPr>
              <w:pStyle w:val="49"/>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422B404B">
            <w:pPr>
              <w:rPr>
                <w:rFonts w:ascii="仿宋" w:hAnsi="仿宋" w:eastAsia="仿宋" w:cs="仿宋"/>
              </w:rPr>
            </w:pPr>
          </w:p>
        </w:tc>
      </w:tr>
      <w:tr w14:paraId="3A99867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3307D27">
            <w:pPr>
              <w:pStyle w:val="49"/>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5B1BB7D">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14:paraId="743D0B1D">
            <w:pPr>
              <w:pStyle w:val="49"/>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31CE5224">
            <w:pPr>
              <w:rPr>
                <w:rFonts w:ascii="仿宋" w:hAnsi="仿宋" w:eastAsia="仿宋" w:cs="仿宋"/>
              </w:rPr>
            </w:pPr>
          </w:p>
        </w:tc>
      </w:tr>
      <w:tr w14:paraId="2354872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710B4EF">
            <w:pPr>
              <w:pStyle w:val="49"/>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AB85A37">
            <w:pPr>
              <w:rPr>
                <w:rFonts w:ascii="仿宋" w:hAnsi="仿宋" w:eastAsia="仿宋" w:cs="仿宋"/>
              </w:rPr>
            </w:pPr>
          </w:p>
        </w:tc>
      </w:tr>
      <w:tr w14:paraId="4BFEEB49">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1A8F4FA">
            <w:pPr>
              <w:pStyle w:val="49"/>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2F798C7A">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F5D9614">
            <w:pPr>
              <w:pStyle w:val="49"/>
              <w:kinsoku w:val="0"/>
              <w:overflowPunct w:val="0"/>
              <w:spacing w:before="4"/>
              <w:rPr>
                <w:rFonts w:ascii="仿宋" w:hAnsi="仿宋" w:eastAsia="仿宋" w:cs="仿宋"/>
                <w:b/>
                <w:bCs/>
                <w:sz w:val="20"/>
                <w:szCs w:val="20"/>
              </w:rPr>
            </w:pPr>
          </w:p>
          <w:p w14:paraId="521F00D5">
            <w:pPr>
              <w:pStyle w:val="49"/>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1060AAD2">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72B056F">
            <w:pPr>
              <w:pStyle w:val="49"/>
              <w:kinsoku w:val="0"/>
              <w:overflowPunct w:val="0"/>
              <w:spacing w:before="4"/>
              <w:rPr>
                <w:rFonts w:ascii="仿宋" w:hAnsi="仿宋" w:eastAsia="仿宋" w:cs="仿宋"/>
                <w:b/>
                <w:bCs/>
                <w:sz w:val="20"/>
                <w:szCs w:val="20"/>
              </w:rPr>
            </w:pPr>
          </w:p>
          <w:p w14:paraId="1B30D9E9">
            <w:pPr>
              <w:pStyle w:val="49"/>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14:paraId="161F9980">
            <w:pPr>
              <w:rPr>
                <w:rFonts w:ascii="仿宋" w:hAnsi="仿宋" w:eastAsia="仿宋" w:cs="仿宋"/>
              </w:rPr>
            </w:pPr>
          </w:p>
        </w:tc>
      </w:tr>
      <w:tr w14:paraId="16BC6CD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26113775">
            <w:pPr>
              <w:pStyle w:val="49"/>
              <w:kinsoku w:val="0"/>
              <w:overflowPunct w:val="0"/>
              <w:rPr>
                <w:rFonts w:ascii="仿宋" w:hAnsi="仿宋" w:eastAsia="仿宋" w:cs="仿宋"/>
                <w:b/>
                <w:bCs/>
              </w:rPr>
            </w:pPr>
          </w:p>
          <w:p w14:paraId="2E3F59F8">
            <w:pPr>
              <w:pStyle w:val="49"/>
              <w:kinsoku w:val="0"/>
              <w:overflowPunct w:val="0"/>
              <w:rPr>
                <w:rFonts w:ascii="仿宋" w:hAnsi="仿宋" w:eastAsia="仿宋" w:cs="仿宋"/>
                <w:b/>
                <w:bCs/>
              </w:rPr>
            </w:pPr>
          </w:p>
          <w:p w14:paraId="052D14EA">
            <w:pPr>
              <w:pStyle w:val="49"/>
              <w:kinsoku w:val="0"/>
              <w:overflowPunct w:val="0"/>
              <w:rPr>
                <w:rFonts w:ascii="仿宋" w:hAnsi="仿宋" w:eastAsia="仿宋" w:cs="仿宋"/>
                <w:b/>
                <w:bCs/>
              </w:rPr>
            </w:pPr>
          </w:p>
          <w:p w14:paraId="7A02108F">
            <w:pPr>
              <w:pStyle w:val="49"/>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607A230">
            <w:pPr>
              <w:pStyle w:val="49"/>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375B60D">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14:paraId="5C8A441E">
            <w:pPr>
              <w:pStyle w:val="49"/>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1C01EFA0">
            <w:pPr>
              <w:rPr>
                <w:rFonts w:ascii="仿宋" w:hAnsi="仿宋" w:eastAsia="仿宋" w:cs="仿宋"/>
              </w:rPr>
            </w:pPr>
          </w:p>
        </w:tc>
      </w:tr>
      <w:tr w14:paraId="64BAD88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C290954">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14:paraId="2420DEE2">
            <w:pPr>
              <w:pStyle w:val="49"/>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14:paraId="3538C24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5DF65D4">
            <w:pPr>
              <w:pStyle w:val="49"/>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6D5AFAD1">
            <w:pPr>
              <w:pStyle w:val="49"/>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138C291">
            <w:pPr>
              <w:pStyle w:val="49"/>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438D5D45">
            <w:pPr>
              <w:pStyle w:val="49"/>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1E1A765">
            <w:pPr>
              <w:pStyle w:val="49"/>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14:paraId="2B893E05">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0AAD695">
            <w:pPr>
              <w:pStyle w:val="49"/>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0A18F4C4">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6D197C9">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72960A1">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936154">
            <w:pPr>
              <w:rPr>
                <w:rFonts w:ascii="仿宋" w:hAnsi="仿宋" w:eastAsia="仿宋" w:cs="仿宋"/>
              </w:rPr>
            </w:pPr>
          </w:p>
        </w:tc>
      </w:tr>
      <w:tr w14:paraId="37CDB229">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979C958">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7B6FB56">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299DB34">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99A05FE">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7719B40">
            <w:pPr>
              <w:rPr>
                <w:rFonts w:ascii="仿宋" w:hAnsi="仿宋" w:eastAsia="仿宋" w:cs="仿宋"/>
              </w:rPr>
            </w:pPr>
          </w:p>
        </w:tc>
      </w:tr>
      <w:tr w14:paraId="153928F5">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4ED5C55">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19A8E22B">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DBB0D47">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7ED35B6">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E5950B">
            <w:pPr>
              <w:rPr>
                <w:rFonts w:ascii="仿宋" w:hAnsi="仿宋" w:eastAsia="仿宋" w:cs="仿宋"/>
              </w:rPr>
            </w:pPr>
          </w:p>
        </w:tc>
      </w:tr>
      <w:tr w14:paraId="6F1FE6A1">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6A6E4D">
            <w:pPr>
              <w:pStyle w:val="49"/>
              <w:kinsoku w:val="0"/>
              <w:overflowPunct w:val="0"/>
              <w:spacing w:before="1"/>
              <w:rPr>
                <w:rFonts w:ascii="仿宋" w:hAnsi="仿宋" w:eastAsia="仿宋" w:cs="仿宋"/>
                <w:b/>
                <w:bCs/>
                <w:sz w:val="23"/>
                <w:szCs w:val="23"/>
              </w:rPr>
            </w:pPr>
          </w:p>
          <w:p w14:paraId="4359FB7D">
            <w:pPr>
              <w:pStyle w:val="49"/>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2101A69">
            <w:pPr>
              <w:rPr>
                <w:rFonts w:ascii="仿宋" w:hAnsi="仿宋" w:eastAsia="仿宋" w:cs="仿宋"/>
              </w:rPr>
            </w:pPr>
          </w:p>
        </w:tc>
      </w:tr>
    </w:tbl>
    <w:p w14:paraId="39AEB644">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1AA473C0">
      <w:pPr>
        <w:pStyle w:val="5"/>
        <w:rPr>
          <w:lang w:eastAsia="zh-CN"/>
        </w:rPr>
      </w:pPr>
    </w:p>
    <w:p w14:paraId="5DDD92C7">
      <w:pPr>
        <w:rPr>
          <w:lang w:eastAsia="zh-CN"/>
        </w:rPr>
      </w:pPr>
    </w:p>
    <w:p w14:paraId="7F0D585F">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782F54DB">
      <w:pPr>
        <w:pStyle w:val="9"/>
        <w:numPr>
          <w:ilvl w:val="0"/>
          <w:numId w:val="0"/>
        </w:numPr>
        <w:kinsoku w:val="0"/>
        <w:overflowPunct w:val="0"/>
        <w:spacing w:before="34" w:line="357" w:lineRule="auto"/>
        <w:ind w:left="480" w:right="126"/>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14:paraId="560C77AA">
      <w:pPr>
        <w:pStyle w:val="9"/>
        <w:numPr>
          <w:ilvl w:val="0"/>
          <w:numId w:val="0"/>
        </w:numPr>
        <w:kinsoku w:val="0"/>
        <w:overflowPunct w:val="0"/>
        <w:rPr>
          <w:rFonts w:ascii="仿宋" w:hAnsi="仿宋" w:eastAsia="仿宋" w:cs="仿宋"/>
          <w:b/>
          <w:bCs/>
          <w:sz w:val="20"/>
          <w:szCs w:val="20"/>
        </w:rPr>
      </w:pPr>
    </w:p>
    <w:tbl>
      <w:tblPr>
        <w:tblStyle w:val="19"/>
        <w:tblW w:w="9115" w:type="dxa"/>
        <w:jc w:val="center"/>
        <w:tblLayout w:type="fixed"/>
        <w:tblCellMar>
          <w:top w:w="0" w:type="dxa"/>
          <w:left w:w="10" w:type="dxa"/>
          <w:bottom w:w="0" w:type="dxa"/>
          <w:right w:w="10" w:type="dxa"/>
        </w:tblCellMar>
      </w:tblPr>
      <w:tblGrid>
        <w:gridCol w:w="1919"/>
        <w:gridCol w:w="7196"/>
      </w:tblGrid>
      <w:tr w14:paraId="3C2764ED">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0B63955F">
            <w:pPr>
              <w:pStyle w:val="47"/>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14:paraId="429F6B42">
            <w:pPr>
              <w:rPr>
                <w:rFonts w:ascii="仿宋" w:hAnsi="仿宋" w:eastAsia="仿宋" w:cs="仿宋"/>
                <w:sz w:val="10"/>
                <w:szCs w:val="10"/>
              </w:rPr>
            </w:pPr>
          </w:p>
        </w:tc>
      </w:tr>
      <w:tr w14:paraId="207B8459">
        <w:tblPrEx>
          <w:tblCellMar>
            <w:top w:w="0" w:type="dxa"/>
            <w:left w:w="10" w:type="dxa"/>
            <w:bottom w:w="0" w:type="dxa"/>
            <w:right w:w="10" w:type="dxa"/>
          </w:tblCellMar>
        </w:tblPrEx>
        <w:trPr>
          <w:trHeight w:val="622" w:hRule="exact"/>
          <w:jc w:val="center"/>
        </w:trPr>
        <w:tc>
          <w:tcPr>
            <w:tcW w:w="1919" w:type="dxa"/>
            <w:tcBorders>
              <w:top w:val="single" w:color="auto" w:sz="4" w:space="0"/>
              <w:left w:val="single" w:color="auto" w:sz="4" w:space="0"/>
            </w:tcBorders>
            <w:shd w:val="clear" w:color="auto" w:fill="FFFFFF"/>
          </w:tcPr>
          <w:p w14:paraId="1555D3CF">
            <w:pPr>
              <w:pStyle w:val="47"/>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14:paraId="4AD39D03">
            <w:pPr>
              <w:rPr>
                <w:rFonts w:ascii="仿宋" w:hAnsi="仿宋" w:eastAsia="仿宋" w:cs="仿宋"/>
                <w:sz w:val="10"/>
                <w:szCs w:val="10"/>
              </w:rPr>
            </w:pPr>
          </w:p>
        </w:tc>
      </w:tr>
      <w:tr w14:paraId="3C06D644">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62828F82">
            <w:pPr>
              <w:pStyle w:val="47"/>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1C2D32E7">
            <w:pPr>
              <w:rPr>
                <w:rFonts w:ascii="仿宋" w:hAnsi="仿宋" w:eastAsia="仿宋" w:cs="仿宋"/>
                <w:sz w:val="10"/>
                <w:szCs w:val="10"/>
                <w:lang w:eastAsia="zh-CN"/>
              </w:rPr>
            </w:pPr>
          </w:p>
        </w:tc>
      </w:tr>
      <w:tr w14:paraId="39DD7066">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370A07F1">
            <w:pPr>
              <w:pStyle w:val="47"/>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14:paraId="62FE7881">
            <w:pPr>
              <w:rPr>
                <w:rFonts w:ascii="仿宋" w:hAnsi="仿宋" w:eastAsia="仿宋" w:cs="仿宋"/>
                <w:sz w:val="10"/>
                <w:szCs w:val="10"/>
              </w:rPr>
            </w:pPr>
          </w:p>
        </w:tc>
      </w:tr>
      <w:tr w14:paraId="0690D9C8">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3A478E9E">
            <w:pPr>
              <w:pStyle w:val="47"/>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14:paraId="3AE5F2D6">
            <w:pPr>
              <w:rPr>
                <w:rFonts w:ascii="仿宋" w:hAnsi="仿宋" w:eastAsia="仿宋" w:cs="仿宋"/>
                <w:sz w:val="10"/>
                <w:szCs w:val="10"/>
              </w:rPr>
            </w:pPr>
          </w:p>
        </w:tc>
      </w:tr>
      <w:tr w14:paraId="600C1605">
        <w:tblPrEx>
          <w:tblCellMar>
            <w:top w:w="0" w:type="dxa"/>
            <w:left w:w="10" w:type="dxa"/>
            <w:bottom w:w="0" w:type="dxa"/>
            <w:right w:w="10" w:type="dxa"/>
          </w:tblCellMar>
        </w:tblPrEx>
        <w:trPr>
          <w:trHeight w:val="647" w:hRule="exact"/>
          <w:jc w:val="center"/>
        </w:trPr>
        <w:tc>
          <w:tcPr>
            <w:tcW w:w="1919" w:type="dxa"/>
            <w:tcBorders>
              <w:top w:val="single" w:color="auto" w:sz="4" w:space="0"/>
              <w:left w:val="single" w:color="auto" w:sz="4" w:space="0"/>
            </w:tcBorders>
            <w:shd w:val="clear" w:color="auto" w:fill="FFFFFF"/>
          </w:tcPr>
          <w:p w14:paraId="2E41D13C">
            <w:pPr>
              <w:pStyle w:val="47"/>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14:paraId="09830BE4">
            <w:pPr>
              <w:rPr>
                <w:rFonts w:ascii="仿宋" w:hAnsi="仿宋" w:eastAsia="仿宋" w:cs="仿宋"/>
                <w:sz w:val="10"/>
                <w:szCs w:val="10"/>
              </w:rPr>
            </w:pPr>
          </w:p>
        </w:tc>
      </w:tr>
      <w:tr w14:paraId="50B9A981">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1FFAC731">
            <w:pPr>
              <w:pStyle w:val="47"/>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73D55E45">
            <w:pPr>
              <w:rPr>
                <w:rFonts w:ascii="仿宋" w:hAnsi="仿宋" w:eastAsia="仿宋" w:cs="仿宋"/>
                <w:sz w:val="10"/>
                <w:szCs w:val="10"/>
              </w:rPr>
            </w:pPr>
          </w:p>
        </w:tc>
      </w:tr>
    </w:tbl>
    <w:p w14:paraId="67829555">
      <w:pPr>
        <w:rPr>
          <w:rFonts w:ascii="仿宋" w:hAnsi="仿宋" w:eastAsia="仿宋" w:cs="仿宋"/>
          <w:spacing w:val="-1"/>
          <w:lang w:eastAsia="zh-CN"/>
        </w:rPr>
      </w:pPr>
      <w:r>
        <w:rPr>
          <w:rFonts w:hint="eastAsia" w:ascii="仿宋" w:hAnsi="仿宋" w:eastAsia="仿宋" w:cs="仿宋"/>
          <w:spacing w:val="-1"/>
          <w:lang w:eastAsia="zh-CN"/>
        </w:rPr>
        <w:t>注：每个业绩须单独附表，并</w:t>
      </w:r>
      <w:r>
        <w:rPr>
          <w:rFonts w:hint="eastAsia" w:ascii="仿宋" w:hAnsi="仿宋" w:eastAsia="仿宋" w:cs="仿宋"/>
          <w:color w:val="000000" w:themeColor="text1"/>
          <w:szCs w:val="21"/>
          <w:lang w:eastAsia="zh-CN" w:bidi="ar-SA"/>
          <w14:textFill>
            <w14:solidFill>
              <w14:schemeClr w14:val="tx1"/>
            </w14:solidFill>
          </w14:textFill>
        </w:rPr>
        <w:t>附合同、中标（</w:t>
      </w:r>
      <w:r>
        <w:rPr>
          <w:rFonts w:hint="eastAsia" w:ascii="仿宋" w:hAnsi="仿宋" w:eastAsia="仿宋" w:cs="仿宋"/>
          <w:color w:val="000000" w:themeColor="text1"/>
          <w:szCs w:val="21"/>
          <w:lang w:val="en-US" w:eastAsia="zh-CN" w:bidi="ar-SA"/>
          <w14:textFill>
            <w14:solidFill>
              <w14:schemeClr w14:val="tx1"/>
            </w14:solidFill>
          </w14:textFill>
        </w:rPr>
        <w:t>成交</w:t>
      </w:r>
      <w:r>
        <w:rPr>
          <w:rFonts w:hint="eastAsia" w:ascii="仿宋" w:hAnsi="仿宋" w:eastAsia="仿宋" w:cs="仿宋"/>
          <w:color w:val="000000" w:themeColor="text1"/>
          <w:szCs w:val="21"/>
          <w:lang w:eastAsia="zh-CN" w:bidi="ar-SA"/>
          <w14:textFill>
            <w14:solidFill>
              <w14:schemeClr w14:val="tx1"/>
            </w14:solidFill>
          </w14:textFill>
        </w:rPr>
        <w:t>）通知书、验收报告和采购人联系方式</w:t>
      </w:r>
      <w:r>
        <w:rPr>
          <w:rFonts w:hint="eastAsia" w:ascii="仿宋" w:hAnsi="仿宋" w:eastAsia="仿宋" w:cs="仿宋"/>
          <w:spacing w:val="-1"/>
          <w:lang w:eastAsia="zh-CN"/>
        </w:rPr>
        <w:t>相关证明材料，否则专家在评审时将不予采信。</w:t>
      </w:r>
    </w:p>
    <w:p w14:paraId="0044932D">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55DCEAA5">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568BACBB">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2554996B">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0DF61D42">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14:paraId="0AAE92FB">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5615DB13">
      <w:pPr>
        <w:pStyle w:val="45"/>
        <w:spacing w:after="580"/>
        <w:ind w:firstLine="360"/>
        <w:rPr>
          <w:rFonts w:ascii="仿宋" w:hAnsi="仿宋" w:eastAsia="仿宋" w:cs="仿宋"/>
        </w:rPr>
      </w:pPr>
    </w:p>
    <w:p w14:paraId="0D9BC11F">
      <w:pPr>
        <w:spacing w:line="360" w:lineRule="auto"/>
        <w:jc w:val="center"/>
        <w:rPr>
          <w:rFonts w:ascii="仿宋" w:hAnsi="仿宋" w:eastAsia="仿宋" w:cs="仿宋"/>
          <w:bCs/>
          <w:color w:val="auto"/>
          <w:sz w:val="36"/>
          <w:szCs w:val="36"/>
          <w:lang w:eastAsia="zh-CN"/>
        </w:rPr>
      </w:pPr>
    </w:p>
    <w:p w14:paraId="798EDB5B">
      <w:pPr>
        <w:spacing w:line="360" w:lineRule="auto"/>
        <w:jc w:val="center"/>
        <w:rPr>
          <w:rFonts w:ascii="仿宋" w:hAnsi="仿宋" w:eastAsia="仿宋" w:cs="仿宋"/>
          <w:bCs/>
          <w:color w:val="auto"/>
          <w:sz w:val="36"/>
          <w:szCs w:val="36"/>
          <w:lang w:eastAsia="zh-CN"/>
        </w:rPr>
      </w:pPr>
    </w:p>
    <w:p w14:paraId="3D1A58FB">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政府采购优惠政策声明函</w:t>
      </w:r>
    </w:p>
    <w:p w14:paraId="4E1218F1">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14:paraId="3B3555AC">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14:paraId="55D4BC9E">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14:paraId="55E5F641">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14:paraId="6A3D530E">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74" w:name="_Hlk71925120"/>
      <w:r>
        <w:rPr>
          <w:rFonts w:hint="eastAsia" w:ascii="仿宋" w:hAnsi="仿宋" w:eastAsia="仿宋" w:cs="仿宋"/>
          <w:color w:val="auto"/>
          <w:lang w:eastAsia="zh-CN"/>
        </w:rPr>
        <w:t>《关于印发中小企业划型标准规定的通知》（工信部联企业〔2011〕300 号</w:t>
      </w:r>
      <w:bookmarkEnd w:id="74"/>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14:paraId="3E666CD5">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14:paraId="6D816B81">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14:paraId="33F796CF">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14:paraId="39827E89">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3、请依照招标文件提供的格式和内容填写声明函，内容完整、不得更改格式；满足多项优惠政策的投标人，不重复享受多项价格扣除政策。</w:t>
      </w:r>
    </w:p>
    <w:p w14:paraId="59E92A64">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14:paraId="050ADBE1">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14:paraId="1B73CF0B">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14:paraId="63451D5E">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14:paraId="39BD7DF5">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14:paraId="0875BFFE">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14:paraId="3B479A71">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6FB5E5CA">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14:paraId="25AD4C01">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14:paraId="736F9B9E">
      <w:pPr>
        <w:spacing w:line="360" w:lineRule="auto"/>
        <w:jc w:val="center"/>
        <w:rPr>
          <w:rFonts w:ascii="仿宋" w:hAnsi="仿宋" w:eastAsia="仿宋" w:cs="仿宋"/>
          <w:bCs/>
          <w:color w:val="auto"/>
          <w:sz w:val="36"/>
          <w:szCs w:val="36"/>
          <w:lang w:eastAsia="zh-CN"/>
        </w:rPr>
      </w:pPr>
    </w:p>
    <w:p w14:paraId="125F4E9A">
      <w:pPr>
        <w:spacing w:line="360" w:lineRule="auto"/>
        <w:jc w:val="center"/>
        <w:rPr>
          <w:rFonts w:ascii="仿宋" w:hAnsi="仿宋" w:eastAsia="仿宋" w:cs="仿宋"/>
          <w:bCs/>
          <w:color w:val="auto"/>
          <w:sz w:val="36"/>
          <w:szCs w:val="36"/>
          <w:lang w:eastAsia="zh-CN"/>
        </w:rPr>
      </w:pPr>
    </w:p>
    <w:p w14:paraId="0B7DD99E">
      <w:pPr>
        <w:spacing w:line="360" w:lineRule="auto"/>
        <w:jc w:val="center"/>
        <w:rPr>
          <w:rFonts w:ascii="仿宋" w:hAnsi="仿宋" w:eastAsia="仿宋" w:cs="仿宋"/>
          <w:bCs/>
          <w:color w:val="auto"/>
          <w:sz w:val="36"/>
          <w:szCs w:val="36"/>
          <w:lang w:eastAsia="zh-CN"/>
        </w:rPr>
      </w:pPr>
    </w:p>
    <w:p w14:paraId="2145A24C">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9、中小企业声明函(货物)</w:t>
      </w:r>
    </w:p>
    <w:p w14:paraId="19F81ACC">
      <w:pPr>
        <w:ind w:left="1280"/>
        <w:rPr>
          <w:rFonts w:ascii="仿宋" w:hAnsi="仿宋" w:eastAsia="仿宋" w:cs="仿宋"/>
          <w:sz w:val="32"/>
          <w:szCs w:val="32"/>
          <w:lang w:eastAsia="zh-CN"/>
        </w:rPr>
      </w:pPr>
    </w:p>
    <w:p w14:paraId="1458C896">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5954B8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422A6DA1">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EF4B7C0">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74B34A7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33F32862">
      <w:pPr>
        <w:spacing w:line="360" w:lineRule="auto"/>
        <w:ind w:firstLine="480" w:firstLineChars="200"/>
        <w:rPr>
          <w:rFonts w:ascii="仿宋" w:hAnsi="仿宋" w:eastAsia="仿宋" w:cs="仿宋"/>
          <w:color w:val="auto"/>
          <w:lang w:eastAsia="zh-CN"/>
        </w:rPr>
      </w:pPr>
    </w:p>
    <w:p w14:paraId="4F6226D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5BEDF42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1CA15E4E">
      <w:pPr>
        <w:spacing w:line="360" w:lineRule="auto"/>
        <w:ind w:firstLine="480" w:firstLineChars="200"/>
        <w:rPr>
          <w:rFonts w:ascii="仿宋" w:hAnsi="仿宋" w:eastAsia="仿宋" w:cs="仿宋"/>
          <w:color w:val="auto"/>
          <w:lang w:eastAsia="zh-CN"/>
        </w:rPr>
      </w:pPr>
    </w:p>
    <w:p w14:paraId="6C5BEBB3">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4C5A4BF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5124FB91">
      <w:pPr>
        <w:pStyle w:val="2"/>
        <w:rPr>
          <w:rFonts w:ascii="仿宋" w:hAnsi="仿宋" w:eastAsia="仿宋" w:cs="仿宋"/>
          <w:lang w:eastAsia="zh-CN"/>
        </w:rPr>
      </w:pPr>
    </w:p>
    <w:p w14:paraId="3FECA9CE">
      <w:pPr>
        <w:pStyle w:val="2"/>
        <w:rPr>
          <w:rFonts w:ascii="仿宋" w:hAnsi="仿宋" w:eastAsia="仿宋" w:cs="仿宋"/>
          <w:lang w:eastAsia="zh-CN"/>
        </w:rPr>
      </w:pPr>
    </w:p>
    <w:p w14:paraId="1DA1BABB">
      <w:pPr>
        <w:pStyle w:val="2"/>
        <w:rPr>
          <w:rFonts w:ascii="仿宋" w:hAnsi="仿宋" w:eastAsia="仿宋" w:cs="仿宋"/>
          <w:lang w:eastAsia="zh-CN"/>
        </w:rPr>
      </w:pPr>
    </w:p>
    <w:p w14:paraId="4587DDF7">
      <w:pPr>
        <w:pStyle w:val="2"/>
        <w:rPr>
          <w:rFonts w:ascii="仿宋" w:hAnsi="仿宋" w:eastAsia="仿宋" w:cs="仿宋"/>
          <w:lang w:eastAsia="zh-CN"/>
        </w:rPr>
      </w:pPr>
    </w:p>
    <w:p w14:paraId="16BDB005">
      <w:pPr>
        <w:pStyle w:val="2"/>
        <w:rPr>
          <w:rFonts w:ascii="仿宋" w:hAnsi="仿宋" w:eastAsia="仿宋" w:cs="仿宋"/>
          <w:lang w:eastAsia="zh-CN"/>
        </w:rPr>
      </w:pPr>
    </w:p>
    <w:p w14:paraId="39305AD7">
      <w:pPr>
        <w:pStyle w:val="2"/>
        <w:rPr>
          <w:rFonts w:ascii="仿宋" w:hAnsi="仿宋" w:eastAsia="仿宋" w:cs="仿宋"/>
          <w:lang w:eastAsia="zh-CN"/>
        </w:rPr>
      </w:pPr>
    </w:p>
    <w:p w14:paraId="4F9B13E5">
      <w:pPr>
        <w:pStyle w:val="2"/>
        <w:rPr>
          <w:rFonts w:ascii="仿宋" w:hAnsi="仿宋" w:eastAsia="仿宋" w:cs="仿宋"/>
          <w:lang w:eastAsia="zh-CN"/>
        </w:rPr>
      </w:pPr>
    </w:p>
    <w:p w14:paraId="1B7CD781">
      <w:pPr>
        <w:pStyle w:val="2"/>
        <w:rPr>
          <w:rFonts w:ascii="仿宋" w:hAnsi="仿宋" w:eastAsia="仿宋" w:cs="仿宋"/>
          <w:lang w:eastAsia="zh-CN"/>
        </w:rPr>
      </w:pPr>
    </w:p>
    <w:p w14:paraId="02DFA459">
      <w:pPr>
        <w:pStyle w:val="2"/>
        <w:rPr>
          <w:rFonts w:ascii="仿宋" w:hAnsi="仿宋" w:eastAsia="仿宋" w:cs="仿宋"/>
          <w:lang w:eastAsia="zh-CN"/>
        </w:rPr>
      </w:pPr>
    </w:p>
    <w:p w14:paraId="3A0080A5">
      <w:pPr>
        <w:pStyle w:val="2"/>
        <w:rPr>
          <w:rFonts w:ascii="仿宋" w:hAnsi="仿宋" w:eastAsia="仿宋" w:cs="仿宋"/>
          <w:lang w:eastAsia="zh-CN"/>
        </w:rPr>
      </w:pPr>
    </w:p>
    <w:p w14:paraId="4F323D7A">
      <w:pPr>
        <w:pStyle w:val="2"/>
        <w:rPr>
          <w:rFonts w:ascii="仿宋" w:hAnsi="仿宋" w:eastAsia="仿宋" w:cs="仿宋"/>
          <w:lang w:eastAsia="zh-CN"/>
        </w:rPr>
      </w:pPr>
    </w:p>
    <w:p w14:paraId="7A7E294D">
      <w:pPr>
        <w:tabs>
          <w:tab w:val="left" w:pos="3600"/>
        </w:tabs>
        <w:adjustRightInd w:val="0"/>
        <w:snapToGrid w:val="0"/>
        <w:spacing w:line="440" w:lineRule="exact"/>
        <w:jc w:val="center"/>
        <w:rPr>
          <w:rFonts w:ascii="仿宋" w:hAnsi="仿宋" w:eastAsia="仿宋" w:cs="仿宋"/>
          <w:sz w:val="36"/>
          <w:szCs w:val="36"/>
          <w:lang w:eastAsia="zh-CN"/>
        </w:rPr>
      </w:pPr>
    </w:p>
    <w:p w14:paraId="062F2186">
      <w:pPr>
        <w:tabs>
          <w:tab w:val="left" w:pos="3600"/>
        </w:tabs>
        <w:adjustRightInd w:val="0"/>
        <w:snapToGrid w:val="0"/>
        <w:spacing w:line="440" w:lineRule="exact"/>
        <w:jc w:val="center"/>
        <w:rPr>
          <w:rFonts w:ascii="仿宋" w:hAnsi="仿宋" w:eastAsia="仿宋" w:cs="仿宋"/>
          <w:sz w:val="36"/>
          <w:szCs w:val="36"/>
          <w:lang w:eastAsia="zh-CN"/>
        </w:rPr>
      </w:pPr>
    </w:p>
    <w:p w14:paraId="1F058344">
      <w:pPr>
        <w:spacing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color w:val="auto"/>
          <w:sz w:val="36"/>
          <w:szCs w:val="36"/>
          <w:lang w:eastAsia="zh-CN"/>
        </w:rPr>
        <w:t>残疾人福利性单位声明函（货物）</w:t>
      </w:r>
    </w:p>
    <w:p w14:paraId="623FA068">
      <w:pPr>
        <w:spacing w:afterLines="25" w:line="300" w:lineRule="auto"/>
        <w:ind w:firstLine="480" w:firstLineChars="200"/>
        <w:rPr>
          <w:rFonts w:ascii="宋体" w:hAnsi="宋体"/>
          <w:color w:val="auto"/>
          <w:szCs w:val="21"/>
          <w:lang w:eastAsia="zh-CN"/>
        </w:rPr>
      </w:pPr>
    </w:p>
    <w:p w14:paraId="74467F5F">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14:paraId="5C36C054">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2069C3C7">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4AE51866">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1F0F2556">
      <w:pPr>
        <w:spacing w:afterLines="25" w:line="300" w:lineRule="auto"/>
        <w:ind w:firstLine="480" w:firstLineChars="200"/>
        <w:rPr>
          <w:rFonts w:ascii="仿宋" w:hAnsi="仿宋" w:eastAsia="仿宋" w:cs="仿宋"/>
          <w:color w:val="auto"/>
          <w:szCs w:val="21"/>
          <w:lang w:eastAsia="zh-CN"/>
        </w:rPr>
      </w:pPr>
      <w:bookmarkStart w:id="75"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75"/>
    </w:p>
    <w:p w14:paraId="1AF63107">
      <w:pPr>
        <w:spacing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3CEF6884">
      <w:pPr>
        <w:pStyle w:val="62"/>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3AB1DA63">
      <w:pPr>
        <w:spacing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14:paraId="705C8C5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14:paraId="0FC45A8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14:paraId="019CB2CF">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14:paraId="09BE4363">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14:paraId="67D73B45">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14:paraId="6F7C45DB">
      <w:pPr>
        <w:widowControl/>
        <w:adjustRightInd w:val="0"/>
        <w:snapToGrid w:val="0"/>
        <w:spacing w:line="440" w:lineRule="exact"/>
        <w:ind w:firstLine="480" w:firstLineChars="200"/>
        <w:rPr>
          <w:rFonts w:ascii="仿宋" w:hAnsi="仿宋" w:eastAsia="仿宋" w:cs="仿宋"/>
          <w:spacing w:val="6"/>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A40843">
      <w:pPr>
        <w:jc w:val="center"/>
        <w:outlineLvl w:val="4"/>
        <w:rPr>
          <w:rFonts w:ascii="Arial" w:hAnsi="Arial" w:eastAsia="宋体"/>
          <w:b/>
          <w:color w:val="auto"/>
          <w:lang w:eastAsia="zh-CN"/>
        </w:rPr>
      </w:pPr>
      <w:r>
        <w:rPr>
          <w:rFonts w:hint="eastAsia" w:ascii="仿宋" w:hAnsi="仿宋" w:eastAsia="仿宋" w:cs="仿宋"/>
          <w:b/>
          <w:bCs/>
          <w:color w:val="auto"/>
          <w:sz w:val="36"/>
          <w:szCs w:val="36"/>
          <w:lang w:eastAsia="zh-CN"/>
        </w:rPr>
        <w:t>11、监狱企业声明函（货物）</w:t>
      </w:r>
    </w:p>
    <w:p w14:paraId="33E1E5F1">
      <w:pPr>
        <w:pStyle w:val="63"/>
        <w:numPr>
          <w:ilvl w:val="0"/>
          <w:numId w:val="0"/>
        </w:numPr>
        <w:ind w:left="3600"/>
        <w:jc w:val="both"/>
        <w:rPr>
          <w:color w:val="auto"/>
          <w:lang w:eastAsia="zh-CN"/>
        </w:rPr>
      </w:pPr>
    </w:p>
    <w:p w14:paraId="3CB03F01">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14:paraId="0FC7C929">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350E1A03">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089D4B4A">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090AA799">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14:paraId="29A62F28">
      <w:pPr>
        <w:spacing w:afterLines="25" w:line="300" w:lineRule="auto"/>
        <w:ind w:firstLine="482" w:firstLineChars="200"/>
        <w:rPr>
          <w:rFonts w:ascii="仿宋" w:hAnsi="仿宋" w:eastAsia="仿宋" w:cs="仿宋"/>
          <w:b/>
          <w:color w:val="auto"/>
          <w:szCs w:val="21"/>
          <w:lang w:eastAsia="zh-CN"/>
        </w:rPr>
      </w:pPr>
    </w:p>
    <w:p w14:paraId="6BCCA563">
      <w:pPr>
        <w:spacing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14:paraId="28D3F270">
      <w:pPr>
        <w:spacing w:afterLines="25" w:line="300" w:lineRule="auto"/>
        <w:ind w:firstLine="482" w:firstLineChars="200"/>
        <w:rPr>
          <w:rFonts w:ascii="仿宋" w:hAnsi="仿宋" w:eastAsia="仿宋" w:cs="仿宋"/>
          <w:b/>
          <w:color w:val="auto"/>
          <w:szCs w:val="21"/>
          <w:lang w:eastAsia="zh-CN"/>
        </w:rPr>
      </w:pPr>
    </w:p>
    <w:p w14:paraId="3ADC242A">
      <w:pPr>
        <w:spacing w:afterLines="25" w:line="300" w:lineRule="auto"/>
        <w:ind w:firstLine="482" w:firstLineChars="200"/>
        <w:rPr>
          <w:rFonts w:ascii="仿宋" w:hAnsi="仿宋" w:eastAsia="仿宋" w:cs="仿宋"/>
          <w:b/>
          <w:color w:val="auto"/>
          <w:szCs w:val="21"/>
          <w:lang w:eastAsia="zh-CN"/>
        </w:rPr>
      </w:pPr>
    </w:p>
    <w:p w14:paraId="6F6731BC">
      <w:pPr>
        <w:spacing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290BAD0F">
      <w:pPr>
        <w:pStyle w:val="62"/>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7ECDB103">
      <w:pPr>
        <w:pStyle w:val="4"/>
        <w:numPr>
          <w:ilvl w:val="1"/>
          <w:numId w:val="0"/>
        </w:numPr>
        <w:spacing w:line="240" w:lineRule="atLeast"/>
        <w:ind w:firstLine="5520" w:firstLineChars="2300"/>
        <w:jc w:val="left"/>
        <w:rPr>
          <w:rFonts w:ascii="仿宋" w:hAnsi="仿宋" w:eastAsia="仿宋" w:cs="仿宋"/>
          <w:b w:val="0"/>
          <w:bCs/>
          <w:color w:val="auto"/>
          <w:sz w:val="24"/>
          <w:lang w:val="zh-CN" w:eastAsia="zh-CN" w:bidi="ar-SA"/>
        </w:rPr>
      </w:pPr>
      <w:r>
        <w:rPr>
          <w:rFonts w:hint="eastAsia" w:ascii="仿宋" w:hAnsi="仿宋" w:eastAsia="仿宋" w:cs="仿宋"/>
          <w:b w:val="0"/>
          <w:bCs/>
          <w:color w:val="auto"/>
          <w:sz w:val="24"/>
          <w:lang w:val="zh-CN" w:eastAsia="zh-CN" w:bidi="ar-SA"/>
        </w:rPr>
        <w:t>日期：</w:t>
      </w:r>
    </w:p>
    <w:p w14:paraId="325ED317">
      <w:pPr>
        <w:pStyle w:val="4"/>
        <w:numPr>
          <w:ilvl w:val="1"/>
          <w:numId w:val="0"/>
        </w:numPr>
        <w:spacing w:line="240" w:lineRule="atLeast"/>
        <w:jc w:val="left"/>
        <w:rPr>
          <w:rFonts w:ascii="仿宋" w:hAnsi="仿宋" w:eastAsia="仿宋" w:cs="仿宋"/>
          <w:bCs/>
          <w:color w:val="auto"/>
          <w:sz w:val="24"/>
          <w:lang w:eastAsia="zh-CN"/>
        </w:rPr>
      </w:pPr>
    </w:p>
    <w:p w14:paraId="73903293">
      <w:pPr>
        <w:pStyle w:val="4"/>
        <w:numPr>
          <w:ilvl w:val="1"/>
          <w:numId w:val="0"/>
        </w:numPr>
        <w:spacing w:line="240" w:lineRule="atLeast"/>
        <w:jc w:val="left"/>
        <w:rPr>
          <w:rFonts w:ascii="仿宋" w:hAnsi="仿宋" w:eastAsia="仿宋" w:cs="仿宋"/>
          <w:bCs/>
          <w:color w:val="auto"/>
          <w:sz w:val="24"/>
          <w:lang w:eastAsia="zh-CN"/>
        </w:rPr>
      </w:pPr>
    </w:p>
    <w:p w14:paraId="1EE53F06">
      <w:pPr>
        <w:rPr>
          <w:rFonts w:ascii="仿宋" w:hAnsi="仿宋" w:eastAsia="仿宋" w:cs="仿宋"/>
          <w:b/>
          <w:bCs/>
          <w:color w:val="auto"/>
          <w:lang w:eastAsia="zh-CN"/>
        </w:rPr>
      </w:pPr>
    </w:p>
    <w:p w14:paraId="4F3DF87D">
      <w:pPr>
        <w:pStyle w:val="41"/>
        <w:rPr>
          <w:rFonts w:ascii="仿宋" w:hAnsi="仿宋" w:eastAsia="仿宋" w:cs="仿宋"/>
          <w:b/>
          <w:bCs/>
          <w:color w:val="auto"/>
          <w:lang w:eastAsia="zh-CN"/>
        </w:rPr>
      </w:pPr>
    </w:p>
    <w:p w14:paraId="2331FBC2">
      <w:pPr>
        <w:pStyle w:val="41"/>
        <w:rPr>
          <w:rFonts w:ascii="仿宋" w:hAnsi="仿宋" w:eastAsia="仿宋" w:cs="仿宋"/>
          <w:b/>
          <w:bCs/>
          <w:color w:val="auto"/>
          <w:lang w:eastAsia="zh-CN"/>
        </w:rPr>
      </w:pPr>
    </w:p>
    <w:p w14:paraId="0C0A72FD">
      <w:pPr>
        <w:pStyle w:val="41"/>
        <w:rPr>
          <w:rFonts w:ascii="仿宋" w:hAnsi="仿宋" w:eastAsia="仿宋" w:cs="仿宋"/>
          <w:b/>
          <w:bCs/>
          <w:color w:val="auto"/>
          <w:lang w:eastAsia="zh-CN"/>
        </w:rPr>
      </w:pPr>
    </w:p>
    <w:p w14:paraId="4364DCC1">
      <w:pPr>
        <w:pStyle w:val="41"/>
        <w:rPr>
          <w:rFonts w:ascii="仿宋" w:hAnsi="仿宋" w:eastAsia="仿宋" w:cs="仿宋"/>
          <w:b/>
          <w:bCs/>
          <w:color w:val="auto"/>
          <w:lang w:eastAsia="zh-CN"/>
        </w:rPr>
      </w:pPr>
    </w:p>
    <w:p w14:paraId="1EBCCEDF">
      <w:pPr>
        <w:pStyle w:val="41"/>
        <w:rPr>
          <w:rFonts w:ascii="仿宋" w:hAnsi="仿宋" w:eastAsia="仿宋" w:cs="仿宋"/>
          <w:b/>
          <w:bCs/>
          <w:color w:val="auto"/>
          <w:lang w:eastAsia="zh-CN"/>
        </w:rPr>
      </w:pPr>
    </w:p>
    <w:p w14:paraId="2EB5B985">
      <w:pPr>
        <w:pStyle w:val="41"/>
        <w:rPr>
          <w:rFonts w:ascii="仿宋" w:hAnsi="仿宋" w:eastAsia="仿宋" w:cs="仿宋"/>
          <w:b/>
          <w:bCs/>
          <w:color w:val="auto"/>
          <w:lang w:eastAsia="zh-CN"/>
        </w:rPr>
      </w:pPr>
    </w:p>
    <w:p w14:paraId="1AF48539">
      <w:pPr>
        <w:pStyle w:val="41"/>
        <w:rPr>
          <w:rFonts w:ascii="仿宋" w:hAnsi="仿宋" w:eastAsia="仿宋" w:cs="仿宋"/>
          <w:b/>
          <w:bCs/>
          <w:color w:val="auto"/>
          <w:lang w:eastAsia="zh-CN"/>
        </w:rPr>
      </w:pPr>
    </w:p>
    <w:p w14:paraId="76945948">
      <w:pPr>
        <w:pStyle w:val="41"/>
        <w:rPr>
          <w:rFonts w:ascii="仿宋" w:hAnsi="仿宋" w:eastAsia="仿宋" w:cs="仿宋"/>
          <w:b/>
          <w:bCs/>
          <w:color w:val="auto"/>
          <w:lang w:eastAsia="zh-CN"/>
        </w:rPr>
      </w:pPr>
    </w:p>
    <w:p w14:paraId="4DB9FBC4">
      <w:pPr>
        <w:pStyle w:val="41"/>
        <w:rPr>
          <w:rFonts w:ascii="仿宋" w:hAnsi="仿宋" w:eastAsia="仿宋" w:cs="仿宋"/>
          <w:b/>
          <w:bCs/>
          <w:color w:val="auto"/>
          <w:lang w:eastAsia="zh-CN"/>
        </w:rPr>
      </w:pPr>
    </w:p>
    <w:p w14:paraId="09883F5D">
      <w:pPr>
        <w:pStyle w:val="41"/>
        <w:rPr>
          <w:rFonts w:ascii="仿宋" w:hAnsi="仿宋" w:eastAsia="仿宋" w:cs="仿宋"/>
          <w:b/>
          <w:bCs/>
          <w:color w:val="auto"/>
          <w:lang w:eastAsia="zh-CN"/>
        </w:rPr>
      </w:pPr>
    </w:p>
    <w:p w14:paraId="4FEB9BF9">
      <w:pPr>
        <w:pStyle w:val="41"/>
        <w:rPr>
          <w:rFonts w:ascii="仿宋" w:hAnsi="仿宋" w:eastAsia="仿宋" w:cs="仿宋"/>
          <w:b/>
          <w:bCs/>
          <w:color w:val="auto"/>
          <w:lang w:eastAsia="zh-CN"/>
        </w:rPr>
      </w:pPr>
    </w:p>
    <w:p w14:paraId="18DCE11C">
      <w:pPr>
        <w:pStyle w:val="41"/>
        <w:rPr>
          <w:rFonts w:ascii="仿宋" w:hAnsi="仿宋" w:eastAsia="仿宋" w:cs="仿宋"/>
          <w:b/>
          <w:bCs/>
          <w:color w:val="auto"/>
          <w:lang w:eastAsia="zh-CN"/>
        </w:rPr>
      </w:pPr>
    </w:p>
    <w:p w14:paraId="154B4D45">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2</w:t>
      </w:r>
      <w:r>
        <w:rPr>
          <w:rFonts w:hint="eastAsia" w:ascii="仿宋" w:hAnsi="仿宋" w:eastAsia="仿宋" w:cs="仿宋"/>
          <w:b/>
          <w:bCs/>
          <w:sz w:val="36"/>
          <w:szCs w:val="36"/>
          <w:lang w:eastAsia="zh-CN"/>
        </w:rPr>
        <w:t>、评分标准和细则中商务部分证明材料（格式自拟）</w:t>
      </w:r>
    </w:p>
    <w:p w14:paraId="0D1B4697">
      <w:pPr>
        <w:pStyle w:val="11"/>
        <w:tabs>
          <w:tab w:val="left" w:pos="5580"/>
        </w:tabs>
        <w:spacing w:line="240" w:lineRule="atLeast"/>
        <w:rPr>
          <w:rFonts w:ascii="仿宋" w:hAnsi="仿宋" w:eastAsia="仿宋" w:cs="仿宋"/>
          <w:color w:val="auto"/>
          <w:lang w:eastAsia="zh-CN"/>
        </w:rPr>
      </w:pPr>
    </w:p>
    <w:p w14:paraId="05EC8554">
      <w:pPr>
        <w:pStyle w:val="11"/>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w:t>
      </w:r>
      <w:r>
        <w:rPr>
          <w:rFonts w:hint="eastAsia" w:ascii="仿宋" w:hAnsi="仿宋" w:eastAsia="仿宋" w:cs="仿宋"/>
          <w:color w:val="000000" w:themeColor="text1"/>
          <w:szCs w:val="21"/>
          <w:lang w:eastAsia="zh-CN" w:bidi="ar-SA"/>
          <w14:textFill>
            <w14:solidFill>
              <w14:schemeClr w14:val="tx1"/>
            </w14:solidFill>
          </w14:textFill>
        </w:rPr>
        <w:t>质量保证及</w:t>
      </w:r>
      <w:r>
        <w:rPr>
          <w:rFonts w:hint="eastAsia" w:ascii="仿宋" w:hAnsi="仿宋" w:eastAsia="仿宋" w:cs="仿宋"/>
          <w:color w:val="auto"/>
          <w:lang w:eastAsia="zh-CN"/>
        </w:rPr>
        <w:t>售后服务体系；培训计划等）。</w:t>
      </w:r>
    </w:p>
    <w:p w14:paraId="260462DF">
      <w:pPr>
        <w:pStyle w:val="11"/>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72E33369">
      <w:pPr>
        <w:pStyle w:val="4"/>
        <w:numPr>
          <w:ilvl w:val="1"/>
          <w:numId w:val="0"/>
        </w:numPr>
        <w:spacing w:line="240" w:lineRule="atLeast"/>
        <w:jc w:val="left"/>
        <w:rPr>
          <w:rFonts w:ascii="仿宋" w:hAnsi="仿宋" w:eastAsia="仿宋" w:cs="仿宋"/>
          <w:bCs/>
          <w:color w:val="auto"/>
          <w:sz w:val="24"/>
          <w:lang w:eastAsia="zh-CN"/>
        </w:rPr>
      </w:pPr>
    </w:p>
    <w:p w14:paraId="22DFDEB2">
      <w:pPr>
        <w:tabs>
          <w:tab w:val="left" w:pos="3600"/>
        </w:tabs>
        <w:adjustRightInd w:val="0"/>
        <w:snapToGrid w:val="0"/>
        <w:spacing w:line="440" w:lineRule="exact"/>
        <w:jc w:val="center"/>
        <w:rPr>
          <w:rFonts w:ascii="仿宋" w:hAnsi="仿宋" w:eastAsia="仿宋" w:cs="仿宋"/>
          <w:b/>
          <w:bCs/>
          <w:sz w:val="36"/>
          <w:szCs w:val="36"/>
          <w:lang w:eastAsia="zh-CN"/>
        </w:rPr>
      </w:pPr>
    </w:p>
    <w:p w14:paraId="057B2AE4">
      <w:pPr>
        <w:tabs>
          <w:tab w:val="left" w:pos="3600"/>
        </w:tabs>
        <w:adjustRightInd w:val="0"/>
        <w:snapToGrid w:val="0"/>
        <w:spacing w:line="440" w:lineRule="exact"/>
        <w:jc w:val="center"/>
        <w:rPr>
          <w:rFonts w:ascii="仿宋" w:hAnsi="仿宋" w:eastAsia="仿宋" w:cs="仿宋"/>
          <w:b/>
          <w:bCs/>
          <w:sz w:val="36"/>
          <w:szCs w:val="36"/>
          <w:lang w:eastAsia="zh-CN"/>
        </w:rPr>
      </w:pPr>
    </w:p>
    <w:p w14:paraId="4C3BF4E1">
      <w:pPr>
        <w:tabs>
          <w:tab w:val="left" w:pos="3600"/>
        </w:tabs>
        <w:adjustRightInd w:val="0"/>
        <w:snapToGrid w:val="0"/>
        <w:spacing w:line="440" w:lineRule="exact"/>
        <w:jc w:val="center"/>
        <w:rPr>
          <w:rFonts w:ascii="仿宋" w:hAnsi="仿宋" w:eastAsia="仿宋" w:cs="仿宋"/>
          <w:b/>
          <w:bCs/>
          <w:sz w:val="36"/>
          <w:szCs w:val="36"/>
          <w:lang w:eastAsia="zh-CN"/>
        </w:rPr>
      </w:pPr>
    </w:p>
    <w:p w14:paraId="48E8EFBE">
      <w:pPr>
        <w:tabs>
          <w:tab w:val="left" w:pos="3600"/>
        </w:tabs>
        <w:adjustRightInd w:val="0"/>
        <w:snapToGrid w:val="0"/>
        <w:spacing w:line="440" w:lineRule="exact"/>
        <w:jc w:val="center"/>
        <w:rPr>
          <w:rFonts w:ascii="仿宋" w:hAnsi="仿宋" w:eastAsia="仿宋" w:cs="仿宋"/>
          <w:b/>
          <w:bCs/>
          <w:sz w:val="36"/>
          <w:szCs w:val="36"/>
          <w:lang w:eastAsia="zh-CN"/>
        </w:rPr>
      </w:pPr>
    </w:p>
    <w:p w14:paraId="0BB1EF71">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3</w:t>
      </w:r>
      <w:r>
        <w:rPr>
          <w:rFonts w:hint="eastAsia" w:ascii="仿宋" w:hAnsi="仿宋" w:eastAsia="仿宋" w:cs="仿宋"/>
          <w:b/>
          <w:bCs/>
          <w:sz w:val="36"/>
          <w:szCs w:val="36"/>
          <w:lang w:eastAsia="zh-CN"/>
        </w:rPr>
        <w:t>、评分标准和细则中技术部分证明材料（格式自拟</w:t>
      </w:r>
      <w:r>
        <w:rPr>
          <w:rFonts w:hint="eastAsia" w:ascii="仿宋" w:hAnsi="仿宋" w:eastAsia="仿宋" w:cs="仿宋"/>
          <w:sz w:val="36"/>
          <w:szCs w:val="36"/>
          <w:lang w:eastAsia="zh-CN"/>
        </w:rPr>
        <w:t>）</w:t>
      </w:r>
    </w:p>
    <w:p w14:paraId="4F94AAA9">
      <w:pPr>
        <w:pStyle w:val="4"/>
        <w:numPr>
          <w:ilvl w:val="1"/>
          <w:numId w:val="0"/>
        </w:numPr>
        <w:spacing w:line="240" w:lineRule="atLeast"/>
        <w:ind w:left="617" w:leftChars="257"/>
        <w:rPr>
          <w:rFonts w:ascii="仿宋" w:hAnsi="仿宋" w:eastAsia="仿宋" w:cs="仿宋"/>
          <w:color w:val="auto"/>
          <w:sz w:val="24"/>
          <w:lang w:eastAsia="zh-CN"/>
        </w:rPr>
      </w:pPr>
    </w:p>
    <w:p w14:paraId="5F9E2048">
      <w:pPr>
        <w:pStyle w:val="11"/>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要求的其他资格证明文件（主要包括：技术指标、参数；项目实施方案；供货方案；交货期等）。</w:t>
      </w:r>
    </w:p>
    <w:p w14:paraId="09A85062">
      <w:pPr>
        <w:pStyle w:val="11"/>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C55B369">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3639DB4B">
      <w:pPr>
        <w:rPr>
          <w:rFonts w:ascii="仿宋" w:hAnsi="仿宋" w:eastAsia="仿宋" w:cs="仿宋"/>
          <w:lang w:eastAsia="zh-CN"/>
        </w:rPr>
      </w:pPr>
    </w:p>
    <w:p w14:paraId="4932F87A">
      <w:pPr>
        <w:pStyle w:val="4"/>
        <w:numPr>
          <w:ilvl w:val="1"/>
          <w:numId w:val="0"/>
        </w:numPr>
        <w:spacing w:line="240" w:lineRule="atLeast"/>
        <w:ind w:left="617" w:leftChars="257"/>
        <w:rPr>
          <w:rFonts w:ascii="仿宋" w:hAnsi="仿宋" w:eastAsia="仿宋" w:cs="仿宋"/>
          <w:color w:val="auto"/>
          <w:sz w:val="24"/>
          <w:lang w:eastAsia="zh-CN"/>
        </w:rPr>
      </w:pPr>
    </w:p>
    <w:p w14:paraId="4B3C1E5E">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7B5566D5">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14、</w:t>
      </w:r>
      <w:r>
        <w:rPr>
          <w:rFonts w:hint="eastAsia" w:ascii="仿宋" w:hAnsi="仿宋" w:eastAsia="仿宋" w:cs="仿宋"/>
          <w:b/>
          <w:bCs/>
          <w:w w:val="90"/>
          <w:sz w:val="36"/>
          <w:szCs w:val="36"/>
          <w:lang w:eastAsia="zh-CN"/>
        </w:rPr>
        <w:t>投标人认为有必要提供的其他证明材料（格式自拟）</w:t>
      </w:r>
    </w:p>
    <w:p w14:paraId="12F9681B">
      <w:pPr>
        <w:pStyle w:val="11"/>
        <w:tabs>
          <w:tab w:val="left" w:pos="5580"/>
        </w:tabs>
        <w:spacing w:line="240" w:lineRule="atLeast"/>
        <w:ind w:firstLine="480" w:firstLineChars="200"/>
        <w:rPr>
          <w:rFonts w:ascii="仿宋" w:hAnsi="仿宋" w:eastAsia="仿宋" w:cs="仿宋"/>
          <w:color w:val="auto"/>
          <w:lang w:eastAsia="zh-CN"/>
        </w:rPr>
      </w:pPr>
    </w:p>
    <w:p w14:paraId="3946CB45">
      <w:pPr>
        <w:pStyle w:val="11"/>
        <w:tabs>
          <w:tab w:val="left" w:pos="5580"/>
        </w:tabs>
        <w:spacing w:line="240" w:lineRule="atLeast"/>
        <w:ind w:firstLine="480" w:firstLineChars="200"/>
        <w:rPr>
          <w:rFonts w:ascii="仿宋" w:hAnsi="仿宋" w:eastAsia="仿宋" w:cs="仿宋"/>
          <w:b/>
          <w:bCs/>
          <w:color w:val="auto"/>
          <w:sz w:val="36"/>
          <w:szCs w:val="36"/>
          <w:lang w:eastAsia="zh-CN"/>
        </w:rPr>
      </w:pPr>
      <w:r>
        <w:rPr>
          <w:rFonts w:hint="eastAsia" w:ascii="仿宋" w:hAnsi="仿宋" w:eastAsia="仿宋" w:cs="仿宋"/>
          <w:color w:val="auto"/>
          <w:lang w:eastAsia="zh-CN"/>
        </w:rPr>
        <w:t>说明：复印件上应加盖本单位章（自然人投标的无需盖章，需要签字）。</w:t>
      </w:r>
    </w:p>
    <w:p w14:paraId="01FC54E3">
      <w:pPr>
        <w:rPr>
          <w:rFonts w:ascii="宋体" w:hAnsi="宋体" w:eastAsia="宋体"/>
          <w:b/>
          <w:color w:val="auto"/>
          <w:lang w:eastAsia="zh-CN"/>
        </w:rPr>
      </w:pPr>
      <w:r>
        <w:rPr>
          <w:rFonts w:ascii="宋体" w:hAnsi="宋体" w:eastAsia="宋体"/>
          <w:b/>
          <w:color w:val="auto"/>
          <w:lang w:eastAsia="zh-CN"/>
        </w:rPr>
        <w:br w:type="page"/>
      </w:r>
    </w:p>
    <w:tbl>
      <w:tblPr>
        <w:tblStyle w:val="19"/>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6D6FFD99">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01611A0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18BB354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中小微型企业（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6AB6F569">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7640F64E">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小型企业（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4E7F12BE">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r>
      <w:tr w14:paraId="176EAE72">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7B05DEBF">
            <w:pPr>
              <w:jc w:val="center"/>
              <w:rPr>
                <w:rFonts w:ascii="仿宋" w:hAnsi="仿宋" w:eastAsia="仿宋" w:cs="仿宋"/>
                <w:color w:val="auto"/>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609EE20F">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4F16EB79">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28CB006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03A4647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77C7DD5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54E2EF45">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37EC2435">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689CDEC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775418D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65A1065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52DF5A4D">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084E8004">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r>
      <w:tr w14:paraId="47A6BFD8">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0B5D6B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CF9403C">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1141F3B1">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7C33435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656DB5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2397116">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A7537B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525050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66BB98F">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3684C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7370F0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94E35A3">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CBC998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B741859">
            <w:pPr>
              <w:rPr>
                <w:rFonts w:ascii="仿宋" w:hAnsi="仿宋" w:eastAsia="仿宋" w:cs="仿宋"/>
                <w:color w:val="auto"/>
                <w:sz w:val="11"/>
                <w:szCs w:val="11"/>
              </w:rPr>
            </w:pPr>
          </w:p>
        </w:tc>
      </w:tr>
      <w:tr w14:paraId="6085B2BE">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ED12465">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744DB0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1B86299">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3D178C6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78A0485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261DD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47B1BA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0B8BC1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D48273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92D30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468416D">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113609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C01725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64554C8">
            <w:pPr>
              <w:rPr>
                <w:rFonts w:ascii="仿宋" w:hAnsi="仿宋" w:eastAsia="仿宋" w:cs="仿宋"/>
                <w:color w:val="auto"/>
                <w:sz w:val="11"/>
                <w:szCs w:val="11"/>
              </w:rPr>
            </w:pPr>
          </w:p>
        </w:tc>
      </w:tr>
      <w:tr w14:paraId="37571842">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3DCF6A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110DCE9">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1BEDA88B">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80000万元</w:t>
            </w:r>
          </w:p>
          <w:p w14:paraId="2E61E0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A06A1D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2B8EEA48">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A1839F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52513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0EBF90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193F8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5089E0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659D17A7">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397AEC0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448E2C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r>
      <w:tr w14:paraId="05C05F5A">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42DEE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25E146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1D79FE9">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41AD09C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B3554AF">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38FD31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80C517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7E64B3E">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5F09B6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068619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7B62F2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C102E9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9CE0CF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E89CB29">
            <w:pPr>
              <w:rPr>
                <w:rFonts w:ascii="仿宋" w:hAnsi="仿宋" w:eastAsia="仿宋" w:cs="仿宋"/>
                <w:color w:val="auto"/>
                <w:sz w:val="11"/>
                <w:szCs w:val="11"/>
              </w:rPr>
            </w:pPr>
          </w:p>
        </w:tc>
      </w:tr>
      <w:tr w14:paraId="1D93C57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C5FCBF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07D4448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0B63F34">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0213CD6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6AC3FFFA">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BDA8FA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5A0265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4B7424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CF7EC5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C1BACA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2D3402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CEBD3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3776C2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2ED5428">
            <w:pPr>
              <w:rPr>
                <w:rFonts w:ascii="仿宋" w:hAnsi="仿宋" w:eastAsia="仿宋" w:cs="仿宋"/>
                <w:color w:val="auto"/>
                <w:sz w:val="11"/>
                <w:szCs w:val="11"/>
              </w:rPr>
            </w:pPr>
          </w:p>
        </w:tc>
      </w:tr>
      <w:tr w14:paraId="5ED142EB">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15FDFC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FD749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77CD73C">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30000万元</w:t>
            </w:r>
          </w:p>
          <w:p w14:paraId="0E563D2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1DD08DC">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56D4EE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A5B32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176EB88">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59B3A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6A858D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0F7E81F">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01AEA1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C85BB1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76893C5">
            <w:pPr>
              <w:rPr>
                <w:rFonts w:ascii="仿宋" w:hAnsi="仿宋" w:eastAsia="仿宋" w:cs="仿宋"/>
                <w:color w:val="auto"/>
                <w:sz w:val="11"/>
                <w:szCs w:val="11"/>
              </w:rPr>
            </w:pPr>
          </w:p>
        </w:tc>
      </w:tr>
      <w:tr w14:paraId="3D0ED5E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3E02AE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30BD9F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62A66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72251B15">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36FA03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F9A18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21B967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2C75E0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244243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12E71F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9D66E1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E5FDBB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3FCFFFA">
            <w:pPr>
              <w:rPr>
                <w:rFonts w:ascii="仿宋" w:hAnsi="仿宋" w:eastAsia="仿宋" w:cs="仿宋"/>
                <w:color w:val="auto"/>
                <w:sz w:val="11"/>
                <w:szCs w:val="11"/>
              </w:rPr>
            </w:pPr>
          </w:p>
        </w:tc>
      </w:tr>
      <w:tr w14:paraId="5CFC397A">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28845A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5899F9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C1CF4A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2B65EC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D8830F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FCCBCA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F7514E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19AE42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A8A67C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4324694">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64C004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D769CA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FBB4779">
            <w:pPr>
              <w:rPr>
                <w:rFonts w:ascii="仿宋" w:hAnsi="仿宋" w:eastAsia="仿宋" w:cs="仿宋"/>
                <w:color w:val="auto"/>
                <w:sz w:val="11"/>
                <w:szCs w:val="11"/>
              </w:rPr>
            </w:pPr>
          </w:p>
        </w:tc>
      </w:tr>
      <w:tr w14:paraId="45C5F485">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002101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BE3F0D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EB3C96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B223B8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3648EE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67873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C648548">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8A2D3E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BD396E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EA42B19">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903729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2AC968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C3E21E6">
            <w:pPr>
              <w:rPr>
                <w:rFonts w:ascii="仿宋" w:hAnsi="仿宋" w:eastAsia="仿宋" w:cs="仿宋"/>
                <w:color w:val="auto"/>
                <w:sz w:val="11"/>
                <w:szCs w:val="11"/>
              </w:rPr>
            </w:pPr>
          </w:p>
        </w:tc>
      </w:tr>
      <w:tr w14:paraId="3A219F4E">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3386A4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41F665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6159F8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61569A4">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E56A33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B60612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C3C6596">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6CD20A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E84D86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F7B04FE">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837BF8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F9387F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11DC78A">
            <w:pPr>
              <w:rPr>
                <w:rFonts w:ascii="仿宋" w:hAnsi="仿宋" w:eastAsia="仿宋" w:cs="仿宋"/>
                <w:color w:val="auto"/>
                <w:sz w:val="11"/>
                <w:szCs w:val="11"/>
              </w:rPr>
            </w:pPr>
          </w:p>
        </w:tc>
      </w:tr>
      <w:tr w14:paraId="0E1754E5">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9B3065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2B4856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94287E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94A598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07A54D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13F3BC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ABCFBB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00AEC2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39A751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6AD9523">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AEE404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FB6BAF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B655FB5">
            <w:pPr>
              <w:rPr>
                <w:rFonts w:ascii="仿宋" w:hAnsi="仿宋" w:eastAsia="仿宋" w:cs="仿宋"/>
                <w:color w:val="auto"/>
                <w:sz w:val="11"/>
                <w:szCs w:val="11"/>
              </w:rPr>
            </w:pPr>
          </w:p>
        </w:tc>
      </w:tr>
      <w:tr w14:paraId="17C91FDF">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F7F9DAE">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45AFF1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DE5FC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FBC6474">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84A8B4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FE2E4C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0070C6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E6763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26E8E0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39E002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F0FFCF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3AB511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7E3AFBC">
            <w:pPr>
              <w:rPr>
                <w:rFonts w:ascii="仿宋" w:hAnsi="仿宋" w:eastAsia="仿宋" w:cs="仿宋"/>
                <w:color w:val="auto"/>
                <w:sz w:val="11"/>
                <w:szCs w:val="11"/>
              </w:rPr>
            </w:pPr>
          </w:p>
        </w:tc>
      </w:tr>
      <w:tr w14:paraId="55C0C5D6">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4E285E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478DF54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F7BC8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BD9563F">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AB9DB07">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622DD31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2E255B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1A5627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CC16FD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0717D9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41F4F1A3">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5726219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23F9BE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2000万元以下</w:t>
            </w:r>
          </w:p>
        </w:tc>
      </w:tr>
      <w:tr w14:paraId="07B59D79">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99DE1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516F312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F0FD16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C22B82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6693A3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2D22CA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3DE58BB">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571507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66AB97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7196A186">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91FC63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95201A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B043090">
            <w:pPr>
              <w:rPr>
                <w:rFonts w:ascii="仿宋" w:hAnsi="仿宋" w:eastAsia="仿宋" w:cs="仿宋"/>
                <w:color w:val="auto"/>
                <w:sz w:val="11"/>
                <w:szCs w:val="11"/>
              </w:rPr>
            </w:pPr>
          </w:p>
        </w:tc>
      </w:tr>
      <w:tr w14:paraId="58D0C2BD">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2CDC2A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CCC9AF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C1B3DA0">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2CBCBAD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76A57A4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82739F2">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097531F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EC77E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488FF6A7">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2E4BA9B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4545FE7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122D4A0">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24D3D5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r>
      <w:tr w14:paraId="1A199BF7">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5FECE346">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0996E1C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68B93975">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159C3BC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1418787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77CE3739">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33F0B79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088478A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74BB3BE4">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63048CD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5C6B24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4855FFA9">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3AF42953">
            <w:pPr>
              <w:rPr>
                <w:rFonts w:ascii="仿宋" w:hAnsi="仿宋" w:eastAsia="仿宋" w:cs="仿宋"/>
                <w:color w:val="auto"/>
                <w:sz w:val="11"/>
                <w:szCs w:val="11"/>
              </w:rPr>
            </w:pPr>
          </w:p>
        </w:tc>
      </w:tr>
    </w:tbl>
    <w:p w14:paraId="31091F05">
      <w:pPr>
        <w:pStyle w:val="12"/>
        <w:ind w:left="2880"/>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6653">
    <w:pPr>
      <w:pStyle w:val="13"/>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AF3DFE"/>
                      </w:txbxContent>
                    </wps:txbx>
                    <wps:bodyPr wrap="none" lIns="0" tIns="0" rIns="0" bIns="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XmgcccBAACdAwAADgAAAAAAAAABACAAAAAeAQAAZHJzL2Uyb0RvYy54&#10;bWxQSwUGAAAAAAYABgBZAQAAVwUAAAAA&#10;">
              <v:fill on="f" focussize="0,0"/>
              <v:stroke on="f"/>
              <v:imagedata o:title=""/>
              <o:lock v:ext="edit" aspectratio="f"/>
              <v:textbox inset="0mm,0mm,0mm,0mm" style="mso-fit-shape-to-text:t;">
                <w:txbxContent>
                  <w:p w14:paraId="17AF3DF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9970">
    <w:pPr>
      <w:pStyle w:val="13"/>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3EFBF">
                          <w:pPr>
                            <w:pStyle w:val="13"/>
                          </w:pP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c9O7IAQAAnQMAAA4AAAAAAAAAAQAgAAAAHgEAAGRycy9lMm9Eb2Mu&#10;eG1sUEsFBgAAAAAGAAYAWQEAAFgFAAAAAA==&#10;">
              <v:fill on="f" focussize="0,0"/>
              <v:stroke on="f"/>
              <v:imagedata o:title=""/>
              <o:lock v:ext="edit" aspectratio="f"/>
              <v:textbox inset="0mm,0mm,0mm,0mm" style="mso-fit-shape-to-text:t;">
                <w:txbxContent>
                  <w:p w14:paraId="6043EFBF">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7699">
    <w:pPr>
      <w:pStyle w:val="13"/>
      <w:ind w:right="360"/>
      <w:jc w:val="both"/>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C086EA">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0u0pA0AgAAZQ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ihLNFDp++vH9&#10;9PPX6eEbGb+NAjXWTxG3sYgM7TvTYmz6e4/LyLstnYq/YETgh7zHi7yiDYTHR5PxZDKEi8PXH4Cf&#10;PT63zof3wigSjZw69C/Jyg5rH7rQPiRm02ZVS5l6KDVpcnr9+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LtKQNAIAAGUEAAAOAAAAAAAAAAEAIAAAAB8BAABkcnMvZTJvRG9jLnhtbFBL&#10;BQYAAAAABgAGAFkBAADFBQAAAAA=&#10;">
              <v:fill on="f" focussize="0,0"/>
              <v:stroke on="f" weight="0.5pt"/>
              <v:imagedata o:title=""/>
              <o:lock v:ext="edit" aspectratio="f"/>
              <v:textbox inset="0mm,0mm,0mm,0mm" style="mso-fit-shape-to-text:t;">
                <w:txbxContent>
                  <w:p w14:paraId="29C086EA">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0B9BA3">
                          <w:pPr>
                            <w:pStyle w:val="13"/>
                          </w:pP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k1ymPIAQAAnQMAAA4AAAAAAAAAAQAgAAAAHgEAAGRycy9lMm9Eb2Mu&#10;eG1sUEsFBgAAAAAGAAYAWQEAAFgFAAAAAA==&#10;">
              <v:fill on="f" focussize="0,0"/>
              <v:stroke on="f"/>
              <v:imagedata o:title=""/>
              <o:lock v:ext="edit" aspectratio="f"/>
              <v:textbox inset="0mm,0mm,0mm,0mm" style="mso-fit-shape-to-text:t;">
                <w:txbxContent>
                  <w:p w14:paraId="520B9BA3">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15A9">
    <w:pPr>
      <w:pStyle w:val="13"/>
      <w:ind w:right="360"/>
      <w:jc w:val="both"/>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8884B3">
                          <w:pPr>
                            <w:pStyle w:val="13"/>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d3GcgBAACd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Fy85c8LSi1++f7v8+HX5+ZU9&#10;XyaBeo8V1d15qozDGxhobeY4UjDxHtpg05cYMcqTvOervGqITKZL69V6XVJKUm52CL+4v+4DxrcK&#10;LEtGzQO9X5ZVnN5jHEvnktTNwa02Jr+hcX8FCHOMqLwE0+3EZJw4WXHYDxO9PTRnYtfTItTc0d5z&#10;Zt450jntzGyE2dhPRuqI/vUx0hh5uoQ6QhGr5NCrZX7ThqW1+NPPVfd/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CHdxnIAQAAnQMAAA4AAAAAAAAAAQAgAAAAHgEAAGRycy9lMm9Eb2Mu&#10;eG1sUEsFBgAAAAAGAAYAWQEAAFgFAAAAAA==&#10;">
              <v:fill on="f" focussize="0,0"/>
              <v:stroke on="f"/>
              <v:imagedata o:title=""/>
              <o:lock v:ext="edit" aspectratio="f"/>
              <v:textbox inset="0mm,0mm,0mm,0mm" style="mso-fit-shape-to-text:t;">
                <w:txbxContent>
                  <w:p w14:paraId="148884B3">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A7DBD59">
    <w:pPr>
      <w:pStyle w:val="13"/>
      <w:autoSpaceDE w:val="0"/>
      <w:autoSpaceDN w:val="0"/>
      <w:adjustRightInd w:val="0"/>
      <w:ind w:left="7200" w:hanging="7200" w:hangingChars="4000"/>
      <w:jc w:val="both"/>
    </w:pPr>
  </w:p>
  <w:p w14:paraId="20A5AB64">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0307A">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5F004">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9hy8zAgAAZQQAAA4AAABkcnMvZTJvRG9jLnhtbK1UzY7TMBC+I/EO&#10;lu80aRdW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l9hy8zAgAAZQQAAA4AAAAAAAAAAQAgAAAAHwEAAGRycy9lMm9Eb2MueG1sUEsF&#10;BgAAAAAGAAYAWQEAAMQFAAAAAA==&#10;">
              <v:fill on="f" focussize="0,0"/>
              <v:stroke on="f" weight="0.5pt"/>
              <v:imagedata o:title=""/>
              <o:lock v:ext="edit" aspectratio="f"/>
              <v:textbox inset="0mm,0mm,0mm,0mm" style="mso-fit-shape-to-text:t;">
                <w:txbxContent>
                  <w:p w14:paraId="5965F004">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78C3">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EC2A">
    <w:pPr>
      <w:pStyle w:val="14"/>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5EB2">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24E409BB"/>
    <w:multiLevelType w:val="multilevel"/>
    <w:tmpl w:val="24E409BB"/>
    <w:lvl w:ilvl="0" w:tentative="0">
      <w:start w:val="1"/>
      <w:numFmt w:val="decimal"/>
      <w:pStyle w:val="6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51BC711"/>
    <w:multiLevelType w:val="singleLevel"/>
    <w:tmpl w:val="751BC711"/>
    <w:lvl w:ilvl="0" w:tentative="0">
      <w:start w:val="1"/>
      <w:numFmt w:val="decimal"/>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96A1B45"/>
    <w:multiLevelType w:val="singleLevel"/>
    <w:tmpl w:val="796A1B45"/>
    <w:lvl w:ilvl="0" w:tentative="0">
      <w:start w:val="5"/>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ZmNDljMWU0MWIwMzFiZDE4ZDE3MDhhN2MxZWIifQ=="/>
  </w:docVars>
  <w:rsids>
    <w:rsidRoot w:val="430832B2"/>
    <w:rsid w:val="00036274"/>
    <w:rsid w:val="00060CE7"/>
    <w:rsid w:val="000C64FF"/>
    <w:rsid w:val="000D73C7"/>
    <w:rsid w:val="0028130A"/>
    <w:rsid w:val="002C0F93"/>
    <w:rsid w:val="00303F39"/>
    <w:rsid w:val="004145F0"/>
    <w:rsid w:val="004242FC"/>
    <w:rsid w:val="00431DC6"/>
    <w:rsid w:val="00522F22"/>
    <w:rsid w:val="00577F9C"/>
    <w:rsid w:val="005A2594"/>
    <w:rsid w:val="005D1468"/>
    <w:rsid w:val="00713C3B"/>
    <w:rsid w:val="00797770"/>
    <w:rsid w:val="007B5C07"/>
    <w:rsid w:val="007D6BE9"/>
    <w:rsid w:val="008106EF"/>
    <w:rsid w:val="009C337D"/>
    <w:rsid w:val="00A043AC"/>
    <w:rsid w:val="00A06F70"/>
    <w:rsid w:val="00A2131B"/>
    <w:rsid w:val="00AF2B1D"/>
    <w:rsid w:val="00C56CA7"/>
    <w:rsid w:val="00CE72AE"/>
    <w:rsid w:val="00D72F4B"/>
    <w:rsid w:val="00D87F49"/>
    <w:rsid w:val="00E30272"/>
    <w:rsid w:val="00E964E1"/>
    <w:rsid w:val="00ED4083"/>
    <w:rsid w:val="00EF153B"/>
    <w:rsid w:val="00F44016"/>
    <w:rsid w:val="00FD7651"/>
    <w:rsid w:val="0123584C"/>
    <w:rsid w:val="012A1C40"/>
    <w:rsid w:val="012B1C39"/>
    <w:rsid w:val="013439C6"/>
    <w:rsid w:val="01453A14"/>
    <w:rsid w:val="015657AD"/>
    <w:rsid w:val="015B6D94"/>
    <w:rsid w:val="01B841E6"/>
    <w:rsid w:val="01D133CB"/>
    <w:rsid w:val="01DD3C4D"/>
    <w:rsid w:val="01E44B68"/>
    <w:rsid w:val="0201160A"/>
    <w:rsid w:val="023B0973"/>
    <w:rsid w:val="0247504C"/>
    <w:rsid w:val="02857679"/>
    <w:rsid w:val="0288005D"/>
    <w:rsid w:val="02C1356F"/>
    <w:rsid w:val="02D768EE"/>
    <w:rsid w:val="030646CF"/>
    <w:rsid w:val="030B47EA"/>
    <w:rsid w:val="030F6088"/>
    <w:rsid w:val="03120DC1"/>
    <w:rsid w:val="03664F47"/>
    <w:rsid w:val="037E533D"/>
    <w:rsid w:val="03912F41"/>
    <w:rsid w:val="03F139E0"/>
    <w:rsid w:val="04117BDE"/>
    <w:rsid w:val="042A106A"/>
    <w:rsid w:val="04503042"/>
    <w:rsid w:val="04722D72"/>
    <w:rsid w:val="047A5DAD"/>
    <w:rsid w:val="05133F7B"/>
    <w:rsid w:val="0526590B"/>
    <w:rsid w:val="05470C76"/>
    <w:rsid w:val="05782849"/>
    <w:rsid w:val="05925A9A"/>
    <w:rsid w:val="05AF76AE"/>
    <w:rsid w:val="05CE725F"/>
    <w:rsid w:val="05E01F5E"/>
    <w:rsid w:val="05E47398"/>
    <w:rsid w:val="060774EA"/>
    <w:rsid w:val="06141E47"/>
    <w:rsid w:val="063B7194"/>
    <w:rsid w:val="065A2827"/>
    <w:rsid w:val="071836A4"/>
    <w:rsid w:val="072B5291"/>
    <w:rsid w:val="07797F74"/>
    <w:rsid w:val="07A4456D"/>
    <w:rsid w:val="07FB67F7"/>
    <w:rsid w:val="08002443"/>
    <w:rsid w:val="080E2068"/>
    <w:rsid w:val="08233B7D"/>
    <w:rsid w:val="08314CF2"/>
    <w:rsid w:val="08323FEC"/>
    <w:rsid w:val="08444A26"/>
    <w:rsid w:val="08564759"/>
    <w:rsid w:val="085D5AE7"/>
    <w:rsid w:val="089F706E"/>
    <w:rsid w:val="08AD661F"/>
    <w:rsid w:val="09034F91"/>
    <w:rsid w:val="091D420B"/>
    <w:rsid w:val="09231976"/>
    <w:rsid w:val="0926237D"/>
    <w:rsid w:val="093F2ABC"/>
    <w:rsid w:val="096B5FE2"/>
    <w:rsid w:val="096E1046"/>
    <w:rsid w:val="0985741A"/>
    <w:rsid w:val="09995EDE"/>
    <w:rsid w:val="09A41752"/>
    <w:rsid w:val="09F4422A"/>
    <w:rsid w:val="09F83049"/>
    <w:rsid w:val="0A982D0F"/>
    <w:rsid w:val="0AA417AC"/>
    <w:rsid w:val="0ADF0BB9"/>
    <w:rsid w:val="0AEC1713"/>
    <w:rsid w:val="0AF80F8F"/>
    <w:rsid w:val="0B213EE8"/>
    <w:rsid w:val="0B2A4806"/>
    <w:rsid w:val="0B2F3756"/>
    <w:rsid w:val="0B57681E"/>
    <w:rsid w:val="0B9E39F1"/>
    <w:rsid w:val="0BD240F7"/>
    <w:rsid w:val="0BDF4C6D"/>
    <w:rsid w:val="0BF26C44"/>
    <w:rsid w:val="0C2B1A59"/>
    <w:rsid w:val="0C6C61DB"/>
    <w:rsid w:val="0C8E6853"/>
    <w:rsid w:val="0CFB767D"/>
    <w:rsid w:val="0D044784"/>
    <w:rsid w:val="0D270472"/>
    <w:rsid w:val="0D562B05"/>
    <w:rsid w:val="0D94642F"/>
    <w:rsid w:val="0D961154"/>
    <w:rsid w:val="0DBD7544"/>
    <w:rsid w:val="0E325320"/>
    <w:rsid w:val="0E4A4418"/>
    <w:rsid w:val="0E547045"/>
    <w:rsid w:val="0E7F212A"/>
    <w:rsid w:val="0E8C28B6"/>
    <w:rsid w:val="0E9B42D5"/>
    <w:rsid w:val="0EB6385C"/>
    <w:rsid w:val="0EF95E3E"/>
    <w:rsid w:val="0F625791"/>
    <w:rsid w:val="0F6B0FF3"/>
    <w:rsid w:val="0F6B6D3C"/>
    <w:rsid w:val="0F957915"/>
    <w:rsid w:val="0FBC7598"/>
    <w:rsid w:val="0FCE70C5"/>
    <w:rsid w:val="103376CB"/>
    <w:rsid w:val="10685029"/>
    <w:rsid w:val="1079177B"/>
    <w:rsid w:val="107B7062"/>
    <w:rsid w:val="10A118FD"/>
    <w:rsid w:val="10A32505"/>
    <w:rsid w:val="10EF349B"/>
    <w:rsid w:val="11001706"/>
    <w:rsid w:val="111110FD"/>
    <w:rsid w:val="11A402E3"/>
    <w:rsid w:val="11B5604C"/>
    <w:rsid w:val="12001DE2"/>
    <w:rsid w:val="120510DA"/>
    <w:rsid w:val="12891287"/>
    <w:rsid w:val="128B4FFF"/>
    <w:rsid w:val="129E2F84"/>
    <w:rsid w:val="12F530E2"/>
    <w:rsid w:val="130308CA"/>
    <w:rsid w:val="130D3C66"/>
    <w:rsid w:val="134479C3"/>
    <w:rsid w:val="13725EDE"/>
    <w:rsid w:val="13A94832"/>
    <w:rsid w:val="13B2079E"/>
    <w:rsid w:val="13B32A60"/>
    <w:rsid w:val="13E9022F"/>
    <w:rsid w:val="14171350"/>
    <w:rsid w:val="143516C6"/>
    <w:rsid w:val="147A17CF"/>
    <w:rsid w:val="14983A9A"/>
    <w:rsid w:val="1525173B"/>
    <w:rsid w:val="153C6A85"/>
    <w:rsid w:val="15B268BB"/>
    <w:rsid w:val="15C0446A"/>
    <w:rsid w:val="15C90318"/>
    <w:rsid w:val="15E839EB"/>
    <w:rsid w:val="15EA0BE7"/>
    <w:rsid w:val="15F01C71"/>
    <w:rsid w:val="164E3FEB"/>
    <w:rsid w:val="165D4F05"/>
    <w:rsid w:val="167B61DA"/>
    <w:rsid w:val="168E11C7"/>
    <w:rsid w:val="16A97503"/>
    <w:rsid w:val="170F61FF"/>
    <w:rsid w:val="171C7E9A"/>
    <w:rsid w:val="171F0B4E"/>
    <w:rsid w:val="1720665E"/>
    <w:rsid w:val="173901E9"/>
    <w:rsid w:val="17E05DED"/>
    <w:rsid w:val="17EA0A1A"/>
    <w:rsid w:val="17EB3771"/>
    <w:rsid w:val="181F6553"/>
    <w:rsid w:val="18414ADE"/>
    <w:rsid w:val="186043DF"/>
    <w:rsid w:val="18DA3421"/>
    <w:rsid w:val="18FE29CF"/>
    <w:rsid w:val="1910625E"/>
    <w:rsid w:val="196F11D7"/>
    <w:rsid w:val="19791440"/>
    <w:rsid w:val="197D694C"/>
    <w:rsid w:val="198D3D53"/>
    <w:rsid w:val="1A145BFA"/>
    <w:rsid w:val="1A18186E"/>
    <w:rsid w:val="1AA14F3E"/>
    <w:rsid w:val="1AA83E09"/>
    <w:rsid w:val="1B43291B"/>
    <w:rsid w:val="1B520DB0"/>
    <w:rsid w:val="1B6B7995"/>
    <w:rsid w:val="1B7C05B7"/>
    <w:rsid w:val="1BA00681"/>
    <w:rsid w:val="1BE65325"/>
    <w:rsid w:val="1BF65BDF"/>
    <w:rsid w:val="1C02130A"/>
    <w:rsid w:val="1C0C71B1"/>
    <w:rsid w:val="1C4C3A51"/>
    <w:rsid w:val="1C5241B6"/>
    <w:rsid w:val="1C752FA8"/>
    <w:rsid w:val="1C9A47BD"/>
    <w:rsid w:val="1CB63A74"/>
    <w:rsid w:val="1CF8633A"/>
    <w:rsid w:val="1D2247B2"/>
    <w:rsid w:val="1D2C3D70"/>
    <w:rsid w:val="1D41732E"/>
    <w:rsid w:val="1D552DD9"/>
    <w:rsid w:val="1DAA4ED3"/>
    <w:rsid w:val="1DCE13A6"/>
    <w:rsid w:val="1DD45AAC"/>
    <w:rsid w:val="1E4379FE"/>
    <w:rsid w:val="1E4D0963"/>
    <w:rsid w:val="1E6813A9"/>
    <w:rsid w:val="1ECE4F82"/>
    <w:rsid w:val="1EE5064C"/>
    <w:rsid w:val="1F232690"/>
    <w:rsid w:val="1F5B26D6"/>
    <w:rsid w:val="1F6007D8"/>
    <w:rsid w:val="1FAA65AA"/>
    <w:rsid w:val="1FEA0867"/>
    <w:rsid w:val="206770AC"/>
    <w:rsid w:val="2096173F"/>
    <w:rsid w:val="20EA2A0C"/>
    <w:rsid w:val="213B3B92"/>
    <w:rsid w:val="214D40AF"/>
    <w:rsid w:val="22082608"/>
    <w:rsid w:val="22373CFA"/>
    <w:rsid w:val="226002D5"/>
    <w:rsid w:val="22965E6B"/>
    <w:rsid w:val="22A87B2E"/>
    <w:rsid w:val="22C53076"/>
    <w:rsid w:val="22E4756A"/>
    <w:rsid w:val="22F917C9"/>
    <w:rsid w:val="23130E25"/>
    <w:rsid w:val="234740E1"/>
    <w:rsid w:val="236A6D03"/>
    <w:rsid w:val="236F3345"/>
    <w:rsid w:val="23781A8E"/>
    <w:rsid w:val="23874BA3"/>
    <w:rsid w:val="242C0022"/>
    <w:rsid w:val="242D23BA"/>
    <w:rsid w:val="247B2157"/>
    <w:rsid w:val="24F20F0E"/>
    <w:rsid w:val="25002F8D"/>
    <w:rsid w:val="250D7AF6"/>
    <w:rsid w:val="254C061E"/>
    <w:rsid w:val="25546BA5"/>
    <w:rsid w:val="25550156"/>
    <w:rsid w:val="255F65A3"/>
    <w:rsid w:val="261F3F85"/>
    <w:rsid w:val="26563B15"/>
    <w:rsid w:val="26655E3B"/>
    <w:rsid w:val="266F2816"/>
    <w:rsid w:val="267C4D6E"/>
    <w:rsid w:val="267D2FA7"/>
    <w:rsid w:val="269E134D"/>
    <w:rsid w:val="26D37563"/>
    <w:rsid w:val="273B6B9C"/>
    <w:rsid w:val="27475541"/>
    <w:rsid w:val="276D1063"/>
    <w:rsid w:val="279F149A"/>
    <w:rsid w:val="27A6495D"/>
    <w:rsid w:val="27C44DE4"/>
    <w:rsid w:val="27D6235B"/>
    <w:rsid w:val="27DD0E3E"/>
    <w:rsid w:val="283B5A01"/>
    <w:rsid w:val="283D072F"/>
    <w:rsid w:val="285311F8"/>
    <w:rsid w:val="285C7E68"/>
    <w:rsid w:val="286B44D3"/>
    <w:rsid w:val="288F0CA1"/>
    <w:rsid w:val="28B07116"/>
    <w:rsid w:val="28C57065"/>
    <w:rsid w:val="291C049E"/>
    <w:rsid w:val="293A674B"/>
    <w:rsid w:val="293F68AF"/>
    <w:rsid w:val="294A2BB3"/>
    <w:rsid w:val="297872F4"/>
    <w:rsid w:val="29973AC1"/>
    <w:rsid w:val="29D358D6"/>
    <w:rsid w:val="2A073086"/>
    <w:rsid w:val="2A2953D2"/>
    <w:rsid w:val="2A2E4796"/>
    <w:rsid w:val="2A4D3EAF"/>
    <w:rsid w:val="2A5276B0"/>
    <w:rsid w:val="2A6F2C28"/>
    <w:rsid w:val="2AB303AA"/>
    <w:rsid w:val="2ACF023B"/>
    <w:rsid w:val="2ADA66CC"/>
    <w:rsid w:val="2AF552B4"/>
    <w:rsid w:val="2B17347C"/>
    <w:rsid w:val="2B762634"/>
    <w:rsid w:val="2B940F71"/>
    <w:rsid w:val="2B954435"/>
    <w:rsid w:val="2B980A61"/>
    <w:rsid w:val="2BE05C4E"/>
    <w:rsid w:val="2C061FF9"/>
    <w:rsid w:val="2C0803CD"/>
    <w:rsid w:val="2C1B0EE8"/>
    <w:rsid w:val="2C41519A"/>
    <w:rsid w:val="2C504E98"/>
    <w:rsid w:val="2C5F332D"/>
    <w:rsid w:val="2C956D4E"/>
    <w:rsid w:val="2CCB451E"/>
    <w:rsid w:val="2D1B0C53"/>
    <w:rsid w:val="2D567383"/>
    <w:rsid w:val="2D595FCE"/>
    <w:rsid w:val="2D6A0F15"/>
    <w:rsid w:val="2DF1140A"/>
    <w:rsid w:val="2E03791A"/>
    <w:rsid w:val="2E051CB2"/>
    <w:rsid w:val="2E0F48DF"/>
    <w:rsid w:val="2E1B0C2F"/>
    <w:rsid w:val="2E1E4633"/>
    <w:rsid w:val="2E30575E"/>
    <w:rsid w:val="2E352597"/>
    <w:rsid w:val="2E764B34"/>
    <w:rsid w:val="2E7F3812"/>
    <w:rsid w:val="2E975000"/>
    <w:rsid w:val="2F025775"/>
    <w:rsid w:val="2F07230D"/>
    <w:rsid w:val="2F563B1F"/>
    <w:rsid w:val="2F683C59"/>
    <w:rsid w:val="2F6D7D7A"/>
    <w:rsid w:val="2F7013AD"/>
    <w:rsid w:val="2F794705"/>
    <w:rsid w:val="2F8D0CD0"/>
    <w:rsid w:val="2FA0432F"/>
    <w:rsid w:val="2FA50B1C"/>
    <w:rsid w:val="2FCA119B"/>
    <w:rsid w:val="30142680"/>
    <w:rsid w:val="30397D11"/>
    <w:rsid w:val="30B26FB1"/>
    <w:rsid w:val="310E5321"/>
    <w:rsid w:val="31106812"/>
    <w:rsid w:val="31126BC0"/>
    <w:rsid w:val="311B6B15"/>
    <w:rsid w:val="311F22C5"/>
    <w:rsid w:val="31300EFB"/>
    <w:rsid w:val="314676E4"/>
    <w:rsid w:val="31721187"/>
    <w:rsid w:val="31A11CF2"/>
    <w:rsid w:val="31C54436"/>
    <w:rsid w:val="32150ACC"/>
    <w:rsid w:val="32C424C8"/>
    <w:rsid w:val="32FF6DDB"/>
    <w:rsid w:val="33294694"/>
    <w:rsid w:val="33356B95"/>
    <w:rsid w:val="33482D6D"/>
    <w:rsid w:val="33527A4D"/>
    <w:rsid w:val="335C76C1"/>
    <w:rsid w:val="33A855B9"/>
    <w:rsid w:val="33A87367"/>
    <w:rsid w:val="33AD4708"/>
    <w:rsid w:val="33BA709B"/>
    <w:rsid w:val="34033A51"/>
    <w:rsid w:val="3412013D"/>
    <w:rsid w:val="3464452F"/>
    <w:rsid w:val="347100A1"/>
    <w:rsid w:val="347B5013"/>
    <w:rsid w:val="34AC63E7"/>
    <w:rsid w:val="34D86A11"/>
    <w:rsid w:val="35286B09"/>
    <w:rsid w:val="35427B0F"/>
    <w:rsid w:val="35C342D2"/>
    <w:rsid w:val="35DA1C76"/>
    <w:rsid w:val="36044FAD"/>
    <w:rsid w:val="36104FF7"/>
    <w:rsid w:val="364D39FB"/>
    <w:rsid w:val="36526EE0"/>
    <w:rsid w:val="36716C5B"/>
    <w:rsid w:val="36783969"/>
    <w:rsid w:val="36AA5E0A"/>
    <w:rsid w:val="36B97ADD"/>
    <w:rsid w:val="3743283D"/>
    <w:rsid w:val="3786381D"/>
    <w:rsid w:val="37D44BCF"/>
    <w:rsid w:val="38083993"/>
    <w:rsid w:val="3810197F"/>
    <w:rsid w:val="38832CFA"/>
    <w:rsid w:val="38B45FB7"/>
    <w:rsid w:val="38C56C0D"/>
    <w:rsid w:val="38D8647A"/>
    <w:rsid w:val="392A544E"/>
    <w:rsid w:val="3977248B"/>
    <w:rsid w:val="39AF4D5C"/>
    <w:rsid w:val="39E15381"/>
    <w:rsid w:val="39EE7A9E"/>
    <w:rsid w:val="3A1273C6"/>
    <w:rsid w:val="3A34055C"/>
    <w:rsid w:val="3A4D1B8A"/>
    <w:rsid w:val="3A6A35C8"/>
    <w:rsid w:val="3A7502FA"/>
    <w:rsid w:val="3ABF5C8D"/>
    <w:rsid w:val="3AE06945"/>
    <w:rsid w:val="3B446882"/>
    <w:rsid w:val="3C756255"/>
    <w:rsid w:val="3CA827C1"/>
    <w:rsid w:val="3CAD59EE"/>
    <w:rsid w:val="3CB85E9D"/>
    <w:rsid w:val="3CBA5115"/>
    <w:rsid w:val="3D056B6D"/>
    <w:rsid w:val="3D1C4922"/>
    <w:rsid w:val="3D540BF9"/>
    <w:rsid w:val="3D751F42"/>
    <w:rsid w:val="3D891FB8"/>
    <w:rsid w:val="3DBF59D9"/>
    <w:rsid w:val="3E317086"/>
    <w:rsid w:val="3EB2553E"/>
    <w:rsid w:val="3F062B6C"/>
    <w:rsid w:val="3F2A5A1C"/>
    <w:rsid w:val="3F4845C7"/>
    <w:rsid w:val="3FFA0F4B"/>
    <w:rsid w:val="40046CFC"/>
    <w:rsid w:val="40061FE5"/>
    <w:rsid w:val="402266F3"/>
    <w:rsid w:val="403E177F"/>
    <w:rsid w:val="405E6C0B"/>
    <w:rsid w:val="406867FC"/>
    <w:rsid w:val="407056B1"/>
    <w:rsid w:val="408E72C3"/>
    <w:rsid w:val="408E7BCF"/>
    <w:rsid w:val="40B26236"/>
    <w:rsid w:val="40C15F0C"/>
    <w:rsid w:val="40C357E1"/>
    <w:rsid w:val="40EA5463"/>
    <w:rsid w:val="40ED175B"/>
    <w:rsid w:val="41126768"/>
    <w:rsid w:val="411C52ED"/>
    <w:rsid w:val="41344930"/>
    <w:rsid w:val="4157061F"/>
    <w:rsid w:val="41681350"/>
    <w:rsid w:val="416F668A"/>
    <w:rsid w:val="419F6662"/>
    <w:rsid w:val="41A72D03"/>
    <w:rsid w:val="41BC55E0"/>
    <w:rsid w:val="420B7389"/>
    <w:rsid w:val="420E7687"/>
    <w:rsid w:val="42164036"/>
    <w:rsid w:val="423563C7"/>
    <w:rsid w:val="425E5109"/>
    <w:rsid w:val="426D0C07"/>
    <w:rsid w:val="42C57370"/>
    <w:rsid w:val="42F02AD9"/>
    <w:rsid w:val="430420E0"/>
    <w:rsid w:val="430832B2"/>
    <w:rsid w:val="431762B8"/>
    <w:rsid w:val="431C38CE"/>
    <w:rsid w:val="43755416"/>
    <w:rsid w:val="43CB512D"/>
    <w:rsid w:val="43CC2324"/>
    <w:rsid w:val="43ED7F8C"/>
    <w:rsid w:val="43F87E97"/>
    <w:rsid w:val="44254A04"/>
    <w:rsid w:val="445769C9"/>
    <w:rsid w:val="44740DA7"/>
    <w:rsid w:val="45100B70"/>
    <w:rsid w:val="454815E5"/>
    <w:rsid w:val="454C6344"/>
    <w:rsid w:val="457C2033"/>
    <w:rsid w:val="45B7168C"/>
    <w:rsid w:val="45B750ED"/>
    <w:rsid w:val="45E71F71"/>
    <w:rsid w:val="46146ADE"/>
    <w:rsid w:val="46872BD3"/>
    <w:rsid w:val="469F284C"/>
    <w:rsid w:val="46A95479"/>
    <w:rsid w:val="46AF05B5"/>
    <w:rsid w:val="46F77B89"/>
    <w:rsid w:val="470628CB"/>
    <w:rsid w:val="4743767B"/>
    <w:rsid w:val="47503B46"/>
    <w:rsid w:val="47E77823"/>
    <w:rsid w:val="48154BE8"/>
    <w:rsid w:val="487344BE"/>
    <w:rsid w:val="488717E9"/>
    <w:rsid w:val="48934632"/>
    <w:rsid w:val="48AC331E"/>
    <w:rsid w:val="48E50A71"/>
    <w:rsid w:val="48ED6219"/>
    <w:rsid w:val="4972249A"/>
    <w:rsid w:val="49726A4B"/>
    <w:rsid w:val="49FD4B26"/>
    <w:rsid w:val="4ABD14F2"/>
    <w:rsid w:val="4AE7284A"/>
    <w:rsid w:val="4B1650A7"/>
    <w:rsid w:val="4B341D18"/>
    <w:rsid w:val="4B49547C"/>
    <w:rsid w:val="4B5D2CD5"/>
    <w:rsid w:val="4B6F49CF"/>
    <w:rsid w:val="4B7C7600"/>
    <w:rsid w:val="4B9C1A50"/>
    <w:rsid w:val="4BA34B8C"/>
    <w:rsid w:val="4BB73B85"/>
    <w:rsid w:val="4BF478AD"/>
    <w:rsid w:val="4C003D8D"/>
    <w:rsid w:val="4C17384D"/>
    <w:rsid w:val="4C257A37"/>
    <w:rsid w:val="4C472193"/>
    <w:rsid w:val="4C603162"/>
    <w:rsid w:val="4C6839C8"/>
    <w:rsid w:val="4C82766A"/>
    <w:rsid w:val="4CB579C9"/>
    <w:rsid w:val="4CC0176E"/>
    <w:rsid w:val="4CD36CBE"/>
    <w:rsid w:val="4CD6525A"/>
    <w:rsid w:val="4CDB2104"/>
    <w:rsid w:val="4D2C6E03"/>
    <w:rsid w:val="4D50147C"/>
    <w:rsid w:val="4D64034B"/>
    <w:rsid w:val="4DC24624"/>
    <w:rsid w:val="4DC40DEA"/>
    <w:rsid w:val="4DD54DA5"/>
    <w:rsid w:val="4DDA060D"/>
    <w:rsid w:val="4DF50B78"/>
    <w:rsid w:val="4E6938E7"/>
    <w:rsid w:val="4E701DC0"/>
    <w:rsid w:val="4E8C7B5A"/>
    <w:rsid w:val="4EF13E61"/>
    <w:rsid w:val="4F006719"/>
    <w:rsid w:val="4F2E489B"/>
    <w:rsid w:val="4F304989"/>
    <w:rsid w:val="4F5166AD"/>
    <w:rsid w:val="4F5D25FD"/>
    <w:rsid w:val="4F8151E4"/>
    <w:rsid w:val="4FB41D44"/>
    <w:rsid w:val="50081462"/>
    <w:rsid w:val="50265D8C"/>
    <w:rsid w:val="50485D02"/>
    <w:rsid w:val="505A77E4"/>
    <w:rsid w:val="507B5903"/>
    <w:rsid w:val="5083779D"/>
    <w:rsid w:val="50A373DC"/>
    <w:rsid w:val="50BF6E81"/>
    <w:rsid w:val="5116647F"/>
    <w:rsid w:val="51206F38"/>
    <w:rsid w:val="512A365A"/>
    <w:rsid w:val="51396579"/>
    <w:rsid w:val="513F080C"/>
    <w:rsid w:val="514135E6"/>
    <w:rsid w:val="515E50B1"/>
    <w:rsid w:val="51643181"/>
    <w:rsid w:val="51A04E60"/>
    <w:rsid w:val="52195BA8"/>
    <w:rsid w:val="521A1920"/>
    <w:rsid w:val="524F15CA"/>
    <w:rsid w:val="52654DCD"/>
    <w:rsid w:val="527F1798"/>
    <w:rsid w:val="52B15DE1"/>
    <w:rsid w:val="52CD0741"/>
    <w:rsid w:val="52E15F9A"/>
    <w:rsid w:val="5306542C"/>
    <w:rsid w:val="533662E6"/>
    <w:rsid w:val="53390376"/>
    <w:rsid w:val="537C6C08"/>
    <w:rsid w:val="539D7E0F"/>
    <w:rsid w:val="53E61D59"/>
    <w:rsid w:val="540F7CC5"/>
    <w:rsid w:val="549E4143"/>
    <w:rsid w:val="54B5309D"/>
    <w:rsid w:val="553813F1"/>
    <w:rsid w:val="557E5418"/>
    <w:rsid w:val="558A2406"/>
    <w:rsid w:val="55AA246D"/>
    <w:rsid w:val="55BD7B2D"/>
    <w:rsid w:val="56244B1C"/>
    <w:rsid w:val="56493792"/>
    <w:rsid w:val="564B02FA"/>
    <w:rsid w:val="56701B0F"/>
    <w:rsid w:val="56A703F5"/>
    <w:rsid w:val="56B066E6"/>
    <w:rsid w:val="56B85046"/>
    <w:rsid w:val="56D402F0"/>
    <w:rsid w:val="576F1DC6"/>
    <w:rsid w:val="57FE2E05"/>
    <w:rsid w:val="581806B0"/>
    <w:rsid w:val="58417C95"/>
    <w:rsid w:val="58B63D67"/>
    <w:rsid w:val="58C47EF0"/>
    <w:rsid w:val="58E42340"/>
    <w:rsid w:val="58E460AB"/>
    <w:rsid w:val="59417793"/>
    <w:rsid w:val="595D1EA9"/>
    <w:rsid w:val="59981AA8"/>
    <w:rsid w:val="59A73423"/>
    <w:rsid w:val="59BD150F"/>
    <w:rsid w:val="59CB361D"/>
    <w:rsid w:val="59CD5363"/>
    <w:rsid w:val="59EF00F4"/>
    <w:rsid w:val="5A0826C5"/>
    <w:rsid w:val="5A2E03D7"/>
    <w:rsid w:val="5A4E660B"/>
    <w:rsid w:val="5A5513EB"/>
    <w:rsid w:val="5AE0581C"/>
    <w:rsid w:val="5BE43388"/>
    <w:rsid w:val="5BF1724E"/>
    <w:rsid w:val="5C730004"/>
    <w:rsid w:val="5C877BB2"/>
    <w:rsid w:val="5C9B365E"/>
    <w:rsid w:val="5CC11316"/>
    <w:rsid w:val="5CD53D28"/>
    <w:rsid w:val="5D0336DD"/>
    <w:rsid w:val="5D2366CB"/>
    <w:rsid w:val="5D3331A6"/>
    <w:rsid w:val="5D5061F6"/>
    <w:rsid w:val="5DA87520"/>
    <w:rsid w:val="5E084D23"/>
    <w:rsid w:val="5E135BA1"/>
    <w:rsid w:val="5E1D1079"/>
    <w:rsid w:val="5EDA6373"/>
    <w:rsid w:val="5EE91DF7"/>
    <w:rsid w:val="5EF07C91"/>
    <w:rsid w:val="5F4928E4"/>
    <w:rsid w:val="5F96233B"/>
    <w:rsid w:val="5FA02694"/>
    <w:rsid w:val="5FDB110D"/>
    <w:rsid w:val="601F4136"/>
    <w:rsid w:val="6033726D"/>
    <w:rsid w:val="6057789C"/>
    <w:rsid w:val="60B3541A"/>
    <w:rsid w:val="60C2740B"/>
    <w:rsid w:val="60C7316A"/>
    <w:rsid w:val="610B7004"/>
    <w:rsid w:val="61686204"/>
    <w:rsid w:val="61EB473F"/>
    <w:rsid w:val="62C5683B"/>
    <w:rsid w:val="62DE42A4"/>
    <w:rsid w:val="62EC64BB"/>
    <w:rsid w:val="62F37D50"/>
    <w:rsid w:val="634A483E"/>
    <w:rsid w:val="636A11E6"/>
    <w:rsid w:val="636B6559"/>
    <w:rsid w:val="637F15E3"/>
    <w:rsid w:val="638D2353"/>
    <w:rsid w:val="639D5F0D"/>
    <w:rsid w:val="63AB4E6A"/>
    <w:rsid w:val="63CB753E"/>
    <w:rsid w:val="63FD6A98"/>
    <w:rsid w:val="642B45E0"/>
    <w:rsid w:val="643A3A59"/>
    <w:rsid w:val="64604EAC"/>
    <w:rsid w:val="6464424D"/>
    <w:rsid w:val="6468651B"/>
    <w:rsid w:val="64740A1C"/>
    <w:rsid w:val="64872E45"/>
    <w:rsid w:val="65512720"/>
    <w:rsid w:val="65654809"/>
    <w:rsid w:val="65843F9A"/>
    <w:rsid w:val="65FE7137"/>
    <w:rsid w:val="66457796"/>
    <w:rsid w:val="665F174A"/>
    <w:rsid w:val="66666A8A"/>
    <w:rsid w:val="6692162D"/>
    <w:rsid w:val="66A5387A"/>
    <w:rsid w:val="66AF3F8D"/>
    <w:rsid w:val="66E63727"/>
    <w:rsid w:val="66EC335E"/>
    <w:rsid w:val="67650AF0"/>
    <w:rsid w:val="67656B1B"/>
    <w:rsid w:val="67924711"/>
    <w:rsid w:val="67AE419D"/>
    <w:rsid w:val="67B22635"/>
    <w:rsid w:val="67B752D1"/>
    <w:rsid w:val="67D044E8"/>
    <w:rsid w:val="67DD0FCE"/>
    <w:rsid w:val="67E72695"/>
    <w:rsid w:val="67F746C9"/>
    <w:rsid w:val="683230C8"/>
    <w:rsid w:val="683769EB"/>
    <w:rsid w:val="684B5F38"/>
    <w:rsid w:val="68776D2D"/>
    <w:rsid w:val="687B73D6"/>
    <w:rsid w:val="68923B67"/>
    <w:rsid w:val="68A1024E"/>
    <w:rsid w:val="68D47501"/>
    <w:rsid w:val="68DB72BC"/>
    <w:rsid w:val="68EB4DA6"/>
    <w:rsid w:val="694F7CAA"/>
    <w:rsid w:val="695F613F"/>
    <w:rsid w:val="69703422"/>
    <w:rsid w:val="698C50B9"/>
    <w:rsid w:val="69D47128"/>
    <w:rsid w:val="6A1D4D43"/>
    <w:rsid w:val="6A714085"/>
    <w:rsid w:val="6A955B90"/>
    <w:rsid w:val="6ADE7537"/>
    <w:rsid w:val="6AF01018"/>
    <w:rsid w:val="6B0D5727"/>
    <w:rsid w:val="6B1B762C"/>
    <w:rsid w:val="6B1C5B5B"/>
    <w:rsid w:val="6B221B0E"/>
    <w:rsid w:val="6B715688"/>
    <w:rsid w:val="6BB107A8"/>
    <w:rsid w:val="6C332A85"/>
    <w:rsid w:val="6C7543E1"/>
    <w:rsid w:val="6C963B87"/>
    <w:rsid w:val="6CA96079"/>
    <w:rsid w:val="6CAC1F8A"/>
    <w:rsid w:val="6CB87914"/>
    <w:rsid w:val="6CC22541"/>
    <w:rsid w:val="6CC4450B"/>
    <w:rsid w:val="6CC81EA4"/>
    <w:rsid w:val="6CDC17AA"/>
    <w:rsid w:val="6CEE3336"/>
    <w:rsid w:val="6D3212BE"/>
    <w:rsid w:val="6D37776E"/>
    <w:rsid w:val="6D5835D1"/>
    <w:rsid w:val="6D714693"/>
    <w:rsid w:val="6DF6220A"/>
    <w:rsid w:val="6E2434B3"/>
    <w:rsid w:val="6E25131E"/>
    <w:rsid w:val="6EA97E5C"/>
    <w:rsid w:val="6F450547"/>
    <w:rsid w:val="6FFC5967"/>
    <w:rsid w:val="700D7F77"/>
    <w:rsid w:val="704838FD"/>
    <w:rsid w:val="70675709"/>
    <w:rsid w:val="70810A07"/>
    <w:rsid w:val="709119F6"/>
    <w:rsid w:val="7099583F"/>
    <w:rsid w:val="70CF74E9"/>
    <w:rsid w:val="70F85E07"/>
    <w:rsid w:val="70FA04FB"/>
    <w:rsid w:val="710B095A"/>
    <w:rsid w:val="712832BA"/>
    <w:rsid w:val="71345865"/>
    <w:rsid w:val="714D2D21"/>
    <w:rsid w:val="71B72E3B"/>
    <w:rsid w:val="71E847F7"/>
    <w:rsid w:val="71F7318A"/>
    <w:rsid w:val="721A3870"/>
    <w:rsid w:val="722C0B88"/>
    <w:rsid w:val="723D4B43"/>
    <w:rsid w:val="724F4877"/>
    <w:rsid w:val="726447C6"/>
    <w:rsid w:val="72DB435C"/>
    <w:rsid w:val="73025D8D"/>
    <w:rsid w:val="73067955"/>
    <w:rsid w:val="736670D3"/>
    <w:rsid w:val="739641CD"/>
    <w:rsid w:val="74A013B9"/>
    <w:rsid w:val="74C74814"/>
    <w:rsid w:val="74DB0643"/>
    <w:rsid w:val="7521699E"/>
    <w:rsid w:val="75275C40"/>
    <w:rsid w:val="753923F0"/>
    <w:rsid w:val="75863F12"/>
    <w:rsid w:val="75AB1C93"/>
    <w:rsid w:val="75FB71EF"/>
    <w:rsid w:val="761B163F"/>
    <w:rsid w:val="764861AD"/>
    <w:rsid w:val="766528BB"/>
    <w:rsid w:val="76791A73"/>
    <w:rsid w:val="76810114"/>
    <w:rsid w:val="76B30503"/>
    <w:rsid w:val="76CF260B"/>
    <w:rsid w:val="76DF08BF"/>
    <w:rsid w:val="76E41762"/>
    <w:rsid w:val="77115305"/>
    <w:rsid w:val="7717316E"/>
    <w:rsid w:val="771E4452"/>
    <w:rsid w:val="773724A9"/>
    <w:rsid w:val="77514BED"/>
    <w:rsid w:val="77603777"/>
    <w:rsid w:val="77662B4B"/>
    <w:rsid w:val="777408D6"/>
    <w:rsid w:val="77901BB9"/>
    <w:rsid w:val="77A92327"/>
    <w:rsid w:val="77C7479C"/>
    <w:rsid w:val="7808174F"/>
    <w:rsid w:val="783C589D"/>
    <w:rsid w:val="785328F5"/>
    <w:rsid w:val="785C6251"/>
    <w:rsid w:val="785D5F3F"/>
    <w:rsid w:val="78632E2A"/>
    <w:rsid w:val="788778D1"/>
    <w:rsid w:val="788E3223"/>
    <w:rsid w:val="789675EF"/>
    <w:rsid w:val="78B869E4"/>
    <w:rsid w:val="78E06AB0"/>
    <w:rsid w:val="79492020"/>
    <w:rsid w:val="798E0318"/>
    <w:rsid w:val="79AF74E4"/>
    <w:rsid w:val="79C142AC"/>
    <w:rsid w:val="7A1A7F05"/>
    <w:rsid w:val="7A5543B5"/>
    <w:rsid w:val="7AD93877"/>
    <w:rsid w:val="7B2A5E81"/>
    <w:rsid w:val="7BAB5214"/>
    <w:rsid w:val="7BB35B1D"/>
    <w:rsid w:val="7BC12D50"/>
    <w:rsid w:val="7BFC0690"/>
    <w:rsid w:val="7C120F4C"/>
    <w:rsid w:val="7C25698E"/>
    <w:rsid w:val="7C3B7086"/>
    <w:rsid w:val="7C3C7968"/>
    <w:rsid w:val="7C43369E"/>
    <w:rsid w:val="7CC540BD"/>
    <w:rsid w:val="7CF340B6"/>
    <w:rsid w:val="7CF42F0C"/>
    <w:rsid w:val="7D267F44"/>
    <w:rsid w:val="7D423759"/>
    <w:rsid w:val="7D695F1A"/>
    <w:rsid w:val="7D8E0949"/>
    <w:rsid w:val="7DD956AA"/>
    <w:rsid w:val="7DF23E0D"/>
    <w:rsid w:val="7DFE3170"/>
    <w:rsid w:val="7E207DCE"/>
    <w:rsid w:val="7E2D5B39"/>
    <w:rsid w:val="7E5F4018"/>
    <w:rsid w:val="7E625D1A"/>
    <w:rsid w:val="7ED160D1"/>
    <w:rsid w:val="7EF26A8A"/>
    <w:rsid w:val="7EF716E0"/>
    <w:rsid w:val="7EFE38AC"/>
    <w:rsid w:val="7F662A19"/>
    <w:rsid w:val="7FA829A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pPr>
    <w:rPr>
      <w:sz w:val="18"/>
      <w:szCs w:val="18"/>
    </w:r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style>
  <w:style w:type="paragraph" w:styleId="9">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0">
    <w:name w:val="Body Text Indent"/>
    <w:basedOn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next w:val="1"/>
    <w:qFormat/>
    <w:uiPriority w:val="99"/>
    <w:pPr>
      <w:widowControl/>
    </w:pPr>
    <w:rPr>
      <w:rFonts w:ascii="宋体" w:hAnsi="宋体" w:eastAsia="宋体" w:cs="宋体"/>
    </w:rPr>
  </w:style>
  <w:style w:type="paragraph" w:styleId="17">
    <w:name w:val="Body Text First Indent"/>
    <w:basedOn w:val="9"/>
    <w:qFormat/>
    <w:uiPriority w:val="0"/>
    <w:pPr>
      <w:tabs>
        <w:tab w:val="left" w:pos="780"/>
      </w:tabs>
      <w:spacing w:line="360" w:lineRule="auto"/>
      <w:ind w:firstLine="200" w:firstLineChars="200"/>
    </w:pPr>
    <w:rPr>
      <w:rFonts w:ascii="仿宋_GB2312" w:eastAsia="仿宋_GB2312"/>
      <w:sz w:val="30"/>
      <w:szCs w:val="30"/>
    </w:rPr>
  </w:style>
  <w:style w:type="paragraph" w:styleId="18">
    <w:name w:val="Body Text First Indent 2"/>
    <w:basedOn w:val="10"/>
    <w:qFormat/>
    <w:uiPriority w:val="0"/>
    <w:pPr>
      <w:ind w:left="1588" w:leftChars="832" w:firstLine="433"/>
    </w:pPr>
    <w:rPr>
      <w:rFonts w:eastAsia="仿宋_GB2312"/>
      <w:spacing w:val="15"/>
      <w:kern w:val="1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99"/>
    <w:rPr>
      <w:color w:val="0000FF"/>
      <w:u w:val="single"/>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style>
  <w:style w:type="character" w:styleId="31">
    <w:name w:val="footnote reference"/>
    <w:basedOn w:val="21"/>
    <w:semiHidden/>
    <w:unhideWhenUsed/>
    <w:qFormat/>
    <w:uiPriority w:val="99"/>
    <w:rPr>
      <w:vertAlign w:val="superscript"/>
    </w:rPr>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First Indent 21"/>
    <w:basedOn w:val="37"/>
    <w:qFormat/>
    <w:uiPriority w:val="0"/>
    <w:pPr>
      <w:ind w:firstLine="420" w:firstLineChars="200"/>
    </w:pPr>
  </w:style>
  <w:style w:type="paragraph" w:customStyle="1" w:styleId="37">
    <w:name w:val="Body Text Indent1"/>
    <w:basedOn w:val="1"/>
    <w:qFormat/>
    <w:uiPriority w:val="0"/>
    <w:pPr>
      <w:spacing w:after="120"/>
      <w:ind w:left="420" w:leftChars="200"/>
    </w:pPr>
  </w:style>
  <w:style w:type="paragraph" w:customStyle="1" w:styleId="38">
    <w:name w:val="标题 5（有编号）（绿盟科技）"/>
    <w:basedOn w:val="1"/>
    <w:next w:val="39"/>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正文1"/>
    <w:basedOn w:val="1"/>
    <w:next w:val="1"/>
    <w:qFormat/>
    <w:uiPriority w:val="0"/>
    <w:pPr>
      <w:ind w:firstLine="880"/>
    </w:pPr>
    <w:rPr>
      <w:szCs w:val="20"/>
    </w:rPr>
  </w:style>
  <w:style w:type="paragraph" w:customStyle="1" w:styleId="41">
    <w:name w:val="正文格式"/>
    <w:basedOn w:val="1"/>
    <w:qFormat/>
    <w:uiPriority w:val="99"/>
    <w:pPr>
      <w:widowControl/>
      <w:adjustRightInd w:val="0"/>
      <w:snapToGrid w:val="0"/>
      <w:spacing w:line="400" w:lineRule="atLeast"/>
      <w:ind w:firstLine="482"/>
      <w:textAlignment w:val="baseline"/>
    </w:pPr>
  </w:style>
  <w:style w:type="paragraph" w:customStyle="1" w:styleId="42">
    <w:name w:val="文档正文"/>
    <w:basedOn w:val="6"/>
    <w:qFormat/>
    <w:uiPriority w:val="0"/>
    <w:pPr>
      <w:spacing w:line="360" w:lineRule="auto"/>
    </w:pPr>
    <w:rPr>
      <w:rFonts w:hAnsi="宋体"/>
      <w:b/>
      <w:bCs/>
    </w:rPr>
  </w:style>
  <w:style w:type="paragraph" w:customStyle="1" w:styleId="43">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44">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5">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7">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8">
    <w:name w:val="Table caption|1"/>
    <w:basedOn w:val="1"/>
    <w:qFormat/>
    <w:uiPriority w:val="0"/>
    <w:rPr>
      <w:rFonts w:ascii="宋体" w:hAnsi="宋体" w:eastAsia="宋体" w:cs="宋体"/>
      <w:sz w:val="22"/>
      <w:szCs w:val="22"/>
      <w:lang w:val="zh-TW" w:eastAsia="zh-TW" w:bidi="zh-TW"/>
    </w:rPr>
  </w:style>
  <w:style w:type="paragraph" w:customStyle="1" w:styleId="49">
    <w:name w:val="Table Paragraph"/>
    <w:basedOn w:val="1"/>
    <w:qFormat/>
    <w:uiPriority w:val="1"/>
    <w:pPr>
      <w:autoSpaceDE w:val="0"/>
      <w:autoSpaceDN w:val="0"/>
      <w:adjustRightInd w:val="0"/>
    </w:pPr>
    <w:rPr>
      <w:rFonts w:eastAsia="宋体"/>
    </w:rPr>
  </w:style>
  <w:style w:type="paragraph" w:customStyle="1" w:styleId="50">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51">
    <w:name w:val="图例"/>
    <w:basedOn w:val="1"/>
    <w:qFormat/>
    <w:uiPriority w:val="0"/>
    <w:pPr>
      <w:spacing w:before="120" w:after="120" w:line="360" w:lineRule="auto"/>
      <w:jc w:val="center"/>
    </w:pPr>
    <w:rPr>
      <w:rFonts w:eastAsia="仿宋_GB2312"/>
      <w:b/>
    </w:rPr>
  </w:style>
  <w:style w:type="paragraph" w:customStyle="1" w:styleId="52">
    <w:name w:val="WPS Plain"/>
    <w:qFormat/>
    <w:uiPriority w:val="0"/>
    <w:rPr>
      <w:rFonts w:ascii="Times New Roman" w:hAnsi="Times New Roman" w:eastAsia="宋体" w:cs="Times New Roman"/>
      <w:lang w:val="en-US" w:eastAsia="zh-CN" w:bidi="ar-SA"/>
    </w:rPr>
  </w:style>
  <w:style w:type="paragraph" w:customStyle="1" w:styleId="53">
    <w:name w:val="样式 左侧:  0 厘米 悬挂缩进: 2.5 字符"/>
    <w:basedOn w:val="1"/>
    <w:qFormat/>
    <w:uiPriority w:val="0"/>
    <w:pPr>
      <w:ind w:left="525" w:hanging="525" w:hangingChars="250"/>
    </w:pPr>
    <w:rPr>
      <w:szCs w:val="20"/>
    </w:rPr>
  </w:style>
  <w:style w:type="character" w:customStyle="1" w:styleId="54">
    <w:name w:val="font11"/>
    <w:basedOn w:val="21"/>
    <w:qFormat/>
    <w:uiPriority w:val="0"/>
    <w:rPr>
      <w:rFonts w:ascii="Calibri" w:hAnsi="Calibri" w:cs="Calibri"/>
      <w:color w:val="000000"/>
      <w:sz w:val="20"/>
      <w:szCs w:val="20"/>
      <w:u w:val="none"/>
    </w:rPr>
  </w:style>
  <w:style w:type="paragraph" w:customStyle="1" w:styleId="55">
    <w:name w:val="正文缩进1"/>
    <w:basedOn w:val="1"/>
    <w:qFormat/>
    <w:uiPriority w:val="0"/>
    <w:pPr>
      <w:autoSpaceDE w:val="0"/>
      <w:autoSpaceDN w:val="0"/>
      <w:ind w:firstLine="420" w:firstLineChars="200"/>
    </w:pPr>
    <w:rPr>
      <w:rFonts w:ascii="宋体" w:hAnsi="宋体" w:cs="宋体"/>
      <w:sz w:val="22"/>
      <w:szCs w:val="22"/>
      <w:lang w:val="zh-CN" w:bidi="zh-CN"/>
    </w:rPr>
  </w:style>
  <w:style w:type="paragraph" w:styleId="56">
    <w:name w:val="No Spacing"/>
    <w:qFormat/>
    <w:uiPriority w:val="1"/>
    <w:rPr>
      <w:rFonts w:ascii="Times New Roman" w:hAnsi="Times New Roman" w:eastAsia="宋体" w:cs="Times New Roman"/>
      <w:sz w:val="22"/>
      <w:szCs w:val="22"/>
      <w:lang w:val="en-US" w:eastAsia="zh-CN" w:bidi="ar-SA"/>
    </w:rPr>
  </w:style>
  <w:style w:type="character" w:customStyle="1" w:styleId="57">
    <w:name w:val="font21"/>
    <w:basedOn w:val="21"/>
    <w:qFormat/>
    <w:uiPriority w:val="0"/>
    <w:rPr>
      <w:rFonts w:hint="eastAsia" w:ascii="宋体" w:hAnsi="宋体" w:eastAsia="宋体" w:cs="宋体"/>
      <w:color w:val="000000"/>
      <w:sz w:val="21"/>
      <w:szCs w:val="21"/>
      <w:u w:val="none"/>
    </w:rPr>
  </w:style>
  <w:style w:type="character" w:customStyle="1" w:styleId="58">
    <w:name w:val="layui-layer-tabnow"/>
    <w:basedOn w:val="21"/>
    <w:qFormat/>
    <w:uiPriority w:val="0"/>
    <w:rPr>
      <w:bdr w:val="single" w:color="CCCCCC" w:sz="6" w:space="0"/>
      <w:shd w:val="clear" w:color="auto" w:fill="FFFFFF"/>
    </w:rPr>
  </w:style>
  <w:style w:type="character" w:customStyle="1" w:styleId="59">
    <w:name w:val="first-child"/>
    <w:basedOn w:val="21"/>
    <w:qFormat/>
    <w:uiPriority w:val="0"/>
  </w:style>
  <w:style w:type="character" w:customStyle="1" w:styleId="60">
    <w:name w:val="font61"/>
    <w:basedOn w:val="21"/>
    <w:qFormat/>
    <w:uiPriority w:val="0"/>
    <w:rPr>
      <w:rFonts w:hint="eastAsia" w:ascii="仿宋" w:hAnsi="仿宋" w:eastAsia="仿宋" w:cs="仿宋"/>
      <w:color w:val="000000"/>
      <w:sz w:val="16"/>
      <w:szCs w:val="16"/>
      <w:u w:val="none"/>
    </w:rPr>
  </w:style>
  <w:style w:type="paragraph" w:customStyle="1" w:styleId="6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paragraph" w:customStyle="1" w:styleId="62">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63">
    <w:name w:val="表名称"/>
    <w:basedOn w:val="6"/>
    <w:qFormat/>
    <w:uiPriority w:val="0"/>
    <w:pPr>
      <w:numPr>
        <w:ilvl w:val="0"/>
        <w:numId w:val="3"/>
      </w:numPr>
      <w:ind w:firstLine="0"/>
      <w:jc w:val="center"/>
    </w:pPr>
  </w:style>
  <w:style w:type="paragraph" w:customStyle="1" w:styleId="64">
    <w:name w:val="正文_3"/>
    <w:basedOn w:val="40"/>
    <w:qFormat/>
    <w:uiPriority w:val="0"/>
  </w:style>
  <w:style w:type="character" w:customStyle="1" w:styleId="65">
    <w:name w:val="font51"/>
    <w:basedOn w:val="21"/>
    <w:qFormat/>
    <w:uiPriority w:val="0"/>
    <w:rPr>
      <w:rFonts w:hint="eastAsia" w:ascii="黑体" w:hAnsi="宋体" w:eastAsia="黑体" w:cs="黑体"/>
      <w:color w:val="000000"/>
      <w:sz w:val="20"/>
      <w:szCs w:val="20"/>
      <w:u w:val="none"/>
    </w:rPr>
  </w:style>
  <w:style w:type="character" w:customStyle="1" w:styleId="66">
    <w:name w:val="font112"/>
    <w:basedOn w:val="21"/>
    <w:qFormat/>
    <w:uiPriority w:val="0"/>
    <w:rPr>
      <w:rFonts w:ascii="Symbol" w:hAnsi="Symbol" w:cs="Symbol"/>
      <w:color w:val="000000"/>
      <w:sz w:val="20"/>
      <w:szCs w:val="20"/>
      <w:u w:val="none"/>
    </w:rPr>
  </w:style>
  <w:style w:type="character" w:customStyle="1" w:styleId="67">
    <w:name w:val="font71"/>
    <w:basedOn w:val="21"/>
    <w:qFormat/>
    <w:uiPriority w:val="0"/>
    <w:rPr>
      <w:rFonts w:hint="eastAsia" w:ascii="黑体" w:hAnsi="宋体" w:eastAsia="黑体" w:cs="黑体"/>
      <w:color w:val="000000"/>
      <w:sz w:val="20"/>
      <w:szCs w:val="20"/>
      <w:u w:val="none"/>
    </w:rPr>
  </w:style>
  <w:style w:type="character" w:customStyle="1" w:styleId="68">
    <w:name w:val="font121"/>
    <w:basedOn w:val="21"/>
    <w:qFormat/>
    <w:uiPriority w:val="0"/>
    <w:rPr>
      <w:rFonts w:ascii="Arial" w:hAnsi="Arial" w:cs="Arial"/>
      <w:color w:val="000000"/>
      <w:sz w:val="20"/>
      <w:szCs w:val="20"/>
      <w:u w:val="none"/>
    </w:rPr>
  </w:style>
  <w:style w:type="character" w:customStyle="1" w:styleId="69">
    <w:name w:val="font131"/>
    <w:basedOn w:val="21"/>
    <w:qFormat/>
    <w:uiPriority w:val="0"/>
    <w:rPr>
      <w:rFonts w:ascii="方正仿宋_GBK" w:hAnsi="方正仿宋_GBK" w:eastAsia="方正仿宋_GBK" w:cs="方正仿宋_GBK"/>
      <w:color w:val="000000"/>
      <w:sz w:val="24"/>
      <w:szCs w:val="24"/>
      <w:u w:val="none"/>
    </w:rPr>
  </w:style>
  <w:style w:type="character" w:customStyle="1" w:styleId="70">
    <w:name w:val="font141"/>
    <w:basedOn w:val="21"/>
    <w:qFormat/>
    <w:uiPriority w:val="0"/>
    <w:rPr>
      <w:rFonts w:hint="eastAsia" w:ascii="宋体" w:hAnsi="宋体" w:eastAsia="宋体" w:cs="宋体"/>
      <w:color w:val="000000"/>
      <w:sz w:val="20"/>
      <w:szCs w:val="20"/>
      <w:u w:val="none"/>
    </w:rPr>
  </w:style>
  <w:style w:type="character" w:customStyle="1" w:styleId="71">
    <w:name w:val="font151"/>
    <w:basedOn w:val="21"/>
    <w:qFormat/>
    <w:uiPriority w:val="0"/>
    <w:rPr>
      <w:rFonts w:hint="eastAsia" w:ascii="宋体" w:hAnsi="宋体" w:eastAsia="宋体" w:cs="宋体"/>
      <w:color w:val="000000"/>
      <w:sz w:val="20"/>
      <w:szCs w:val="20"/>
      <w:u w:val="none"/>
    </w:rPr>
  </w:style>
  <w:style w:type="character" w:customStyle="1" w:styleId="72">
    <w:name w:val="font161"/>
    <w:basedOn w:val="21"/>
    <w:qFormat/>
    <w:uiPriority w:val="0"/>
    <w:rPr>
      <w:rFonts w:hint="default" w:ascii="Times New Roman" w:hAnsi="Times New Roman" w:cs="Times New Roman"/>
      <w:color w:val="000000"/>
      <w:sz w:val="20"/>
      <w:szCs w:val="20"/>
      <w:u w:val="none"/>
    </w:rPr>
  </w:style>
  <w:style w:type="character" w:customStyle="1" w:styleId="73">
    <w:name w:val="font31"/>
    <w:basedOn w:val="21"/>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28675</Words>
  <Characters>31014</Characters>
  <Lines>535</Lines>
  <Paragraphs>150</Paragraphs>
  <TotalTime>16</TotalTime>
  <ScaleCrop>false</ScaleCrop>
  <LinksUpToDate>false</LinksUpToDate>
  <CharactersWithSpaces>32401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呼呼</cp:lastModifiedBy>
  <cp:lastPrinted>2025-03-06T08:16:00Z</cp:lastPrinted>
  <dcterms:modified xsi:type="dcterms:W3CDTF">2025-03-10T08:04:40Z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9114E64A98684DA6BF5B23E0316ADD83_13</vt:lpwstr>
  </property>
  <property fmtid="{D5CDD505-2E9C-101B-9397-08002B2CF9AE}" pid="4" name="KSOTemplateDocerSaveRecord">
    <vt:lpwstr>eyJoZGlkIjoiYjExMjIwYWZjN2RiOWM1NTY0OGI5MjgzOTY3MmNmZTYiLCJ1c2VySWQiOiI2NTcwMDEwNzYifQ==</vt:lpwstr>
  </property>
</Properties>
</file>