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E47C23">
      <w:pPr>
        <w:ind w:right="-874" w:rightChars="-416" w:firstLine="3520" w:firstLineChars="1100"/>
        <w:rPr>
          <w:rFonts w:hint="eastAsia"/>
          <w:color w:val="auto"/>
          <w:sz w:val="32"/>
          <w:szCs w:val="32"/>
        </w:rPr>
      </w:pPr>
      <w:r>
        <w:rPr>
          <w:rFonts w:hint="eastAsia"/>
          <w:color w:val="auto"/>
          <w:sz w:val="32"/>
          <w:szCs w:val="32"/>
        </w:rPr>
        <w:t>工程量清单编制说明</w:t>
      </w:r>
    </w:p>
    <w:p w14:paraId="03124128">
      <w:pPr>
        <w:rPr>
          <w:rFonts w:hint="eastAsia" w:ascii="宋体" w:hAnsi="宋体" w:eastAsia="宋体" w:cs="Times New Roman"/>
          <w:color w:val="auto"/>
          <w:szCs w:val="21"/>
          <w:lang w:eastAsia="zh-CN"/>
        </w:rPr>
      </w:pPr>
      <w:r>
        <w:rPr>
          <w:rFonts w:hint="eastAsia"/>
          <w:color w:val="auto"/>
          <w:szCs w:val="21"/>
        </w:rPr>
        <w:t>工程名称：</w:t>
      </w:r>
      <w:r>
        <w:rPr>
          <w:rFonts w:hint="eastAsia" w:ascii="宋体" w:hAnsi="宋体"/>
          <w:color w:val="auto"/>
          <w:szCs w:val="21"/>
          <w:lang w:eastAsia="zh-CN"/>
        </w:rPr>
        <w:t>乌鲁木齐八一中学绿化提升改造第二期项目</w:t>
      </w:r>
      <w:r>
        <w:rPr>
          <w:rFonts w:hint="eastAsia" w:ascii="宋体" w:hAnsi="宋体"/>
          <w:color w:val="auto"/>
          <w:szCs w:val="21"/>
          <w:lang w:val="en-US" w:eastAsia="zh-CN"/>
        </w:rPr>
        <w:t xml:space="preserve">                            </w:t>
      </w:r>
      <w:r>
        <w:rPr>
          <w:rFonts w:hint="eastAsia" w:ascii="宋体" w:hAnsi="宋体" w:eastAsia="宋体" w:cs="Times New Roman"/>
          <w:color w:val="auto"/>
          <w:szCs w:val="21"/>
          <w:lang w:eastAsia="zh-CN"/>
        </w:rPr>
        <w:t>第1页 共</w:t>
      </w:r>
      <w:r>
        <w:rPr>
          <w:rFonts w:hint="eastAsia" w:ascii="宋体" w:hAnsi="宋体" w:eastAsia="宋体" w:cs="Times New Roman"/>
          <w:color w:val="auto"/>
          <w:szCs w:val="21"/>
          <w:lang w:val="en-US" w:eastAsia="zh-CN"/>
        </w:rPr>
        <w:t>2</w:t>
      </w:r>
      <w:r>
        <w:rPr>
          <w:rFonts w:hint="eastAsia" w:ascii="宋体" w:hAnsi="宋体" w:eastAsia="宋体" w:cs="Times New Roman"/>
          <w:color w:val="auto"/>
          <w:szCs w:val="21"/>
          <w:lang w:eastAsia="zh-CN"/>
        </w:rPr>
        <w:t>页</w:t>
      </w:r>
    </w:p>
    <w:tbl>
      <w:tblPr>
        <w:tblStyle w:val="3"/>
        <w:tblW w:w="96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80"/>
      </w:tblGrid>
      <w:tr w14:paraId="2D05C0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56" w:hRule="atLeast"/>
        </w:trPr>
        <w:tc>
          <w:tcPr>
            <w:tcW w:w="9680" w:type="dxa"/>
          </w:tcPr>
          <w:p w14:paraId="7257DA45">
            <w:pPr>
              <w:spacing w:line="360" w:lineRule="auto"/>
              <w:ind w:firstLine="435" w:firstLineChars="0"/>
              <w:rPr>
                <w:rFonts w:hint="eastAsia" w:ascii="宋体" w:hAnsi="宋体"/>
                <w:color w:val="auto"/>
                <w:szCs w:val="21"/>
              </w:rPr>
            </w:pPr>
            <w:r>
              <w:rPr>
                <w:rFonts w:hint="eastAsia" w:ascii="宋体" w:hAnsi="宋体"/>
                <w:color w:val="auto"/>
                <w:szCs w:val="21"/>
              </w:rPr>
              <w:t>一、工程概况</w:t>
            </w:r>
          </w:p>
          <w:p w14:paraId="5E580B9D">
            <w:pPr>
              <w:spacing w:line="360" w:lineRule="auto"/>
              <w:ind w:firstLine="420" w:firstLineChars="200"/>
              <w:rPr>
                <w:rFonts w:hint="eastAsia" w:ascii="宋体" w:hAnsi="宋体"/>
                <w:color w:val="auto"/>
                <w:szCs w:val="21"/>
                <w:highlight w:val="none"/>
                <w:lang w:val="en-US" w:eastAsia="zh-CN"/>
              </w:rPr>
            </w:pPr>
            <w:r>
              <w:rPr>
                <w:rFonts w:hint="eastAsia" w:ascii="宋体" w:hAnsi="宋体"/>
                <w:color w:val="auto"/>
                <w:szCs w:val="21"/>
                <w:highlight w:val="none"/>
              </w:rPr>
              <w:t>本项目为</w:t>
            </w:r>
            <w:r>
              <w:rPr>
                <w:rFonts w:hint="eastAsia" w:ascii="宋体" w:hAnsi="宋体"/>
                <w:color w:val="auto"/>
                <w:szCs w:val="21"/>
                <w:highlight w:val="none"/>
                <w:lang w:eastAsia="zh-CN"/>
              </w:rPr>
              <w:t>乌鲁木齐八一中学五星路校区文德路和文翰路两侧绿化提升改造</w:t>
            </w:r>
            <w:r>
              <w:rPr>
                <w:rFonts w:hint="eastAsia" w:ascii="宋体" w:hAnsi="宋体"/>
                <w:color w:val="auto"/>
                <w:szCs w:val="21"/>
                <w:highlight w:val="none"/>
              </w:rPr>
              <w:t>，建设地点为乌鲁木齐市。</w:t>
            </w:r>
          </w:p>
          <w:p w14:paraId="33381AD7">
            <w:pPr>
              <w:spacing w:line="360" w:lineRule="auto"/>
              <w:ind w:firstLine="420" w:firstLineChars="200"/>
              <w:rPr>
                <w:rFonts w:hint="default" w:ascii="宋体" w:hAnsi="宋体"/>
                <w:color w:val="auto"/>
                <w:szCs w:val="21"/>
                <w:lang w:val="en-US"/>
              </w:rPr>
            </w:pPr>
            <w:r>
              <w:rPr>
                <w:rFonts w:hint="eastAsia" w:ascii="宋体" w:hAnsi="宋体"/>
                <w:color w:val="auto"/>
                <w:szCs w:val="21"/>
                <w:highlight w:val="none"/>
                <w:lang w:val="en-US" w:eastAsia="zh-CN"/>
              </w:rPr>
              <w:t>本次</w:t>
            </w:r>
            <w:r>
              <w:rPr>
                <w:rFonts w:hint="eastAsia"/>
                <w:lang w:val="en-US" w:eastAsia="zh-CN"/>
              </w:rPr>
              <w:t>改</w:t>
            </w:r>
            <w:r>
              <w:rPr>
                <w:rFonts w:hint="eastAsia"/>
                <w:u w:val="none"/>
                <w:lang w:val="en-US" w:eastAsia="zh-CN"/>
              </w:rPr>
              <w:t>造主要内容:苗木及园林绿化种植等。</w:t>
            </w:r>
          </w:p>
          <w:p w14:paraId="3E749F0B">
            <w:pPr>
              <w:spacing w:line="360" w:lineRule="auto"/>
              <w:ind w:firstLine="435" w:firstLineChars="0"/>
              <w:rPr>
                <w:rFonts w:hint="eastAsia" w:ascii="宋体" w:hAnsi="宋体"/>
                <w:color w:val="auto"/>
                <w:szCs w:val="21"/>
              </w:rPr>
            </w:pPr>
            <w:r>
              <w:rPr>
                <w:rFonts w:hint="eastAsia" w:ascii="宋体" w:hAnsi="宋体"/>
                <w:color w:val="auto"/>
                <w:szCs w:val="21"/>
              </w:rPr>
              <w:t>二、工程招标范围</w:t>
            </w:r>
          </w:p>
          <w:p w14:paraId="5441AF5A">
            <w:pPr>
              <w:spacing w:line="360" w:lineRule="auto"/>
              <w:ind w:firstLine="435" w:firstLineChars="0"/>
              <w:rPr>
                <w:rFonts w:hint="eastAsia" w:ascii="宋体" w:hAnsi="宋体"/>
                <w:color w:val="auto"/>
                <w:szCs w:val="21"/>
                <w:lang w:val="en-US" w:eastAsia="zh-CN"/>
              </w:rPr>
            </w:pPr>
            <w:r>
              <w:rPr>
                <w:rFonts w:hint="eastAsia" w:ascii="宋体" w:hAnsi="宋体"/>
                <w:color w:val="auto"/>
                <w:szCs w:val="21"/>
              </w:rPr>
              <w:t>1、施工图纸范围内的全部内容</w:t>
            </w:r>
            <w:r>
              <w:rPr>
                <w:rFonts w:hint="eastAsia" w:ascii="宋体" w:hAnsi="宋体"/>
                <w:color w:val="auto"/>
                <w:szCs w:val="21"/>
                <w:lang w:eastAsia="zh-CN"/>
              </w:rPr>
              <w:t>；</w:t>
            </w:r>
          </w:p>
          <w:p w14:paraId="285EE0B7">
            <w:pPr>
              <w:spacing w:line="360" w:lineRule="auto"/>
              <w:ind w:firstLine="435" w:firstLineChars="0"/>
              <w:rPr>
                <w:rFonts w:hint="eastAsia" w:ascii="宋体" w:hAnsi="宋体"/>
                <w:color w:val="auto"/>
                <w:szCs w:val="21"/>
              </w:rPr>
            </w:pPr>
            <w:r>
              <w:rPr>
                <w:rFonts w:hint="eastAsia" w:ascii="宋体" w:hAnsi="宋体"/>
                <w:color w:val="auto"/>
                <w:szCs w:val="21"/>
              </w:rPr>
              <w:t>2、具体详见工程量清单；</w:t>
            </w:r>
          </w:p>
          <w:p w14:paraId="46E38F88">
            <w:pPr>
              <w:spacing w:line="360" w:lineRule="auto"/>
              <w:ind w:firstLine="435" w:firstLineChars="0"/>
              <w:rPr>
                <w:rFonts w:hint="eastAsia" w:ascii="宋体" w:hAnsi="宋体"/>
                <w:color w:val="auto"/>
                <w:szCs w:val="21"/>
              </w:rPr>
            </w:pPr>
            <w:r>
              <w:rPr>
                <w:rFonts w:hint="eastAsia" w:ascii="宋体" w:hAnsi="宋体"/>
                <w:color w:val="auto"/>
                <w:szCs w:val="21"/>
              </w:rPr>
              <w:t>3、设计图纸及设计变更。</w:t>
            </w:r>
          </w:p>
          <w:p w14:paraId="3A805F64">
            <w:pPr>
              <w:spacing w:line="360" w:lineRule="auto"/>
              <w:ind w:firstLine="435" w:firstLineChars="0"/>
              <w:rPr>
                <w:rFonts w:hint="eastAsia" w:ascii="宋体" w:hAnsi="宋体"/>
                <w:color w:val="auto"/>
                <w:szCs w:val="21"/>
              </w:rPr>
            </w:pPr>
            <w:r>
              <w:rPr>
                <w:rFonts w:hint="eastAsia" w:ascii="宋体" w:hAnsi="宋体"/>
                <w:color w:val="auto"/>
                <w:szCs w:val="21"/>
              </w:rPr>
              <w:t>三、工程量清单编制依据</w:t>
            </w:r>
          </w:p>
          <w:p w14:paraId="12CDC1DE">
            <w:pPr>
              <w:spacing w:line="360" w:lineRule="auto"/>
              <w:ind w:firstLine="435"/>
              <w:rPr>
                <w:rFonts w:hint="eastAsia" w:ascii="宋体" w:hAnsi="宋体"/>
                <w:color w:val="auto"/>
                <w:szCs w:val="21"/>
              </w:rPr>
            </w:pPr>
            <w:r>
              <w:rPr>
                <w:rFonts w:hint="eastAsia" w:ascii="宋体" w:hAnsi="宋体"/>
                <w:color w:val="auto"/>
                <w:szCs w:val="21"/>
              </w:rPr>
              <w:t>1、《建设工程工程量清单计价规范》GB 50500-2013、《房屋建筑与装饰工程工程量计算规范》GB 50584-2013、《通用安装工程工程量计算规范》GB 50856-2013</w:t>
            </w:r>
            <w:r>
              <w:rPr>
                <w:rFonts w:hint="eastAsia" w:ascii="宋体" w:hAnsi="宋体"/>
                <w:color w:val="auto"/>
                <w:szCs w:val="21"/>
                <w:lang w:eastAsia="zh-CN"/>
              </w:rPr>
              <w:t>、《市政工程工程量计算规范》GB50857-2013</w:t>
            </w:r>
            <w:r>
              <w:rPr>
                <w:rFonts w:hint="eastAsia" w:ascii="宋体" w:hAnsi="宋体"/>
                <w:color w:val="auto"/>
                <w:szCs w:val="21"/>
              </w:rPr>
              <w:t>。新建标[2014]9号文件：关于印发自治区贯彻实施2013版《房屋建筑与装饰工程工程量计价规范》补充规定的通知。</w:t>
            </w:r>
          </w:p>
          <w:p w14:paraId="4E909B37">
            <w:pPr>
              <w:spacing w:line="360" w:lineRule="auto"/>
              <w:ind w:firstLine="435"/>
              <w:rPr>
                <w:rFonts w:hint="eastAsia" w:ascii="宋体" w:hAnsi="宋体"/>
                <w:color w:val="auto"/>
                <w:szCs w:val="21"/>
              </w:rPr>
            </w:pPr>
            <w:r>
              <w:rPr>
                <w:rFonts w:hint="eastAsia" w:ascii="宋体" w:hAnsi="宋体"/>
                <w:color w:val="auto"/>
                <w:szCs w:val="21"/>
                <w:lang w:val="en-US" w:eastAsia="zh-CN"/>
              </w:rPr>
              <w:t>2</w:t>
            </w:r>
            <w:r>
              <w:rPr>
                <w:rFonts w:hint="eastAsia" w:ascii="宋体" w:hAnsi="宋体"/>
                <w:color w:val="auto"/>
                <w:szCs w:val="21"/>
              </w:rPr>
              <w:t>、本工程的施工图图纸及设计说明。</w:t>
            </w:r>
          </w:p>
          <w:p w14:paraId="218635AC">
            <w:pPr>
              <w:spacing w:line="360" w:lineRule="auto"/>
              <w:ind w:firstLine="435"/>
              <w:rPr>
                <w:rFonts w:hint="eastAsia" w:ascii="宋体" w:hAnsi="宋体"/>
                <w:color w:val="auto"/>
                <w:szCs w:val="21"/>
              </w:rPr>
            </w:pPr>
            <w:r>
              <w:rPr>
                <w:rFonts w:hint="eastAsia" w:ascii="宋体" w:hAnsi="宋体"/>
                <w:color w:val="auto"/>
                <w:szCs w:val="21"/>
                <w:lang w:val="en-US" w:eastAsia="zh-CN"/>
              </w:rPr>
              <w:t>3</w:t>
            </w:r>
            <w:r>
              <w:rPr>
                <w:rFonts w:hint="eastAsia" w:ascii="宋体" w:hAnsi="宋体"/>
                <w:color w:val="auto"/>
                <w:szCs w:val="21"/>
              </w:rPr>
              <w:t>、国家和自治区现行的相关规范、标准图集和技术资料。</w:t>
            </w:r>
          </w:p>
          <w:p w14:paraId="57C6970F">
            <w:pPr>
              <w:spacing w:line="360" w:lineRule="auto"/>
              <w:ind w:firstLine="435"/>
              <w:rPr>
                <w:rFonts w:hint="eastAsia" w:ascii="宋体" w:hAnsi="宋体"/>
                <w:color w:val="auto"/>
                <w:szCs w:val="21"/>
              </w:rPr>
            </w:pPr>
            <w:r>
              <w:rPr>
                <w:rFonts w:hint="eastAsia" w:ascii="宋体" w:hAnsi="宋体"/>
                <w:color w:val="auto"/>
                <w:szCs w:val="21"/>
                <w:lang w:val="en-US" w:eastAsia="zh-CN"/>
              </w:rPr>
              <w:t>4</w:t>
            </w:r>
            <w:r>
              <w:rPr>
                <w:rFonts w:hint="eastAsia" w:ascii="宋体" w:hAnsi="宋体"/>
                <w:color w:val="auto"/>
                <w:szCs w:val="21"/>
              </w:rPr>
              <w:t>、本工程招标文件和补充通知、答疑纪要。</w:t>
            </w:r>
          </w:p>
          <w:p w14:paraId="34D350DE">
            <w:pPr>
              <w:spacing w:line="360" w:lineRule="auto"/>
              <w:ind w:firstLine="435"/>
              <w:rPr>
                <w:rFonts w:hint="eastAsia" w:ascii="宋体" w:hAnsi="宋体"/>
                <w:color w:val="auto"/>
                <w:szCs w:val="21"/>
                <w:lang w:val="en-US" w:eastAsia="zh-CN"/>
              </w:rPr>
            </w:pPr>
            <w:r>
              <w:rPr>
                <w:rFonts w:hint="eastAsia" w:ascii="宋体" w:hAnsi="宋体"/>
                <w:color w:val="auto"/>
                <w:szCs w:val="21"/>
                <w:lang w:val="en-US" w:eastAsia="zh-CN"/>
              </w:rPr>
              <w:t>5</w:t>
            </w:r>
            <w:r>
              <w:rPr>
                <w:rFonts w:hint="eastAsia" w:ascii="宋体" w:hAnsi="宋体"/>
                <w:color w:val="auto"/>
                <w:szCs w:val="21"/>
              </w:rPr>
              <w:t>、其他有关文件、资料。</w:t>
            </w:r>
          </w:p>
          <w:p w14:paraId="78703D4D">
            <w:pPr>
              <w:spacing w:line="360" w:lineRule="auto"/>
              <w:ind w:firstLine="435"/>
              <w:rPr>
                <w:rFonts w:hint="eastAsia" w:ascii="宋体" w:hAnsi="宋体" w:eastAsia="宋体"/>
                <w:color w:val="auto"/>
                <w:szCs w:val="21"/>
                <w:lang w:val="en-US" w:eastAsia="zh-CN"/>
              </w:rPr>
            </w:pPr>
            <w:r>
              <w:rPr>
                <w:rFonts w:hint="eastAsia" w:ascii="宋体" w:hAnsi="宋体"/>
                <w:color w:val="auto"/>
                <w:szCs w:val="21"/>
                <w:lang w:val="en-US" w:eastAsia="zh-CN"/>
              </w:rPr>
              <w:t>四、</w:t>
            </w:r>
            <w:r>
              <w:rPr>
                <w:rFonts w:hint="eastAsia" w:ascii="宋体" w:hAnsi="宋体"/>
                <w:color w:val="auto"/>
                <w:szCs w:val="21"/>
              </w:rPr>
              <w:t>其他需要说明的问题</w:t>
            </w:r>
          </w:p>
          <w:p w14:paraId="43DE0C25">
            <w:pPr>
              <w:spacing w:line="360" w:lineRule="auto"/>
              <w:ind w:firstLine="435"/>
              <w:rPr>
                <w:rFonts w:hint="eastAsia" w:ascii="宋体" w:hAnsi="宋体" w:eastAsia="宋体" w:cs="Times New Roman"/>
                <w:color w:val="auto"/>
                <w:szCs w:val="21"/>
              </w:rPr>
            </w:pPr>
            <w:r>
              <w:rPr>
                <w:rFonts w:hint="eastAsia" w:ascii="宋体" w:hAnsi="宋体" w:eastAsia="宋体" w:cs="Times New Roman"/>
                <w:color w:val="auto"/>
                <w:szCs w:val="21"/>
              </w:rPr>
              <w:t>1、施工现场情况：以现场踏勘情况为准。</w:t>
            </w:r>
          </w:p>
          <w:p w14:paraId="2D3A9A33">
            <w:pPr>
              <w:spacing w:line="360" w:lineRule="auto"/>
              <w:ind w:firstLine="435"/>
              <w:rPr>
                <w:rFonts w:hint="eastAsia" w:ascii="宋体" w:hAnsi="宋体" w:eastAsia="宋体" w:cs="Times New Roman"/>
                <w:color w:val="auto"/>
                <w:szCs w:val="21"/>
              </w:rPr>
            </w:pPr>
            <w:r>
              <w:rPr>
                <w:rFonts w:hint="eastAsia" w:ascii="宋体" w:hAnsi="宋体" w:eastAsia="宋体" w:cs="Times New Roman"/>
                <w:color w:val="auto"/>
                <w:szCs w:val="21"/>
              </w:rPr>
              <w:t>2、交通运输情况：以现场踏勘情况为准。</w:t>
            </w:r>
          </w:p>
          <w:p w14:paraId="57F34282">
            <w:pPr>
              <w:spacing w:line="360" w:lineRule="auto"/>
              <w:ind w:firstLine="435"/>
              <w:rPr>
                <w:rFonts w:hint="eastAsia" w:ascii="宋体" w:hAnsi="宋体" w:eastAsia="宋体" w:cs="Times New Roman"/>
                <w:color w:val="auto"/>
                <w:szCs w:val="21"/>
                <w:lang w:eastAsia="zh-CN"/>
              </w:rPr>
            </w:pPr>
            <w:r>
              <w:rPr>
                <w:rFonts w:hint="eastAsia" w:ascii="宋体" w:hAnsi="宋体" w:eastAsia="宋体" w:cs="Times New Roman"/>
                <w:color w:val="auto"/>
                <w:szCs w:val="21"/>
                <w:lang w:val="en-US" w:eastAsia="zh-CN"/>
              </w:rPr>
              <w:t>3、</w:t>
            </w:r>
            <w:r>
              <w:rPr>
                <w:rFonts w:hint="eastAsia" w:ascii="宋体" w:hAnsi="宋体" w:eastAsia="宋体" w:cs="Times New Roman"/>
                <w:color w:val="auto"/>
                <w:szCs w:val="21"/>
              </w:rPr>
              <w:t>自然地理条件：</w:t>
            </w:r>
            <w:r>
              <w:rPr>
                <w:rFonts w:hint="eastAsia" w:ascii="宋体" w:hAnsi="宋体" w:eastAsia="宋体" w:cs="Times New Roman"/>
                <w:color w:val="auto"/>
                <w:szCs w:val="21"/>
                <w:lang w:val="en-US" w:eastAsia="zh-CN"/>
              </w:rPr>
              <w:t>乌鲁木齐市</w:t>
            </w:r>
            <w:r>
              <w:rPr>
                <w:rFonts w:hint="eastAsia" w:ascii="宋体" w:hAnsi="宋体" w:eastAsia="宋体" w:cs="Times New Roman"/>
                <w:color w:val="auto"/>
                <w:szCs w:val="21"/>
                <w:lang w:eastAsia="zh-CN"/>
              </w:rPr>
              <w:t>。</w:t>
            </w:r>
          </w:p>
          <w:p w14:paraId="414CFD49">
            <w:pPr>
              <w:spacing w:line="360" w:lineRule="auto"/>
              <w:ind w:firstLine="435"/>
              <w:rPr>
                <w:rFonts w:hint="eastAsia" w:ascii="宋体" w:hAnsi="宋体" w:eastAsia="宋体" w:cs="Times New Roman"/>
                <w:color w:val="auto"/>
                <w:szCs w:val="21"/>
              </w:rPr>
            </w:pPr>
            <w:r>
              <w:rPr>
                <w:rFonts w:hint="eastAsia" w:ascii="宋体" w:hAnsi="宋体" w:eastAsia="宋体" w:cs="Times New Roman"/>
                <w:color w:val="auto"/>
                <w:szCs w:val="21"/>
                <w:lang w:val="en-US" w:eastAsia="zh-CN"/>
              </w:rPr>
              <w:t>4</w:t>
            </w:r>
            <w:r>
              <w:rPr>
                <w:rFonts w:hint="eastAsia" w:ascii="宋体" w:hAnsi="宋体" w:eastAsia="宋体" w:cs="Times New Roman"/>
                <w:color w:val="auto"/>
                <w:szCs w:val="21"/>
              </w:rPr>
              <w:t>、环境保护要求：满足乌鲁木齐市政府对环境保护的相关要求和规定</w:t>
            </w:r>
          </w:p>
          <w:p w14:paraId="65DDEF0B">
            <w:pPr>
              <w:spacing w:line="360" w:lineRule="auto"/>
              <w:ind w:firstLine="435"/>
              <w:rPr>
                <w:rFonts w:hint="eastAsia" w:ascii="宋体" w:hAnsi="宋体"/>
                <w:color w:val="auto"/>
                <w:szCs w:val="21"/>
              </w:rPr>
            </w:pPr>
            <w:r>
              <w:rPr>
                <w:rFonts w:hint="eastAsia" w:ascii="宋体" w:hAnsi="宋体"/>
                <w:color w:val="auto"/>
                <w:szCs w:val="21"/>
                <w:lang w:val="en-US" w:eastAsia="zh-CN"/>
              </w:rPr>
              <w:t>5</w:t>
            </w:r>
            <w:r>
              <w:rPr>
                <w:rFonts w:hint="eastAsia" w:ascii="宋体" w:hAnsi="宋体"/>
                <w:color w:val="auto"/>
                <w:szCs w:val="21"/>
              </w:rPr>
              <w:t>、本工程工程量清单按《建设工程工程量清单计价规范》、《房屋建筑与装饰工程工程量计算规范》、</w:t>
            </w:r>
          </w:p>
          <w:p w14:paraId="0E3DC254">
            <w:pPr>
              <w:spacing w:line="360" w:lineRule="auto"/>
              <w:rPr>
                <w:rFonts w:hint="eastAsia" w:ascii="宋体" w:hAnsi="宋体"/>
                <w:color w:val="auto"/>
                <w:szCs w:val="21"/>
              </w:rPr>
            </w:pPr>
            <w:r>
              <w:rPr>
                <w:rFonts w:hint="eastAsia" w:ascii="宋体" w:hAnsi="宋体"/>
                <w:color w:val="auto"/>
                <w:szCs w:val="21"/>
              </w:rPr>
              <w:t>《市政工程工程量计算规范》的规范及要求，使用表格及格式按《建设工程工程量清单计价规范》要求执行，有更正的以勘误和解释为准。</w:t>
            </w:r>
          </w:p>
          <w:p w14:paraId="057469CA">
            <w:pPr>
              <w:numPr>
                <w:ilvl w:val="0"/>
                <w:numId w:val="1"/>
              </w:numPr>
              <w:spacing w:line="360" w:lineRule="auto"/>
              <w:ind w:firstLine="435"/>
              <w:rPr>
                <w:rFonts w:hint="eastAsia" w:ascii="宋体" w:hAnsi="宋体"/>
                <w:color w:val="auto"/>
                <w:szCs w:val="21"/>
              </w:rPr>
            </w:pPr>
            <w:r>
              <w:rPr>
                <w:rFonts w:hint="eastAsia" w:ascii="宋体" w:hAnsi="宋体"/>
                <w:color w:val="auto"/>
                <w:szCs w:val="21"/>
              </w:rPr>
              <w:t>《承包人提供材料和工程设备一览表》中的材料价格应与综合单价及《综合单价分析表》中的材料价格一致。</w:t>
            </w:r>
          </w:p>
          <w:p w14:paraId="3D1908ED">
            <w:pPr>
              <w:spacing w:line="360" w:lineRule="auto"/>
              <w:ind w:firstLine="435" w:firstLineChars="0"/>
              <w:rPr>
                <w:rFonts w:hint="eastAsia" w:ascii="宋体" w:hAnsi="宋体" w:eastAsia="宋体" w:cs="Times New Roman"/>
                <w:color w:val="auto"/>
                <w:szCs w:val="21"/>
                <w:vertAlign w:val="baseline"/>
                <w:lang w:eastAsia="zh-CN"/>
              </w:rPr>
            </w:pPr>
            <w:r>
              <w:rPr>
                <w:rFonts w:hint="eastAsia" w:ascii="宋体" w:hAnsi="宋体"/>
                <w:color w:val="auto"/>
                <w:szCs w:val="21"/>
              </w:rPr>
              <w:t>7、本工程量清单中的分部分项工程量及单价措施项目工程量均是根据本工程施工图和“工程量计算规范”的规定计算的，</w:t>
            </w:r>
            <w:r>
              <w:rPr>
                <w:rFonts w:hint="eastAsia"/>
                <w:color w:val="auto"/>
                <w:szCs w:val="21"/>
              </w:rPr>
              <w:t>仅作为投标</w:t>
            </w:r>
            <w:r>
              <w:rPr>
                <w:rFonts w:hint="eastAsia" w:ascii="宋体" w:hAnsi="宋体"/>
                <w:color w:val="auto"/>
                <w:szCs w:val="21"/>
              </w:rPr>
              <w:t>人</w:t>
            </w:r>
            <w:r>
              <w:rPr>
                <w:rFonts w:hint="eastAsia"/>
                <w:color w:val="auto"/>
                <w:szCs w:val="21"/>
              </w:rPr>
              <w:t>投标报价的共同基础，不能作为最终结算与支付价款的依据，</w:t>
            </w:r>
            <w:r>
              <w:rPr>
                <w:rFonts w:hint="eastAsia" w:ascii="宋体" w:hAnsi="宋体"/>
                <w:color w:val="auto"/>
                <w:szCs w:val="21"/>
              </w:rPr>
              <w:t>工程量的变化和调整以业主与承包商签字的合同约定为准，或按《建设工程工程量清单计价规范》的有关</w:t>
            </w:r>
          </w:p>
        </w:tc>
      </w:tr>
    </w:tbl>
    <w:p w14:paraId="62BEE184">
      <w:pPr>
        <w:jc w:val="center"/>
        <w:rPr>
          <w:rFonts w:hint="eastAsia"/>
          <w:color w:val="auto"/>
          <w:szCs w:val="21"/>
        </w:rPr>
      </w:pPr>
      <w:r>
        <w:rPr>
          <w:rFonts w:hint="eastAsia"/>
          <w:color w:val="auto"/>
          <w:sz w:val="32"/>
          <w:szCs w:val="32"/>
        </w:rPr>
        <w:t>工程量清单编制说明</w:t>
      </w:r>
    </w:p>
    <w:p w14:paraId="2AE0639F">
      <w:pPr>
        <w:rPr>
          <w:rFonts w:hint="eastAsia" w:ascii="宋体" w:hAnsi="宋体" w:eastAsia="宋体" w:cs="Times New Roman"/>
          <w:color w:val="auto"/>
          <w:szCs w:val="21"/>
          <w:lang w:eastAsia="zh-CN"/>
        </w:rPr>
      </w:pPr>
      <w:r>
        <w:rPr>
          <w:rFonts w:hint="eastAsia"/>
          <w:color w:val="auto"/>
          <w:szCs w:val="21"/>
        </w:rPr>
        <w:t>工程名称：</w:t>
      </w:r>
      <w:r>
        <w:rPr>
          <w:rFonts w:hint="eastAsia" w:ascii="宋体" w:hAnsi="宋体"/>
          <w:color w:val="auto"/>
          <w:szCs w:val="21"/>
          <w:lang w:eastAsia="zh-CN"/>
        </w:rPr>
        <w:t>乌鲁木齐八一中学绿化提升改造第二期项目</w:t>
      </w:r>
      <w:r>
        <w:rPr>
          <w:rFonts w:hint="eastAsia" w:ascii="宋体" w:hAnsi="宋体"/>
          <w:color w:val="auto"/>
          <w:szCs w:val="21"/>
          <w:lang w:val="en-US" w:eastAsia="zh-CN"/>
        </w:rPr>
        <w:t xml:space="preserve">                             </w:t>
      </w:r>
      <w:r>
        <w:rPr>
          <w:rFonts w:hint="eastAsia" w:ascii="宋体" w:hAnsi="宋体" w:eastAsia="宋体" w:cs="Times New Roman"/>
          <w:color w:val="auto"/>
          <w:szCs w:val="21"/>
          <w:lang w:eastAsia="zh-CN"/>
        </w:rPr>
        <w:t>第</w:t>
      </w:r>
      <w:r>
        <w:rPr>
          <w:rFonts w:hint="eastAsia" w:ascii="宋体" w:hAnsi="宋体" w:cs="Times New Roman"/>
          <w:color w:val="auto"/>
          <w:szCs w:val="21"/>
          <w:lang w:val="en-US" w:eastAsia="zh-CN"/>
        </w:rPr>
        <w:t>2</w:t>
      </w:r>
      <w:r>
        <w:rPr>
          <w:rFonts w:hint="eastAsia" w:ascii="宋体" w:hAnsi="宋体" w:eastAsia="宋体" w:cs="Times New Roman"/>
          <w:color w:val="auto"/>
          <w:szCs w:val="21"/>
          <w:lang w:eastAsia="zh-CN"/>
        </w:rPr>
        <w:t>页 共</w:t>
      </w:r>
      <w:r>
        <w:rPr>
          <w:rFonts w:hint="eastAsia" w:ascii="宋体" w:hAnsi="宋体" w:eastAsia="宋体" w:cs="Times New Roman"/>
          <w:color w:val="auto"/>
          <w:szCs w:val="21"/>
          <w:lang w:val="en-US" w:eastAsia="zh-CN"/>
        </w:rPr>
        <w:t>2</w:t>
      </w:r>
      <w:r>
        <w:rPr>
          <w:rFonts w:hint="eastAsia" w:ascii="宋体" w:hAnsi="宋体" w:eastAsia="宋体" w:cs="Times New Roman"/>
          <w:color w:val="auto"/>
          <w:szCs w:val="21"/>
          <w:lang w:eastAsia="zh-CN"/>
        </w:rPr>
        <w:t>页</w:t>
      </w: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0"/>
      </w:tblGrid>
      <w:tr w14:paraId="2ED7DB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01" w:hRule="atLeast"/>
        </w:trPr>
        <w:tc>
          <w:tcPr>
            <w:tcW w:w="9620" w:type="dxa"/>
          </w:tcPr>
          <w:p w14:paraId="79040DDD">
            <w:pPr>
              <w:spacing w:line="360" w:lineRule="auto"/>
              <w:rPr>
                <w:rFonts w:hint="eastAsia" w:ascii="宋体" w:hAnsi="宋体"/>
                <w:color w:val="auto"/>
                <w:szCs w:val="21"/>
              </w:rPr>
            </w:pPr>
            <w:bookmarkStart w:id="0" w:name="_GoBack"/>
            <w:bookmarkEnd w:id="0"/>
            <w:r>
              <w:rPr>
                <w:rFonts w:hint="eastAsia" w:ascii="宋体" w:hAnsi="宋体"/>
                <w:color w:val="auto"/>
                <w:szCs w:val="21"/>
              </w:rPr>
              <w:t>规定执行。</w:t>
            </w:r>
          </w:p>
          <w:p w14:paraId="30E3F2E4">
            <w:pPr>
              <w:spacing w:line="360" w:lineRule="auto"/>
              <w:ind w:firstLine="420" w:firstLineChars="200"/>
              <w:rPr>
                <w:rFonts w:hint="eastAsia" w:ascii="宋体" w:hAnsi="宋体"/>
                <w:color w:val="auto"/>
                <w:szCs w:val="21"/>
              </w:rPr>
            </w:pPr>
            <w:r>
              <w:rPr>
                <w:rFonts w:hint="eastAsia" w:ascii="宋体" w:hAnsi="宋体"/>
                <w:color w:val="auto"/>
                <w:szCs w:val="21"/>
              </w:rPr>
              <w:t>8、工程量清单及计价格式中的任何内容不得随意删除和涂改，如有错误，在招标答疑时及时提出，以补充答疑资料为准。</w:t>
            </w:r>
          </w:p>
          <w:p w14:paraId="77827DC9">
            <w:pPr>
              <w:spacing w:line="360" w:lineRule="auto"/>
              <w:ind w:firstLine="420"/>
              <w:rPr>
                <w:rFonts w:hint="eastAsia" w:ascii="宋体" w:hAnsi="宋体"/>
                <w:color w:val="auto"/>
                <w:szCs w:val="21"/>
              </w:rPr>
            </w:pPr>
            <w:r>
              <w:rPr>
                <w:rFonts w:hint="eastAsia" w:ascii="宋体" w:hAnsi="宋体"/>
                <w:color w:val="auto"/>
                <w:szCs w:val="21"/>
              </w:rPr>
              <w:t>9、工程量清单中工程项目特征及具体做法只作重点描述，详细情况见施工图纸设计、技术说明及相关标准图集，投标报价时投标人应结合现场勘察情况考虑完成所有工序工作内容的全部费用组价。</w:t>
            </w:r>
          </w:p>
          <w:p w14:paraId="0E94D57A">
            <w:pPr>
              <w:spacing w:line="360" w:lineRule="auto"/>
              <w:ind w:firstLine="435"/>
            </w:pPr>
            <w:r>
              <w:rPr>
                <w:rFonts w:hint="eastAsia" w:ascii="宋体" w:hAnsi="宋体"/>
                <w:color w:val="auto"/>
                <w:szCs w:val="21"/>
              </w:rPr>
              <w:t>10、投标人应充分考虑施工现场周边的实际情况对施工的影响，编制施工方案，并做出报价。</w:t>
            </w:r>
          </w:p>
          <w:p w14:paraId="488FD419">
            <w:pPr>
              <w:widowControl/>
              <w:numPr>
                <w:ilvl w:val="0"/>
                <w:numId w:val="0"/>
              </w:numPr>
              <w:spacing w:before="0" w:beforeAutospacing="0" w:after="0" w:afterAutospacing="0" w:line="360" w:lineRule="auto"/>
              <w:ind w:firstLine="420" w:firstLineChars="200"/>
              <w:rPr>
                <w:rFonts w:hint="eastAsia" w:ascii="宋体" w:hAnsi="宋体" w:eastAsia="宋体" w:cs="Times New Roman"/>
                <w:color w:val="auto"/>
                <w:szCs w:val="21"/>
                <w:vertAlign w:val="baseline"/>
                <w:lang w:eastAsia="zh-CN"/>
              </w:rPr>
            </w:pPr>
            <w:r>
              <w:rPr>
                <w:rFonts w:hint="eastAsia" w:ascii="宋体" w:hAnsi="宋体" w:cs="宋体"/>
                <w:color w:val="auto"/>
                <w:kern w:val="2"/>
                <w:sz w:val="21"/>
                <w:szCs w:val="21"/>
                <w:lang w:val="en-US" w:eastAsia="zh-CN" w:bidi="ar-SA"/>
              </w:rPr>
              <w:t>11、</w:t>
            </w:r>
            <w:r>
              <w:rPr>
                <w:rFonts w:hint="eastAsia" w:ascii="宋体" w:hAnsi="宋体" w:eastAsia="宋体" w:cs="宋体"/>
                <w:color w:val="auto"/>
                <w:kern w:val="2"/>
                <w:sz w:val="21"/>
                <w:szCs w:val="21"/>
                <w:lang w:val="en-US" w:eastAsia="zh-CN" w:bidi="ar-SA"/>
              </w:rPr>
              <w:t>本说明未尽事项，以计价规范、工程量计算规范、计价管理办法、招标文件以及有关的法律、法规、建设行政主管部门颁发的文件为准。</w:t>
            </w:r>
          </w:p>
        </w:tc>
      </w:tr>
    </w:tbl>
    <w:p w14:paraId="4709C5BB">
      <w:pPr>
        <w:rPr>
          <w:rFonts w:hint="eastAsia" w:ascii="宋体" w:hAnsi="宋体" w:eastAsia="宋体" w:cs="Times New Roman"/>
          <w:color w:val="auto"/>
          <w:szCs w:val="21"/>
          <w:lang w:eastAsia="zh-CN"/>
        </w:rPr>
      </w:pPr>
    </w:p>
    <w:sectPr>
      <w:pgSz w:w="11906" w:h="16838"/>
      <w:pgMar w:top="1100" w:right="1236" w:bottom="1100" w:left="1236"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微软雅黑">
    <w:panose1 w:val="020B0503020204020204"/>
    <w:charset w:val="86"/>
    <w:family w:val="auto"/>
    <w:pitch w:val="default"/>
    <w:sig w:usb0="80000287" w:usb1="28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959DE4D"/>
    <w:multiLevelType w:val="singleLevel"/>
    <w:tmpl w:val="A959DE4D"/>
    <w:lvl w:ilvl="0" w:tentative="0">
      <w:start w:val="6"/>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ZkNDE4ODczNGQxNTBiODI2NjM3YjM0NDg5MjY3YjEifQ=="/>
  </w:docVars>
  <w:rsids>
    <w:rsidRoot w:val="685459DE"/>
    <w:rsid w:val="03D205C8"/>
    <w:rsid w:val="03FF2BB0"/>
    <w:rsid w:val="1F9B52E0"/>
    <w:rsid w:val="272337D0"/>
    <w:rsid w:val="32EF557A"/>
    <w:rsid w:val="46B63832"/>
    <w:rsid w:val="51C25EB9"/>
    <w:rsid w:val="52754DA9"/>
    <w:rsid w:val="61236DF1"/>
    <w:rsid w:val="66FE3167"/>
    <w:rsid w:val="685459DE"/>
    <w:rsid w:val="6CB34742"/>
    <w:rsid w:val="72EF51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table" w:styleId="3">
    <w:name w:val="Table Grid"/>
    <w:basedOn w:val="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1034</Words>
  <Characters>1086</Characters>
  <Lines>0</Lines>
  <Paragraphs>0</Paragraphs>
  <TotalTime>0</TotalTime>
  <ScaleCrop>false</ScaleCrop>
  <LinksUpToDate>false</LinksUpToDate>
  <CharactersWithSpaces>1148</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2023-07-06T04:03:00Z</dcterms:created>
  <dc:creator>LH</dc:creator>
  <cp:lastModifiedBy>瑞★</cp:lastModifiedBy>
  <cp:lastPrinted>2023-09-27T10:29:00Z</cp:lastPrinted>
  <dcterms:modified xsi:type="dcterms:W3CDTF">2024-11-07T04:36:07Z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B918D9C74FAD4D62AEF8332AEC5CBB2C_11</vt:lpwstr>
  </property>
</Properties>
</file>